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colors3.xml" ContentType="application/vnd.openxmlformats-officedocument.drawingml.diagramColors+xml"/>
  <Override PartName="/word/diagrams/colors4.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ata3.xml" ContentType="application/vnd.openxmlformats-officedocument.drawingml.diagramData+xml"/>
  <Override PartName="/word/diagrams/data4.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drawing3.xml" ContentType="application/vnd.ms-office.drawingml.diagramDrawing+xml"/>
  <Override PartName="/word/diagrams/drawing4.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iagrams/quickStyle3.xml" ContentType="application/vnd.openxmlformats-officedocument.drawingml.diagramStyle+xml"/>
  <Override PartName="/word/diagrams/quickStyle4.xml" ContentType="application/vnd.openxmlformats-officedocument.drawingml.diagramStyle+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8.0 -->
  <w:body>
    <w:p w:rsidR="006E1414" w:rsidP="00047212">
      <w:pPr>
        <w:spacing w:before="3480" w:after="2040" w:line="240" w:lineRule="auto"/>
        <w:jc w:val="center"/>
        <w:rPr>
          <w:rFonts w:ascii="Calibri" w:hAnsi="Calibri" w:cs="Calibri"/>
          <w:b/>
          <w:bCs/>
          <w:color w:val="002060"/>
          <w:sz w:val="80"/>
          <w:szCs w:val="80"/>
          <w:rtl/>
        </w:rPr>
      </w:pPr>
      <w:r w:rsidRPr="00A210E9">
        <w:rPr>
          <w:rFonts w:ascii="Calibri" w:hAnsi="Calibri" w:cs="Calibri"/>
          <w:b/>
          <w:bCs/>
          <w:color w:val="002060"/>
          <w:sz w:val="80"/>
          <w:szCs w:val="80"/>
          <w:rtl/>
        </w:rPr>
        <w:t>תגי חניה לאנשים עם מוגבלות</w:t>
      </w:r>
    </w:p>
    <w:p w:rsidR="00D125D2">
      <w:pPr>
        <w:bidi w:val="0"/>
        <w:spacing w:after="200" w:line="276" w:lineRule="auto"/>
        <w:rPr>
          <w:rFonts w:ascii="Calibri" w:hAnsi="Calibri" w:cs="Times New Roman"/>
          <w:b/>
          <w:bCs/>
          <w:color w:val="002060"/>
          <w:sz w:val="80"/>
          <w:szCs w:val="80"/>
        </w:rPr>
        <w:sectPr w:rsidSect="006C2C6D">
          <w:headerReference w:type="default" r:id="rId6"/>
          <w:headerReference w:type="first" r:id="rId7"/>
          <w:footerReference w:type="first" r:id="rId8"/>
          <w:pgSz w:w="11906" w:h="16838"/>
          <w:pgMar w:top="1701" w:right="1985" w:bottom="1588" w:left="1701" w:header="709" w:footer="709" w:gutter="0"/>
          <w:cols w:space="708"/>
          <w:titlePg/>
          <w:bidi/>
          <w:rtlGutter/>
          <w:docGrid w:linePitch="360"/>
        </w:sectPr>
      </w:pPr>
    </w:p>
    <w:p w:rsidR="00A210E9" w:rsidRPr="00A210E9" w:rsidP="00A210E9">
      <w:pPr>
        <w:keepNext/>
        <w:keepLines/>
        <w:spacing w:line="269" w:lineRule="auto"/>
        <w:jc w:val="center"/>
        <w:outlineLvl w:val="0"/>
        <w:rPr>
          <w:rFonts w:eastAsia="Times New Roman"/>
          <w:bCs/>
          <w:szCs w:val="36"/>
          <w:u w:val="single"/>
          <w:rtl/>
        </w:rPr>
      </w:pPr>
      <w:bookmarkStart w:id="0" w:name="tempMark"/>
      <w:bookmarkStart w:id="1" w:name="_Toc219297880"/>
      <w:bookmarkStart w:id="2" w:name="_Hlk180909947"/>
      <w:bookmarkStart w:id="3" w:name="copyNevSelection"/>
      <w:bookmarkStart w:id="4" w:name="_Hlk206410019"/>
      <w:bookmarkEnd w:id="0"/>
      <w:r w:rsidRPr="00A210E9">
        <w:rPr>
          <w:rFonts w:eastAsia="Times New Roman"/>
          <w:bCs/>
          <w:szCs w:val="36"/>
          <w:u w:val="single"/>
          <w:rtl/>
        </w:rPr>
        <w:t>תג</w:t>
      </w:r>
      <w:r w:rsidRPr="00A210E9">
        <w:rPr>
          <w:rFonts w:eastAsia="Times New Roman" w:hint="cs"/>
          <w:bCs/>
          <w:szCs w:val="36"/>
          <w:u w:val="single"/>
          <w:rtl/>
        </w:rPr>
        <w:t>י</w:t>
      </w:r>
      <w:r w:rsidRPr="00A210E9">
        <w:rPr>
          <w:rFonts w:eastAsia="Times New Roman"/>
          <w:bCs/>
          <w:szCs w:val="36"/>
          <w:u w:val="single"/>
          <w:rtl/>
        </w:rPr>
        <w:t xml:space="preserve"> </w:t>
      </w:r>
      <w:r w:rsidRPr="00A210E9">
        <w:rPr>
          <w:rFonts w:eastAsia="Times New Roman" w:hint="cs"/>
          <w:bCs/>
          <w:szCs w:val="36"/>
          <w:u w:val="single"/>
          <w:rtl/>
        </w:rPr>
        <w:t xml:space="preserve">חניה לאנשים </w:t>
      </w:r>
      <w:bookmarkEnd w:id="1"/>
      <w:r w:rsidRPr="00A210E9">
        <w:rPr>
          <w:rFonts w:eastAsia="Times New Roman" w:hint="cs"/>
          <w:bCs/>
          <w:szCs w:val="36"/>
          <w:u w:val="single"/>
          <w:rtl/>
        </w:rPr>
        <w:t>עם מוגבלות</w:t>
      </w:r>
    </w:p>
    <w:p w:rsidR="00A210E9" w:rsidRPr="00673C9C" w:rsidP="00673C9C">
      <w:pPr>
        <w:spacing w:line="269" w:lineRule="auto"/>
        <w:rPr>
          <w:rFonts w:ascii="Rubik" w:eastAsia="Calibri" w:hAnsi="Rubik"/>
          <w:shd w:val="clear" w:color="auto" w:fill="FFFFFF"/>
          <w:rtl/>
        </w:rPr>
      </w:pPr>
    </w:p>
    <w:p w:rsidR="00A210E9" w:rsidP="00A210E9">
      <w:pPr>
        <w:keepNext/>
        <w:keepLines/>
        <w:spacing w:line="269" w:lineRule="auto"/>
        <w:outlineLvl w:val="2"/>
        <w:rPr>
          <w:rFonts w:eastAsia="Times New Roman"/>
          <w:bCs/>
          <w:szCs w:val="28"/>
          <w:u w:val="single"/>
          <w:rtl/>
        </w:rPr>
      </w:pPr>
      <w:r w:rsidRPr="00A210E9">
        <w:rPr>
          <w:rFonts w:eastAsia="Times New Roman"/>
          <w:bCs/>
          <w:szCs w:val="28"/>
          <w:u w:val="single"/>
          <w:rtl/>
        </w:rPr>
        <w:t>מבוא</w:t>
      </w:r>
    </w:p>
    <w:p w:rsidR="00136D6F" w:rsidRPr="00673C9C" w:rsidP="00673C9C">
      <w:pPr>
        <w:spacing w:line="269" w:lineRule="auto"/>
        <w:rPr>
          <w:rFonts w:ascii="Rubik" w:eastAsia="Calibri" w:hAnsi="Rubik"/>
          <w:shd w:val="clear" w:color="auto" w:fill="FFFFFF"/>
        </w:rPr>
      </w:pPr>
    </w:p>
    <w:p w:rsidR="00A210E9" w:rsidRPr="00A210E9" w:rsidP="00A210E9">
      <w:pPr>
        <w:spacing w:line="269" w:lineRule="auto"/>
        <w:rPr>
          <w:rFonts w:eastAsia="Calibri"/>
          <w:rtl/>
        </w:rPr>
      </w:pPr>
      <w:bookmarkStart w:id="5" w:name="_Hlk204865369"/>
      <w:r w:rsidRPr="00A210E9">
        <w:rPr>
          <w:rFonts w:ascii="Rubik" w:eastAsia="Calibri" w:hAnsi="Rubik"/>
          <w:shd w:val="clear" w:color="auto" w:fill="FFFFFF"/>
          <w:rtl/>
        </w:rPr>
        <w:t>אנשים רבים החיים בינינו מתקשים ליטול חלק מלא בחברה ובמרחב הציבורי בשל קושי לתפקד בסביבה הפיזית והאנושית הקיימת. אנשים עם מוגבלות</w:t>
      </w:r>
      <w:r>
        <w:rPr>
          <w:rFonts w:ascii="Rubik" w:eastAsia="Calibri" w:hAnsi="Rubik"/>
          <w:shd w:val="clear" w:color="auto" w:fill="FFFFFF"/>
          <w:vertAlign w:val="superscript"/>
          <w:rtl/>
        </w:rPr>
        <w:footnoteReference w:id="2"/>
      </w:r>
      <w:r w:rsidRPr="00A210E9">
        <w:rPr>
          <w:rFonts w:ascii="Rubik" w:eastAsia="Calibri" w:hAnsi="Rubik" w:hint="cs"/>
          <w:shd w:val="clear" w:color="auto" w:fill="FFFFFF"/>
          <w:rtl/>
        </w:rPr>
        <w:t>,</w:t>
      </w:r>
      <w:r w:rsidRPr="00A210E9">
        <w:rPr>
          <w:rFonts w:ascii="Rubik" w:eastAsia="Calibri" w:hAnsi="Rubik"/>
          <w:shd w:val="clear" w:color="auto" w:fill="FFFFFF"/>
          <w:rtl/>
        </w:rPr>
        <w:t xml:space="preserve"> </w:t>
      </w:r>
      <w:r w:rsidRPr="00A210E9">
        <w:rPr>
          <w:rFonts w:ascii="Rubik" w:eastAsia="Calibri" w:hAnsi="Rubik" w:hint="cs"/>
          <w:shd w:val="clear" w:color="auto" w:fill="FFFFFF"/>
          <w:rtl/>
        </w:rPr>
        <w:t>ובפרט אנשים עם מוגבלות בתנועה או עם מוגבלות המשפיעה על יכולת התנועה, חווים קושי</w:t>
      </w:r>
      <w:r w:rsidRPr="00A210E9">
        <w:rPr>
          <w:rFonts w:ascii="Rubik" w:eastAsia="Calibri" w:hAnsi="Rubik"/>
          <w:shd w:val="clear" w:color="auto" w:fill="FFFFFF"/>
          <w:rtl/>
        </w:rPr>
        <w:t xml:space="preserve"> להשתלב בחיי היום</w:t>
      </w:r>
      <w:r w:rsidRPr="00A210E9">
        <w:rPr>
          <w:rFonts w:ascii="Rubik" w:eastAsia="Calibri" w:hAnsi="Rubik" w:hint="cs"/>
          <w:shd w:val="clear" w:color="auto" w:fill="FFFFFF"/>
          <w:rtl/>
        </w:rPr>
        <w:t>-</w:t>
      </w:r>
      <w:r w:rsidRPr="00A210E9">
        <w:rPr>
          <w:rFonts w:ascii="Rubik" w:eastAsia="Calibri" w:hAnsi="Rubik"/>
          <w:shd w:val="clear" w:color="auto" w:fill="FFFFFF"/>
          <w:rtl/>
        </w:rPr>
        <w:t>יום</w:t>
      </w:r>
      <w:r w:rsidRPr="00A210E9">
        <w:rPr>
          <w:rFonts w:ascii="Rubik" w:eastAsia="Calibri" w:hAnsi="Rubik" w:hint="cs"/>
          <w:shd w:val="clear" w:color="auto" w:fill="FFFFFF"/>
          <w:rtl/>
        </w:rPr>
        <w:t>,</w:t>
      </w:r>
      <w:r w:rsidRPr="00A210E9">
        <w:rPr>
          <w:rFonts w:ascii="Rubik" w:eastAsia="Calibri" w:hAnsi="Rubik"/>
          <w:shd w:val="clear" w:color="auto" w:fill="FFFFFF"/>
          <w:rtl/>
        </w:rPr>
        <w:t xml:space="preserve"> בעיקר בשל ה</w:t>
      </w:r>
      <w:r w:rsidRPr="00A210E9">
        <w:rPr>
          <w:rFonts w:ascii="Rubik" w:eastAsia="Calibri" w:hAnsi="Rubik" w:hint="cs"/>
          <w:shd w:val="clear" w:color="auto" w:fill="FFFFFF"/>
          <w:rtl/>
        </w:rPr>
        <w:t>י</w:t>
      </w:r>
      <w:r w:rsidRPr="00A210E9">
        <w:rPr>
          <w:rFonts w:ascii="Rubik" w:eastAsia="Calibri" w:hAnsi="Rubik"/>
          <w:shd w:val="clear" w:color="auto" w:fill="FFFFFF"/>
          <w:rtl/>
        </w:rPr>
        <w:t>עדר נגישות במרחב הציבורי</w:t>
      </w:r>
      <w:r>
        <w:rPr>
          <w:rFonts w:ascii="Rubik" w:eastAsia="Calibri" w:hAnsi="Rubik"/>
          <w:shd w:val="clear" w:color="auto" w:fill="FFFFFF"/>
          <w:vertAlign w:val="superscript"/>
          <w:rtl/>
        </w:rPr>
        <w:footnoteReference w:id="3"/>
      </w:r>
      <w:r w:rsidRPr="00A210E9">
        <w:rPr>
          <w:rFonts w:ascii="Rubik" w:eastAsia="Calibri" w:hAnsi="Rubik"/>
          <w:shd w:val="clear" w:color="auto" w:fill="FFFFFF"/>
          <w:rtl/>
        </w:rPr>
        <w:t xml:space="preserve">. אנשים עם מוגבלות הם חלק </w:t>
      </w:r>
      <w:r w:rsidRPr="00A210E9">
        <w:rPr>
          <w:rFonts w:ascii="Rubik" w:eastAsia="Calibri" w:hAnsi="Rubik" w:hint="cs"/>
          <w:shd w:val="clear" w:color="auto" w:fill="FFFFFF"/>
          <w:rtl/>
        </w:rPr>
        <w:t>מכולנו, כלל הציבור,</w:t>
      </w:r>
      <w:r w:rsidRPr="00A210E9">
        <w:rPr>
          <w:rFonts w:ascii="Rubik" w:eastAsia="Calibri" w:hAnsi="Rubik"/>
          <w:shd w:val="clear" w:color="auto" w:fill="FFFFFF"/>
          <w:rtl/>
        </w:rPr>
        <w:t xml:space="preserve"> </w:t>
      </w:r>
      <w:r w:rsidRPr="00A210E9">
        <w:rPr>
          <w:rFonts w:ascii="Rubik" w:eastAsia="Calibri" w:hAnsi="Rubik" w:hint="cs"/>
          <w:shd w:val="clear" w:color="auto" w:fill="FFFFFF"/>
          <w:rtl/>
        </w:rPr>
        <w:t>וביחד אנו נדרשים</w:t>
      </w:r>
      <w:r w:rsidRPr="00A210E9">
        <w:rPr>
          <w:rFonts w:ascii="Rubik" w:eastAsia="Calibri" w:hAnsi="Rubik"/>
          <w:shd w:val="clear" w:color="auto" w:fill="FFFFFF"/>
          <w:rtl/>
        </w:rPr>
        <w:t xml:space="preserve"> להתנהל במרחב הפיזי ללא הפרדה</w:t>
      </w:r>
      <w:r>
        <w:rPr>
          <w:rFonts w:eastAsia="Calibri"/>
          <w:vertAlign w:val="superscript"/>
          <w:rtl/>
        </w:rPr>
        <w:footnoteReference w:id="4"/>
      </w:r>
      <w:r w:rsidRPr="00A210E9">
        <w:rPr>
          <w:rFonts w:ascii="Rubik" w:eastAsia="Calibri" w:hAnsi="Rubik"/>
          <w:shd w:val="clear" w:color="auto" w:fill="FFFFFF"/>
        </w:rPr>
        <w:t>.</w:t>
      </w:r>
      <w:r w:rsidRPr="00A210E9">
        <w:rPr>
          <w:rFonts w:ascii="Rubik" w:eastAsia="Calibri" w:hAnsi="Rubik" w:hint="cs"/>
          <w:shd w:val="clear" w:color="auto" w:fill="FFFFFF"/>
          <w:rtl/>
        </w:rPr>
        <w:t xml:space="preserve"> </w:t>
      </w:r>
    </w:p>
    <w:p w:rsidR="00A210E9" w:rsidRPr="00A210E9" w:rsidP="00A210E9">
      <w:pPr>
        <w:spacing w:line="269" w:lineRule="auto"/>
        <w:rPr>
          <w:rFonts w:eastAsia="Calibri"/>
          <w:rtl/>
        </w:rPr>
      </w:pPr>
    </w:p>
    <w:p w:rsidR="00A210E9" w:rsidRPr="00A210E9" w:rsidP="00A210E9">
      <w:pPr>
        <w:spacing w:line="269" w:lineRule="auto"/>
        <w:rPr>
          <w:rFonts w:eastAsia="Calibri"/>
          <w:rtl/>
        </w:rPr>
      </w:pPr>
      <w:r w:rsidRPr="00A210E9">
        <w:rPr>
          <w:rFonts w:eastAsia="Calibri" w:hint="cs"/>
          <w:rtl/>
        </w:rPr>
        <w:t xml:space="preserve">חוקי מדינת ישראל מכירים בזכויות ועקרונות אלה. </w:t>
      </w:r>
      <w:r w:rsidRPr="00A210E9">
        <w:rPr>
          <w:rFonts w:eastAsia="Calibri"/>
          <w:rtl/>
        </w:rPr>
        <w:t xml:space="preserve">חוק שוויון זכויות לאנשים עם מוגבלות, </w:t>
      </w:r>
      <w:r w:rsidRPr="00A210E9">
        <w:rPr>
          <w:rFonts w:eastAsia="Calibri" w:hint="cs"/>
          <w:rtl/>
        </w:rPr>
        <w:t>ה</w:t>
      </w:r>
      <w:r w:rsidRPr="00A210E9">
        <w:rPr>
          <w:rFonts w:eastAsia="Calibri"/>
          <w:rtl/>
        </w:rPr>
        <w:t>תשנ"ח-1998</w:t>
      </w:r>
      <w:r w:rsidRPr="00A210E9">
        <w:rPr>
          <w:rFonts w:eastAsia="Calibri" w:hint="cs"/>
          <w:rtl/>
        </w:rPr>
        <w:t xml:space="preserve"> (להלן -</w:t>
      </w:r>
      <w:r w:rsidRPr="00A210E9">
        <w:rPr>
          <w:rFonts w:eastAsia="Calibri" w:hint="cs"/>
        </w:rPr>
        <w:t xml:space="preserve"> </w:t>
      </w:r>
      <w:r w:rsidRPr="00A210E9">
        <w:rPr>
          <w:rFonts w:eastAsia="Calibri" w:hint="cs"/>
          <w:rtl/>
        </w:rPr>
        <w:t>חוק שוויון זכויות), קובע כי מטרתו היא "</w:t>
      </w:r>
      <w:r w:rsidRPr="00A210E9">
        <w:rPr>
          <w:rFonts w:eastAsia="Calibri"/>
          <w:rtl/>
        </w:rPr>
        <w:t xml:space="preserve">להגן על כבודו וחירותו של אדם עם מוגבלות, ולעגן את זכותו להשתתפות שוויונית ופעילה בחברה בכל תחומי החיים וכן לתת מענה הולם </w:t>
      </w:r>
      <w:r w:rsidRPr="00A210E9">
        <w:rPr>
          <w:rFonts w:eastAsia="Calibri" w:hint="cs"/>
          <w:rtl/>
        </w:rPr>
        <w:t>ע</w:t>
      </w:r>
      <w:r w:rsidRPr="00A210E9">
        <w:rPr>
          <w:rFonts w:eastAsia="Calibri"/>
          <w:rtl/>
        </w:rPr>
        <w:t>ל</w:t>
      </w:r>
      <w:r w:rsidRPr="00A210E9">
        <w:rPr>
          <w:rFonts w:eastAsia="Calibri" w:hint="cs"/>
          <w:rtl/>
        </w:rPr>
        <w:t xml:space="preserve"> </w:t>
      </w:r>
      <w:r w:rsidRPr="00A210E9">
        <w:rPr>
          <w:rFonts w:eastAsia="Calibri"/>
          <w:rtl/>
        </w:rPr>
        <w:t>צרכיו המיוחדים באופן שיאפשר לו לחיות את חייו בעצמאות מ</w:t>
      </w:r>
      <w:r w:rsidRPr="00A210E9">
        <w:rPr>
          <w:rFonts w:eastAsia="Calibri" w:hint="cs"/>
          <w:rtl/>
        </w:rPr>
        <w:t>ְ</w:t>
      </w:r>
      <w:r w:rsidRPr="00A210E9">
        <w:rPr>
          <w:rFonts w:eastAsia="Calibri"/>
          <w:rtl/>
        </w:rPr>
        <w:t>ר</w:t>
      </w:r>
      <w:r w:rsidRPr="00A210E9">
        <w:rPr>
          <w:rFonts w:eastAsia="Calibri" w:hint="cs"/>
          <w:rtl/>
        </w:rPr>
        <w:t>ַ</w:t>
      </w:r>
      <w:r w:rsidRPr="00A210E9">
        <w:rPr>
          <w:rFonts w:eastAsia="Calibri"/>
          <w:rtl/>
        </w:rPr>
        <w:t>ב</w:t>
      </w:r>
      <w:r w:rsidRPr="00A210E9">
        <w:rPr>
          <w:rFonts w:eastAsia="Calibri" w:hint="cs"/>
          <w:rtl/>
        </w:rPr>
        <w:t>ִּ</w:t>
      </w:r>
      <w:r w:rsidRPr="00A210E9">
        <w:rPr>
          <w:rFonts w:eastAsia="Calibri"/>
          <w:rtl/>
        </w:rPr>
        <w:t>ית, בפרטיות ובכבוד, תוך מיצוי מלוא יכולתו</w:t>
      </w:r>
      <w:r w:rsidRPr="00A210E9">
        <w:rPr>
          <w:rFonts w:eastAsia="Calibri" w:hint="cs"/>
          <w:rtl/>
        </w:rPr>
        <w:t>"</w:t>
      </w:r>
      <w:r>
        <w:rPr>
          <w:rFonts w:eastAsia="Calibri"/>
          <w:vertAlign w:val="superscript"/>
          <w:rtl/>
        </w:rPr>
        <w:footnoteReference w:id="5"/>
      </w:r>
      <w:bookmarkStart w:id="6" w:name="_Hlk222160745"/>
      <w:r w:rsidRPr="00A210E9">
        <w:rPr>
          <w:rFonts w:eastAsia="Calibri"/>
          <w:rtl/>
        </w:rPr>
        <w:t>.</w:t>
      </w:r>
      <w:bookmarkEnd w:id="6"/>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החשיבות של נגישות וניידות עבור אנשים עם מוגבלות מודגשת גם באמנה הבין-לאומית שאומצה בעצרת הכללית של האו"ם בשנת 2006 </w:t>
      </w:r>
      <w:r w:rsidRPr="00A210E9">
        <w:rPr>
          <w:rFonts w:eastAsia="Calibri"/>
          <w:rtl/>
        </w:rPr>
        <w:t>ואושררה בידי מדינת ישראל ב</w:t>
      </w:r>
      <w:r w:rsidRPr="00A210E9">
        <w:rPr>
          <w:rFonts w:eastAsia="Calibri" w:hint="cs"/>
          <w:rtl/>
        </w:rPr>
        <w:t xml:space="preserve">שנת </w:t>
      </w:r>
      <w:r w:rsidRPr="00A210E9">
        <w:rPr>
          <w:rFonts w:eastAsia="Calibri"/>
          <w:rtl/>
        </w:rPr>
        <w:t>2012</w:t>
      </w:r>
      <w:r w:rsidRPr="00A210E9">
        <w:rPr>
          <w:rFonts w:eastAsia="Calibri" w:hint="cs"/>
          <w:rtl/>
        </w:rPr>
        <w:t xml:space="preserve"> - "אמנת האו"ם בדבר זכויותיהם של אנשים עם מוגבלויות" (</w:t>
      </w:r>
      <w:r w:rsidRPr="00A210E9">
        <w:rPr>
          <w:rFonts w:eastAsia="Calibri"/>
        </w:rPr>
        <w:t>Convention on the Rights of Persons with Disabilities</w:t>
      </w:r>
      <w:r w:rsidRPr="00A210E9">
        <w:rPr>
          <w:rFonts w:eastAsia="Calibri" w:hint="cs"/>
          <w:rtl/>
        </w:rPr>
        <w:t xml:space="preserve"> - </w:t>
      </w:r>
      <w:r w:rsidRPr="00A210E9">
        <w:rPr>
          <w:rFonts w:eastAsia="Calibri" w:hint="cs"/>
        </w:rPr>
        <w:t>CRPD</w:t>
      </w:r>
      <w:r w:rsidRPr="00A210E9">
        <w:rPr>
          <w:rFonts w:eastAsia="Calibri" w:hint="cs"/>
          <w:rtl/>
        </w:rPr>
        <w:t>)</w:t>
      </w:r>
      <w:r>
        <w:rPr>
          <w:rFonts w:eastAsia="Calibri"/>
          <w:vertAlign w:val="superscript"/>
        </w:rPr>
        <w:footnoteReference w:id="6"/>
      </w:r>
      <w:r w:rsidRPr="00A210E9">
        <w:rPr>
          <w:rFonts w:eastAsia="Calibri" w:hint="cs"/>
          <w:rtl/>
        </w:rPr>
        <w:t>. בסעיף 9 לאמנה נקבע כי</w:t>
      </w:r>
      <w:r w:rsidRPr="00A210E9">
        <w:rPr>
          <w:rFonts w:eastAsia="Calibri"/>
          <w:rtl/>
        </w:rPr>
        <w:t xml:space="preserve"> </w:t>
      </w:r>
      <w:r w:rsidRPr="00A210E9">
        <w:rPr>
          <w:rFonts w:eastAsia="Calibri" w:hint="cs"/>
          <w:rtl/>
        </w:rPr>
        <w:t>"</w:t>
      </w:r>
      <w:r w:rsidRPr="00A210E9">
        <w:rPr>
          <w:rFonts w:eastAsia="Calibri"/>
          <w:rtl/>
        </w:rPr>
        <w:t>על מנת לאפשר לאנשים עם מוגבלויות לחיות</w:t>
      </w:r>
      <w:r w:rsidRPr="00A210E9">
        <w:rPr>
          <w:rFonts w:eastAsia="Calibri" w:hint="cs"/>
          <w:rtl/>
        </w:rPr>
        <w:t xml:space="preserve"> </w:t>
      </w:r>
      <w:r w:rsidRPr="00A210E9">
        <w:rPr>
          <w:rFonts w:eastAsia="Calibri"/>
          <w:rtl/>
        </w:rPr>
        <w:t>בצורה עצמאית ולהשתתף באופן מלא בכל היבטי</w:t>
      </w:r>
      <w:r w:rsidRPr="00A210E9">
        <w:rPr>
          <w:rFonts w:eastAsia="Calibri" w:hint="cs"/>
          <w:rtl/>
        </w:rPr>
        <w:t xml:space="preserve"> </w:t>
      </w:r>
      <w:r w:rsidRPr="00A210E9">
        <w:rPr>
          <w:rFonts w:eastAsia="Calibri"/>
          <w:rtl/>
        </w:rPr>
        <w:t>החיים, תנקוטנה מדינות שהן צדדים אמצעים</w:t>
      </w:r>
      <w:r w:rsidRPr="00A210E9">
        <w:rPr>
          <w:rFonts w:eastAsia="Calibri" w:hint="cs"/>
          <w:rtl/>
        </w:rPr>
        <w:t xml:space="preserve"> </w:t>
      </w:r>
      <w:r w:rsidRPr="00A210E9">
        <w:rPr>
          <w:rFonts w:eastAsia="Calibri"/>
          <w:rtl/>
        </w:rPr>
        <w:t>הולמים כדי להבטיח לאנשים עם מוגבלויות גישה</w:t>
      </w:r>
      <w:r w:rsidRPr="00A210E9">
        <w:rPr>
          <w:rFonts w:eastAsia="Calibri" w:hint="cs"/>
          <w:rtl/>
        </w:rPr>
        <w:t xml:space="preserve"> </w:t>
      </w:r>
      <w:r w:rsidRPr="00A210E9">
        <w:rPr>
          <w:rFonts w:eastAsia="Calibri"/>
          <w:rtl/>
        </w:rPr>
        <w:t>לסביבה הפיזית, לתחבורה</w:t>
      </w:r>
      <w:r w:rsidRPr="00A210E9">
        <w:rPr>
          <w:rFonts w:eastAsia="Calibri" w:hint="cs"/>
          <w:rtl/>
        </w:rPr>
        <w:t xml:space="preserve">... </w:t>
      </w:r>
      <w:r w:rsidRPr="00A210E9">
        <w:rPr>
          <w:rFonts w:eastAsia="Calibri"/>
          <w:rtl/>
        </w:rPr>
        <w:t>ולמתקנים ושירותים אחרים הפתוחים או ניתנים</w:t>
      </w:r>
      <w:r w:rsidRPr="00A210E9">
        <w:rPr>
          <w:rFonts w:eastAsia="Calibri" w:hint="cs"/>
          <w:rtl/>
        </w:rPr>
        <w:t xml:space="preserve"> </w:t>
      </w:r>
      <w:r w:rsidRPr="00A210E9">
        <w:rPr>
          <w:rFonts w:eastAsia="Calibri"/>
          <w:rtl/>
        </w:rPr>
        <w:t>לציבור</w:t>
      </w:r>
      <w:r w:rsidRPr="00A210E9">
        <w:rPr>
          <w:rFonts w:eastAsia="Calibri" w:hint="cs"/>
          <w:rtl/>
        </w:rPr>
        <w:t xml:space="preserve">... </w:t>
      </w:r>
      <w:r w:rsidRPr="00A210E9">
        <w:rPr>
          <w:rFonts w:eastAsia="Calibri"/>
          <w:rtl/>
        </w:rPr>
        <w:t>בשוויון</w:t>
      </w:r>
      <w:r w:rsidRPr="00A210E9">
        <w:rPr>
          <w:rFonts w:eastAsia="Calibri" w:hint="cs"/>
          <w:rtl/>
        </w:rPr>
        <w:t xml:space="preserve"> </w:t>
      </w:r>
      <w:r w:rsidRPr="00A210E9">
        <w:rPr>
          <w:rFonts w:eastAsia="Calibri"/>
          <w:rtl/>
        </w:rPr>
        <w:t>עם אחרים</w:t>
      </w:r>
      <w:r w:rsidRPr="00A210E9">
        <w:rPr>
          <w:rFonts w:eastAsia="Calibri" w:hint="cs"/>
          <w:rtl/>
        </w:rPr>
        <w:t>"</w:t>
      </w:r>
      <w:r w:rsidRPr="00A210E9">
        <w:rPr>
          <w:rFonts w:eastAsia="Calibri"/>
          <w:rtl/>
        </w:rPr>
        <w:t>.</w:t>
      </w:r>
      <w:r w:rsidRPr="00A210E9">
        <w:rPr>
          <w:rFonts w:eastAsia="Calibri" w:hint="cs"/>
          <w:rtl/>
        </w:rPr>
        <w:t xml:space="preserve"> כמו כן, בסעיף 20 נקבע כי "</w:t>
      </w:r>
      <w:r w:rsidRPr="00A210E9">
        <w:rPr>
          <w:rFonts w:eastAsia="Calibri"/>
          <w:rtl/>
        </w:rPr>
        <w:t>מדינות שהן צדדים תנקוטנה אמצעים בני-תועלת</w:t>
      </w:r>
      <w:r w:rsidRPr="00A210E9">
        <w:rPr>
          <w:rFonts w:eastAsia="Calibri" w:hint="cs"/>
          <w:rtl/>
        </w:rPr>
        <w:t xml:space="preserve"> </w:t>
      </w:r>
      <w:r w:rsidRPr="00A210E9">
        <w:rPr>
          <w:rFonts w:eastAsia="Calibri"/>
          <w:rtl/>
        </w:rPr>
        <w:t>כדי להבטיח לאנשים עם מוגבלויות ניידות אישית</w:t>
      </w:r>
      <w:r w:rsidRPr="00A210E9">
        <w:rPr>
          <w:rFonts w:eastAsia="Calibri" w:hint="cs"/>
          <w:rtl/>
        </w:rPr>
        <w:t xml:space="preserve"> </w:t>
      </w:r>
      <w:r w:rsidRPr="00A210E9">
        <w:rPr>
          <w:rFonts w:eastAsia="Calibri"/>
          <w:rtl/>
        </w:rPr>
        <w:t>הכוללת מידה רבה ככל האפשר של עצמאות, לרבות</w:t>
      </w:r>
      <w:r w:rsidRPr="00A210E9">
        <w:rPr>
          <w:rFonts w:eastAsia="Calibri" w:hint="cs"/>
          <w:rtl/>
        </w:rPr>
        <w:t xml:space="preserve">... </w:t>
      </w:r>
      <w:r w:rsidRPr="00A210E9">
        <w:rPr>
          <w:rFonts w:eastAsia="Calibri"/>
          <w:rtl/>
        </w:rPr>
        <w:t>הקלה על הניידות האישית של אנשים עם מוגבלויות באופן ובזמן שיבחרו, ובְעלות שווה לכל נפש</w:t>
      </w:r>
      <w:r w:rsidRPr="00A210E9">
        <w:rPr>
          <w:rFonts w:eastAsia="Calibri" w:hint="cs"/>
          <w:rtl/>
        </w:rPr>
        <w:t>".</w:t>
      </w:r>
    </w:p>
    <w:p w:rsidR="00A210E9" w:rsidRPr="00A210E9" w:rsidP="00A210E9">
      <w:pPr>
        <w:keepNext/>
        <w:keepLines/>
        <w:spacing w:line="269" w:lineRule="auto"/>
        <w:ind w:left="-567"/>
        <w:rPr>
          <w:rFonts w:eastAsia="Calibri"/>
          <w:szCs w:val="20"/>
          <w:rtl/>
        </w:rPr>
      </w:pPr>
    </w:p>
    <w:p w:rsidR="00A210E9" w:rsidP="00A210E9">
      <w:pPr>
        <w:spacing w:line="269" w:lineRule="auto"/>
        <w:rPr>
          <w:rFonts w:eastAsia="Calibri"/>
          <w:rtl/>
        </w:rPr>
      </w:pPr>
      <w:r w:rsidRPr="00A210E9">
        <w:rPr>
          <w:rFonts w:eastAsia="Calibri" w:hint="cs"/>
          <w:rtl/>
        </w:rPr>
        <w:t xml:space="preserve">חוק </w:t>
      </w:r>
      <w:r w:rsidRPr="00A210E9">
        <w:rPr>
          <w:rFonts w:eastAsia="Calibri"/>
          <w:rtl/>
        </w:rPr>
        <w:t>חניה לנכים, התשנ"ד-1993</w:t>
      </w:r>
      <w:r w:rsidRPr="00A210E9">
        <w:rPr>
          <w:rFonts w:eastAsia="Calibri" w:hint="cs"/>
          <w:rtl/>
        </w:rPr>
        <w:t xml:space="preserve"> (להלן - חוק חניה לנכים או החוק), קובע </w:t>
      </w:r>
      <w:r w:rsidRPr="00A210E9">
        <w:rPr>
          <w:rFonts w:eastAsia="Calibri"/>
          <w:rtl/>
        </w:rPr>
        <w:t xml:space="preserve">תנאים </w:t>
      </w:r>
      <w:r w:rsidRPr="00A210E9">
        <w:rPr>
          <w:rFonts w:eastAsia="Calibri" w:hint="cs"/>
          <w:rtl/>
        </w:rPr>
        <w:t>ש</w:t>
      </w:r>
      <w:r w:rsidRPr="00A210E9">
        <w:rPr>
          <w:rFonts w:eastAsia="Calibri"/>
          <w:rtl/>
        </w:rPr>
        <w:t xml:space="preserve">לפיהם יהיה </w:t>
      </w:r>
      <w:r w:rsidRPr="00A210E9">
        <w:rPr>
          <w:rFonts w:eastAsia="Calibri" w:hint="cs"/>
          <w:rtl/>
        </w:rPr>
        <w:t>אדם עם מוגבלות</w:t>
      </w:r>
      <w:r w:rsidRPr="00A210E9">
        <w:rPr>
          <w:rFonts w:eastAsia="Calibri"/>
          <w:rtl/>
        </w:rPr>
        <w:t xml:space="preserve"> רשאי להחנות את רכבו גם במקום שאינו מותר לחניה</w:t>
      </w:r>
      <w:r w:rsidRPr="00A210E9">
        <w:rPr>
          <w:rFonts w:eastAsia="Calibri" w:hint="cs"/>
          <w:rtl/>
        </w:rPr>
        <w:t xml:space="preserve"> (בכפוף לסייגים שמוגדרים בחוק)</w:t>
      </w:r>
      <w:r>
        <w:rPr>
          <w:rFonts w:eastAsia="Calibri"/>
          <w:vertAlign w:val="superscript"/>
          <w:rtl/>
        </w:rPr>
        <w:footnoteReference w:id="7"/>
      </w:r>
      <w:r w:rsidRPr="00A210E9">
        <w:rPr>
          <w:rFonts w:eastAsia="Calibri"/>
          <w:rtl/>
        </w:rPr>
        <w:t>.</w:t>
      </w:r>
      <w:r w:rsidRPr="00A210E9">
        <w:rPr>
          <w:rFonts w:eastAsia="Calibri" w:hint="cs"/>
          <w:rtl/>
        </w:rPr>
        <w:t xml:space="preserve"> במסגרת החוק גם הוסדר השימוש בתגי חניה לאדם עם מוגבלות </w:t>
      </w:r>
      <w:r w:rsidRPr="00A210E9">
        <w:rPr>
          <w:rFonts w:eastAsia="Calibri"/>
          <w:rtl/>
        </w:rPr>
        <w:t xml:space="preserve">(להלן - </w:t>
      </w:r>
      <w:r w:rsidRPr="00A210E9">
        <w:rPr>
          <w:rFonts w:eastAsia="Calibri" w:hint="eastAsia"/>
          <w:rtl/>
        </w:rPr>
        <w:t>תג</w:t>
      </w:r>
      <w:r w:rsidRPr="00A210E9">
        <w:rPr>
          <w:rFonts w:eastAsia="Calibri"/>
          <w:rtl/>
        </w:rPr>
        <w:t xml:space="preserve"> או תג חניה</w:t>
      </w:r>
      <w:r>
        <w:rPr>
          <w:rFonts w:eastAsia="Calibri"/>
          <w:vertAlign w:val="superscript"/>
          <w:rtl/>
        </w:rPr>
        <w:footnoteReference w:id="8"/>
      </w:r>
      <w:r w:rsidRPr="00A210E9">
        <w:rPr>
          <w:rFonts w:eastAsia="Calibri"/>
          <w:rtl/>
        </w:rPr>
        <w:t>)</w:t>
      </w:r>
      <w:r w:rsidRPr="00A210E9">
        <w:rPr>
          <w:rFonts w:eastAsia="Calibri" w:hint="cs"/>
          <w:rtl/>
        </w:rPr>
        <w:t xml:space="preserve"> שהיו בשימוש עד אותו זמן ללא אסדרה חוקית. התג מאפשר לחנות גם בחניות מוסדרות לאנשים עם מוגבלות שבהן מוצב תמרור </w:t>
      </w:r>
      <w:bookmarkStart w:id="7" w:name="OLE_LINK3"/>
      <w:r w:rsidRPr="00A210E9">
        <w:rPr>
          <w:rFonts w:eastAsia="Calibri" w:hint="cs"/>
          <w:rtl/>
        </w:rPr>
        <w:t xml:space="preserve">437 </w:t>
      </w:r>
      <w:bookmarkEnd w:id="7"/>
      <w:r w:rsidRPr="00A210E9">
        <w:rPr>
          <w:rFonts w:eastAsia="Calibri" w:hint="cs"/>
          <w:rtl/>
        </w:rPr>
        <w:t xml:space="preserve">- </w:t>
      </w:r>
      <w:r w:rsidRPr="00A210E9">
        <w:rPr>
          <w:rFonts w:eastAsia="Calibri"/>
          <w:rtl/>
        </w:rPr>
        <w:t>"חניה בלעדית לרכב של נכה - משותק רגליים"</w:t>
      </w:r>
      <w:r>
        <w:rPr>
          <w:rFonts w:eastAsia="Calibri"/>
          <w:vertAlign w:val="superscript"/>
          <w:rtl/>
        </w:rPr>
        <w:footnoteReference w:id="9"/>
      </w:r>
      <w:r w:rsidRPr="00A210E9">
        <w:rPr>
          <w:rFonts w:eastAsia="Calibri" w:hint="cs"/>
          <w:rtl/>
        </w:rPr>
        <w:t xml:space="preserve">, קובע את </w:t>
      </w:r>
      <w:r w:rsidRPr="00A210E9">
        <w:rPr>
          <w:rFonts w:eastAsia="Calibri"/>
          <w:rtl/>
        </w:rPr>
        <w:t xml:space="preserve">הזכאות לקבלת </w:t>
      </w:r>
      <w:r w:rsidRPr="00A210E9">
        <w:rPr>
          <w:rFonts w:eastAsia="Calibri" w:hint="cs"/>
          <w:rtl/>
        </w:rPr>
        <w:t xml:space="preserve">ההטבות הנלוות אליו כמו פטור מתשלום עבור חניה במקום ציבורי והקצאת חניה לאדם עם מוגבלות בסמוך למקום מגוריו </w:t>
      </w:r>
      <w:r w:rsidRPr="00A210E9">
        <w:rPr>
          <w:rFonts w:eastAsia="Calibri"/>
          <w:rtl/>
        </w:rPr>
        <w:t>(להלן - הקצאת חניה אישית)</w:t>
      </w:r>
      <w:r w:rsidRPr="00A210E9">
        <w:rPr>
          <w:rFonts w:eastAsia="Calibri" w:hint="cs"/>
          <w:rtl/>
        </w:rPr>
        <w:t>.</w:t>
      </w:r>
      <w:r w:rsidRPr="00A210E9">
        <w:rPr>
          <w:rFonts w:eastAsia="Calibri"/>
          <w:rtl/>
        </w:rPr>
        <w:t xml:space="preserve"> על </w:t>
      </w:r>
      <w:r w:rsidRPr="00A210E9">
        <w:rPr>
          <w:rFonts w:eastAsia="Calibri"/>
          <w:rtl/>
        </w:rPr>
        <w:t>פי החוק</w:t>
      </w:r>
      <w:r w:rsidRPr="00A210E9">
        <w:rPr>
          <w:rFonts w:eastAsia="Calibri" w:hint="cs"/>
          <w:rtl/>
        </w:rPr>
        <w:t>,</w:t>
      </w:r>
      <w:r w:rsidRPr="00A210E9">
        <w:rPr>
          <w:rFonts w:eastAsia="Calibri"/>
          <w:rtl/>
        </w:rPr>
        <w:t xml:space="preserve"> ניתן לשייך לתג </w:t>
      </w:r>
      <w:r w:rsidRPr="00A210E9">
        <w:rPr>
          <w:rFonts w:eastAsia="Calibri" w:hint="cs"/>
          <w:rtl/>
        </w:rPr>
        <w:t>חניה</w:t>
      </w:r>
      <w:r w:rsidRPr="00A210E9">
        <w:rPr>
          <w:rFonts w:eastAsia="Calibri"/>
          <w:rtl/>
        </w:rPr>
        <w:t xml:space="preserve"> </w:t>
      </w:r>
      <w:r w:rsidRPr="00A210E9">
        <w:rPr>
          <w:rFonts w:eastAsia="Calibri" w:hint="cs"/>
          <w:rtl/>
        </w:rPr>
        <w:t xml:space="preserve">עד </w:t>
      </w:r>
      <w:r w:rsidRPr="00A210E9">
        <w:rPr>
          <w:rFonts w:eastAsia="Calibri"/>
          <w:rtl/>
        </w:rPr>
        <w:t>שני כלי רכב מזכים</w:t>
      </w:r>
      <w:r>
        <w:rPr>
          <w:rFonts w:eastAsia="Calibri"/>
          <w:vertAlign w:val="superscript"/>
          <w:rtl/>
        </w:rPr>
        <w:footnoteReference w:id="10"/>
      </w:r>
      <w:r w:rsidRPr="00A210E9">
        <w:rPr>
          <w:rFonts w:eastAsia="Calibri" w:hint="cs"/>
          <w:rtl/>
        </w:rPr>
        <w:t>. מכוח חוקים נוספים נלוות לתג הטבות נוספות כגון זכאות לאגרת רישוי מופחתת</w:t>
      </w:r>
      <w:r>
        <w:rPr>
          <w:rFonts w:eastAsia="Calibri"/>
          <w:vertAlign w:val="superscript"/>
          <w:rtl/>
        </w:rPr>
        <w:footnoteReference w:id="11"/>
      </w:r>
      <w:r w:rsidRPr="00A210E9">
        <w:rPr>
          <w:rFonts w:eastAsia="Calibri" w:hint="cs"/>
          <w:rtl/>
        </w:rPr>
        <w:t>.</w:t>
      </w:r>
    </w:p>
    <w:p w:rsidR="00136D6F" w:rsidRPr="00A210E9" w:rsidP="00A210E9">
      <w:pPr>
        <w:spacing w:line="269" w:lineRule="auto"/>
        <w:rPr>
          <w:rFonts w:eastAsia="Calibri"/>
        </w:rPr>
      </w:pPr>
    </w:p>
    <w:bookmarkEnd w:id="5"/>
    <w:p w:rsidR="00A210E9" w:rsidRPr="00A210E9" w:rsidP="00A210E9">
      <w:pPr>
        <w:spacing w:line="269" w:lineRule="auto"/>
        <w:rPr>
          <w:rFonts w:eastAsia="Calibri"/>
          <w:rtl/>
        </w:rPr>
      </w:pPr>
      <w:r w:rsidRPr="00A210E9">
        <w:rPr>
          <w:rFonts w:eastAsia="Calibri"/>
          <w:rtl/>
        </w:rPr>
        <w:t>תג</w:t>
      </w:r>
      <w:r w:rsidRPr="00A210E9">
        <w:rPr>
          <w:rFonts w:eastAsia="Calibri" w:hint="cs"/>
          <w:rtl/>
        </w:rPr>
        <w:t>י החניה</w:t>
      </w:r>
      <w:r w:rsidRPr="00A210E9">
        <w:rPr>
          <w:rFonts w:eastAsia="Calibri"/>
          <w:rtl/>
        </w:rPr>
        <w:t xml:space="preserve"> </w:t>
      </w:r>
      <w:r w:rsidRPr="00A210E9">
        <w:rPr>
          <w:rFonts w:eastAsia="Calibri" w:hint="cs"/>
          <w:rtl/>
        </w:rPr>
        <w:t>מאפשרים לאנשים עם מוגבלות להשתמש במקומות חניה שסומנו עבורם, כדי לאפשר להם נגישות פיזית למגוון פעילויות</w:t>
      </w:r>
      <w:r w:rsidRPr="00A210E9">
        <w:rPr>
          <w:rFonts w:eastAsia="Calibri"/>
          <w:rtl/>
        </w:rPr>
        <w:t xml:space="preserve">. </w:t>
      </w:r>
      <w:r w:rsidRPr="00A210E9">
        <w:rPr>
          <w:rFonts w:eastAsia="Calibri" w:hint="cs"/>
          <w:rtl/>
        </w:rPr>
        <w:t>ה</w:t>
      </w:r>
      <w:r w:rsidRPr="00A210E9">
        <w:rPr>
          <w:rFonts w:eastAsia="Calibri"/>
          <w:rtl/>
        </w:rPr>
        <w:t xml:space="preserve">תג מאפשר </w:t>
      </w:r>
      <w:r w:rsidRPr="00A210E9">
        <w:rPr>
          <w:rFonts w:eastAsia="Calibri" w:hint="cs"/>
          <w:rtl/>
        </w:rPr>
        <w:t xml:space="preserve">להם </w:t>
      </w:r>
      <w:r w:rsidRPr="00A210E9">
        <w:rPr>
          <w:rFonts w:eastAsia="Calibri"/>
          <w:rtl/>
        </w:rPr>
        <w:t xml:space="preserve">לחנות במקומות מיוחדים שמותאמים לצורכיהם, כמו חניות קרובות יותר לכניסות </w:t>
      </w:r>
      <w:r w:rsidRPr="00A210E9">
        <w:rPr>
          <w:rFonts w:eastAsia="Calibri" w:hint="cs"/>
          <w:rtl/>
        </w:rPr>
        <w:t>ש</w:t>
      </w:r>
      <w:r w:rsidRPr="00A210E9">
        <w:rPr>
          <w:rFonts w:eastAsia="Calibri"/>
          <w:rtl/>
        </w:rPr>
        <w:t>ל</w:t>
      </w:r>
      <w:r w:rsidRPr="00A210E9">
        <w:rPr>
          <w:rFonts w:eastAsia="Calibri" w:hint="cs"/>
          <w:rtl/>
        </w:rPr>
        <w:t xml:space="preserve"> </w:t>
      </w:r>
      <w:r w:rsidRPr="00A210E9">
        <w:rPr>
          <w:rFonts w:eastAsia="Calibri"/>
          <w:rtl/>
        </w:rPr>
        <w:t>מבנים</w:t>
      </w:r>
      <w:r w:rsidRPr="00A210E9">
        <w:rPr>
          <w:rFonts w:eastAsia="Calibri" w:hint="cs"/>
          <w:rtl/>
        </w:rPr>
        <w:t xml:space="preserve"> וחניות</w:t>
      </w:r>
      <w:r w:rsidRPr="00A210E9">
        <w:rPr>
          <w:rFonts w:eastAsia="Calibri"/>
          <w:rtl/>
        </w:rPr>
        <w:t xml:space="preserve"> רחבות יותר כדי לאפשר יציאה וכניסה נוח</w:t>
      </w:r>
      <w:r w:rsidRPr="00A210E9">
        <w:rPr>
          <w:rFonts w:eastAsia="Calibri" w:hint="cs"/>
          <w:rtl/>
        </w:rPr>
        <w:t>ות</w:t>
      </w:r>
      <w:r w:rsidRPr="00A210E9">
        <w:rPr>
          <w:rFonts w:eastAsia="Calibri"/>
          <w:rtl/>
        </w:rPr>
        <w:t xml:space="preserve"> מהרכב</w:t>
      </w:r>
      <w:r w:rsidRPr="00A210E9">
        <w:rPr>
          <w:rFonts w:eastAsia="Calibri" w:hint="cs"/>
          <w:rtl/>
        </w:rPr>
        <w:t xml:space="preserve"> (בעיקר במקרים שבהם האדם עם המוגבלות נזקק למתקן מיוחד לשם כך), וכן אפשרות מעשית לחניה במקומות אסורים לחניה ובלבד שאינם מפריעים ומסכנים</w:t>
      </w:r>
      <w:r w:rsidRPr="00A210E9">
        <w:rPr>
          <w:rFonts w:eastAsia="Calibri"/>
          <w:rtl/>
        </w:rPr>
        <w:t xml:space="preserve"> ובמקרים מסוימים </w:t>
      </w:r>
      <w:r w:rsidRPr="00A210E9">
        <w:rPr>
          <w:rFonts w:eastAsia="Calibri" w:hint="cs"/>
          <w:rtl/>
        </w:rPr>
        <w:t xml:space="preserve">הוא </w:t>
      </w:r>
      <w:r w:rsidRPr="00A210E9">
        <w:rPr>
          <w:rFonts w:eastAsia="Calibri"/>
          <w:rtl/>
        </w:rPr>
        <w:t xml:space="preserve">גם </w:t>
      </w:r>
      <w:r w:rsidRPr="00A210E9">
        <w:rPr>
          <w:rFonts w:eastAsia="Calibri" w:hint="cs"/>
          <w:rtl/>
        </w:rPr>
        <w:t xml:space="preserve">מאפשר </w:t>
      </w:r>
      <w:r w:rsidRPr="00A210E9">
        <w:rPr>
          <w:rFonts w:eastAsia="Calibri"/>
          <w:rtl/>
        </w:rPr>
        <w:t>הקלות בתשלומי חניה.</w:t>
      </w:r>
      <w:r w:rsidRPr="00A210E9">
        <w:rPr>
          <w:rFonts w:eastAsia="Calibri" w:hint="cs"/>
          <w:rtl/>
        </w:rPr>
        <w:t xml:space="preserve"> </w:t>
      </w:r>
      <w:r w:rsidRPr="00A210E9">
        <w:rPr>
          <w:rFonts w:eastAsia="Calibri"/>
          <w:rtl/>
        </w:rPr>
        <w:t xml:space="preserve">בהיבט התפקודי, לתג החניה השלכות מהותיות על איכות החיים של מקבליו, ולפיכך הוא </w:t>
      </w:r>
      <w:r w:rsidRPr="00A210E9">
        <w:rPr>
          <w:rFonts w:eastAsia="Calibri" w:hint="cs"/>
          <w:rtl/>
        </w:rPr>
        <w:t>משמש</w:t>
      </w:r>
      <w:r w:rsidRPr="00A210E9">
        <w:rPr>
          <w:rFonts w:eastAsia="Calibri"/>
          <w:rtl/>
        </w:rPr>
        <w:t xml:space="preserve"> לא רק אמצעי עזר תחבורתי אלא כלי </w:t>
      </w:r>
      <w:r w:rsidRPr="00A210E9">
        <w:rPr>
          <w:rFonts w:eastAsia="Calibri" w:hint="cs"/>
          <w:rtl/>
        </w:rPr>
        <w:t xml:space="preserve">ליצירת שוויון והכלה מהיבטים </w:t>
      </w:r>
      <w:r w:rsidRPr="00A210E9">
        <w:rPr>
          <w:rFonts w:eastAsia="Calibri"/>
          <w:rtl/>
        </w:rPr>
        <w:t>חברתי</w:t>
      </w:r>
      <w:r w:rsidRPr="00A210E9">
        <w:rPr>
          <w:rFonts w:eastAsia="Calibri" w:hint="cs"/>
          <w:rtl/>
        </w:rPr>
        <w:t>ים</w:t>
      </w:r>
      <w:r w:rsidRPr="00A210E9">
        <w:rPr>
          <w:rFonts w:eastAsia="Calibri"/>
          <w:rtl/>
        </w:rPr>
        <w:t xml:space="preserve"> ואזרחי</w:t>
      </w:r>
      <w:r w:rsidRPr="00A210E9">
        <w:rPr>
          <w:rFonts w:eastAsia="Calibri" w:hint="cs"/>
          <w:rtl/>
        </w:rPr>
        <w:t>ים</w:t>
      </w:r>
      <w:r w:rsidRPr="00A210E9">
        <w:rPr>
          <w:rFonts w:eastAsia="Calibri"/>
          <w:rtl/>
        </w:rPr>
        <w:t>.</w:t>
      </w:r>
      <w:r w:rsidRPr="00A210E9">
        <w:rPr>
          <w:rFonts w:eastAsia="Calibri" w:hint="cs"/>
          <w:rtl/>
        </w:rPr>
        <w:t xml:space="preserve"> </w:t>
      </w:r>
      <w:r w:rsidRPr="00A210E9">
        <w:rPr>
          <w:rFonts w:eastAsia="Calibri"/>
          <w:rtl/>
        </w:rPr>
        <w:t xml:space="preserve">כל פגם במנגנון ההנפקה, האכיפה או מניעת ניצול לרעה עלול לפגוע באמון הציבור ולהכביד על </w:t>
      </w:r>
      <w:r w:rsidRPr="00A210E9">
        <w:rPr>
          <w:rFonts w:eastAsia="Calibri" w:hint="cs"/>
          <w:rtl/>
        </w:rPr>
        <w:t>האוכלוסייה המוגבלת בניידות לממש את</w:t>
      </w:r>
      <w:r w:rsidRPr="00A210E9">
        <w:rPr>
          <w:rFonts w:eastAsia="Calibri"/>
          <w:rtl/>
        </w:rPr>
        <w:t xml:space="preserve"> זכויותיה</w:t>
      </w:r>
      <w:r w:rsidRPr="00A210E9">
        <w:rPr>
          <w:rFonts w:eastAsia="Calibri" w:hint="cs"/>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בתהליך הנפקת תגי החניה ומיצוי הזכויות הנובעות מהם מעורבים כמה גופים ממשלתיים וגופי שלטון מקומי, ואלה הם: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Times New Roman" w:hint="eastAsia"/>
          <w:bCs/>
          <w:spacing w:val="40"/>
          <w:rtl/>
        </w:rPr>
        <w:t>אגף</w:t>
      </w:r>
      <w:r w:rsidRPr="00A210E9">
        <w:rPr>
          <w:rFonts w:eastAsia="Times New Roman"/>
          <w:bCs/>
          <w:spacing w:val="40"/>
          <w:rtl/>
        </w:rPr>
        <w:t xml:space="preserve"> </w:t>
      </w:r>
      <w:r w:rsidRPr="00A210E9">
        <w:rPr>
          <w:rFonts w:eastAsia="Times New Roman" w:hint="eastAsia"/>
          <w:bCs/>
          <w:spacing w:val="40"/>
          <w:rtl/>
        </w:rPr>
        <w:t>הרישוי</w:t>
      </w:r>
      <w:r w:rsidRPr="00A210E9">
        <w:rPr>
          <w:rFonts w:eastAsia="Times New Roman"/>
          <w:bCs/>
          <w:spacing w:val="40"/>
          <w:rtl/>
        </w:rPr>
        <w:t xml:space="preserve"> </w:t>
      </w:r>
      <w:r w:rsidRPr="00A210E9">
        <w:rPr>
          <w:rFonts w:eastAsia="Times New Roman" w:hint="eastAsia"/>
          <w:bCs/>
          <w:spacing w:val="40"/>
          <w:rtl/>
        </w:rPr>
        <w:t>ש</w:t>
      </w:r>
      <w:r w:rsidRPr="00A210E9">
        <w:rPr>
          <w:rFonts w:eastAsia="Times New Roman" w:hint="cs"/>
          <w:bCs/>
          <w:spacing w:val="40"/>
          <w:rtl/>
        </w:rPr>
        <w:t xml:space="preserve">במינהל תנועה </w:t>
      </w:r>
      <w:r w:rsidRPr="00A210E9">
        <w:rPr>
          <w:rFonts w:eastAsia="Times New Roman" w:hint="eastAsia"/>
          <w:bCs/>
          <w:spacing w:val="40"/>
          <w:rtl/>
        </w:rPr>
        <w:t>ב</w:t>
      </w:r>
      <w:r w:rsidRPr="00A210E9">
        <w:rPr>
          <w:rFonts w:eastAsia="Times New Roman"/>
          <w:bCs/>
          <w:spacing w:val="40"/>
          <w:rtl/>
        </w:rPr>
        <w:t xml:space="preserve">משרד התחבורה </w:t>
      </w:r>
      <w:r w:rsidRPr="00A210E9">
        <w:rPr>
          <w:rFonts w:eastAsia="Times New Roman" w:hint="cs"/>
          <w:bCs/>
          <w:spacing w:val="40"/>
          <w:rtl/>
        </w:rPr>
        <w:t>והבטיחות בדרכים</w:t>
      </w:r>
      <w:r w:rsidRPr="00A210E9">
        <w:rPr>
          <w:rFonts w:eastAsia="Calibri" w:hint="cs"/>
          <w:b/>
          <w:bCs/>
          <w:rtl/>
        </w:rPr>
        <w:t xml:space="preserve"> </w:t>
      </w:r>
      <w:r w:rsidRPr="00A210E9">
        <w:rPr>
          <w:rFonts w:eastAsia="Times New Roman"/>
          <w:bCs/>
          <w:spacing w:val="40"/>
          <w:rtl/>
        </w:rPr>
        <w:t xml:space="preserve">(להלן - </w:t>
      </w:r>
      <w:r w:rsidRPr="00A210E9">
        <w:rPr>
          <w:rFonts w:eastAsia="Times New Roman" w:hint="eastAsia"/>
          <w:bCs/>
          <w:spacing w:val="40"/>
          <w:rtl/>
        </w:rPr>
        <w:t>אגף</w:t>
      </w:r>
      <w:r w:rsidRPr="00A210E9">
        <w:rPr>
          <w:rFonts w:eastAsia="Times New Roman"/>
          <w:bCs/>
          <w:spacing w:val="40"/>
          <w:rtl/>
        </w:rPr>
        <w:t xml:space="preserve"> הרישוי או רשות הרישוי או משרד הרישוי)</w:t>
      </w:r>
      <w:r w:rsidRPr="00A210E9">
        <w:rPr>
          <w:rFonts w:eastAsia="Times New Roman" w:hint="cs"/>
          <w:bCs/>
          <w:spacing w:val="40"/>
          <w:rtl/>
        </w:rPr>
        <w:t>:</w:t>
      </w:r>
      <w:r w:rsidRPr="00A210E9">
        <w:rPr>
          <w:rFonts w:eastAsia="Calibri" w:hint="cs"/>
          <w:rtl/>
        </w:rPr>
        <w:t xml:space="preserve"> אגף הרישוי </w:t>
      </w:r>
      <w:r w:rsidRPr="00A210E9">
        <w:rPr>
          <w:rFonts w:eastAsia="Calibri"/>
          <w:rtl/>
        </w:rPr>
        <w:t>הוא הגורם המוסמך להנפיק את התגים, ל</w:t>
      </w:r>
      <w:r w:rsidRPr="00A210E9">
        <w:rPr>
          <w:rFonts w:eastAsia="Calibri" w:hint="cs"/>
          <w:rtl/>
        </w:rPr>
        <w:t xml:space="preserve">פי </w:t>
      </w:r>
      <w:r w:rsidRPr="00A210E9">
        <w:rPr>
          <w:rFonts w:eastAsia="Calibri"/>
          <w:rtl/>
        </w:rPr>
        <w:t>קריטריונים שנקבע</w:t>
      </w:r>
      <w:r w:rsidRPr="00A210E9">
        <w:rPr>
          <w:rFonts w:eastAsia="Calibri" w:hint="cs"/>
          <w:rtl/>
        </w:rPr>
        <w:t>ו</w:t>
      </w:r>
      <w:r w:rsidRPr="00A210E9">
        <w:rPr>
          <w:rFonts w:eastAsia="Calibri"/>
          <w:rtl/>
        </w:rPr>
        <w:t xml:space="preserve"> </w:t>
      </w:r>
      <w:r w:rsidRPr="00A210E9">
        <w:rPr>
          <w:rFonts w:eastAsia="Calibri" w:hint="cs"/>
          <w:rtl/>
        </w:rPr>
        <w:t xml:space="preserve">בחוק, עבור אוכלוסיות רלוונטיות על פי רשימות שמועברות אליו מגופים שבהם פועלים רופאים שהוסמכו לאשר נכות. מבקשי תג חניה יכולים לפנות ישירות לאגף הרישוי לשם קביעת </w:t>
      </w:r>
      <w:r w:rsidRPr="00A210E9">
        <w:rPr>
          <w:rFonts w:eastAsia="Calibri"/>
          <w:rtl/>
        </w:rPr>
        <w:t>זכאות רפואית למתן תג חניה</w:t>
      </w:r>
      <w:r w:rsidRPr="00A210E9">
        <w:rPr>
          <w:rFonts w:eastAsia="Calibri" w:hint="cs"/>
          <w:rtl/>
        </w:rPr>
        <w:t>, ולצורך זה האגף</w:t>
      </w:r>
      <w:r w:rsidRPr="00A210E9">
        <w:rPr>
          <w:rFonts w:eastAsia="Calibri"/>
          <w:rtl/>
        </w:rPr>
        <w:t xml:space="preserve"> </w:t>
      </w:r>
      <w:r w:rsidRPr="00A210E9">
        <w:rPr>
          <w:rFonts w:eastAsia="Calibri" w:hint="cs"/>
          <w:rtl/>
        </w:rPr>
        <w:t>מקבל</w:t>
      </w:r>
      <w:r w:rsidRPr="00A210E9">
        <w:rPr>
          <w:rFonts w:eastAsia="Calibri"/>
          <w:rtl/>
        </w:rPr>
        <w:t xml:space="preserve"> שירותי ייעוץ רפואי</w:t>
      </w:r>
      <w:r w:rsidRPr="00A210E9">
        <w:rPr>
          <w:rFonts w:eastAsia="Calibri" w:hint="cs"/>
          <w:rtl/>
        </w:rPr>
        <w:t xml:space="preserve"> במיקור חוץ. היחידה האחראית לנושא זה באגף הרישוי היא היחידה למוגבלי ניידות (להלן - היחידה למוגבלי ניידות או מחלקת עדכון ובקרה)</w:t>
      </w:r>
      <w:r>
        <w:rPr>
          <w:rFonts w:eastAsia="Calibri"/>
          <w:vertAlign w:val="superscript"/>
          <w:rtl/>
        </w:rPr>
        <w:footnoteReference w:id="12"/>
      </w:r>
      <w:r w:rsidRPr="00A210E9">
        <w:rPr>
          <w:rFonts w:eastAsia="Calibri" w:hint="cs"/>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Times New Roman"/>
          <w:bCs/>
          <w:spacing w:val="40"/>
          <w:rtl/>
        </w:rPr>
        <w:t>המוסד לביטוח לאומי</w:t>
      </w:r>
      <w:r w:rsidRPr="00A210E9">
        <w:rPr>
          <w:rFonts w:eastAsia="Calibri"/>
          <w:b/>
          <w:bCs/>
          <w:rtl/>
        </w:rPr>
        <w:t xml:space="preserve"> </w:t>
      </w:r>
      <w:r w:rsidRPr="00A210E9">
        <w:rPr>
          <w:rFonts w:eastAsia="Times New Roman"/>
          <w:bCs/>
          <w:spacing w:val="40"/>
          <w:rtl/>
        </w:rPr>
        <w:t xml:space="preserve">(להלן - </w:t>
      </w:r>
      <w:r w:rsidRPr="00A210E9">
        <w:rPr>
          <w:rFonts w:eastAsia="Times New Roman" w:hint="eastAsia"/>
          <w:bCs/>
          <w:spacing w:val="40"/>
          <w:rtl/>
        </w:rPr>
        <w:t>הביטוח הלאומי</w:t>
      </w:r>
      <w:r w:rsidRPr="00A210E9">
        <w:rPr>
          <w:rFonts w:eastAsia="Times New Roman"/>
          <w:bCs/>
          <w:spacing w:val="40"/>
          <w:rtl/>
        </w:rPr>
        <w:t xml:space="preserve"> או </w:t>
      </w:r>
      <w:r w:rsidRPr="00A210E9">
        <w:rPr>
          <w:rFonts w:eastAsia="Times New Roman" w:hint="eastAsia"/>
          <w:bCs/>
          <w:spacing w:val="40"/>
          <w:rtl/>
        </w:rPr>
        <w:t>בט</w:t>
      </w:r>
      <w:r w:rsidRPr="00A210E9">
        <w:rPr>
          <w:rFonts w:eastAsia="Times New Roman"/>
          <w:bCs/>
          <w:spacing w:val="40"/>
          <w:rtl/>
        </w:rPr>
        <w:t>"ל)</w:t>
      </w:r>
      <w:r w:rsidRPr="00A210E9">
        <w:rPr>
          <w:rFonts w:eastAsia="Times New Roman" w:hint="cs"/>
          <w:bCs/>
          <w:spacing w:val="40"/>
          <w:rtl/>
        </w:rPr>
        <w:t>:</w:t>
      </w:r>
      <w:r w:rsidRPr="00A210E9">
        <w:rPr>
          <w:rFonts w:eastAsia="Calibri" w:hint="cs"/>
          <w:rtl/>
        </w:rPr>
        <w:t xml:space="preserve"> בט"ל </w:t>
      </w:r>
      <w:r w:rsidRPr="00A210E9">
        <w:rPr>
          <w:rFonts w:eastAsia="Calibri"/>
          <w:rtl/>
        </w:rPr>
        <w:t xml:space="preserve">קובע </w:t>
      </w:r>
      <w:r w:rsidRPr="00A210E9">
        <w:rPr>
          <w:rFonts w:eastAsia="Calibri" w:hint="cs"/>
          <w:rtl/>
        </w:rPr>
        <w:t xml:space="preserve">את </w:t>
      </w:r>
      <w:r w:rsidRPr="00A210E9">
        <w:rPr>
          <w:rFonts w:eastAsia="Calibri"/>
          <w:rtl/>
        </w:rPr>
        <w:t xml:space="preserve">שיעורי </w:t>
      </w:r>
      <w:r w:rsidRPr="00A210E9">
        <w:rPr>
          <w:rFonts w:eastAsia="Calibri" w:hint="cs"/>
          <w:rtl/>
        </w:rPr>
        <w:t>ה</w:t>
      </w:r>
      <w:r w:rsidRPr="00A210E9">
        <w:rPr>
          <w:rFonts w:eastAsia="Calibri"/>
          <w:rtl/>
        </w:rPr>
        <w:t xml:space="preserve">נכות ואת הזכאות </w:t>
      </w:r>
      <w:r w:rsidRPr="00A210E9">
        <w:rPr>
          <w:rFonts w:eastAsia="Calibri" w:hint="cs"/>
          <w:rtl/>
        </w:rPr>
        <w:t>לקצבאות או גמלאות שונות, ובהן גם כאלה הנוגעות לקושי בניידות.</w:t>
      </w:r>
      <w:r w:rsidRPr="00A210E9">
        <w:rPr>
          <w:rFonts w:eastAsia="Calibri"/>
          <w:rtl/>
        </w:rPr>
        <w:t xml:space="preserve"> </w:t>
      </w:r>
      <w:r w:rsidRPr="00A210E9">
        <w:rPr>
          <w:rFonts w:eastAsia="Calibri" w:hint="cs"/>
          <w:rtl/>
        </w:rPr>
        <w:t xml:space="preserve">בהמשך למתן הזכאות לקצבאות רלוונטיות מעביר בט"ל את האישורים עבור זכאים עם מאפיינים מתאימים למשרד התחבורה והבטיחות בדרכים (להלן - משרד התחבורה) לצורך הנפקת תג חניה. </w:t>
      </w:r>
    </w:p>
    <w:p w:rsidR="00A210E9" w:rsidRPr="00A210E9" w:rsidP="00A210E9">
      <w:pPr>
        <w:spacing w:line="269" w:lineRule="auto"/>
        <w:rPr>
          <w:rFonts w:eastAsia="Calibri"/>
          <w:b/>
          <w:bCs/>
          <w:rtl/>
        </w:rPr>
      </w:pP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Times New Roman"/>
          <w:bCs/>
          <w:spacing w:val="40"/>
          <w:rtl/>
        </w:rPr>
        <w:t>משרד הבריאות</w:t>
      </w:r>
      <w:r w:rsidRPr="00A210E9">
        <w:rPr>
          <w:rFonts w:eastAsia="Times New Roman" w:hint="cs"/>
          <w:bCs/>
          <w:spacing w:val="40"/>
          <w:rtl/>
        </w:rPr>
        <w:t>:</w:t>
      </w:r>
      <w:r w:rsidRPr="00A210E9">
        <w:rPr>
          <w:rFonts w:eastAsia="Calibri"/>
          <w:rtl/>
        </w:rPr>
        <w:t xml:space="preserve"> </w:t>
      </w:r>
      <w:r w:rsidRPr="00A210E9">
        <w:rPr>
          <w:rFonts w:eastAsia="Calibri" w:hint="cs"/>
          <w:rtl/>
        </w:rPr>
        <w:t xml:space="preserve">כיום, המשרד מפעיל עבור הביטוח הלאומי </w:t>
      </w:r>
      <w:r w:rsidRPr="00A210E9">
        <w:rPr>
          <w:rFonts w:eastAsia="Calibri"/>
          <w:rtl/>
        </w:rPr>
        <w:t xml:space="preserve">ועדות רפואיות </w:t>
      </w:r>
      <w:r w:rsidRPr="00A210E9">
        <w:rPr>
          <w:rFonts w:eastAsia="Calibri" w:hint="cs"/>
          <w:rtl/>
        </w:rPr>
        <w:t>לקביעת זכאות לגמלת ניידות</w:t>
      </w:r>
      <w:r w:rsidRPr="00A210E9">
        <w:rPr>
          <w:rFonts w:eastAsia="Calibri"/>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Times New Roman" w:hint="cs"/>
          <w:bCs/>
          <w:spacing w:val="40"/>
          <w:rtl/>
        </w:rPr>
        <w:t>אגף השיקום ב</w:t>
      </w:r>
      <w:r w:rsidRPr="00A210E9">
        <w:rPr>
          <w:rFonts w:eastAsia="Times New Roman"/>
          <w:bCs/>
          <w:spacing w:val="40"/>
          <w:rtl/>
        </w:rPr>
        <w:t>משרד הביטחון</w:t>
      </w:r>
      <w:r w:rsidRPr="00A210E9">
        <w:rPr>
          <w:rFonts w:eastAsia="Times New Roman" w:hint="cs"/>
          <w:bCs/>
          <w:spacing w:val="40"/>
          <w:rtl/>
        </w:rPr>
        <w:t>:</w:t>
      </w:r>
      <w:r w:rsidRPr="00A210E9">
        <w:rPr>
          <w:rFonts w:eastAsia="Calibri" w:hint="cs"/>
          <w:rtl/>
        </w:rPr>
        <w:t xml:space="preserve"> האגף קובע את שיעורי הנכות עבור נכי צה"ל</w:t>
      </w:r>
      <w:r w:rsidRPr="00A210E9">
        <w:rPr>
          <w:rFonts w:eastAsia="Calibri"/>
          <w:rtl/>
        </w:rPr>
        <w:t xml:space="preserve"> </w:t>
      </w:r>
      <w:r w:rsidRPr="00A210E9">
        <w:rPr>
          <w:rFonts w:eastAsia="Calibri" w:hint="cs"/>
          <w:rtl/>
        </w:rPr>
        <w:t>ו</w:t>
      </w:r>
      <w:r w:rsidRPr="00A210E9">
        <w:rPr>
          <w:rFonts w:eastAsia="Calibri"/>
          <w:rtl/>
        </w:rPr>
        <w:t xml:space="preserve">מעביר באופן יזום </w:t>
      </w:r>
      <w:r w:rsidRPr="00A210E9">
        <w:rPr>
          <w:rFonts w:eastAsia="Calibri" w:hint="cs"/>
          <w:rtl/>
        </w:rPr>
        <w:t>מידע זה</w:t>
      </w:r>
      <w:r w:rsidRPr="00A210E9">
        <w:rPr>
          <w:rFonts w:eastAsia="Calibri"/>
          <w:rtl/>
        </w:rPr>
        <w:t xml:space="preserve"> למשרד התחבורה</w:t>
      </w:r>
      <w:r w:rsidRPr="00A210E9">
        <w:rPr>
          <w:rFonts w:eastAsia="Calibri" w:hint="cs"/>
          <w:rtl/>
        </w:rPr>
        <w:t xml:space="preserve">, והמשרד קובע את </w:t>
      </w:r>
      <w:r w:rsidRPr="00A210E9">
        <w:rPr>
          <w:rFonts w:eastAsia="Calibri"/>
          <w:rtl/>
        </w:rPr>
        <w:t xml:space="preserve">הזכאות לתג </w:t>
      </w:r>
      <w:r w:rsidRPr="00A210E9">
        <w:rPr>
          <w:rFonts w:eastAsia="Calibri" w:hint="cs"/>
          <w:rtl/>
        </w:rPr>
        <w:t>חניה</w:t>
      </w:r>
      <w:r w:rsidRPr="00A210E9">
        <w:rPr>
          <w:rFonts w:eastAsia="Calibri"/>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Times New Roman"/>
          <w:bCs/>
          <w:spacing w:val="40"/>
          <w:rtl/>
        </w:rPr>
        <w:t>משרד הרווחה</w:t>
      </w:r>
      <w:r w:rsidRPr="00A210E9">
        <w:rPr>
          <w:rFonts w:eastAsia="Times New Roman" w:hint="cs"/>
          <w:bCs/>
          <w:spacing w:val="40"/>
          <w:rtl/>
        </w:rPr>
        <w:t xml:space="preserve"> והביטחון החברתי (להלן - משרד הרווחה):</w:t>
      </w:r>
      <w:r w:rsidRPr="00A210E9">
        <w:rPr>
          <w:rFonts w:eastAsia="Calibri"/>
          <w:rtl/>
        </w:rPr>
        <w:t xml:space="preserve"> </w:t>
      </w:r>
      <w:r w:rsidRPr="00A210E9">
        <w:rPr>
          <w:rFonts w:eastAsia="Calibri" w:hint="cs"/>
          <w:rtl/>
        </w:rPr>
        <w:t>המשרד קובע את שיעורי הזכאות עבור אנשים לקויי ראייה או עיוורים לצורך תגמולים, שיקום וסיוע מהמדינה, והוא מעביר את האישורים למשרד התחבורה לצורך הנפקת תג חניה.</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bookmarkStart w:id="8" w:name="_Hlk233086995"/>
      <w:r w:rsidRPr="00A210E9">
        <w:rPr>
          <w:rFonts w:eastAsia="Times New Roman" w:hint="cs"/>
          <w:bCs/>
          <w:spacing w:val="40"/>
          <w:rtl/>
        </w:rPr>
        <w:t>השלטון המקומי:</w:t>
      </w:r>
      <w:r w:rsidRPr="00A210E9">
        <w:rPr>
          <w:rFonts w:eastAsia="Calibri" w:hint="cs"/>
          <w:rtl/>
        </w:rPr>
        <w:t xml:space="preserve"> הרשויות המקומיות אחראיות להקצאת חניות נכים ול</w:t>
      </w:r>
      <w:r w:rsidRPr="00A210E9">
        <w:rPr>
          <w:rFonts w:eastAsia="Calibri"/>
          <w:rtl/>
        </w:rPr>
        <w:t xml:space="preserve">אכיפת ההסדרים </w:t>
      </w:r>
      <w:r w:rsidRPr="00A210E9">
        <w:rPr>
          <w:rFonts w:eastAsia="Calibri" w:hint="cs"/>
          <w:rtl/>
        </w:rPr>
        <w:t>בתחום שיפוטן.</w:t>
      </w:r>
      <w:r w:rsidRPr="00A210E9">
        <w:rPr>
          <w:rFonts w:eastAsia="Calibri"/>
          <w:rtl/>
        </w:rPr>
        <w:t xml:space="preserve"> </w:t>
      </w:r>
      <w:r w:rsidRPr="00A210E9">
        <w:rPr>
          <w:rFonts w:ascii="Rubik" w:eastAsia="Calibri" w:hAnsi="Rubik"/>
          <w:shd w:val="clear" w:color="auto" w:fill="FFFFFF"/>
          <w:rtl/>
        </w:rPr>
        <w:t xml:space="preserve">משרד הפנים </w:t>
      </w:r>
      <w:r w:rsidRPr="00A210E9">
        <w:rPr>
          <w:rFonts w:ascii="Rubik" w:eastAsia="Calibri" w:hAnsi="Rubik" w:hint="cs"/>
          <w:shd w:val="clear" w:color="auto" w:fill="FFFFFF"/>
          <w:rtl/>
        </w:rPr>
        <w:t xml:space="preserve">הוא המאסדר של גופי השלטון המקומי </w:t>
      </w:r>
      <w:r w:rsidRPr="00A210E9">
        <w:rPr>
          <w:rFonts w:ascii="Rubik" w:eastAsia="Calibri" w:hAnsi="Rubik" w:hint="eastAsia"/>
          <w:shd w:val="clear" w:color="auto" w:fill="FFFFFF"/>
          <w:rtl/>
        </w:rPr>
        <w:t>בעניינים</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ובאופנים</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שנקבעו</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בדיני</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הרשויות</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המקומיות</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או</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בדינים</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אחרים</w:t>
      </w:r>
      <w:r w:rsidRPr="00A210E9">
        <w:rPr>
          <w:rFonts w:ascii="Rubik" w:eastAsia="Calibri" w:hAnsi="Rubik"/>
          <w:shd w:val="clear" w:color="auto" w:fill="FFFFFF"/>
          <w:rtl/>
        </w:rPr>
        <w:t>,</w:t>
      </w:r>
      <w:r w:rsidRPr="00A210E9">
        <w:rPr>
          <w:rFonts w:ascii="Rubik" w:eastAsia="Calibri" w:hAnsi="Rubik" w:hint="cs"/>
          <w:shd w:val="clear" w:color="auto" w:fill="FFFFFF"/>
          <w:rtl/>
        </w:rPr>
        <w:t xml:space="preserve"> ואחראי מטעם הממשלה ל</w:t>
      </w:r>
      <w:r w:rsidRPr="00A210E9">
        <w:rPr>
          <w:rFonts w:ascii="Rubik" w:eastAsia="Calibri" w:hAnsi="Rubik"/>
          <w:shd w:val="clear" w:color="auto" w:fill="FFFFFF"/>
          <w:rtl/>
        </w:rPr>
        <w:t>קידום ו</w:t>
      </w:r>
      <w:r w:rsidRPr="00A210E9">
        <w:rPr>
          <w:rFonts w:ascii="Rubik" w:eastAsia="Calibri" w:hAnsi="Rubik" w:hint="cs"/>
          <w:shd w:val="clear" w:color="auto" w:fill="FFFFFF"/>
          <w:rtl/>
        </w:rPr>
        <w:t>ל</w:t>
      </w:r>
      <w:r w:rsidRPr="00A210E9">
        <w:rPr>
          <w:rFonts w:ascii="Rubik" w:eastAsia="Calibri" w:hAnsi="Rubik"/>
          <w:shd w:val="clear" w:color="auto" w:fill="FFFFFF"/>
          <w:rtl/>
        </w:rPr>
        <w:t xml:space="preserve">יישום </w:t>
      </w:r>
      <w:r w:rsidRPr="00A210E9">
        <w:rPr>
          <w:rFonts w:ascii="Rubik" w:eastAsia="Calibri" w:hAnsi="Rubik" w:hint="cs"/>
          <w:shd w:val="clear" w:color="auto" w:fill="FFFFFF"/>
          <w:rtl/>
        </w:rPr>
        <w:t xml:space="preserve">של </w:t>
      </w:r>
      <w:r w:rsidRPr="00A210E9">
        <w:rPr>
          <w:rFonts w:ascii="Rubik" w:eastAsia="Calibri" w:hAnsi="Rubik"/>
          <w:shd w:val="clear" w:color="auto" w:fill="FFFFFF"/>
          <w:rtl/>
        </w:rPr>
        <w:t>המדיניות</w:t>
      </w:r>
      <w:r w:rsidRPr="00A210E9">
        <w:rPr>
          <w:rFonts w:ascii="Rubik" w:eastAsia="Calibri" w:hAnsi="Rubik" w:hint="cs"/>
          <w:shd w:val="clear" w:color="auto" w:fill="FFFFFF"/>
          <w:rtl/>
        </w:rPr>
        <w:t xml:space="preserve"> שלה</w:t>
      </w:r>
      <w:r w:rsidRPr="00A210E9">
        <w:rPr>
          <w:rFonts w:ascii="Rubik" w:eastAsia="Calibri" w:hAnsi="Rubik"/>
          <w:shd w:val="clear" w:color="auto" w:fill="FFFFFF"/>
          <w:rtl/>
        </w:rPr>
        <w:t xml:space="preserve"> בכל הקשור לשלטון המקומי והרשויות המקומיות בישראל</w:t>
      </w:r>
      <w:r w:rsidRPr="00A210E9">
        <w:rPr>
          <w:rFonts w:ascii="Rubik" w:eastAsia="Calibri" w:hAnsi="Rubik" w:hint="cs"/>
          <w:shd w:val="clear" w:color="auto" w:fill="FFFFFF"/>
          <w:rtl/>
        </w:rPr>
        <w:t xml:space="preserve"> ולפיקוח ובקרה עליהן בתחומים שנקבעו לפעילותו ובהתאם לסמכויות שהוקנו לו בדין</w:t>
      </w:r>
      <w:r>
        <w:rPr>
          <w:rFonts w:ascii="Rubik" w:eastAsia="Calibri" w:hAnsi="Rubik"/>
          <w:shd w:val="clear" w:color="auto" w:fill="FFFFFF"/>
          <w:vertAlign w:val="superscript"/>
          <w:rtl/>
        </w:rPr>
        <w:footnoteReference w:id="13"/>
      </w:r>
      <w:r w:rsidRPr="00A210E9">
        <w:rPr>
          <w:rFonts w:eastAsia="Calibri" w:hint="cs"/>
          <w:rtl/>
        </w:rPr>
        <w:t xml:space="preserve">. </w:t>
      </w:r>
      <w:r w:rsidRPr="00A210E9">
        <w:rPr>
          <w:rFonts w:eastAsia="Calibri" w:hint="eastAsia"/>
          <w:rtl/>
        </w:rPr>
        <w:t>כמו</w:t>
      </w:r>
      <w:r w:rsidRPr="00A210E9">
        <w:rPr>
          <w:rFonts w:eastAsia="Calibri"/>
          <w:rtl/>
        </w:rPr>
        <w:t xml:space="preserve"> כן </w:t>
      </w:r>
      <w:r w:rsidRPr="00A210E9">
        <w:rPr>
          <w:rFonts w:eastAsia="Calibri" w:hint="eastAsia"/>
          <w:rtl/>
        </w:rPr>
        <w:t>הוא</w:t>
      </w:r>
      <w:r w:rsidRPr="00A210E9">
        <w:rPr>
          <w:rFonts w:eastAsia="Calibri"/>
          <w:rtl/>
        </w:rPr>
        <w:t xml:space="preserve"> </w:t>
      </w:r>
      <w:r w:rsidRPr="00A210E9">
        <w:rPr>
          <w:rFonts w:eastAsia="Calibri" w:hint="eastAsia"/>
          <w:rtl/>
        </w:rPr>
        <w:t>הרגולטור</w:t>
      </w:r>
      <w:r w:rsidRPr="00A210E9">
        <w:rPr>
          <w:rFonts w:eastAsia="Calibri"/>
          <w:rtl/>
        </w:rPr>
        <w:t xml:space="preserve"> המרכזי האחראי </w:t>
      </w:r>
      <w:r w:rsidRPr="00A210E9">
        <w:rPr>
          <w:rFonts w:eastAsia="Calibri" w:hint="cs"/>
          <w:rtl/>
        </w:rPr>
        <w:t>ל</w:t>
      </w:r>
      <w:r w:rsidRPr="00A210E9">
        <w:rPr>
          <w:rFonts w:eastAsia="Calibri"/>
          <w:rtl/>
        </w:rPr>
        <w:t xml:space="preserve">ניהול </w:t>
      </w:r>
      <w:r w:rsidRPr="00A210E9">
        <w:rPr>
          <w:rFonts w:eastAsia="Calibri" w:hint="eastAsia"/>
          <w:rtl/>
        </w:rPr>
        <w:t>התכנון</w:t>
      </w:r>
      <w:r w:rsidRPr="00A210E9">
        <w:rPr>
          <w:rFonts w:eastAsia="Calibri"/>
          <w:rtl/>
        </w:rPr>
        <w:t xml:space="preserve"> והבניה בישראל, ומתוקף חוק התכנון והבניה</w:t>
      </w:r>
      <w:r w:rsidRPr="00A210E9">
        <w:rPr>
          <w:rFonts w:eastAsia="Calibri" w:hint="cs"/>
          <w:rtl/>
        </w:rPr>
        <w:t>, התשכ"ה-1965 (להלן - חוק התכנון והבניה),</w:t>
      </w:r>
      <w:r w:rsidRPr="00A210E9">
        <w:rPr>
          <w:rFonts w:eastAsia="Calibri"/>
          <w:rtl/>
        </w:rPr>
        <w:t xml:space="preserve"> הוא מתווה את מדיניות הפיתוח </w:t>
      </w:r>
      <w:r w:rsidRPr="00A210E9">
        <w:rPr>
          <w:rFonts w:eastAsia="Calibri" w:hint="eastAsia"/>
          <w:rtl/>
        </w:rPr>
        <w:t>באמצעות</w:t>
      </w:r>
      <w:r w:rsidRPr="00A210E9">
        <w:rPr>
          <w:rFonts w:eastAsia="Calibri"/>
          <w:rtl/>
        </w:rPr>
        <w:t xml:space="preserve"> </w:t>
      </w:r>
      <w:r w:rsidRPr="00A210E9">
        <w:rPr>
          <w:rFonts w:eastAsia="Calibri" w:hint="eastAsia"/>
          <w:rtl/>
        </w:rPr>
        <w:t>מינהל</w:t>
      </w:r>
      <w:r w:rsidRPr="00A210E9">
        <w:rPr>
          <w:rFonts w:eastAsia="Calibri"/>
          <w:rtl/>
        </w:rPr>
        <w:t xml:space="preserve"> התכנון ומערך מוסדות התכנון </w:t>
      </w:r>
      <w:r w:rsidRPr="00A210E9">
        <w:rPr>
          <w:rFonts w:eastAsia="Calibri"/>
          <w:rtl/>
        </w:rPr>
        <w:t xml:space="preserve">ומפקח על השלטון המקומי </w:t>
      </w:r>
      <w:r w:rsidRPr="00A210E9">
        <w:rPr>
          <w:rFonts w:eastAsia="Calibri" w:hint="eastAsia"/>
          <w:rtl/>
        </w:rPr>
        <w:t>האחראי</w:t>
      </w:r>
      <w:r w:rsidRPr="00A210E9">
        <w:rPr>
          <w:rFonts w:eastAsia="Calibri"/>
          <w:rtl/>
        </w:rPr>
        <w:t xml:space="preserve"> </w:t>
      </w:r>
      <w:r w:rsidRPr="00A210E9">
        <w:rPr>
          <w:rFonts w:eastAsia="Calibri" w:hint="cs"/>
          <w:rtl/>
        </w:rPr>
        <w:t>ל</w:t>
      </w:r>
      <w:r w:rsidRPr="00A210E9">
        <w:rPr>
          <w:rFonts w:eastAsia="Calibri" w:hint="eastAsia"/>
          <w:rtl/>
        </w:rPr>
        <w:t>רישוי</w:t>
      </w:r>
      <w:r w:rsidRPr="00A210E9">
        <w:rPr>
          <w:rFonts w:eastAsia="Calibri"/>
          <w:rtl/>
        </w:rPr>
        <w:t xml:space="preserve"> </w:t>
      </w:r>
      <w:r w:rsidRPr="00A210E9">
        <w:rPr>
          <w:rFonts w:eastAsia="Calibri" w:hint="eastAsia"/>
          <w:rtl/>
        </w:rPr>
        <w:t>בפועל</w:t>
      </w:r>
      <w:r w:rsidRPr="00A210E9">
        <w:rPr>
          <w:rFonts w:eastAsia="Calibri"/>
          <w:rtl/>
        </w:rPr>
        <w:t>.</w:t>
      </w:r>
      <w:r w:rsidRPr="00A210E9">
        <w:rPr>
          <w:rFonts w:eastAsia="Calibri" w:hint="cs"/>
          <w:rtl/>
        </w:rPr>
        <w:t xml:space="preserve"> מרכז השלטון המקומי בישראל (להלן - מש"ם) הוא ארגון גג המאגד את כל הרשויות המקומיות בישראל (למעט המועצות האזוריות המאוגדות על ידי מרכז השלטון האזורי בישראל).</w:t>
      </w:r>
      <w:bookmarkEnd w:id="8"/>
    </w:p>
    <w:p w:rsidR="00136D6F" w:rsidP="00A210E9">
      <w:pPr>
        <w:spacing w:line="269" w:lineRule="auto"/>
        <w:rPr>
          <w:rFonts w:eastAsia="Times New Roman"/>
          <w:bCs/>
          <w:spacing w:val="40"/>
          <w:rtl/>
        </w:rPr>
      </w:pPr>
    </w:p>
    <w:p w:rsidR="00A210E9" w:rsidRPr="00A210E9" w:rsidP="00A210E9">
      <w:pPr>
        <w:spacing w:line="269" w:lineRule="auto"/>
        <w:rPr>
          <w:rFonts w:eastAsia="Calibri"/>
          <w:rtl/>
        </w:rPr>
      </w:pPr>
      <w:r w:rsidRPr="00A210E9">
        <w:rPr>
          <w:rFonts w:eastAsia="Times New Roman"/>
          <w:bCs/>
          <w:spacing w:val="40"/>
          <w:rtl/>
        </w:rPr>
        <w:t xml:space="preserve">משטרת ישראל (להלן - </w:t>
      </w:r>
      <w:r w:rsidRPr="00A210E9">
        <w:rPr>
          <w:rFonts w:eastAsia="Times New Roman" w:hint="eastAsia"/>
          <w:bCs/>
          <w:spacing w:val="40"/>
          <w:rtl/>
        </w:rPr>
        <w:t>המשטרה</w:t>
      </w:r>
      <w:r w:rsidRPr="00A210E9">
        <w:rPr>
          <w:rFonts w:eastAsia="Times New Roman"/>
          <w:bCs/>
          <w:spacing w:val="40"/>
          <w:rtl/>
        </w:rPr>
        <w:t>)</w:t>
      </w:r>
      <w:r w:rsidRPr="00A210E9">
        <w:rPr>
          <w:rFonts w:eastAsia="Times New Roman" w:hint="cs"/>
          <w:bCs/>
          <w:spacing w:val="40"/>
          <w:rtl/>
        </w:rPr>
        <w:t>:</w:t>
      </w:r>
      <w:r w:rsidRPr="00A210E9">
        <w:rPr>
          <w:rFonts w:eastAsia="Calibri" w:hint="cs"/>
          <w:rtl/>
        </w:rPr>
        <w:t xml:space="preserve"> המשטרה </w:t>
      </w:r>
      <w:r w:rsidRPr="00A210E9">
        <w:rPr>
          <w:rFonts w:eastAsia="Calibri"/>
          <w:rtl/>
        </w:rPr>
        <w:t>אחראית</w:t>
      </w:r>
      <w:r w:rsidRPr="00A210E9">
        <w:rPr>
          <w:rFonts w:eastAsia="Calibri" w:hint="cs"/>
          <w:rtl/>
        </w:rPr>
        <w:t>, לצד השלטון המקומי,</w:t>
      </w:r>
      <w:r w:rsidRPr="00A210E9">
        <w:rPr>
          <w:rFonts w:eastAsia="Calibri"/>
          <w:rtl/>
        </w:rPr>
        <w:t xml:space="preserve"> </w:t>
      </w:r>
      <w:r w:rsidRPr="00A210E9">
        <w:rPr>
          <w:rFonts w:eastAsia="Calibri" w:hint="cs"/>
          <w:rtl/>
        </w:rPr>
        <w:t>ל</w:t>
      </w:r>
      <w:r w:rsidRPr="00A210E9">
        <w:rPr>
          <w:rFonts w:eastAsia="Calibri"/>
          <w:rtl/>
        </w:rPr>
        <w:t>אכיפת שימושים לא חוקיים בתגים וחקירת מקרי זיוף או שימוש לרע</w:t>
      </w:r>
      <w:r w:rsidRPr="00A210E9">
        <w:rPr>
          <w:rFonts w:eastAsia="Calibri" w:hint="cs"/>
          <w:rtl/>
        </w:rPr>
        <w:t xml:space="preserve">ה.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Times New Roman"/>
          <w:bCs/>
          <w:spacing w:val="40"/>
          <w:rtl/>
        </w:rPr>
        <w:t>נציבות שוויון זכויות לאנשים עם מוגבלות (להלן - נציבות שוויון זכויות)</w:t>
      </w:r>
      <w:r w:rsidRPr="00A210E9">
        <w:rPr>
          <w:rFonts w:eastAsia="Times New Roman" w:hint="cs"/>
          <w:bCs/>
          <w:spacing w:val="40"/>
          <w:rtl/>
        </w:rPr>
        <w:t>:</w:t>
      </w:r>
      <w:r w:rsidRPr="00A210E9">
        <w:rPr>
          <w:rFonts w:eastAsia="Calibri" w:hint="cs"/>
          <w:rtl/>
        </w:rPr>
        <w:t xml:space="preserve"> הנציבות היא יחידה במשרד המשפטים. </w:t>
      </w:r>
      <w:r w:rsidRPr="00A210E9">
        <w:rPr>
          <w:rFonts w:eastAsia="Calibri"/>
          <w:rtl/>
        </w:rPr>
        <w:t>היא המאסדר בתחום שוויון זכויות לאנשים עם מוגבלות, ובעלת</w:t>
      </w:r>
      <w:r w:rsidRPr="00A210E9">
        <w:rPr>
          <w:rFonts w:eastAsia="Calibri" w:hint="cs"/>
          <w:rtl/>
        </w:rPr>
        <w:t xml:space="preserve"> </w:t>
      </w:r>
      <w:r w:rsidRPr="00A210E9">
        <w:rPr>
          <w:rFonts w:eastAsia="Calibri"/>
          <w:rtl/>
        </w:rPr>
        <w:t>סמכויות פיקוח, אכיפה ותביעה במקרים של הפליה או היעדר נגישות ועמידה בחובות הייצוג ההולם. כמו כן,</w:t>
      </w:r>
      <w:r w:rsidRPr="00A210E9">
        <w:rPr>
          <w:rFonts w:eastAsia="Calibri" w:hint="cs"/>
          <w:rtl/>
        </w:rPr>
        <w:t xml:space="preserve"> </w:t>
      </w:r>
      <w:r w:rsidRPr="00A210E9">
        <w:rPr>
          <w:rFonts w:eastAsia="Calibri"/>
          <w:rtl/>
        </w:rPr>
        <w:t xml:space="preserve">הנציבות משמשת הגורם האמון מטעם מדינת ישראל על קידום </w:t>
      </w:r>
      <w:r w:rsidRPr="00A210E9">
        <w:rPr>
          <w:rFonts w:eastAsia="Calibri" w:hint="cs"/>
          <w:rtl/>
        </w:rPr>
        <w:t>ה</w:t>
      </w:r>
      <w:r w:rsidRPr="00A210E9">
        <w:rPr>
          <w:rFonts w:eastAsia="Calibri"/>
          <w:rtl/>
        </w:rPr>
        <w:t xml:space="preserve">יישום </w:t>
      </w:r>
      <w:r w:rsidRPr="00A210E9">
        <w:rPr>
          <w:rFonts w:eastAsia="Calibri" w:hint="cs"/>
          <w:rtl/>
        </w:rPr>
        <w:t xml:space="preserve">של </w:t>
      </w:r>
      <w:r w:rsidRPr="00A210E9">
        <w:rPr>
          <w:rFonts w:eastAsia="Calibri"/>
          <w:rtl/>
        </w:rPr>
        <w:t>האמנה הבין-לאומית בדבר זכויות אנשים</w:t>
      </w:r>
      <w:r w:rsidRPr="00A210E9">
        <w:rPr>
          <w:rFonts w:eastAsia="Calibri" w:hint="cs"/>
          <w:rtl/>
        </w:rPr>
        <w:t xml:space="preserve"> </w:t>
      </w:r>
      <w:r w:rsidRPr="00A210E9">
        <w:rPr>
          <w:rFonts w:eastAsia="Calibri"/>
          <w:rtl/>
        </w:rPr>
        <w:t>עם מוגבלות, בהתאם להחלטת הממשלה</w:t>
      </w:r>
      <w:r w:rsidRPr="00A210E9">
        <w:rPr>
          <w:rFonts w:eastAsia="Calibri" w:hint="cs"/>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להלן תרשים המציג את כלל הגופים המעורבים בתהליך קביעת הזכאות לתגי חניה או מיצוי הזכויות של אנשים עם מוגבלות:</w:t>
      </w:r>
    </w:p>
    <w:p w:rsidR="00A210E9" w:rsidRPr="00A210E9" w:rsidP="00A210E9">
      <w:pPr>
        <w:spacing w:line="269" w:lineRule="auto"/>
        <w:rPr>
          <w:rFonts w:eastAsia="Calibri"/>
          <w:rtl/>
        </w:rPr>
      </w:pPr>
    </w:p>
    <w:p w:rsidR="00A210E9" w:rsidRPr="00A210E9" w:rsidP="00A210E9">
      <w:pPr>
        <w:keepNext/>
        <w:keepLines/>
        <w:spacing w:line="269" w:lineRule="auto"/>
        <w:jc w:val="center"/>
        <w:rPr>
          <w:rFonts w:eastAsia="Calibri"/>
          <w:b/>
          <w:bCs/>
          <w:rtl/>
        </w:rPr>
      </w:pPr>
      <w:r w:rsidRPr="00A210E9">
        <w:rPr>
          <w:rFonts w:eastAsia="Calibri" w:hint="eastAsia"/>
          <w:rtl/>
        </w:rPr>
        <w:t>תרשים</w:t>
      </w:r>
      <w:r w:rsidRPr="00A210E9">
        <w:rPr>
          <w:rFonts w:eastAsia="Calibri"/>
          <w:rtl/>
        </w:rPr>
        <w:t xml:space="preserve"> </w:t>
      </w:r>
      <w:r w:rsidRPr="00A210E9">
        <w:rPr>
          <w:rFonts w:eastAsia="Calibri" w:hint="cs"/>
          <w:rtl/>
        </w:rPr>
        <w:t>1</w:t>
      </w:r>
      <w:r w:rsidRPr="00A210E9">
        <w:rPr>
          <w:rFonts w:eastAsia="Calibri"/>
          <w:rtl/>
        </w:rPr>
        <w:t>:</w:t>
      </w:r>
      <w:r w:rsidRPr="00A210E9">
        <w:rPr>
          <w:rFonts w:eastAsia="Calibri" w:hint="cs"/>
          <w:b/>
          <w:bCs/>
          <w:rtl/>
        </w:rPr>
        <w:t xml:space="preserve"> גופים ממשלתיים וציבוריים המעורבים בתהליך קביעת הזכאות לתגי חניה </w:t>
      </w:r>
    </w:p>
    <w:p w:rsidR="00A210E9" w:rsidRPr="00A210E9" w:rsidP="00A210E9">
      <w:pPr>
        <w:keepNext/>
        <w:keepLines/>
        <w:spacing w:line="269" w:lineRule="auto"/>
        <w:jc w:val="center"/>
        <w:rPr>
          <w:rFonts w:eastAsia="Calibri"/>
          <w:b/>
          <w:bCs/>
          <w:rtl/>
        </w:rPr>
      </w:pPr>
      <w:r w:rsidRPr="00A210E9">
        <w:rPr>
          <w:rFonts w:eastAsia="Calibri" w:hint="cs"/>
          <w:b/>
          <w:bCs/>
          <w:rtl/>
        </w:rPr>
        <w:t xml:space="preserve">או מיצוי זכויות </w:t>
      </w:r>
    </w:p>
    <w:p w:rsidR="00A210E9" w:rsidRPr="00A210E9" w:rsidP="00047212">
      <w:pPr>
        <w:spacing w:line="269" w:lineRule="auto"/>
        <w:jc w:val="center"/>
        <w:rPr>
          <w:rFonts w:eastAsia="Calibri"/>
          <w:rtl/>
        </w:rPr>
      </w:pPr>
      <w:r w:rsidRPr="00A210E9">
        <w:rPr>
          <w:rFonts w:eastAsia="Calibri"/>
          <w:noProof/>
          <w:rtl/>
          <w:lang w:val="he-IL"/>
        </w:rPr>
        <mc:AlternateContent>
          <mc:Choice Requires="wps">
            <w:drawing>
              <wp:anchor distT="0" distB="0" distL="114300" distR="114300" simplePos="0" relativeHeight="251659264" behindDoc="0" locked="0" layoutInCell="1" allowOverlap="1">
                <wp:simplePos x="0" y="0"/>
                <wp:positionH relativeFrom="column">
                  <wp:posOffset>3919745</wp:posOffset>
                </wp:positionH>
                <wp:positionV relativeFrom="paragraph">
                  <wp:posOffset>1431352</wp:posOffset>
                </wp:positionV>
                <wp:extent cx="963295" cy="220073"/>
                <wp:effectExtent l="0" t="0" r="8255" b="8890"/>
                <wp:wrapNone/>
                <wp:docPr id="47" name="מלבן: פינות מעוגלות 47"/>
                <wp:cNvGraphicFramePr/>
                <a:graphic xmlns:a="http://schemas.openxmlformats.org/drawingml/2006/main">
                  <a:graphicData uri="http://schemas.microsoft.com/office/word/2010/wordprocessingShape">
                    <wps:wsp xmlns:wps="http://schemas.microsoft.com/office/word/2010/wordprocessingShape">
                      <wps:cNvSpPr/>
                      <wps:spPr>
                        <a:xfrm>
                          <a:off x="0" y="0"/>
                          <a:ext cx="963295" cy="220073"/>
                        </a:xfrm>
                        <a:prstGeom prst="roundRect">
                          <a:avLst/>
                        </a:prstGeom>
                        <a:noFill/>
                        <a:ln w="25400">
                          <a:noFill/>
                          <a:prstDash val="solid"/>
                        </a:ln>
                        <a:effectLst/>
                      </wps:spPr>
                      <wps:txbx>
                        <w:txbxContent>
                          <w:p w:rsidR="00047212" w:rsidRPr="00E45626" w:rsidP="00A210E9">
                            <w:pPr>
                              <w:jc w:val="center"/>
                              <w:rPr>
                                <w:sz w:val="24"/>
                              </w:rPr>
                            </w:pPr>
                            <w:r w:rsidRPr="00E45626">
                              <w:rPr>
                                <w:rFonts w:hint="cs"/>
                                <w:sz w:val="24"/>
                                <w:rtl/>
                              </w:rPr>
                              <w:t>גופים מאשרים</w:t>
                            </w:r>
                            <w:r>
                              <w:rPr>
                                <w:rFonts w:hint="cs"/>
                                <w:sz w:val="24"/>
                                <w:rtl/>
                              </w:rPr>
                              <w:t>*</w:t>
                            </w:r>
                          </w:p>
                        </w:txbxContent>
                      </wps:txbx>
                      <wps:bodyPr rot="0" spcFirstLastPara="0" vertOverflow="overflow" horzOverflow="overflow" vert="horz" wrap="square" lIns="0" tIns="0" rIns="0" bIns="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מלבן: פינות מעוגלות 47" o:spid="_x0000_s1025" style="width:75.85pt;height:17.35pt;margin-top:112.7pt;margin-left:308.65pt;mso-height-percent:0;mso-height-relative:margin;mso-width-percent:0;mso-width-relative:margin;mso-wrap-distance-bottom:0;mso-wrap-distance-left:9pt;mso-wrap-distance-right:9pt;mso-wrap-distance-top:0;mso-wrap-style:square;position:absolute;visibility:visible;v-text-anchor:middle;z-index:251660288" arcsize="10923f" filled="f" stroked="f" strokeweight="2pt">
                <v:textbox inset="0,0,0,0">
                  <w:txbxContent>
                    <w:p w:rsidR="00047212" w:rsidRPr="00E45626" w:rsidP="00A210E9">
                      <w:pPr>
                        <w:jc w:val="center"/>
                        <w:rPr>
                          <w:sz w:val="24"/>
                        </w:rPr>
                      </w:pPr>
                      <w:r w:rsidRPr="00E45626">
                        <w:rPr>
                          <w:rFonts w:hint="cs"/>
                          <w:sz w:val="24"/>
                          <w:rtl/>
                        </w:rPr>
                        <w:t>גופים מאשרים</w:t>
                      </w:r>
                      <w:r>
                        <w:rPr>
                          <w:rFonts w:hint="cs"/>
                          <w:sz w:val="24"/>
                          <w:rtl/>
                        </w:rPr>
                        <w:t>*</w:t>
                      </w:r>
                    </w:p>
                  </w:txbxContent>
                </v:textbox>
              </v:roundrect>
            </w:pict>
          </mc:Fallback>
        </mc:AlternateContent>
      </w:r>
      <w:r w:rsidRPr="00A210E9">
        <w:rPr>
          <w:rFonts w:eastAsia="Calibri"/>
          <w:noProof/>
          <w:rtl/>
          <w:lang w:val="he-IL"/>
        </w:rPr>
        <w:drawing>
          <wp:inline distT="0" distB="0" distL="0" distR="0">
            <wp:extent cx="5097145" cy="3306536"/>
            <wp:effectExtent l="0" t="0" r="8255" b="8255"/>
            <wp:docPr id="5" name="דיאגרמה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A210E9" w:rsidRPr="00A210E9" w:rsidP="00A210E9">
      <w:pPr>
        <w:spacing w:line="269" w:lineRule="auto"/>
        <w:rPr>
          <w:rFonts w:eastAsia="Calibri"/>
          <w:szCs w:val="20"/>
          <w:rtl/>
        </w:rPr>
      </w:pPr>
      <w:r w:rsidRPr="00A210E9">
        <w:rPr>
          <w:rFonts w:eastAsia="Calibri" w:hint="cs"/>
          <w:szCs w:val="20"/>
          <w:rtl/>
        </w:rPr>
        <w:t>על פי כלל הנתונים שנאספו במרשתת ובגופים המבוקרים, בעיבוד משרד מבקר המדינה.</w:t>
      </w:r>
    </w:p>
    <w:p w:rsidR="00A210E9" w:rsidRPr="00A210E9" w:rsidP="00047212">
      <w:pPr>
        <w:spacing w:line="269" w:lineRule="auto"/>
        <w:ind w:left="282" w:hanging="284"/>
        <w:rPr>
          <w:rFonts w:eastAsia="Calibri"/>
          <w:szCs w:val="20"/>
          <w:rtl/>
        </w:rPr>
      </w:pPr>
      <w:bookmarkStart w:id="9" w:name="_Hlk233630046"/>
      <w:r w:rsidRPr="00A210E9">
        <w:rPr>
          <w:rFonts w:eastAsia="Calibri" w:hint="cs"/>
          <w:szCs w:val="20"/>
          <w:rtl/>
        </w:rPr>
        <w:t xml:space="preserve">* </w:t>
      </w:r>
      <w:r w:rsidR="00047212">
        <w:rPr>
          <w:rFonts w:eastAsia="Calibri"/>
          <w:szCs w:val="20"/>
          <w:rtl/>
        </w:rPr>
        <w:tab/>
      </w:r>
      <w:r w:rsidRPr="00A210E9">
        <w:rPr>
          <w:rFonts w:eastAsia="Calibri" w:hint="cs"/>
          <w:szCs w:val="20"/>
          <w:rtl/>
        </w:rPr>
        <w:t>גופים אלה מאשרים אחוזי נכות או זכאות לקצבאות ולגמלאות שונות. מכוח החלטותיהם משרד התחבורה מנפיק את תגי החניה.</w:t>
      </w:r>
    </w:p>
    <w:p w:rsidR="00A210E9" w:rsidRPr="00A210E9" w:rsidP="00047212">
      <w:pPr>
        <w:spacing w:line="269" w:lineRule="auto"/>
        <w:ind w:left="282" w:hanging="284"/>
        <w:rPr>
          <w:rFonts w:eastAsia="Calibri"/>
          <w:szCs w:val="20"/>
          <w:rtl/>
        </w:rPr>
      </w:pPr>
      <w:r w:rsidRPr="00A210E9">
        <w:rPr>
          <w:rFonts w:eastAsia="Calibri" w:hint="cs"/>
          <w:szCs w:val="20"/>
          <w:rtl/>
        </w:rPr>
        <w:t xml:space="preserve">** </w:t>
      </w:r>
      <w:r w:rsidR="00047212">
        <w:rPr>
          <w:rFonts w:eastAsia="Calibri"/>
          <w:szCs w:val="20"/>
          <w:rtl/>
        </w:rPr>
        <w:tab/>
      </w:r>
      <w:r w:rsidRPr="00A210E9">
        <w:rPr>
          <w:rFonts w:eastAsia="Calibri" w:hint="cs"/>
          <w:szCs w:val="20"/>
          <w:rtl/>
        </w:rPr>
        <w:t>ועדות הניידות מופעלות עבור הביטוח הלאומי על ידי משרד הבריאות.</w:t>
      </w:r>
    </w:p>
    <w:bookmarkEnd w:id="9"/>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עם אישור הזכאות לתג חניה, בעל התג מעביר לאגף הרישוי בקשה לשייך לתג עד שני רכבים שאמורים לשמש אותו. הבקשה תכלול את מספרי הרישוי של הרכבים, וזאת על פי התנאים שהגדיר אגף הרישוי. כמו כן, מונפק תג פיזי הכולל את מספר הזהות של האדם עם המוגבלות, אך לא את מספרי הרישוי של הרכבים. הצורך להציג את התג הפיזי לא הוגדר באופן מפורש בחיקוקים. מספרי הרכבים מתעדכנים בתדירות יומית במאגר "כלי רכב עם תג חניה לנכה" של אגף הרישוי, והפקחים העירוניים יכולים לזהות את הרכב כרכב של אדם עם מוגבלות באמצעות </w:t>
      </w:r>
      <w:r w:rsidRPr="00A210E9">
        <w:rPr>
          <w:rFonts w:eastAsia="Calibri" w:hint="cs"/>
          <w:rtl/>
        </w:rPr>
        <w:t xml:space="preserve">שימוש במאגר האמור. </w:t>
      </w:r>
      <w:r w:rsidRPr="00A210E9">
        <w:rPr>
          <w:rFonts w:eastAsia="Calibri"/>
          <w:rtl/>
        </w:rPr>
        <w:t xml:space="preserve">בישראל מונפקים שני סוגים עיקריים של תגי </w:t>
      </w:r>
      <w:r w:rsidRPr="00A210E9">
        <w:rPr>
          <w:rFonts w:eastAsia="Calibri" w:hint="cs"/>
          <w:rtl/>
        </w:rPr>
        <w:t>חניה -</w:t>
      </w:r>
      <w:r w:rsidRPr="00A210E9">
        <w:rPr>
          <w:rFonts w:eastAsia="Calibri"/>
          <w:rtl/>
        </w:rPr>
        <w:t xml:space="preserve"> תג </w:t>
      </w:r>
      <w:r w:rsidRPr="00A210E9">
        <w:rPr>
          <w:rFonts w:eastAsia="Calibri" w:hint="cs"/>
          <w:rtl/>
        </w:rPr>
        <w:t xml:space="preserve">רגיל </w:t>
      </w:r>
      <w:r w:rsidRPr="00A210E9">
        <w:rPr>
          <w:rFonts w:eastAsia="Calibri"/>
          <w:rtl/>
        </w:rPr>
        <w:t xml:space="preserve">עם משולש </w:t>
      </w:r>
      <w:r w:rsidRPr="00A210E9">
        <w:rPr>
          <w:rFonts w:eastAsia="Calibri" w:hint="cs"/>
          <w:rtl/>
        </w:rPr>
        <w:t>(להלן - תג רגיל) ו</w:t>
      </w:r>
      <w:r w:rsidRPr="00A210E9">
        <w:rPr>
          <w:rFonts w:eastAsia="Calibri"/>
          <w:rtl/>
        </w:rPr>
        <w:t>תג עם סמל של כיסא גלגלים</w:t>
      </w:r>
      <w:r w:rsidRPr="00A210E9">
        <w:rPr>
          <w:rFonts w:eastAsia="Calibri" w:hint="cs"/>
          <w:rtl/>
        </w:rPr>
        <w:t xml:space="preserve"> (להלן - תג כיסא גלגלים)</w:t>
      </w:r>
      <w:r>
        <w:rPr>
          <w:rFonts w:eastAsia="Calibri"/>
          <w:vertAlign w:val="superscript"/>
          <w:rtl/>
        </w:rPr>
        <w:footnoteReference w:id="14"/>
      </w:r>
      <w:r w:rsidRPr="00A210E9">
        <w:rPr>
          <w:rFonts w:eastAsia="Calibri"/>
          <w:rtl/>
        </w:rPr>
        <w:t xml:space="preserve">. </w:t>
      </w:r>
    </w:p>
    <w:p w:rsidR="00136D6F" w:rsidP="00A210E9">
      <w:pPr>
        <w:spacing w:line="269" w:lineRule="auto"/>
        <w:rPr>
          <w:rFonts w:eastAsia="Calibri"/>
          <w:rtl/>
        </w:rPr>
      </w:pPr>
    </w:p>
    <w:p w:rsidR="00A210E9" w:rsidRPr="00A210E9" w:rsidP="00A210E9">
      <w:pPr>
        <w:spacing w:line="269" w:lineRule="auto"/>
        <w:rPr>
          <w:rFonts w:eastAsia="Calibri"/>
          <w:rtl/>
        </w:rPr>
      </w:pPr>
      <w:r w:rsidRPr="00A210E9">
        <w:rPr>
          <w:rFonts w:eastAsia="Calibri" w:hint="cs"/>
          <w:rtl/>
        </w:rPr>
        <w:t xml:space="preserve">מספר תגי החניה בישראל עלה באופן עקבי במשך השנים, ובפרט בשנים האחרונות חלה האצה בגידול מספר תגי החניה. להלן תרשים שמציג את שיעור השינוי שחל באוכלוסיית ישראל ובמספר תגי החניה בשנים 2006 - 2025: </w:t>
      </w:r>
    </w:p>
    <w:p w:rsidR="00A210E9" w:rsidRPr="00A210E9" w:rsidP="00A210E9">
      <w:pPr>
        <w:keepNext/>
        <w:keepLines/>
        <w:spacing w:line="269" w:lineRule="auto"/>
        <w:ind w:left="-567"/>
        <w:rPr>
          <w:rFonts w:eastAsia="Calibri"/>
          <w:szCs w:val="20"/>
          <w:rtl/>
        </w:rPr>
      </w:pPr>
    </w:p>
    <w:p w:rsidR="00A210E9" w:rsidRPr="00A210E9" w:rsidP="00A210E9">
      <w:pPr>
        <w:keepNext/>
        <w:keepLines/>
        <w:spacing w:line="269" w:lineRule="auto"/>
        <w:jc w:val="center"/>
        <w:rPr>
          <w:rFonts w:eastAsia="Calibri"/>
          <w:b/>
          <w:bCs/>
          <w:rtl/>
        </w:rPr>
      </w:pPr>
      <w:r w:rsidRPr="00A210E9">
        <w:rPr>
          <w:rFonts w:eastAsia="Calibri" w:hint="eastAsia"/>
          <w:rtl/>
        </w:rPr>
        <w:t>תרשים</w:t>
      </w:r>
      <w:r w:rsidRPr="00A210E9">
        <w:rPr>
          <w:rFonts w:eastAsia="Calibri"/>
          <w:rtl/>
        </w:rPr>
        <w:t xml:space="preserve"> </w:t>
      </w:r>
      <w:r w:rsidRPr="00A210E9">
        <w:rPr>
          <w:rFonts w:eastAsia="Calibri" w:hint="cs"/>
          <w:rtl/>
        </w:rPr>
        <w:t>2:</w:t>
      </w:r>
      <w:r w:rsidRPr="00A210E9">
        <w:rPr>
          <w:rFonts w:eastAsia="Calibri"/>
          <w:rtl/>
        </w:rPr>
        <w:t xml:space="preserve"> </w:t>
      </w:r>
      <w:bookmarkStart w:id="10" w:name="_Hlk223954078"/>
      <w:bookmarkStart w:id="11" w:name="_Hlk200284478"/>
      <w:r w:rsidRPr="00A210E9">
        <w:rPr>
          <w:rFonts w:eastAsia="Calibri" w:hint="cs"/>
          <w:b/>
          <w:bCs/>
          <w:rtl/>
        </w:rPr>
        <w:t xml:space="preserve">מספר תגי </w:t>
      </w:r>
      <w:r w:rsidR="00047212">
        <w:rPr>
          <w:rFonts w:eastAsia="Calibri" w:hint="cs"/>
          <w:b/>
          <w:bCs/>
          <w:rtl/>
        </w:rPr>
        <w:t>ה</w:t>
      </w:r>
      <w:r w:rsidRPr="00A210E9">
        <w:rPr>
          <w:rFonts w:eastAsia="Calibri" w:hint="cs"/>
          <w:b/>
          <w:bCs/>
          <w:rtl/>
        </w:rPr>
        <w:t xml:space="preserve">חניה לאנשים עם מוגבלות*, שיעור השינוי במספרם ושיעור השינוי שחל בכלל האוכלוסייה בישראל, 2006 - 2025 </w:t>
      </w:r>
      <w:bookmarkEnd w:id="10"/>
    </w:p>
    <w:bookmarkEnd w:id="11"/>
    <w:p w:rsidR="00A210E9" w:rsidRPr="00A210E9" w:rsidP="00A210E9">
      <w:pPr>
        <w:spacing w:line="269" w:lineRule="auto"/>
        <w:jc w:val="center"/>
        <w:rPr>
          <w:rFonts w:eastAsia="Calibri"/>
        </w:rPr>
      </w:pPr>
      <w:r w:rsidRPr="00A210E9">
        <w:rPr>
          <w:rFonts w:eastAsia="Calibri"/>
          <w:noProof/>
        </w:rPr>
        <w:drawing>
          <wp:inline distT="0" distB="0" distL="0" distR="0">
            <wp:extent cx="5194632" cy="3179929"/>
            <wp:effectExtent l="0" t="0" r="6350" b="1905"/>
            <wp:docPr id="1" name="תמונה 1" descr="שנה ומספר תגי החניה&#10;2006: 74,000&#10;2007: 85,000&#10;2010: 98,500&#10;2012: 120,782&#10;2015: 145,517&#10;2020: 245,968&#10;2021: 268,014&#10;2022: 365,627&#10;2023: 415,275&#10;2024: 449,314&#10;2025: 444,873&#10;&#10;לצד שנת 2025 למעלה מימין: 501% - זהו שיעור השינוי במספר תגי חניה&#10;לצד שנת 2025 מימין (ליד הקו הכתום): 43% - שיעור שינוי האוכלוסייה הכלל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07471" cy="3187788"/>
                    </a:xfrm>
                    <a:prstGeom prst="rect">
                      <a:avLst/>
                    </a:prstGeom>
                    <a:noFill/>
                  </pic:spPr>
                </pic:pic>
              </a:graphicData>
            </a:graphic>
          </wp:inline>
        </w:drawing>
      </w:r>
    </w:p>
    <w:p w:rsidR="00A210E9" w:rsidRPr="00A210E9" w:rsidP="00A210E9">
      <w:pPr>
        <w:spacing w:line="269" w:lineRule="auto"/>
        <w:rPr>
          <w:rFonts w:eastAsia="Calibri"/>
          <w:szCs w:val="20"/>
          <w:rtl/>
        </w:rPr>
      </w:pPr>
      <w:bookmarkStart w:id="12" w:name="_Hlk223853115"/>
      <w:r w:rsidRPr="00A210E9">
        <w:rPr>
          <w:rFonts w:eastAsia="Calibri" w:hint="cs"/>
          <w:szCs w:val="20"/>
          <w:rtl/>
        </w:rPr>
        <w:t>על פי נתוני הלשכה המרכזית לסטטיסטיקה, משרד התחבורה ונציבות שוויון זכויות ועל פי נתונים שהוצגו בדיון של ועדת הכלכלה של הכנסת ב-7.12.20</w:t>
      </w:r>
      <w:r>
        <w:rPr>
          <w:rFonts w:eastAsia="Calibri"/>
          <w:vertAlign w:val="superscript"/>
          <w:rtl/>
        </w:rPr>
        <w:footnoteReference w:id="15"/>
      </w:r>
      <w:r w:rsidRPr="00A210E9">
        <w:rPr>
          <w:rFonts w:eastAsia="Calibri" w:hint="cs"/>
          <w:szCs w:val="20"/>
          <w:rtl/>
        </w:rPr>
        <w:t xml:space="preserve">, בעיבוד משרד מבקר המדינה. </w:t>
      </w:r>
      <w:bookmarkEnd w:id="12"/>
    </w:p>
    <w:p w:rsidR="00A210E9" w:rsidRPr="00A210E9" w:rsidP="00047212">
      <w:pPr>
        <w:spacing w:line="269" w:lineRule="auto"/>
        <w:ind w:left="282" w:hanging="284"/>
        <w:rPr>
          <w:rFonts w:eastAsia="Calibri"/>
          <w:szCs w:val="20"/>
          <w:rtl/>
        </w:rPr>
      </w:pPr>
      <w:bookmarkStart w:id="13" w:name="_Hlk223954119"/>
      <w:r w:rsidRPr="00A210E9">
        <w:rPr>
          <w:rFonts w:eastAsia="Calibri" w:hint="cs"/>
          <w:szCs w:val="20"/>
          <w:rtl/>
        </w:rPr>
        <w:t xml:space="preserve">* </w:t>
      </w:r>
      <w:r w:rsidR="00047212">
        <w:rPr>
          <w:rFonts w:eastAsia="Calibri"/>
          <w:szCs w:val="20"/>
          <w:rtl/>
        </w:rPr>
        <w:tab/>
      </w:r>
      <w:r w:rsidRPr="00A210E9">
        <w:rPr>
          <w:rFonts w:eastAsia="Calibri" w:hint="cs"/>
          <w:szCs w:val="20"/>
          <w:rtl/>
        </w:rPr>
        <w:t>שיעורי השינוי במספר תגי החניה ובאוכלוסייה הכללית חושבו עבור כל שנה ביחס לשנת 2006.</w:t>
      </w:r>
    </w:p>
    <w:bookmarkEnd w:id="13"/>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eastAsia"/>
          <w:b/>
          <w:bCs/>
          <w:rtl/>
        </w:rPr>
        <w:t>בתרשים</w:t>
      </w:r>
      <w:r w:rsidRPr="00A210E9">
        <w:rPr>
          <w:rFonts w:eastAsia="Calibri"/>
          <w:b/>
          <w:bCs/>
          <w:rtl/>
        </w:rPr>
        <w:t xml:space="preserve"> ניתן לראות כי </w:t>
      </w:r>
      <w:bookmarkStart w:id="14" w:name="_Hlk223954792"/>
      <w:r w:rsidRPr="00A210E9">
        <w:rPr>
          <w:rFonts w:eastAsia="Calibri" w:hint="eastAsia"/>
          <w:b/>
          <w:bCs/>
          <w:rtl/>
        </w:rPr>
        <w:t>מספר</w:t>
      </w:r>
      <w:r w:rsidRPr="00A210E9">
        <w:rPr>
          <w:rFonts w:eastAsia="Calibri"/>
          <w:b/>
          <w:bCs/>
          <w:rtl/>
        </w:rPr>
        <w:t xml:space="preserve"> </w:t>
      </w:r>
      <w:r w:rsidRPr="00A210E9">
        <w:rPr>
          <w:rFonts w:eastAsia="Calibri" w:hint="eastAsia"/>
          <w:b/>
          <w:bCs/>
          <w:rtl/>
        </w:rPr>
        <w:t>האנשים</w:t>
      </w:r>
      <w:r w:rsidRPr="00A210E9">
        <w:rPr>
          <w:rFonts w:eastAsia="Calibri"/>
          <w:b/>
          <w:bCs/>
          <w:rtl/>
        </w:rPr>
        <w:t xml:space="preserve"> </w:t>
      </w:r>
      <w:r w:rsidRPr="00A210E9">
        <w:rPr>
          <w:rFonts w:eastAsia="Calibri" w:hint="eastAsia"/>
          <w:b/>
          <w:bCs/>
          <w:rtl/>
        </w:rPr>
        <w:t>שמחזיקים</w:t>
      </w:r>
      <w:r w:rsidRPr="00A210E9">
        <w:rPr>
          <w:rFonts w:eastAsia="Calibri"/>
          <w:b/>
          <w:bCs/>
          <w:rtl/>
        </w:rPr>
        <w:t xml:space="preserve"> </w:t>
      </w:r>
      <w:r w:rsidRPr="00A210E9">
        <w:rPr>
          <w:rFonts w:eastAsia="Calibri" w:hint="eastAsia"/>
          <w:b/>
          <w:bCs/>
          <w:rtl/>
        </w:rPr>
        <w:t>בתגי</w:t>
      </w:r>
      <w:r w:rsidRPr="00A210E9">
        <w:rPr>
          <w:rFonts w:eastAsia="Calibri"/>
          <w:b/>
          <w:bCs/>
          <w:rtl/>
        </w:rPr>
        <w:t xml:space="preserve"> </w:t>
      </w:r>
      <w:r w:rsidRPr="00A210E9">
        <w:rPr>
          <w:rFonts w:eastAsia="Calibri" w:hint="eastAsia"/>
          <w:b/>
          <w:bCs/>
          <w:rtl/>
        </w:rPr>
        <w:t>חניה</w:t>
      </w:r>
      <w:r w:rsidRPr="00A210E9">
        <w:rPr>
          <w:rFonts w:eastAsia="Calibri"/>
          <w:b/>
          <w:bCs/>
          <w:rtl/>
        </w:rPr>
        <w:t xml:space="preserve"> </w:t>
      </w:r>
      <w:r w:rsidRPr="00A210E9">
        <w:rPr>
          <w:rFonts w:eastAsia="Calibri" w:hint="eastAsia"/>
          <w:b/>
          <w:bCs/>
          <w:rtl/>
        </w:rPr>
        <w:t>גדל</w:t>
      </w:r>
      <w:r w:rsidRPr="00A210E9">
        <w:rPr>
          <w:rFonts w:eastAsia="Calibri"/>
          <w:b/>
          <w:bCs/>
          <w:rtl/>
        </w:rPr>
        <w:t xml:space="preserve"> </w:t>
      </w:r>
      <w:r w:rsidRPr="00A210E9">
        <w:rPr>
          <w:rFonts w:eastAsia="Calibri" w:hint="eastAsia"/>
          <w:b/>
          <w:bCs/>
          <w:rtl/>
        </w:rPr>
        <w:t>פי</w:t>
      </w:r>
      <w:r w:rsidRPr="00A210E9">
        <w:rPr>
          <w:rFonts w:eastAsia="Calibri"/>
          <w:b/>
          <w:bCs/>
          <w:rtl/>
        </w:rPr>
        <w:t xml:space="preserve"> ש</w:t>
      </w:r>
      <w:r w:rsidRPr="00A210E9">
        <w:rPr>
          <w:rFonts w:eastAsia="Calibri" w:hint="eastAsia"/>
          <w:b/>
          <w:bCs/>
          <w:rtl/>
        </w:rPr>
        <w:t>ישה</w:t>
      </w:r>
      <w:r w:rsidRPr="00A210E9">
        <w:rPr>
          <w:rFonts w:eastAsia="Calibri"/>
          <w:b/>
          <w:bCs/>
          <w:rtl/>
        </w:rPr>
        <w:t xml:space="preserve"> בשנים 2006 -2025 (</w:t>
      </w:r>
      <w:r w:rsidRPr="00A210E9">
        <w:rPr>
          <w:rFonts w:eastAsia="Calibri" w:hint="eastAsia"/>
          <w:b/>
          <w:bCs/>
          <w:rtl/>
        </w:rPr>
        <w:t>גידול</w:t>
      </w:r>
      <w:r w:rsidRPr="00A210E9">
        <w:rPr>
          <w:rFonts w:eastAsia="Calibri"/>
          <w:b/>
          <w:bCs/>
          <w:rtl/>
        </w:rPr>
        <w:t xml:space="preserve"> של 501%)</w:t>
      </w:r>
      <w:r w:rsidRPr="00A210E9">
        <w:rPr>
          <w:rFonts w:eastAsia="Calibri" w:hint="cs"/>
          <w:b/>
          <w:bCs/>
          <w:rtl/>
        </w:rPr>
        <w:t xml:space="preserve"> מכ-74,000 לכ-445,000</w:t>
      </w:r>
      <w:r>
        <w:rPr>
          <w:rFonts w:eastAsia="Calibri"/>
          <w:b/>
          <w:bCs/>
          <w:vertAlign w:val="superscript"/>
          <w:rtl/>
        </w:rPr>
        <w:footnoteReference w:id="16"/>
      </w:r>
      <w:r w:rsidRPr="00A210E9">
        <w:rPr>
          <w:rFonts w:eastAsia="Calibri" w:hint="cs"/>
          <w:b/>
          <w:bCs/>
          <w:rtl/>
        </w:rPr>
        <w:t>,</w:t>
      </w:r>
      <w:r w:rsidRPr="00A210E9">
        <w:rPr>
          <w:rFonts w:eastAsia="Calibri"/>
          <w:b/>
          <w:bCs/>
          <w:rtl/>
        </w:rPr>
        <w:t xml:space="preserve"> </w:t>
      </w:r>
      <w:r w:rsidRPr="00A210E9">
        <w:rPr>
          <w:rFonts w:eastAsia="Calibri" w:hint="eastAsia"/>
          <w:b/>
          <w:bCs/>
          <w:rtl/>
        </w:rPr>
        <w:t>לעומת</w:t>
      </w:r>
      <w:r w:rsidRPr="00A210E9">
        <w:rPr>
          <w:rFonts w:eastAsia="Calibri"/>
          <w:b/>
          <w:bCs/>
          <w:rtl/>
        </w:rPr>
        <w:t xml:space="preserve"> </w:t>
      </w:r>
      <w:r w:rsidRPr="00A210E9">
        <w:rPr>
          <w:rFonts w:eastAsia="Calibri" w:hint="eastAsia"/>
          <w:b/>
          <w:bCs/>
          <w:rtl/>
        </w:rPr>
        <w:t>גידול</w:t>
      </w:r>
      <w:r w:rsidRPr="00A210E9">
        <w:rPr>
          <w:rFonts w:eastAsia="Calibri"/>
          <w:b/>
          <w:bCs/>
          <w:rtl/>
        </w:rPr>
        <w:t xml:space="preserve"> </w:t>
      </w:r>
      <w:r w:rsidRPr="00A210E9">
        <w:rPr>
          <w:rFonts w:eastAsia="Calibri" w:hint="eastAsia"/>
          <w:b/>
          <w:bCs/>
          <w:rtl/>
        </w:rPr>
        <w:t>של</w:t>
      </w:r>
      <w:r w:rsidRPr="00A210E9">
        <w:rPr>
          <w:rFonts w:eastAsia="Calibri"/>
          <w:b/>
          <w:bCs/>
          <w:rtl/>
        </w:rPr>
        <w:t xml:space="preserve"> 43% </w:t>
      </w:r>
      <w:r w:rsidRPr="00A210E9">
        <w:rPr>
          <w:rFonts w:eastAsia="Calibri" w:hint="eastAsia"/>
          <w:b/>
          <w:bCs/>
          <w:rtl/>
        </w:rPr>
        <w:t>באוכלוסיית</w:t>
      </w:r>
      <w:r w:rsidRPr="00A210E9">
        <w:rPr>
          <w:rFonts w:eastAsia="Calibri"/>
          <w:b/>
          <w:bCs/>
          <w:rtl/>
        </w:rPr>
        <w:t xml:space="preserve"> </w:t>
      </w:r>
      <w:r w:rsidRPr="00A210E9">
        <w:rPr>
          <w:rFonts w:eastAsia="Calibri" w:hint="eastAsia"/>
          <w:b/>
          <w:bCs/>
          <w:rtl/>
        </w:rPr>
        <w:t>ישראל</w:t>
      </w:r>
      <w:r w:rsidRPr="00A210E9">
        <w:rPr>
          <w:rFonts w:eastAsia="Calibri"/>
          <w:b/>
          <w:bCs/>
          <w:rtl/>
        </w:rPr>
        <w:t xml:space="preserve">. </w:t>
      </w:r>
      <w:r w:rsidRPr="00A210E9">
        <w:rPr>
          <w:rFonts w:eastAsia="Calibri" w:hint="eastAsia"/>
          <w:b/>
          <w:bCs/>
          <w:rtl/>
        </w:rPr>
        <w:t>כמו</w:t>
      </w:r>
      <w:r w:rsidRPr="00A210E9">
        <w:rPr>
          <w:rFonts w:eastAsia="Calibri"/>
          <w:b/>
          <w:bCs/>
          <w:rtl/>
        </w:rPr>
        <w:t xml:space="preserve"> </w:t>
      </w:r>
      <w:r w:rsidRPr="00A210E9">
        <w:rPr>
          <w:rFonts w:eastAsia="Calibri" w:hint="eastAsia"/>
          <w:b/>
          <w:bCs/>
          <w:rtl/>
        </w:rPr>
        <w:t>כן</w:t>
      </w:r>
      <w:r w:rsidRPr="00A210E9">
        <w:rPr>
          <w:rFonts w:eastAsia="Calibri"/>
          <w:b/>
          <w:bCs/>
          <w:rtl/>
        </w:rPr>
        <w:t>, חלה עלייה מוגברת ב</w:t>
      </w:r>
      <w:r w:rsidRPr="00A210E9">
        <w:rPr>
          <w:rFonts w:eastAsia="Calibri" w:hint="eastAsia"/>
          <w:b/>
          <w:bCs/>
          <w:rtl/>
        </w:rPr>
        <w:t>מספר</w:t>
      </w:r>
      <w:r w:rsidRPr="00A210E9">
        <w:rPr>
          <w:rFonts w:eastAsia="Calibri"/>
          <w:b/>
          <w:bCs/>
          <w:rtl/>
        </w:rPr>
        <w:t xml:space="preserve"> </w:t>
      </w:r>
      <w:r w:rsidRPr="00A210E9">
        <w:rPr>
          <w:rFonts w:eastAsia="Calibri" w:hint="eastAsia"/>
          <w:b/>
          <w:bCs/>
          <w:rtl/>
        </w:rPr>
        <w:t>התגים</w:t>
      </w:r>
      <w:r w:rsidRPr="00A210E9">
        <w:rPr>
          <w:rFonts w:eastAsia="Calibri"/>
          <w:b/>
          <w:bCs/>
          <w:rtl/>
        </w:rPr>
        <w:t xml:space="preserve"> </w:t>
      </w:r>
      <w:r w:rsidRPr="00A210E9">
        <w:rPr>
          <w:rFonts w:eastAsia="Calibri" w:hint="eastAsia"/>
          <w:b/>
          <w:bCs/>
          <w:rtl/>
        </w:rPr>
        <w:t>בשנים</w:t>
      </w:r>
      <w:r w:rsidRPr="00A210E9">
        <w:rPr>
          <w:rFonts w:eastAsia="Calibri"/>
          <w:b/>
          <w:bCs/>
          <w:rtl/>
        </w:rPr>
        <w:t xml:space="preserve"> 2021 - 2024 </w:t>
      </w:r>
      <w:r w:rsidRPr="00A210E9">
        <w:rPr>
          <w:rFonts w:eastAsia="Calibri" w:hint="eastAsia"/>
          <w:b/>
          <w:bCs/>
          <w:rtl/>
        </w:rPr>
        <w:t>מכ</w:t>
      </w:r>
      <w:r w:rsidRPr="00A210E9">
        <w:rPr>
          <w:rFonts w:eastAsia="Calibri"/>
          <w:b/>
          <w:bCs/>
          <w:rtl/>
        </w:rPr>
        <w:t xml:space="preserve">-268,000 לכ-449,000. </w:t>
      </w:r>
    </w:p>
    <w:bookmarkEnd w:id="14"/>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שיעור הגידול של בעלי תגי חניה ניכר גם ביחס למספר האנשים עם מוגבלות בישראל. </w:t>
      </w:r>
      <w:r w:rsidRPr="00A210E9">
        <w:rPr>
          <w:rFonts w:eastAsia="Calibri"/>
          <w:rtl/>
        </w:rPr>
        <w:t xml:space="preserve">על פי </w:t>
      </w:r>
      <w:r w:rsidRPr="00A210E9">
        <w:rPr>
          <w:rFonts w:eastAsia="Calibri" w:hint="cs"/>
          <w:rtl/>
        </w:rPr>
        <w:t xml:space="preserve">נתוני </w:t>
      </w:r>
      <w:r w:rsidRPr="00A210E9">
        <w:rPr>
          <w:rFonts w:eastAsia="Calibri"/>
          <w:rtl/>
        </w:rPr>
        <w:t>הלשכה המרכזית לסטטיסטיקה</w:t>
      </w:r>
      <w:r>
        <w:rPr>
          <w:rFonts w:eastAsia="Calibri"/>
          <w:vertAlign w:val="superscript"/>
          <w:rtl/>
        </w:rPr>
        <w:footnoteReference w:id="17"/>
      </w:r>
      <w:r w:rsidRPr="00A210E9">
        <w:rPr>
          <w:rFonts w:eastAsia="Calibri" w:hint="cs"/>
          <w:rtl/>
        </w:rPr>
        <w:t xml:space="preserve"> (להלן - למ"ס)</w:t>
      </w:r>
      <w:r w:rsidRPr="00A210E9">
        <w:rPr>
          <w:rFonts w:eastAsia="Calibri"/>
          <w:rtl/>
        </w:rPr>
        <w:t xml:space="preserve">, בשנת </w:t>
      </w:r>
      <w:r w:rsidRPr="00A210E9">
        <w:rPr>
          <w:rFonts w:eastAsia="Calibri" w:hint="cs"/>
          <w:rtl/>
        </w:rPr>
        <w:t>2023</w:t>
      </w:r>
      <w:r w:rsidRPr="00A210E9">
        <w:rPr>
          <w:rFonts w:eastAsia="Calibri"/>
          <w:rtl/>
        </w:rPr>
        <w:t xml:space="preserve"> </w:t>
      </w:r>
      <w:r w:rsidRPr="00A210E9">
        <w:rPr>
          <w:rFonts w:eastAsia="Calibri" w:hint="cs"/>
          <w:rtl/>
        </w:rPr>
        <w:t>כלל</w:t>
      </w:r>
      <w:r w:rsidRPr="00A210E9">
        <w:rPr>
          <w:rFonts w:eastAsia="Calibri"/>
          <w:rtl/>
        </w:rPr>
        <w:t xml:space="preserve"> מרשם אנשים עם מוגבלות </w:t>
      </w:r>
      <w:r w:rsidR="00136D6F">
        <w:rPr>
          <w:rFonts w:eastAsia="Calibri"/>
          <w:rtl/>
        </w:rPr>
        <w:br/>
      </w:r>
      <w:r w:rsidRPr="00A210E9">
        <w:rPr>
          <w:rFonts w:eastAsia="Calibri"/>
          <w:rtl/>
        </w:rPr>
        <w:t>כ-1.</w:t>
      </w:r>
      <w:r w:rsidRPr="00A210E9">
        <w:rPr>
          <w:rFonts w:eastAsia="Calibri" w:hint="cs"/>
          <w:rtl/>
        </w:rPr>
        <w:t>16</w:t>
      </w:r>
      <w:r w:rsidRPr="00A210E9">
        <w:rPr>
          <w:rFonts w:eastAsia="Calibri"/>
          <w:rtl/>
        </w:rPr>
        <w:t xml:space="preserve"> מיליון אנשים עם מוגבלויות שונות, חלקם עם מוגבלות בניידות</w:t>
      </w:r>
      <w:r>
        <w:rPr>
          <w:rFonts w:eastAsia="Calibri"/>
          <w:vertAlign w:val="superscript"/>
          <w:rtl/>
        </w:rPr>
        <w:footnoteReference w:id="18"/>
      </w:r>
      <w:r w:rsidRPr="00A210E9">
        <w:rPr>
          <w:rFonts w:eastAsia="Calibri" w:hint="cs"/>
          <w:rtl/>
        </w:rPr>
        <w:t xml:space="preserve"> -</w:t>
      </w:r>
      <w:r w:rsidRPr="00A210E9">
        <w:rPr>
          <w:rFonts w:eastAsia="Calibri"/>
          <w:rtl/>
        </w:rPr>
        <w:t xml:space="preserve"> </w:t>
      </w:r>
      <w:r w:rsidRPr="00A210E9">
        <w:rPr>
          <w:rFonts w:eastAsia="Calibri" w:hint="cs"/>
          <w:rtl/>
        </w:rPr>
        <w:t>כ-</w:t>
      </w:r>
      <w:r w:rsidRPr="00A210E9">
        <w:rPr>
          <w:rFonts w:eastAsia="Calibri"/>
          <w:rtl/>
        </w:rPr>
        <w:t xml:space="preserve">1 מתוך </w:t>
      </w:r>
      <w:r w:rsidRPr="00A210E9">
        <w:rPr>
          <w:rFonts w:eastAsia="Calibri" w:hint="cs"/>
          <w:rtl/>
        </w:rPr>
        <w:t>8</w:t>
      </w:r>
      <w:r w:rsidRPr="00A210E9">
        <w:rPr>
          <w:rFonts w:eastAsia="Calibri"/>
          <w:rtl/>
        </w:rPr>
        <w:t xml:space="preserve"> תושבי</w:t>
      </w:r>
      <w:r w:rsidRPr="00A210E9">
        <w:rPr>
          <w:rFonts w:eastAsia="Calibri" w:hint="cs"/>
          <w:rtl/>
        </w:rPr>
        <w:t>ם</w:t>
      </w:r>
      <w:r w:rsidRPr="00A210E9">
        <w:rPr>
          <w:rFonts w:eastAsia="Calibri"/>
          <w:rtl/>
        </w:rPr>
        <w:t xml:space="preserve"> (11.</w:t>
      </w:r>
      <w:r w:rsidRPr="00A210E9">
        <w:rPr>
          <w:rFonts w:eastAsia="Calibri" w:hint="cs"/>
          <w:rtl/>
        </w:rPr>
        <w:t>9</w:t>
      </w:r>
      <w:r w:rsidRPr="00A210E9">
        <w:rPr>
          <w:rFonts w:eastAsia="Calibri"/>
          <w:rtl/>
        </w:rPr>
        <w:t>% מכלל התושבים שמנו 9,</w:t>
      </w:r>
      <w:r w:rsidRPr="00A210E9">
        <w:rPr>
          <w:rFonts w:eastAsia="Calibri" w:hint="cs"/>
          <w:rtl/>
        </w:rPr>
        <w:t>776</w:t>
      </w:r>
      <w:r w:rsidRPr="00A210E9">
        <w:rPr>
          <w:rFonts w:eastAsia="Calibri"/>
          <w:rtl/>
        </w:rPr>
        <w:t>,</w:t>
      </w:r>
      <w:r w:rsidRPr="00A210E9">
        <w:rPr>
          <w:rFonts w:eastAsia="Calibri" w:hint="cs"/>
          <w:rtl/>
        </w:rPr>
        <w:t>2</w:t>
      </w:r>
      <w:r w:rsidRPr="00A210E9">
        <w:rPr>
          <w:rFonts w:eastAsia="Calibri"/>
          <w:rtl/>
        </w:rPr>
        <w:t xml:space="preserve">00) הוכר על ידי מוסדות המדינה כאדם עם מוגבלות. בשנת </w:t>
      </w:r>
      <w:r w:rsidRPr="00A210E9">
        <w:rPr>
          <w:rFonts w:eastAsia="Calibri" w:hint="cs"/>
          <w:rtl/>
        </w:rPr>
        <w:t>2023,</w:t>
      </w:r>
      <w:r w:rsidRPr="00A210E9">
        <w:rPr>
          <w:rFonts w:eastAsia="Calibri"/>
          <w:rtl/>
        </w:rPr>
        <w:t xml:space="preserve"> כ-</w:t>
      </w:r>
      <w:r w:rsidRPr="00A210E9">
        <w:rPr>
          <w:rFonts w:eastAsia="Calibri" w:hint="cs"/>
          <w:rtl/>
        </w:rPr>
        <w:t>35.7</w:t>
      </w:r>
      <w:r w:rsidRPr="00A210E9">
        <w:rPr>
          <w:rFonts w:eastAsia="Calibri"/>
          <w:rtl/>
        </w:rPr>
        <w:t>% מכלל האנשים עם מוגבלות</w:t>
      </w:r>
      <w:r w:rsidRPr="00A210E9">
        <w:rPr>
          <w:rFonts w:eastAsia="Calibri" w:hint="cs"/>
          <w:rtl/>
        </w:rPr>
        <w:t xml:space="preserve"> החזיקו ב</w:t>
      </w:r>
      <w:r w:rsidRPr="00A210E9">
        <w:rPr>
          <w:rFonts w:eastAsia="Calibri"/>
          <w:rtl/>
        </w:rPr>
        <w:t xml:space="preserve">תג </w:t>
      </w:r>
      <w:r w:rsidRPr="00A210E9">
        <w:rPr>
          <w:rFonts w:eastAsia="Calibri" w:hint="cs"/>
          <w:rtl/>
        </w:rPr>
        <w:t xml:space="preserve">חניה. </w:t>
      </w:r>
      <w:r w:rsidRPr="00A210E9">
        <w:rPr>
          <w:rFonts w:eastAsia="Calibri" w:hint="eastAsia"/>
          <w:rtl/>
        </w:rPr>
        <w:t>התרשים</w:t>
      </w:r>
      <w:r w:rsidRPr="00A210E9">
        <w:rPr>
          <w:rFonts w:eastAsia="Calibri" w:hint="cs"/>
          <w:rtl/>
        </w:rPr>
        <w:t xml:space="preserve"> שלהלן מציג את התפתחות מספר האנשים בעלי תג חניה ביחס למספר האנשים עם מוגבלות בשנים 2020 - 2023: </w:t>
      </w:r>
    </w:p>
    <w:p w:rsidR="00A210E9" w:rsidRPr="00A210E9" w:rsidP="00A210E9">
      <w:pPr>
        <w:keepNext/>
        <w:keepLines/>
        <w:spacing w:line="269" w:lineRule="auto"/>
        <w:jc w:val="center"/>
        <w:rPr>
          <w:rFonts w:eastAsia="Calibri"/>
          <w:b/>
          <w:bCs/>
          <w:rtl/>
        </w:rPr>
      </w:pPr>
      <w:r w:rsidRPr="00A210E9">
        <w:rPr>
          <w:rFonts w:eastAsia="Calibri" w:hint="cs"/>
          <w:rtl/>
        </w:rPr>
        <w:t>תרשים 3</w:t>
      </w:r>
      <w:r w:rsidRPr="00A210E9">
        <w:rPr>
          <w:rFonts w:eastAsia="Calibri"/>
          <w:rtl/>
        </w:rPr>
        <w:t>:</w:t>
      </w:r>
      <w:r w:rsidRPr="00A210E9">
        <w:rPr>
          <w:rFonts w:eastAsia="Calibri"/>
          <w:b/>
          <w:bCs/>
          <w:rtl/>
        </w:rPr>
        <w:t xml:space="preserve"> מספר בעלי תג </w:t>
      </w:r>
      <w:r w:rsidR="00D4573C">
        <w:rPr>
          <w:rFonts w:eastAsia="Calibri" w:hint="cs"/>
          <w:b/>
          <w:bCs/>
          <w:rtl/>
        </w:rPr>
        <w:t>ה</w:t>
      </w:r>
      <w:r w:rsidRPr="00A210E9">
        <w:rPr>
          <w:rFonts w:eastAsia="Calibri" w:hint="cs"/>
          <w:b/>
          <w:bCs/>
          <w:rtl/>
        </w:rPr>
        <w:t>חניה לאדם עם מוגבלות ושיעורם מסך האנשים עם מוגבלות,</w:t>
      </w:r>
    </w:p>
    <w:p w:rsidR="00A210E9" w:rsidRPr="00A210E9" w:rsidP="00A210E9">
      <w:pPr>
        <w:keepNext/>
        <w:keepLines/>
        <w:spacing w:line="269" w:lineRule="auto"/>
        <w:jc w:val="center"/>
        <w:rPr>
          <w:rFonts w:eastAsia="Calibri"/>
          <w:b/>
          <w:bCs/>
        </w:rPr>
      </w:pPr>
      <w:r w:rsidRPr="00A210E9">
        <w:rPr>
          <w:rFonts w:eastAsia="Calibri" w:hint="cs"/>
          <w:b/>
          <w:bCs/>
          <w:rtl/>
        </w:rPr>
        <w:t>2021</w:t>
      </w:r>
      <w:r w:rsidRPr="00A210E9">
        <w:rPr>
          <w:rFonts w:eastAsia="Calibri"/>
          <w:b/>
          <w:bCs/>
          <w:rtl/>
        </w:rPr>
        <w:t xml:space="preserve"> </w:t>
      </w:r>
      <w:r w:rsidRPr="00A210E9">
        <w:rPr>
          <w:rFonts w:eastAsia="Calibri" w:hint="cs"/>
          <w:b/>
          <w:bCs/>
          <w:rtl/>
        </w:rPr>
        <w:t>-</w:t>
      </w:r>
      <w:r w:rsidRPr="00A210E9">
        <w:rPr>
          <w:rFonts w:eastAsia="Calibri"/>
          <w:b/>
          <w:bCs/>
          <w:rtl/>
        </w:rPr>
        <w:t xml:space="preserve"> </w:t>
      </w:r>
      <w:r w:rsidRPr="00A210E9">
        <w:rPr>
          <w:rFonts w:eastAsia="Calibri" w:hint="cs"/>
          <w:b/>
          <w:bCs/>
          <w:rtl/>
        </w:rPr>
        <w:t>2023 (באלפים)</w:t>
      </w:r>
    </w:p>
    <w:p w:rsidR="00A210E9" w:rsidRPr="00A210E9" w:rsidP="00A210E9">
      <w:pPr>
        <w:spacing w:line="269" w:lineRule="auto"/>
        <w:jc w:val="center"/>
        <w:rPr>
          <w:rFonts w:eastAsia="Calibri"/>
          <w:sz w:val="22"/>
          <w:szCs w:val="22"/>
          <w:rtl/>
        </w:rPr>
      </w:pPr>
      <w:r w:rsidRPr="00A210E9">
        <w:rPr>
          <w:rFonts w:eastAsia="Calibri"/>
          <w:noProof/>
          <w:sz w:val="22"/>
          <w:szCs w:val="22"/>
        </w:rPr>
        <w:drawing>
          <wp:inline distT="0" distB="0" distL="0" distR="0">
            <wp:extent cx="5084545" cy="2528267"/>
            <wp:effectExtent l="0" t="0" r="1905" b="5715"/>
            <wp:docPr id="23" name="תמונה 23" descr="שיעור בעלי תג חניה מסך האנשים עם מוגבלות, בשנים 2021 - 2023:&#10;2021: 1,018,375, 268,014, 26.3%&#10;2022: 1,095,751, 365,627, 33.4%&#10;2023: 1,162,895, 415,275,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096382" cy="2534153"/>
                    </a:xfrm>
                    <a:prstGeom prst="rect">
                      <a:avLst/>
                    </a:prstGeom>
                    <a:noFill/>
                  </pic:spPr>
                </pic:pic>
              </a:graphicData>
            </a:graphic>
          </wp:inline>
        </w:drawing>
      </w:r>
    </w:p>
    <w:p w:rsidR="00A210E9" w:rsidRPr="00A210E9" w:rsidP="00A210E9">
      <w:pPr>
        <w:spacing w:line="269" w:lineRule="auto"/>
        <w:rPr>
          <w:rFonts w:eastAsia="Calibri"/>
          <w:szCs w:val="20"/>
          <w:rtl/>
        </w:rPr>
      </w:pPr>
      <w:r w:rsidRPr="00A210E9">
        <w:rPr>
          <w:rFonts w:eastAsia="Calibri" w:hint="cs"/>
          <w:szCs w:val="20"/>
          <w:rtl/>
        </w:rPr>
        <w:t>על פי נתוני הלמ"ס, משרד התחבורה ונציבות שוויון זכויות.</w:t>
      </w:r>
    </w:p>
    <w:p w:rsidR="00A210E9" w:rsidRPr="00A210E9" w:rsidP="00D4573C">
      <w:pPr>
        <w:spacing w:line="269" w:lineRule="auto"/>
        <w:ind w:left="282" w:hanging="284"/>
        <w:rPr>
          <w:rFonts w:eastAsia="Calibri"/>
          <w:szCs w:val="20"/>
          <w:rtl/>
        </w:rPr>
      </w:pPr>
      <w:r w:rsidRPr="00A210E9">
        <w:rPr>
          <w:rFonts w:eastAsia="Calibri" w:hint="cs"/>
          <w:szCs w:val="20"/>
          <w:rtl/>
        </w:rPr>
        <w:t xml:space="preserve">* </w:t>
      </w:r>
      <w:r w:rsidR="00D4573C">
        <w:rPr>
          <w:rFonts w:eastAsia="Calibri"/>
          <w:szCs w:val="20"/>
          <w:rtl/>
        </w:rPr>
        <w:tab/>
      </w:r>
      <w:r w:rsidRPr="00A210E9">
        <w:rPr>
          <w:rFonts w:eastAsia="Calibri" w:hint="cs"/>
          <w:szCs w:val="20"/>
          <w:rtl/>
        </w:rPr>
        <w:t>נכון לינואר 2022.</w:t>
      </w:r>
    </w:p>
    <w:p w:rsidR="00A210E9" w:rsidRPr="00A210E9" w:rsidP="00D4573C">
      <w:pPr>
        <w:spacing w:line="269" w:lineRule="auto"/>
        <w:ind w:left="282" w:hanging="284"/>
        <w:rPr>
          <w:rFonts w:eastAsia="Calibri"/>
          <w:szCs w:val="20"/>
          <w:rtl/>
        </w:rPr>
      </w:pPr>
      <w:r w:rsidRPr="00A210E9">
        <w:rPr>
          <w:rFonts w:eastAsia="Calibri" w:hint="cs"/>
          <w:szCs w:val="20"/>
          <w:rtl/>
        </w:rPr>
        <w:t xml:space="preserve">** </w:t>
      </w:r>
      <w:r w:rsidR="00D4573C">
        <w:rPr>
          <w:rFonts w:eastAsia="Calibri"/>
          <w:szCs w:val="20"/>
          <w:rtl/>
        </w:rPr>
        <w:tab/>
      </w:r>
      <w:r w:rsidRPr="00A210E9">
        <w:rPr>
          <w:rFonts w:eastAsia="Calibri" w:hint="cs"/>
          <w:szCs w:val="20"/>
          <w:rtl/>
        </w:rPr>
        <w:t>נכון לפברואר 2024.</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rtl/>
        </w:rPr>
        <w:t xml:space="preserve">בדיון בוועדת הכלכלה </w:t>
      </w:r>
      <w:r w:rsidRPr="00A210E9">
        <w:rPr>
          <w:rFonts w:eastAsia="Calibri" w:hint="cs"/>
          <w:rtl/>
        </w:rPr>
        <w:t>של ה</w:t>
      </w:r>
      <w:r w:rsidRPr="00A210E9">
        <w:rPr>
          <w:rFonts w:eastAsia="Calibri"/>
          <w:rtl/>
        </w:rPr>
        <w:t>כנסת בדצמבר 2020</w:t>
      </w:r>
      <w:r w:rsidRPr="00A210E9">
        <w:rPr>
          <w:rFonts w:eastAsia="Calibri" w:hint="cs"/>
          <w:rtl/>
        </w:rPr>
        <w:t>,</w:t>
      </w:r>
      <w:r w:rsidRPr="00A210E9">
        <w:rPr>
          <w:rFonts w:eastAsia="Calibri"/>
          <w:rtl/>
        </w:rPr>
        <w:t xml:space="preserve"> בנושא "מדיניות משרד התחבורה והבטיחות בדרכים בנושא תגי חניה לנכים"</w:t>
      </w:r>
      <w:r>
        <w:rPr>
          <w:rFonts w:eastAsia="Calibri"/>
          <w:vertAlign w:val="superscript"/>
          <w:rtl/>
        </w:rPr>
        <w:footnoteReference w:id="19"/>
      </w:r>
      <w:r w:rsidRPr="00A210E9">
        <w:rPr>
          <w:rFonts w:eastAsia="Calibri" w:hint="cs"/>
          <w:rtl/>
        </w:rPr>
        <w:t>,</w:t>
      </w:r>
      <w:r w:rsidRPr="00A210E9">
        <w:rPr>
          <w:rFonts w:eastAsia="Calibri"/>
          <w:rtl/>
        </w:rPr>
        <w:t xml:space="preserve"> עלה כי בשנים 2008 - 2018 חל גידול של 300% בהיקף השנתי של בקשות לקבלת תג </w:t>
      </w:r>
      <w:r w:rsidRPr="00A210E9">
        <w:rPr>
          <w:rFonts w:eastAsia="Calibri" w:hint="cs"/>
          <w:rtl/>
        </w:rPr>
        <w:t>חניה</w:t>
      </w:r>
      <w:r w:rsidRPr="00A210E9">
        <w:rPr>
          <w:rFonts w:eastAsia="Calibri"/>
          <w:rtl/>
        </w:rPr>
        <w:t xml:space="preserve">. בדיון עלה גם הצורך לחתור למדיניות של צמצום אישורי התגים הניתנים, ואף הושמעה ביקורת בנוגע לקריטריונים לקבלת תג </w:t>
      </w:r>
      <w:r w:rsidRPr="00A210E9">
        <w:rPr>
          <w:rFonts w:eastAsia="Calibri" w:hint="cs"/>
          <w:rtl/>
        </w:rPr>
        <w:t>חניה.</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eastAsia"/>
          <w:b/>
          <w:bCs/>
          <w:rtl/>
        </w:rPr>
        <w:t>בד</w:t>
      </w:r>
      <w:r w:rsidRPr="00A210E9">
        <w:rPr>
          <w:rFonts w:eastAsia="Calibri"/>
          <w:b/>
          <w:bCs/>
          <w:rtl/>
        </w:rPr>
        <w:t xml:space="preserve"> בבד עם הגידול במספר תגי </w:t>
      </w:r>
      <w:r w:rsidRPr="00A210E9">
        <w:rPr>
          <w:rFonts w:eastAsia="Calibri" w:hint="eastAsia"/>
          <w:b/>
          <w:bCs/>
          <w:rtl/>
        </w:rPr>
        <w:t>החניה</w:t>
      </w:r>
      <w:r w:rsidRPr="00A210E9">
        <w:rPr>
          <w:rFonts w:eastAsia="Calibri"/>
          <w:b/>
          <w:bCs/>
          <w:rtl/>
        </w:rPr>
        <w:t xml:space="preserve"> חל גם גידול </w:t>
      </w:r>
      <w:r w:rsidRPr="00A210E9">
        <w:rPr>
          <w:rFonts w:eastAsia="Calibri" w:hint="eastAsia"/>
          <w:b/>
          <w:bCs/>
          <w:rtl/>
        </w:rPr>
        <w:t>ניכר</w:t>
      </w:r>
      <w:r w:rsidRPr="00A210E9">
        <w:rPr>
          <w:rFonts w:eastAsia="Calibri"/>
          <w:b/>
          <w:bCs/>
          <w:rtl/>
        </w:rPr>
        <w:t xml:space="preserve"> במספר הרכבים המשויכים לתגים. </w:t>
      </w:r>
      <w:bookmarkStart w:id="15" w:name="_Hlk224737182"/>
      <w:r w:rsidRPr="00A210E9">
        <w:rPr>
          <w:rFonts w:eastAsia="Calibri"/>
          <w:b/>
          <w:bCs/>
          <w:rtl/>
        </w:rPr>
        <w:t xml:space="preserve">בשנת 2014 שויכו כ-155,000 רכבים לתגי חניה וביוני 2025 </w:t>
      </w:r>
      <w:r w:rsidRPr="00A210E9">
        <w:rPr>
          <w:rFonts w:eastAsia="Calibri" w:hint="eastAsia"/>
          <w:b/>
          <w:bCs/>
          <w:rtl/>
        </w:rPr>
        <w:t>עלה</w:t>
      </w:r>
      <w:r w:rsidRPr="00A210E9">
        <w:rPr>
          <w:rFonts w:eastAsia="Calibri"/>
          <w:b/>
          <w:bCs/>
          <w:rtl/>
        </w:rPr>
        <w:t xml:space="preserve"> </w:t>
      </w:r>
      <w:r w:rsidRPr="00A210E9">
        <w:rPr>
          <w:rFonts w:eastAsia="Calibri" w:hint="eastAsia"/>
          <w:b/>
          <w:bCs/>
          <w:rtl/>
        </w:rPr>
        <w:t>מספרם</w:t>
      </w:r>
      <w:r w:rsidRPr="00A210E9">
        <w:rPr>
          <w:rFonts w:eastAsia="Calibri"/>
          <w:b/>
          <w:bCs/>
          <w:rtl/>
        </w:rPr>
        <w:t xml:space="preserve"> לכ-669,000. </w:t>
      </w:r>
    </w:p>
    <w:bookmarkEnd w:id="15"/>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מדיונים בכנסת וממסמכים שהוגשו לקראתם, בין היתר על ידי עמותות שמייצגות אנשים עם מוגבלות, ממסמכים של משרד התחבורה ומתלונות שהופנו ל</w:t>
      </w:r>
      <w:r w:rsidRPr="00A210E9">
        <w:rPr>
          <w:rFonts w:eastAsia="Calibri"/>
          <w:rtl/>
        </w:rPr>
        <w:t>נציבות שוויון זכויות</w:t>
      </w:r>
      <w:r w:rsidRPr="00A210E9">
        <w:rPr>
          <w:rFonts w:eastAsia="Calibri" w:hint="cs"/>
          <w:rtl/>
        </w:rPr>
        <w:t xml:space="preserve"> ולנציבות תלונות הציבור במשרד מבקר המדינה (להלן - נציבות תלונות הציבור) עולה כי </w:t>
      </w:r>
      <w:r w:rsidRPr="00A210E9">
        <w:rPr>
          <w:rFonts w:eastAsia="Calibri"/>
          <w:rtl/>
        </w:rPr>
        <w:t xml:space="preserve">לאור הגידול </w:t>
      </w:r>
      <w:r w:rsidRPr="00A210E9">
        <w:rPr>
          <w:rFonts w:eastAsia="Calibri" w:hint="cs"/>
          <w:rtl/>
        </w:rPr>
        <w:t xml:space="preserve">הניכר במספר </w:t>
      </w:r>
      <w:r w:rsidRPr="00A210E9">
        <w:rPr>
          <w:rFonts w:eastAsia="Calibri"/>
          <w:rtl/>
        </w:rPr>
        <w:t xml:space="preserve">בעלי תג </w:t>
      </w:r>
      <w:r w:rsidRPr="00A210E9">
        <w:rPr>
          <w:rFonts w:eastAsia="Calibri" w:hint="cs"/>
          <w:rtl/>
        </w:rPr>
        <w:t>חניה ו</w:t>
      </w:r>
      <w:r w:rsidRPr="00A210E9">
        <w:rPr>
          <w:rFonts w:eastAsia="Calibri"/>
          <w:rtl/>
        </w:rPr>
        <w:t xml:space="preserve">ריבוי כלי </w:t>
      </w:r>
      <w:r w:rsidRPr="00A210E9">
        <w:rPr>
          <w:rFonts w:eastAsia="Calibri" w:hint="cs"/>
          <w:rtl/>
        </w:rPr>
        <w:t>ה</w:t>
      </w:r>
      <w:r w:rsidRPr="00A210E9">
        <w:rPr>
          <w:rFonts w:eastAsia="Calibri"/>
          <w:rtl/>
        </w:rPr>
        <w:t>רכב המשויכים ל</w:t>
      </w:r>
      <w:r w:rsidRPr="00A210E9">
        <w:rPr>
          <w:rFonts w:eastAsia="Calibri" w:hint="cs"/>
          <w:rtl/>
        </w:rPr>
        <w:t>הם</w:t>
      </w:r>
      <w:r w:rsidRPr="00A210E9">
        <w:rPr>
          <w:rFonts w:eastAsia="Calibri"/>
          <w:rtl/>
        </w:rPr>
        <w:t xml:space="preserve"> </w:t>
      </w:r>
      <w:r w:rsidRPr="00A210E9">
        <w:rPr>
          <w:rFonts w:eastAsia="Calibri" w:hint="cs"/>
          <w:rtl/>
        </w:rPr>
        <w:t>נוצרת</w:t>
      </w:r>
      <w:r w:rsidRPr="00A210E9">
        <w:rPr>
          <w:rFonts w:eastAsia="Calibri"/>
          <w:rtl/>
        </w:rPr>
        <w:t xml:space="preserve"> מצוק</w:t>
      </w:r>
      <w:r w:rsidRPr="00A210E9">
        <w:rPr>
          <w:rFonts w:eastAsia="Calibri" w:hint="cs"/>
          <w:rtl/>
        </w:rPr>
        <w:t>ה</w:t>
      </w:r>
      <w:r w:rsidRPr="00A210E9">
        <w:rPr>
          <w:rFonts w:eastAsia="Calibri"/>
          <w:rtl/>
        </w:rPr>
        <w:t xml:space="preserve"> הולכת וגוברת בחניות </w:t>
      </w:r>
      <w:r w:rsidRPr="00A210E9">
        <w:rPr>
          <w:rFonts w:eastAsia="Calibri" w:hint="cs"/>
          <w:rtl/>
        </w:rPr>
        <w:t>ה</w:t>
      </w:r>
      <w:r w:rsidRPr="00A210E9">
        <w:rPr>
          <w:rFonts w:eastAsia="Calibri"/>
          <w:rtl/>
        </w:rPr>
        <w:t xml:space="preserve">מסומנות </w:t>
      </w:r>
      <w:r w:rsidRPr="00A210E9">
        <w:rPr>
          <w:rFonts w:eastAsia="Calibri" w:hint="cs"/>
          <w:rtl/>
        </w:rPr>
        <w:t>לאנשים עם מוגבלות</w:t>
      </w:r>
      <w:r w:rsidRPr="00A210E9">
        <w:rPr>
          <w:rFonts w:eastAsia="Calibri"/>
          <w:rtl/>
        </w:rPr>
        <w:t xml:space="preserve"> בלבד, ובפרט בערים מאוכלסות ובמרכז הארץ</w:t>
      </w:r>
      <w:r>
        <w:rPr>
          <w:rFonts w:eastAsia="Calibri"/>
          <w:vertAlign w:val="superscript"/>
          <w:rtl/>
        </w:rPr>
        <w:footnoteReference w:id="20"/>
      </w:r>
      <w:r w:rsidRPr="00A210E9">
        <w:rPr>
          <w:rFonts w:eastAsia="Calibri" w:hint="cs"/>
          <w:rtl/>
        </w:rPr>
        <w:t>.</w:t>
      </w:r>
      <w:r w:rsidRPr="00A210E9">
        <w:rPr>
          <w:rFonts w:eastAsia="Calibri"/>
          <w:rtl/>
        </w:rPr>
        <w:t xml:space="preserve"> </w:t>
      </w:r>
      <w:r w:rsidRPr="00A210E9">
        <w:rPr>
          <w:rFonts w:eastAsia="Calibri" w:hint="cs"/>
          <w:rtl/>
        </w:rPr>
        <w:t xml:space="preserve">סברה רווחת שהושמעה גם בוועדות בכנסת היא כי </w:t>
      </w:r>
      <w:r w:rsidRPr="00A210E9">
        <w:rPr>
          <w:rFonts w:eastAsia="Calibri"/>
          <w:rtl/>
        </w:rPr>
        <w:t>חניות אל</w:t>
      </w:r>
      <w:r w:rsidRPr="00A210E9">
        <w:rPr>
          <w:rFonts w:eastAsia="Calibri" w:hint="cs"/>
          <w:rtl/>
        </w:rPr>
        <w:t>ה</w:t>
      </w:r>
      <w:r w:rsidRPr="00A210E9">
        <w:rPr>
          <w:rFonts w:eastAsia="Calibri"/>
          <w:rtl/>
        </w:rPr>
        <w:t xml:space="preserve"> נתפסות בידי רכבים אשר אינם מורשים לחנות בהן או על ידי רכבים </w:t>
      </w:r>
      <w:r w:rsidRPr="00A210E9">
        <w:rPr>
          <w:rFonts w:eastAsia="Calibri" w:hint="cs"/>
          <w:rtl/>
        </w:rPr>
        <w:t>המשויכים</w:t>
      </w:r>
      <w:r w:rsidRPr="00A210E9">
        <w:rPr>
          <w:rFonts w:eastAsia="Calibri"/>
          <w:rtl/>
        </w:rPr>
        <w:t xml:space="preserve"> </w:t>
      </w:r>
      <w:r w:rsidRPr="00A210E9">
        <w:rPr>
          <w:rFonts w:eastAsia="Calibri" w:hint="cs"/>
          <w:rtl/>
        </w:rPr>
        <w:t>ל</w:t>
      </w:r>
      <w:r w:rsidRPr="00A210E9">
        <w:rPr>
          <w:rFonts w:eastAsia="Calibri"/>
          <w:rtl/>
        </w:rPr>
        <w:t xml:space="preserve">תג </w:t>
      </w:r>
      <w:r w:rsidRPr="00A210E9">
        <w:rPr>
          <w:rFonts w:eastAsia="Calibri" w:hint="cs"/>
          <w:rtl/>
        </w:rPr>
        <w:t xml:space="preserve">חניה </w:t>
      </w:r>
      <w:r w:rsidRPr="00A210E9">
        <w:rPr>
          <w:rFonts w:eastAsia="Calibri"/>
          <w:rtl/>
        </w:rPr>
        <w:t xml:space="preserve">אך ללא נוכחות פיזית של </w:t>
      </w:r>
      <w:r w:rsidRPr="00A210E9">
        <w:rPr>
          <w:rFonts w:eastAsia="Calibri" w:hint="cs"/>
          <w:rtl/>
        </w:rPr>
        <w:t>בעל התג</w:t>
      </w:r>
      <w:r w:rsidRPr="00A210E9">
        <w:rPr>
          <w:rFonts w:eastAsia="Calibri"/>
          <w:rtl/>
        </w:rPr>
        <w:t>.</w:t>
      </w:r>
      <w:r w:rsidRPr="00A210E9">
        <w:rPr>
          <w:rFonts w:eastAsia="Calibri" w:hint="cs"/>
          <w:rtl/>
        </w:rPr>
        <w:t xml:space="preserve"> זאת ועוד, מוסכם על גורמי המקצוע</w:t>
      </w:r>
      <w:r w:rsidRPr="00A210E9">
        <w:rPr>
          <w:rFonts w:eastAsia="Calibri"/>
          <w:rtl/>
        </w:rPr>
        <w:t xml:space="preserve"> </w:t>
      </w:r>
      <w:bookmarkStart w:id="16" w:name="_Hlk224758202"/>
      <w:r w:rsidRPr="00A210E9">
        <w:rPr>
          <w:rFonts w:eastAsia="Calibri"/>
          <w:rtl/>
        </w:rPr>
        <w:t xml:space="preserve">שההכרה </w:t>
      </w:r>
      <w:r w:rsidRPr="00A210E9">
        <w:rPr>
          <w:rFonts w:eastAsia="Calibri" w:hint="cs"/>
          <w:rtl/>
        </w:rPr>
        <w:t>באנשים עם מוגבלות</w:t>
      </w:r>
      <w:r w:rsidRPr="00A210E9">
        <w:rPr>
          <w:rFonts w:eastAsia="Calibri"/>
          <w:rtl/>
        </w:rPr>
        <w:t xml:space="preserve"> לעניין תג </w:t>
      </w:r>
      <w:r w:rsidRPr="00A210E9">
        <w:rPr>
          <w:rFonts w:eastAsia="Calibri" w:hint="cs"/>
          <w:rtl/>
        </w:rPr>
        <w:t>חניה</w:t>
      </w:r>
      <w:r w:rsidRPr="00A210E9">
        <w:rPr>
          <w:rFonts w:eastAsia="Calibri"/>
          <w:rtl/>
        </w:rPr>
        <w:t xml:space="preserve"> חורגת מכמות </w:t>
      </w:r>
      <w:r w:rsidRPr="00A210E9">
        <w:rPr>
          <w:rFonts w:eastAsia="Calibri" w:hint="cs"/>
          <w:rtl/>
        </w:rPr>
        <w:t>האנשים עם מוגבלות</w:t>
      </w:r>
      <w:r w:rsidRPr="00A210E9">
        <w:rPr>
          <w:rFonts w:eastAsia="Calibri"/>
          <w:rtl/>
        </w:rPr>
        <w:t xml:space="preserve"> הזקוקים לסיוע</w:t>
      </w:r>
      <w:r w:rsidRPr="00A210E9">
        <w:rPr>
          <w:rFonts w:eastAsia="Calibri" w:hint="cs"/>
          <w:rtl/>
        </w:rPr>
        <w:t xml:space="preserve"> זה </w:t>
      </w:r>
      <w:r w:rsidRPr="00A210E9">
        <w:rPr>
          <w:rFonts w:eastAsia="Calibri"/>
          <w:rtl/>
        </w:rPr>
        <w:t>בפועל</w:t>
      </w:r>
      <w:bookmarkEnd w:id="16"/>
      <w:r>
        <w:rPr>
          <w:rFonts w:eastAsia="Calibri"/>
          <w:vertAlign w:val="superscript"/>
          <w:rtl/>
        </w:rPr>
        <w:footnoteReference w:id="21"/>
      </w:r>
      <w:r w:rsidRPr="00A210E9">
        <w:rPr>
          <w:rFonts w:eastAsia="Calibri"/>
          <w:rtl/>
        </w:rPr>
        <w:t>.</w:t>
      </w:r>
      <w:r w:rsidRPr="00A210E9">
        <w:rPr>
          <w:rFonts w:eastAsia="Calibri" w:hint="cs"/>
          <w:rtl/>
        </w:rPr>
        <w:t xml:space="preserve"> מנגד עולה כי </w:t>
      </w:r>
      <w:r w:rsidRPr="00A210E9">
        <w:rPr>
          <w:rFonts w:eastAsia="Calibri"/>
          <w:rtl/>
        </w:rPr>
        <w:t xml:space="preserve">במקרים רבים אנשים עם מוגבלות נתקלים במערכת בירוקרטית המקשה עליהם את תהליך הגשת הבקשה וקבלת תג </w:t>
      </w:r>
      <w:r w:rsidRPr="00A210E9">
        <w:rPr>
          <w:rFonts w:eastAsia="Calibri" w:hint="cs"/>
          <w:rtl/>
        </w:rPr>
        <w:t>החניה</w:t>
      </w:r>
      <w:r w:rsidRPr="00A210E9">
        <w:rPr>
          <w:rFonts w:eastAsia="Calibri"/>
          <w:rtl/>
        </w:rPr>
        <w:t xml:space="preserve">. </w:t>
      </w:r>
      <w:r w:rsidRPr="00A210E9">
        <w:rPr>
          <w:rFonts w:eastAsia="Calibri" w:hint="cs"/>
          <w:rtl/>
        </w:rPr>
        <w:t>ל</w:t>
      </w:r>
      <w:r w:rsidRPr="00A210E9">
        <w:rPr>
          <w:rFonts w:eastAsia="Calibri"/>
          <w:rtl/>
        </w:rPr>
        <w:t xml:space="preserve">נציבות תלונות הציבור נשלחו תלונות רבות </w:t>
      </w:r>
      <w:r w:rsidRPr="00A210E9">
        <w:rPr>
          <w:rFonts w:eastAsia="Calibri" w:hint="cs"/>
          <w:rtl/>
        </w:rPr>
        <w:t>מ</w:t>
      </w:r>
      <w:r w:rsidRPr="00A210E9">
        <w:rPr>
          <w:rFonts w:eastAsia="Calibri"/>
          <w:rtl/>
        </w:rPr>
        <w:t xml:space="preserve">אזרחים אשר נתקלו בקשיים </w:t>
      </w:r>
      <w:r w:rsidRPr="00A210E9">
        <w:rPr>
          <w:rFonts w:eastAsia="Calibri" w:hint="cs"/>
          <w:rtl/>
        </w:rPr>
        <w:t>של ממש בטיפול של</w:t>
      </w:r>
      <w:r w:rsidRPr="00A210E9">
        <w:rPr>
          <w:rFonts w:eastAsia="Calibri"/>
          <w:rtl/>
        </w:rPr>
        <w:t xml:space="preserve"> משרד התחבורה בעניינם</w:t>
      </w:r>
      <w:r>
        <w:rPr>
          <w:rFonts w:eastAsia="Calibri"/>
          <w:vertAlign w:val="superscript"/>
          <w:rtl/>
        </w:rPr>
        <w:footnoteReference w:id="22"/>
      </w:r>
      <w:r w:rsidRPr="00A210E9">
        <w:rPr>
          <w:rFonts w:eastAsia="Calibri"/>
          <w:rtl/>
        </w:rPr>
        <w:t>.</w:t>
      </w:r>
      <w:r w:rsidRPr="00A210E9">
        <w:rPr>
          <w:rFonts w:eastAsia="Calibri" w:hint="cs"/>
          <w:rtl/>
        </w:rPr>
        <w:t xml:space="preserve"> כמו כן, הועלו קשיים בהקצאת חניות אישיות ליד מקומות מגורים.</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rtl/>
        </w:rPr>
        <w:t>בשנים האחרונות</w:t>
      </w:r>
      <w:r w:rsidRPr="00A210E9">
        <w:rPr>
          <w:rFonts w:eastAsia="Calibri" w:hint="cs"/>
          <w:rtl/>
        </w:rPr>
        <w:t xml:space="preserve"> נחשפו</w:t>
      </w:r>
      <w:r w:rsidRPr="00A210E9">
        <w:rPr>
          <w:rFonts w:eastAsia="Calibri"/>
          <w:rtl/>
        </w:rPr>
        <w:t xml:space="preserve"> </w:t>
      </w:r>
      <w:r w:rsidRPr="00A210E9">
        <w:rPr>
          <w:rFonts w:eastAsia="Calibri" w:hint="cs"/>
          <w:rtl/>
        </w:rPr>
        <w:t>ב</w:t>
      </w:r>
      <w:r w:rsidRPr="00A210E9">
        <w:rPr>
          <w:rFonts w:eastAsia="Calibri"/>
          <w:rtl/>
        </w:rPr>
        <w:t>חקירות משטרתיות</w:t>
      </w:r>
      <w:r w:rsidRPr="00A210E9">
        <w:rPr>
          <w:rFonts w:eastAsia="Calibri" w:hint="cs"/>
          <w:rtl/>
        </w:rPr>
        <w:t>,</w:t>
      </w:r>
      <w:r w:rsidRPr="00A210E9">
        <w:rPr>
          <w:rFonts w:eastAsia="Calibri"/>
          <w:rtl/>
        </w:rPr>
        <w:t xml:space="preserve"> שנוהלו בשיתוף משרד התחבורה</w:t>
      </w:r>
      <w:r w:rsidRPr="00A210E9">
        <w:rPr>
          <w:rFonts w:eastAsia="Calibri" w:hint="cs"/>
          <w:rtl/>
        </w:rPr>
        <w:t>,</w:t>
      </w:r>
      <w:r w:rsidRPr="00A210E9">
        <w:rPr>
          <w:rFonts w:eastAsia="Calibri"/>
          <w:rtl/>
        </w:rPr>
        <w:t xml:space="preserve"> רשתות עברייניות שסחרו </w:t>
      </w:r>
      <w:r w:rsidRPr="00A210E9">
        <w:rPr>
          <w:rFonts w:eastAsia="Calibri" w:hint="cs"/>
          <w:rtl/>
        </w:rPr>
        <w:t>בתגי חניה</w:t>
      </w:r>
      <w:r w:rsidRPr="00A210E9">
        <w:rPr>
          <w:rFonts w:eastAsia="Calibri"/>
          <w:rtl/>
        </w:rPr>
        <w:t>, שהו</w:t>
      </w:r>
      <w:r w:rsidRPr="00A210E9">
        <w:rPr>
          <w:rFonts w:eastAsia="Calibri" w:hint="cs"/>
          <w:rtl/>
        </w:rPr>
        <w:t>נ</w:t>
      </w:r>
      <w:r w:rsidRPr="00A210E9">
        <w:rPr>
          <w:rFonts w:eastAsia="Calibri"/>
          <w:rtl/>
        </w:rPr>
        <w:t>פקו במרמה ונמכרו לכל דורש</w:t>
      </w:r>
      <w:r w:rsidRPr="00A210E9">
        <w:rPr>
          <w:rFonts w:eastAsia="Calibri" w:hint="cs"/>
          <w:rtl/>
        </w:rPr>
        <w:t xml:space="preserve">, </w:t>
      </w:r>
      <w:r w:rsidRPr="00A210E9">
        <w:rPr>
          <w:rFonts w:eastAsia="Calibri"/>
          <w:rtl/>
        </w:rPr>
        <w:t>תוך שימוש במסמכים רפואיים מזויפים</w:t>
      </w:r>
      <w:r>
        <w:rPr>
          <w:rFonts w:eastAsia="Calibri"/>
          <w:vertAlign w:val="superscript"/>
          <w:rtl/>
        </w:rPr>
        <w:footnoteReference w:id="23"/>
      </w:r>
      <w:r w:rsidRPr="00A210E9">
        <w:rPr>
          <w:rFonts w:eastAsia="Calibri"/>
          <w:rtl/>
        </w:rPr>
        <w:t xml:space="preserve">. </w:t>
      </w:r>
      <w:r w:rsidRPr="00A210E9">
        <w:rPr>
          <w:rFonts w:eastAsia="Calibri" w:hint="cs"/>
          <w:rtl/>
        </w:rPr>
        <w:t xml:space="preserve">בדיון בוועדת הכלכלה של הכנסת בספטמבר 2025 מסר משרד התחבורה כי יחד עם </w:t>
      </w:r>
      <w:r w:rsidRPr="00A210E9">
        <w:rPr>
          <w:rFonts w:eastAsia="Calibri" w:hint="cs"/>
          <w:rtl/>
        </w:rPr>
        <w:t>המשטרה הוא מעריך</w:t>
      </w:r>
      <w:r w:rsidRPr="00A210E9">
        <w:rPr>
          <w:rFonts w:eastAsia="Calibri"/>
          <w:rtl/>
        </w:rPr>
        <w:t xml:space="preserve"> ש</w:t>
      </w:r>
      <w:r w:rsidRPr="00A210E9">
        <w:rPr>
          <w:rFonts w:eastAsia="Calibri" w:hint="cs"/>
          <w:rtl/>
        </w:rPr>
        <w:t xml:space="preserve">כ-150,000 תגים </w:t>
      </w:r>
      <w:r w:rsidRPr="00A210E9">
        <w:rPr>
          <w:rFonts w:eastAsia="Calibri"/>
          <w:rtl/>
        </w:rPr>
        <w:t>שהונפקו בשנים האחרונות ניתנו שלא כדין</w:t>
      </w:r>
      <w:r>
        <w:rPr>
          <w:rFonts w:eastAsia="Calibri"/>
          <w:vertAlign w:val="superscript"/>
          <w:rtl/>
        </w:rPr>
        <w:footnoteReference w:id="24"/>
      </w:r>
      <w:r w:rsidRPr="00A210E9">
        <w:rPr>
          <w:rFonts w:eastAsia="Calibri" w:hint="cs"/>
          <w:rtl/>
        </w:rPr>
        <w:t>. הונאה בסדר גודל כזה עלולה</w:t>
      </w:r>
      <w:r w:rsidRPr="00A210E9">
        <w:rPr>
          <w:rFonts w:eastAsia="Calibri"/>
          <w:rtl/>
        </w:rPr>
        <w:t xml:space="preserve"> </w:t>
      </w:r>
      <w:r w:rsidRPr="00A210E9">
        <w:rPr>
          <w:rFonts w:eastAsia="Calibri" w:hint="cs"/>
          <w:rtl/>
        </w:rPr>
        <w:t>לגרום ל</w:t>
      </w:r>
      <w:r w:rsidRPr="00A210E9">
        <w:rPr>
          <w:rFonts w:eastAsia="Calibri"/>
          <w:rtl/>
        </w:rPr>
        <w:t>פגיעה יו</w:t>
      </w:r>
      <w:r w:rsidRPr="00A210E9">
        <w:rPr>
          <w:rFonts w:eastAsia="Calibri" w:hint="cs"/>
          <w:rtl/>
        </w:rPr>
        <w:t>ם-</w:t>
      </w:r>
      <w:r w:rsidRPr="00A210E9">
        <w:rPr>
          <w:rFonts w:eastAsia="Calibri"/>
          <w:rtl/>
        </w:rPr>
        <w:t xml:space="preserve">יומית בזכויות </w:t>
      </w:r>
      <w:r w:rsidRPr="00A210E9">
        <w:rPr>
          <w:rFonts w:eastAsia="Calibri" w:hint="cs"/>
          <w:rtl/>
        </w:rPr>
        <w:t xml:space="preserve">האנשים שמתמודדים עם מוגבלויות, לצד גרימת </w:t>
      </w:r>
      <w:r w:rsidRPr="00A210E9">
        <w:rPr>
          <w:rFonts w:eastAsia="Calibri"/>
          <w:rtl/>
        </w:rPr>
        <w:t>נזק של מאות מיליוני שקלים לקופת המדינה.</w:t>
      </w:r>
      <w:r w:rsidRPr="00A210E9">
        <w:rPr>
          <w:rFonts w:eastAsia="Calibri" w:hint="cs"/>
          <w:rtl/>
        </w:rPr>
        <w:t xml:space="preserve"> </w:t>
      </w:r>
      <w:r w:rsidRPr="00A210E9">
        <w:rPr>
          <w:rFonts w:eastAsia="Calibri"/>
          <w:rtl/>
        </w:rPr>
        <w:t xml:space="preserve">בעקבות </w:t>
      </w:r>
      <w:r w:rsidRPr="00A210E9">
        <w:rPr>
          <w:rFonts w:eastAsia="Calibri" w:hint="cs"/>
          <w:rtl/>
        </w:rPr>
        <w:t>החשדות האמורים</w:t>
      </w:r>
      <w:r w:rsidRPr="00A210E9">
        <w:rPr>
          <w:rFonts w:eastAsia="Calibri"/>
          <w:rtl/>
        </w:rPr>
        <w:t xml:space="preserve">, </w:t>
      </w:r>
      <w:r w:rsidRPr="00A210E9">
        <w:rPr>
          <w:rFonts w:eastAsia="Calibri" w:hint="cs"/>
          <w:rtl/>
        </w:rPr>
        <w:t xml:space="preserve">בין יולי 2023 עד דצמבר 2024 התנהלה חקירה משטרתית סמויה, ובתקופה זו המשטרה הנחתה את משרד התחבורה שלא לנקוט פעולות שעלולות לשבש את החקירה. </w:t>
      </w:r>
      <w:r w:rsidRPr="00A210E9">
        <w:rPr>
          <w:rFonts w:eastAsia="Calibri"/>
          <w:rtl/>
        </w:rPr>
        <w:t>מינואר 2025</w:t>
      </w:r>
      <w:r w:rsidRPr="00A210E9">
        <w:rPr>
          <w:rFonts w:eastAsia="Calibri" w:hint="cs"/>
        </w:rPr>
        <w:t xml:space="preserve"> </w:t>
      </w:r>
      <w:r w:rsidRPr="00A210E9">
        <w:rPr>
          <w:rFonts w:eastAsia="Calibri" w:hint="cs"/>
          <w:rtl/>
        </w:rPr>
        <w:t>הפסיק משרד התחבורה</w:t>
      </w:r>
      <w:r w:rsidRPr="00A210E9">
        <w:rPr>
          <w:rFonts w:eastAsia="Calibri"/>
          <w:rtl/>
        </w:rPr>
        <w:t xml:space="preserve"> </w:t>
      </w:r>
      <w:r w:rsidRPr="00A210E9">
        <w:rPr>
          <w:rFonts w:eastAsia="Calibri" w:hint="cs"/>
          <w:rtl/>
        </w:rPr>
        <w:t>להנפיק</w:t>
      </w:r>
      <w:r w:rsidRPr="00A210E9">
        <w:rPr>
          <w:rFonts w:eastAsia="Calibri"/>
          <w:rtl/>
        </w:rPr>
        <w:t xml:space="preserve"> תגי </w:t>
      </w:r>
      <w:r w:rsidRPr="00A210E9">
        <w:rPr>
          <w:rFonts w:eastAsia="Calibri" w:hint="cs"/>
          <w:rtl/>
        </w:rPr>
        <w:t>חניה</w:t>
      </w:r>
      <w:r w:rsidRPr="00A210E9">
        <w:rPr>
          <w:rFonts w:eastAsia="Calibri"/>
          <w:rtl/>
        </w:rPr>
        <w:t xml:space="preserve"> חדשים</w:t>
      </w:r>
      <w:r w:rsidRPr="00A210E9">
        <w:rPr>
          <w:rFonts w:eastAsia="Calibri" w:hint="cs"/>
          <w:rtl/>
        </w:rPr>
        <w:t xml:space="preserve"> לאנשים עם מוגבלות אשר פנו ישירות לאגף הרישוי</w:t>
      </w:r>
      <w:r>
        <w:rPr>
          <w:rFonts w:eastAsia="Calibri"/>
          <w:vertAlign w:val="superscript"/>
          <w:rtl/>
        </w:rPr>
        <w:footnoteReference w:id="25"/>
      </w:r>
      <w:r w:rsidRPr="00A210E9">
        <w:rPr>
          <w:rFonts w:eastAsia="Calibri"/>
          <w:rtl/>
        </w:rPr>
        <w:t>. מהלך</w:t>
      </w:r>
      <w:r w:rsidRPr="00A210E9">
        <w:rPr>
          <w:rFonts w:eastAsia="Calibri" w:hint="cs"/>
          <w:rtl/>
        </w:rPr>
        <w:t xml:space="preserve"> זה</w:t>
      </w:r>
      <w:r w:rsidRPr="00A210E9">
        <w:rPr>
          <w:rFonts w:eastAsia="Calibri"/>
          <w:rtl/>
        </w:rPr>
        <w:t xml:space="preserve"> יצר עיכובים בטיפול בבקשות חדשות</w:t>
      </w:r>
      <w:r w:rsidRPr="00A210E9">
        <w:rPr>
          <w:rFonts w:eastAsia="Calibri" w:hint="cs"/>
          <w:rtl/>
        </w:rPr>
        <w:t xml:space="preserve"> </w:t>
      </w:r>
      <w:r w:rsidRPr="00A210E9">
        <w:rPr>
          <w:rFonts w:eastAsia="Calibri"/>
          <w:rtl/>
        </w:rPr>
        <w:t>ו</w:t>
      </w:r>
      <w:r w:rsidRPr="00A210E9">
        <w:rPr>
          <w:rFonts w:eastAsia="Calibri" w:hint="cs"/>
          <w:rtl/>
        </w:rPr>
        <w:t xml:space="preserve">אף </w:t>
      </w:r>
      <w:r w:rsidRPr="00A210E9">
        <w:rPr>
          <w:rFonts w:eastAsia="Calibri"/>
          <w:rtl/>
        </w:rPr>
        <w:t>גרר עתיר</w:t>
      </w:r>
      <w:r w:rsidRPr="00A210E9">
        <w:rPr>
          <w:rFonts w:eastAsia="Calibri" w:hint="cs"/>
          <w:rtl/>
        </w:rPr>
        <w:t>ה</w:t>
      </w:r>
      <w:r w:rsidRPr="00A210E9">
        <w:rPr>
          <w:rFonts w:eastAsia="Calibri"/>
          <w:rtl/>
        </w:rPr>
        <w:t xml:space="preserve"> לבג"ץ</w:t>
      </w:r>
      <w:r w:rsidRPr="00A210E9">
        <w:rPr>
          <w:rFonts w:eastAsia="Calibri" w:hint="cs"/>
          <w:rtl/>
        </w:rPr>
        <w:t xml:space="preserve"> בנושא</w:t>
      </w:r>
      <w:r>
        <w:rPr>
          <w:rFonts w:eastAsia="Calibri"/>
          <w:vertAlign w:val="superscript"/>
          <w:rtl/>
        </w:rPr>
        <w:footnoteReference w:id="26"/>
      </w:r>
      <w:r w:rsidRPr="00A210E9">
        <w:rPr>
          <w:rFonts w:eastAsia="Calibri"/>
          <w:rtl/>
        </w:rPr>
        <w:t>.</w:t>
      </w:r>
      <w:r w:rsidRPr="00A210E9">
        <w:rPr>
          <w:rFonts w:eastAsia="Calibri" w:hint="cs"/>
          <w:rtl/>
        </w:rPr>
        <w:t xml:space="preserve"> הנפקת תגים חדשים חודשה ביוני 2025. בינואר 2025</w:t>
      </w:r>
      <w:r w:rsidRPr="00A210E9">
        <w:rPr>
          <w:rFonts w:eastAsia="Calibri"/>
          <w:rtl/>
        </w:rPr>
        <w:t xml:space="preserve"> </w:t>
      </w:r>
      <w:r w:rsidRPr="00A210E9">
        <w:rPr>
          <w:rFonts w:eastAsia="Calibri" w:hint="cs"/>
          <w:rtl/>
        </w:rPr>
        <w:t>הוארך תוקפם של</w:t>
      </w:r>
      <w:r w:rsidRPr="00A210E9">
        <w:rPr>
          <w:rFonts w:eastAsia="Calibri"/>
          <w:rtl/>
        </w:rPr>
        <w:t xml:space="preserve"> </w:t>
      </w:r>
      <w:r w:rsidRPr="00A210E9">
        <w:rPr>
          <w:rFonts w:eastAsia="Calibri" w:hint="cs"/>
          <w:rtl/>
        </w:rPr>
        <w:t>התגים</w:t>
      </w:r>
      <w:r w:rsidRPr="00A210E9">
        <w:rPr>
          <w:rFonts w:eastAsia="Calibri"/>
          <w:rtl/>
        </w:rPr>
        <w:t xml:space="preserve"> </w:t>
      </w:r>
      <w:r w:rsidRPr="00A210E9">
        <w:rPr>
          <w:rFonts w:eastAsia="Calibri" w:hint="cs"/>
          <w:rtl/>
        </w:rPr>
        <w:t>ה</w:t>
      </w:r>
      <w:r w:rsidRPr="00A210E9">
        <w:rPr>
          <w:rFonts w:eastAsia="Calibri"/>
          <w:rtl/>
        </w:rPr>
        <w:t xml:space="preserve">קיימים </w:t>
      </w:r>
      <w:r w:rsidRPr="00A210E9">
        <w:rPr>
          <w:rFonts w:eastAsia="Calibri" w:hint="cs"/>
          <w:rtl/>
        </w:rPr>
        <w:t>ב</w:t>
      </w:r>
      <w:r w:rsidRPr="00A210E9">
        <w:rPr>
          <w:rFonts w:eastAsia="Calibri"/>
          <w:rtl/>
        </w:rPr>
        <w:t xml:space="preserve">חצי שנה, </w:t>
      </w:r>
      <w:r w:rsidRPr="00A210E9">
        <w:rPr>
          <w:rFonts w:eastAsia="Calibri" w:hint="cs"/>
          <w:rtl/>
        </w:rPr>
        <w:t xml:space="preserve">וזאת </w:t>
      </w:r>
      <w:r w:rsidRPr="00A210E9">
        <w:rPr>
          <w:rFonts w:eastAsia="Calibri"/>
          <w:rtl/>
        </w:rPr>
        <w:t xml:space="preserve">עד </w:t>
      </w:r>
      <w:r w:rsidRPr="00A210E9">
        <w:rPr>
          <w:rFonts w:eastAsia="Calibri" w:hint="cs"/>
          <w:rtl/>
        </w:rPr>
        <w:t xml:space="preserve">החלת </w:t>
      </w:r>
      <w:r w:rsidRPr="00A210E9">
        <w:rPr>
          <w:rFonts w:eastAsia="Calibri"/>
          <w:rtl/>
        </w:rPr>
        <w:t xml:space="preserve">נהלים חדשים וצמצום </w:t>
      </w:r>
      <w:r w:rsidRPr="00A210E9">
        <w:rPr>
          <w:rFonts w:eastAsia="Calibri" w:hint="cs"/>
          <w:rtl/>
        </w:rPr>
        <w:t>של ממש ב</w:t>
      </w:r>
      <w:r w:rsidRPr="00A210E9">
        <w:rPr>
          <w:rFonts w:eastAsia="Calibri"/>
          <w:rtl/>
        </w:rPr>
        <w:t>אפשרות להנפ</w:t>
      </w:r>
      <w:r w:rsidRPr="00A210E9">
        <w:rPr>
          <w:rFonts w:eastAsia="Calibri" w:hint="cs"/>
          <w:rtl/>
        </w:rPr>
        <w:t>י</w:t>
      </w:r>
      <w:r w:rsidRPr="00A210E9">
        <w:rPr>
          <w:rFonts w:eastAsia="Calibri"/>
          <w:rtl/>
        </w:rPr>
        <w:t xml:space="preserve">ק או </w:t>
      </w:r>
      <w:r w:rsidRPr="00A210E9">
        <w:rPr>
          <w:rFonts w:eastAsia="Calibri" w:hint="cs"/>
          <w:rtl/>
        </w:rPr>
        <w:t>ל</w:t>
      </w:r>
      <w:r w:rsidRPr="00A210E9">
        <w:rPr>
          <w:rFonts w:eastAsia="Calibri"/>
          <w:rtl/>
        </w:rPr>
        <w:t>חדש ת</w:t>
      </w:r>
      <w:r w:rsidRPr="00A210E9">
        <w:rPr>
          <w:rFonts w:eastAsia="Calibri" w:hint="cs"/>
          <w:rtl/>
        </w:rPr>
        <w:t>ג</w:t>
      </w:r>
      <w:r w:rsidRPr="00A210E9">
        <w:rPr>
          <w:rFonts w:eastAsia="Calibri"/>
          <w:rtl/>
        </w:rPr>
        <w:t xml:space="preserve"> ללא בדיקה מחמירה.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יש לציין כי קיים </w:t>
      </w:r>
      <w:r w:rsidRPr="00A210E9">
        <w:rPr>
          <w:rFonts w:eastAsia="Calibri"/>
          <w:rtl/>
        </w:rPr>
        <w:t xml:space="preserve">קושי מהותי בזיהוי </w:t>
      </w:r>
      <w:r w:rsidRPr="00A210E9">
        <w:rPr>
          <w:rFonts w:eastAsia="Calibri" w:hint="cs"/>
          <w:rtl/>
        </w:rPr>
        <w:t xml:space="preserve">והגדרה </w:t>
      </w:r>
      <w:r w:rsidRPr="00A210E9">
        <w:rPr>
          <w:rFonts w:eastAsia="Calibri"/>
          <w:rtl/>
        </w:rPr>
        <w:t>מדויק</w:t>
      </w:r>
      <w:r w:rsidRPr="00A210E9">
        <w:rPr>
          <w:rFonts w:eastAsia="Calibri" w:hint="cs"/>
          <w:rtl/>
        </w:rPr>
        <w:t>ים</w:t>
      </w:r>
      <w:r w:rsidRPr="00A210E9">
        <w:rPr>
          <w:rFonts w:eastAsia="Calibri"/>
          <w:rtl/>
        </w:rPr>
        <w:t xml:space="preserve"> של האוכלוסייה הזכאית להטבות</w:t>
      </w:r>
      <w:r w:rsidRPr="00A210E9">
        <w:rPr>
          <w:rFonts w:eastAsia="Calibri" w:hint="cs"/>
          <w:rtl/>
        </w:rPr>
        <w:t xml:space="preserve"> הנלוות לתג חניה.</w:t>
      </w:r>
      <w:r w:rsidRPr="00A210E9">
        <w:rPr>
          <w:rFonts w:eastAsia="Calibri"/>
          <w:rtl/>
        </w:rPr>
        <w:t xml:space="preserve"> יש להבטיח כי </w:t>
      </w:r>
      <w:r w:rsidRPr="00A210E9">
        <w:rPr>
          <w:rFonts w:eastAsia="Calibri" w:hint="cs"/>
          <w:rtl/>
        </w:rPr>
        <w:t xml:space="preserve">רק </w:t>
      </w:r>
      <w:r w:rsidRPr="00A210E9">
        <w:rPr>
          <w:rFonts w:eastAsia="Calibri"/>
          <w:rtl/>
        </w:rPr>
        <w:t>אנשים עם מוגבלות בניידותם</w:t>
      </w:r>
      <w:r w:rsidRPr="00A210E9">
        <w:rPr>
          <w:rFonts w:eastAsia="Calibri" w:hint="cs"/>
          <w:rtl/>
        </w:rPr>
        <w:t>,</w:t>
      </w:r>
      <w:r w:rsidRPr="00A210E9">
        <w:rPr>
          <w:rFonts w:eastAsia="Calibri"/>
          <w:rtl/>
        </w:rPr>
        <w:t xml:space="preserve"> או </w:t>
      </w:r>
      <w:r w:rsidRPr="00A210E9">
        <w:rPr>
          <w:rFonts w:eastAsia="Calibri" w:hint="cs"/>
          <w:rtl/>
        </w:rPr>
        <w:t xml:space="preserve">אנשים </w:t>
      </w:r>
      <w:r w:rsidRPr="00A210E9">
        <w:rPr>
          <w:rFonts w:eastAsia="Calibri"/>
          <w:rtl/>
        </w:rPr>
        <w:t>שמצבם הבריאותי מחייב נגישות מיוחדת, יוכלו לממש את זכויותיהם ולקבל את ההקלות הנדרשות להם</w:t>
      </w:r>
      <w:r w:rsidRPr="00A210E9">
        <w:rPr>
          <w:rFonts w:eastAsia="Calibri" w:hint="cs"/>
          <w:rtl/>
        </w:rPr>
        <w:t xml:space="preserve"> ויש למנוע מציאות ש</w:t>
      </w:r>
      <w:r w:rsidRPr="00A210E9">
        <w:rPr>
          <w:rFonts w:eastAsia="Calibri"/>
          <w:rtl/>
        </w:rPr>
        <w:t>ב</w:t>
      </w:r>
      <w:r w:rsidRPr="00A210E9">
        <w:rPr>
          <w:rFonts w:eastAsia="Calibri" w:hint="cs"/>
          <w:rtl/>
        </w:rPr>
        <w:t>ה</w:t>
      </w:r>
      <w:r w:rsidRPr="00A210E9">
        <w:rPr>
          <w:rFonts w:eastAsia="Calibri"/>
          <w:rtl/>
        </w:rPr>
        <w:t xml:space="preserve"> </w:t>
      </w:r>
      <w:r w:rsidRPr="00A210E9">
        <w:rPr>
          <w:rFonts w:eastAsia="Calibri" w:hint="cs"/>
          <w:rtl/>
        </w:rPr>
        <w:t>מי</w:t>
      </w:r>
      <w:r w:rsidRPr="00A210E9">
        <w:rPr>
          <w:rFonts w:eastAsia="Calibri"/>
          <w:rtl/>
        </w:rPr>
        <w:t xml:space="preserve"> שאינם זכאים </w:t>
      </w:r>
      <w:r w:rsidRPr="00A210E9">
        <w:rPr>
          <w:rFonts w:eastAsia="Calibri" w:hint="cs"/>
          <w:rtl/>
        </w:rPr>
        <w:t>יקבלו</w:t>
      </w:r>
      <w:r w:rsidRPr="00A210E9">
        <w:rPr>
          <w:rFonts w:eastAsia="Calibri"/>
          <w:rtl/>
        </w:rPr>
        <w:t xml:space="preserve"> תגי </w:t>
      </w:r>
      <w:r w:rsidRPr="00A210E9">
        <w:rPr>
          <w:rFonts w:eastAsia="Calibri" w:hint="cs"/>
          <w:rtl/>
        </w:rPr>
        <w:t>חניה</w:t>
      </w:r>
      <w:r w:rsidRPr="00A210E9">
        <w:rPr>
          <w:rFonts w:eastAsia="Calibri"/>
          <w:rtl/>
        </w:rPr>
        <w:t xml:space="preserve"> בדרכי מרמה, תוך פגיעה ישירה בזכויות</w:t>
      </w:r>
      <w:r w:rsidRPr="00A210E9">
        <w:rPr>
          <w:rFonts w:eastAsia="Calibri" w:hint="cs"/>
          <w:rtl/>
        </w:rPr>
        <w:t xml:space="preserve">יהם של אנשים עם מוגבלות שתג החניה חיוני עבורם. </w:t>
      </w:r>
      <w:r w:rsidRPr="00A210E9">
        <w:rPr>
          <w:rFonts w:eastAsia="Calibri"/>
          <w:rtl/>
        </w:rPr>
        <w:t>התוצאה היא פגיעה חמורה באמון הציבור</w:t>
      </w:r>
      <w:r w:rsidRPr="00A210E9">
        <w:rPr>
          <w:rFonts w:eastAsia="Calibri" w:hint="cs"/>
          <w:rtl/>
        </w:rPr>
        <w:t xml:space="preserve"> במערכת</w:t>
      </w:r>
      <w:r w:rsidRPr="00A210E9">
        <w:rPr>
          <w:rFonts w:eastAsia="Calibri"/>
          <w:rtl/>
        </w:rPr>
        <w:t>, בזכויות האנשים עם מוגבלות ובשוויון ההזדמנויות, כאשר חניות ייעודיות נתפסות על ידי מי שאינו נזקק להן, וההטבות הכלכליות מגיעות לאוכלוסיות לא מתאימות</w:t>
      </w:r>
      <w:r w:rsidRPr="00A210E9">
        <w:rPr>
          <w:rFonts w:eastAsia="Calibri" w:hint="cs"/>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במרץ 2025 החליטו</w:t>
      </w:r>
      <w:r w:rsidRPr="00A210E9">
        <w:rPr>
          <w:rFonts w:eastAsia="Calibri"/>
          <w:rtl/>
        </w:rPr>
        <w:t xml:space="preserve"> </w:t>
      </w:r>
      <w:r w:rsidRPr="00A210E9">
        <w:rPr>
          <w:rFonts w:eastAsia="Calibri" w:hint="cs"/>
          <w:rtl/>
        </w:rPr>
        <w:t xml:space="preserve">אגף </w:t>
      </w:r>
      <w:r w:rsidRPr="00A210E9">
        <w:rPr>
          <w:rFonts w:eastAsia="Calibri" w:hint="eastAsia"/>
          <w:rtl/>
        </w:rPr>
        <w:t>החשב</w:t>
      </w:r>
      <w:r w:rsidRPr="00A210E9">
        <w:rPr>
          <w:rFonts w:eastAsia="Calibri"/>
          <w:rtl/>
        </w:rPr>
        <w:t xml:space="preserve"> הכללי במשרד האוצר (להלן</w:t>
      </w:r>
      <w:r w:rsidRPr="00A210E9">
        <w:rPr>
          <w:rFonts w:eastAsia="Calibri" w:hint="cs"/>
          <w:rtl/>
        </w:rPr>
        <w:t xml:space="preserve"> -</w:t>
      </w:r>
      <w:r w:rsidRPr="00A210E9">
        <w:rPr>
          <w:rFonts w:eastAsia="Calibri"/>
          <w:rtl/>
        </w:rPr>
        <w:t xml:space="preserve"> </w:t>
      </w:r>
      <w:r w:rsidRPr="00A210E9">
        <w:rPr>
          <w:rFonts w:eastAsia="Calibri" w:hint="cs"/>
          <w:rtl/>
        </w:rPr>
        <w:t>אגף ה</w:t>
      </w:r>
      <w:r w:rsidRPr="00A210E9">
        <w:rPr>
          <w:rFonts w:eastAsia="Calibri" w:hint="eastAsia"/>
          <w:rtl/>
        </w:rPr>
        <w:t>חשכ</w:t>
      </w:r>
      <w:r w:rsidRPr="00A210E9">
        <w:rPr>
          <w:rFonts w:eastAsia="Calibri"/>
          <w:rtl/>
        </w:rPr>
        <w:t>"ל)</w:t>
      </w:r>
      <w:r w:rsidRPr="00A210E9">
        <w:rPr>
          <w:rFonts w:eastAsia="Calibri" w:hint="cs"/>
          <w:rtl/>
        </w:rPr>
        <w:t xml:space="preserve"> ומשרד התחבורה להקים צוות עבודה בהובלת החשכ"ל שיבחן את נושא תגי החניה באופן מערכתי</w:t>
      </w:r>
      <w:r>
        <w:rPr>
          <w:rFonts w:eastAsia="Calibri"/>
          <w:vertAlign w:val="superscript"/>
          <w:rtl/>
        </w:rPr>
        <w:footnoteReference w:id="27"/>
      </w:r>
      <w:r w:rsidRPr="00A210E9">
        <w:rPr>
          <w:rFonts w:eastAsia="Calibri" w:hint="cs"/>
          <w:rtl/>
        </w:rPr>
        <w:t xml:space="preserve"> (להלן - הצוות הבין-משרדי 2025). בעקבות עבודת הצוות, ב-4.12.25 התקבלה החלטת הממשלה 3584</w:t>
      </w:r>
      <w:r>
        <w:rPr>
          <w:rFonts w:eastAsia="Calibri"/>
          <w:vertAlign w:val="superscript"/>
          <w:rtl/>
        </w:rPr>
        <w:footnoteReference w:id="28"/>
      </w:r>
      <w:r w:rsidRPr="00A210E9">
        <w:rPr>
          <w:rFonts w:eastAsia="Calibri" w:hint="cs"/>
          <w:rtl/>
        </w:rPr>
        <w:t xml:space="preserve"> </w:t>
      </w:r>
      <w:r w:rsidRPr="00A210E9">
        <w:rPr>
          <w:rFonts w:eastAsia="Calibri"/>
          <w:rtl/>
        </w:rPr>
        <w:t>שעניינה "שיפור נגישות החניה לנכים"</w:t>
      </w:r>
      <w:r w:rsidRPr="00A210E9">
        <w:rPr>
          <w:rFonts w:eastAsia="Calibri" w:hint="cs"/>
          <w:rtl/>
        </w:rPr>
        <w:t xml:space="preserve"> כחלק מהתוכנית הכלכלית לשנת 2026 שפורסמה בדצמבר 2025 (להלן - החלטת ממשלה 3584). על פי ההחלטה, על משרד התחבורה ומשרד האוצר, בהתייעצות עם הביטוח הלאומי, לגבש במסגרת הצוות הבין-משרדי 2025 בתוך 90 ימים נוהל חדש להנפקת תגי חניה </w:t>
      </w:r>
      <w:r w:rsidRPr="00A210E9">
        <w:rPr>
          <w:rFonts w:eastAsia="Calibri"/>
          <w:rtl/>
        </w:rPr>
        <w:t xml:space="preserve">על ידי רשות הרישוי, שבמסגרתו </w:t>
      </w:r>
      <w:r w:rsidRPr="00A210E9">
        <w:rPr>
          <w:rFonts w:eastAsia="Calibri" w:hint="cs"/>
          <w:rtl/>
        </w:rPr>
        <w:t xml:space="preserve">הרשות תנפיק תגים </w:t>
      </w:r>
      <w:r w:rsidRPr="00A210E9">
        <w:rPr>
          <w:rFonts w:eastAsia="Calibri"/>
          <w:rtl/>
        </w:rPr>
        <w:t xml:space="preserve">על </w:t>
      </w:r>
      <w:r w:rsidRPr="00A210E9">
        <w:rPr>
          <w:rFonts w:eastAsia="Calibri" w:hint="cs"/>
          <w:rtl/>
        </w:rPr>
        <w:t xml:space="preserve">בסיס </w:t>
      </w:r>
      <w:r w:rsidRPr="00A210E9">
        <w:rPr>
          <w:rFonts w:eastAsia="Calibri"/>
          <w:rtl/>
        </w:rPr>
        <w:t>בדיקות רפואיות המבוצעות על ידי הגורמים המוסמכים לאשר נכות לפי דין וזאת בכפוף לכל דין</w:t>
      </w:r>
      <w:r w:rsidRPr="00A210E9">
        <w:rPr>
          <w:rFonts w:eastAsia="Calibri" w:hint="cs"/>
          <w:rtl/>
        </w:rPr>
        <w:t>. בתשובתו מ-17.5.26 מסר אגף החשכ"ל (להלן - תשובת החשכ"ל) כי</w:t>
      </w:r>
      <w:r w:rsidRPr="00A210E9">
        <w:rPr>
          <w:rFonts w:eastAsia="Calibri"/>
          <w:rtl/>
        </w:rPr>
        <w:t xml:space="preserve"> במהלך עבודת </w:t>
      </w:r>
      <w:r w:rsidRPr="00A210E9">
        <w:rPr>
          <w:rFonts w:eastAsia="Calibri" w:hint="cs"/>
          <w:rtl/>
        </w:rPr>
        <w:t>ה</w:t>
      </w:r>
      <w:r w:rsidRPr="00A210E9">
        <w:rPr>
          <w:rFonts w:eastAsia="Calibri"/>
          <w:rtl/>
        </w:rPr>
        <w:t xml:space="preserve">צוות </w:t>
      </w:r>
      <w:r w:rsidRPr="00A210E9">
        <w:rPr>
          <w:rFonts w:eastAsia="Calibri" w:hint="cs"/>
          <w:rtl/>
        </w:rPr>
        <w:t>ה</w:t>
      </w:r>
      <w:r w:rsidRPr="00A210E9">
        <w:rPr>
          <w:rFonts w:eastAsia="Calibri"/>
          <w:rtl/>
        </w:rPr>
        <w:t>בין-משרדי 2025, שהתבסס</w:t>
      </w:r>
      <w:r w:rsidRPr="00A210E9">
        <w:rPr>
          <w:rFonts w:eastAsia="Calibri" w:hint="cs"/>
          <w:rtl/>
        </w:rPr>
        <w:t>ה</w:t>
      </w:r>
      <w:r w:rsidRPr="00A210E9">
        <w:rPr>
          <w:rFonts w:eastAsia="Calibri"/>
          <w:rtl/>
        </w:rPr>
        <w:t xml:space="preserve"> בין היתר על דוח ביקורת</w:t>
      </w:r>
      <w:r w:rsidRPr="00A210E9">
        <w:rPr>
          <w:rFonts w:eastAsia="Calibri" w:hint="cs"/>
          <w:rtl/>
        </w:rPr>
        <w:t xml:space="preserve"> </w:t>
      </w:r>
      <w:r w:rsidRPr="00A210E9">
        <w:rPr>
          <w:rFonts w:eastAsia="Calibri"/>
          <w:rtl/>
        </w:rPr>
        <w:t xml:space="preserve">של </w:t>
      </w:r>
      <w:r w:rsidRPr="00A210E9">
        <w:rPr>
          <w:rFonts w:eastAsia="Calibri" w:hint="cs"/>
          <w:rtl/>
        </w:rPr>
        <w:t>אגף החשכ"ל</w:t>
      </w:r>
      <w:r w:rsidRPr="00A210E9">
        <w:rPr>
          <w:rFonts w:eastAsia="Calibri"/>
          <w:rtl/>
        </w:rPr>
        <w:t xml:space="preserve"> ועל נתוני משרד התחבורה ורשות הרישוי, נסקרו הנתונים על היקפי תגי החניה,</w:t>
      </w:r>
      <w:r w:rsidRPr="00A210E9">
        <w:rPr>
          <w:rFonts w:eastAsia="Calibri" w:hint="cs"/>
          <w:rtl/>
        </w:rPr>
        <w:t xml:space="preserve"> </w:t>
      </w:r>
      <w:r w:rsidRPr="00A210E9">
        <w:rPr>
          <w:rFonts w:eastAsia="Calibri"/>
          <w:rtl/>
        </w:rPr>
        <w:t xml:space="preserve">ההליכים הרגולטוריים והרפואיים הקיימים להליכי אישור הזכאות לתג </w:t>
      </w:r>
      <w:r w:rsidRPr="00A210E9">
        <w:rPr>
          <w:rFonts w:eastAsia="Calibri" w:hint="cs"/>
          <w:rtl/>
        </w:rPr>
        <w:t xml:space="preserve">וההשפעות </w:t>
      </w:r>
      <w:r w:rsidRPr="00A210E9">
        <w:rPr>
          <w:rFonts w:eastAsia="Calibri"/>
          <w:rtl/>
        </w:rPr>
        <w:t>של התופעה</w:t>
      </w:r>
      <w:r w:rsidRPr="00A210E9">
        <w:rPr>
          <w:rFonts w:eastAsia="Calibri" w:hint="cs"/>
          <w:rtl/>
        </w:rPr>
        <w:t xml:space="preserve"> במישור התחבורתי והחברתי</w:t>
      </w:r>
      <w:r w:rsidRPr="00A210E9">
        <w:rPr>
          <w:rFonts w:eastAsia="Calibri"/>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bookmarkStart w:id="18" w:name="_Hlk231486940"/>
      <w:r w:rsidRPr="00A210E9">
        <w:rPr>
          <w:rFonts w:eastAsia="Calibri" w:hint="cs"/>
          <w:b/>
          <w:bCs/>
          <w:rtl/>
        </w:rPr>
        <w:t>נכון למאי 2026 הצוות הבין-משרדי 2025 לא הגיש את המלצותיו ואת הנוהל בהתאם להחלטת הממשלה 3584. על פי דיווחים של משרד התחבורה והחשכ"ל, הצוות נמצא בשלבי גיבוש מתקדמים של ההמלצות אשר נועדו לגבש הסדרה מערכתית רחבה וארוכת טווח בתחום תגי החניה</w:t>
      </w:r>
      <w:r>
        <w:rPr>
          <w:rFonts w:eastAsia="Calibri"/>
          <w:b/>
          <w:bCs/>
          <w:vertAlign w:val="superscript"/>
          <w:rtl/>
        </w:rPr>
        <w:footnoteReference w:id="29"/>
      </w:r>
      <w:r w:rsidRPr="00A210E9">
        <w:rPr>
          <w:rFonts w:eastAsia="Calibri" w:hint="cs"/>
          <w:b/>
          <w:bCs/>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bookmarkStart w:id="19" w:name="_Hlk232943155"/>
      <w:r w:rsidRPr="00A210E9">
        <w:rPr>
          <w:rFonts w:eastAsia="Calibri" w:hint="cs"/>
          <w:b/>
          <w:bCs/>
          <w:rtl/>
        </w:rPr>
        <w:t xml:space="preserve">מומלץ לצוות הבין-משרדי 2025 </w:t>
      </w:r>
      <w:r w:rsidRPr="00A210E9">
        <w:rPr>
          <w:rFonts w:eastAsia="Calibri" w:hint="eastAsia"/>
          <w:b/>
          <w:bCs/>
          <w:rtl/>
        </w:rPr>
        <w:t>להשלים</w:t>
      </w:r>
      <w:r w:rsidRPr="00A210E9">
        <w:rPr>
          <w:rFonts w:eastAsia="Calibri" w:hint="cs"/>
          <w:b/>
          <w:bCs/>
          <w:rtl/>
        </w:rPr>
        <w:t xml:space="preserve"> לבחון את ההמלצות המובאות בדוח זה ולהביאן בחשבון בעת גיבוש המלצותיו והנוהל. </w:t>
      </w:r>
    </w:p>
    <w:bookmarkEnd w:id="18"/>
    <w:bookmarkEnd w:id="19"/>
    <w:p w:rsidR="00A210E9" w:rsidRPr="00A210E9" w:rsidP="00A210E9">
      <w:pPr>
        <w:spacing w:line="269" w:lineRule="auto"/>
        <w:rPr>
          <w:rFonts w:eastAsia="Calibri"/>
          <w:rtl/>
        </w:rPr>
      </w:pPr>
    </w:p>
    <w:p w:rsidR="00A210E9" w:rsidRPr="00A210E9" w:rsidP="00A210E9">
      <w:pPr>
        <w:keepNext/>
        <w:keepLines/>
        <w:spacing w:line="269" w:lineRule="auto"/>
        <w:outlineLvl w:val="2"/>
        <w:rPr>
          <w:rFonts w:eastAsia="Times New Roman"/>
          <w:bCs/>
          <w:szCs w:val="28"/>
          <w:u w:val="single"/>
          <w:rtl/>
        </w:rPr>
      </w:pPr>
      <w:r w:rsidRPr="00A210E9">
        <w:rPr>
          <w:rFonts w:eastAsia="Times New Roman" w:hint="cs"/>
          <w:bCs/>
          <w:szCs w:val="28"/>
          <w:u w:val="single"/>
          <w:rtl/>
        </w:rPr>
        <w:t xml:space="preserve">פעולות הביקורת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בחודשים אוגוסט 2024 עד אוקטובר 2025 (לסירוגין) בדק משרד מבקר המדינה את תהליכי קביעת הזכאות לתג חניה, הנפקת תגי החניה, הקצאת מקומות חניה לאנשים עם מוגבלות וכן את אכיפת השימוש בתגים. בדיקות השלמה נעשו עד דצמבר 2025. הביקורת נעשתה במשרד התחבורה והבטיחות בדרכים. בדיקות השלמה נעשו במוסד לביטוח לאומי, באגף השיקום במשרד הביטחון (להלן - אגף השיקום), במשרד הבריאות, בפרקליטות המדינה שבמשרד המשפטים, במשטרה, באגף </w:t>
      </w:r>
      <w:r w:rsidRPr="00A210E9">
        <w:rPr>
          <w:rFonts w:eastAsia="Calibri" w:hint="eastAsia"/>
          <w:rtl/>
        </w:rPr>
        <w:t>החשכ</w:t>
      </w:r>
      <w:r w:rsidRPr="00A210E9">
        <w:rPr>
          <w:rFonts w:eastAsia="Calibri"/>
          <w:rtl/>
        </w:rPr>
        <w:t>"ל</w:t>
      </w:r>
      <w:r w:rsidRPr="00A210E9">
        <w:rPr>
          <w:rFonts w:eastAsia="Calibri" w:hint="cs"/>
          <w:rtl/>
        </w:rPr>
        <w:t>, במשרד הפנים, ברשויות מקומיות, בנציבות שוויון זכויות ובמרכז השלטון המקומי. במסגרת הביקורת התקיימו פגישות עם עמותות המייצגות אנשים עם מוגבלות, ונעשה שימוש בלקוח אקראי להגשת בקשה לתג חניה ולמיצוי הזכות לתשלום אגרת רכב מופחתת.</w:t>
      </w:r>
    </w:p>
    <w:p w:rsidR="00A210E9" w:rsidRPr="00A210E9" w:rsidP="00A210E9">
      <w:pPr>
        <w:spacing w:line="269" w:lineRule="auto"/>
        <w:rPr>
          <w:rFonts w:eastAsia="Calibri"/>
          <w:rtl/>
        </w:rPr>
      </w:pPr>
    </w:p>
    <w:p w:rsidR="00A210E9" w:rsidRPr="00A210E9" w:rsidP="00A210E9">
      <w:pPr>
        <w:keepNext/>
        <w:keepLines/>
        <w:spacing w:line="269" w:lineRule="auto"/>
        <w:outlineLvl w:val="2"/>
        <w:rPr>
          <w:rFonts w:eastAsia="Times New Roman"/>
          <w:bCs/>
          <w:szCs w:val="28"/>
          <w:u w:val="single"/>
          <w:rtl/>
        </w:rPr>
      </w:pPr>
      <w:r w:rsidRPr="00A210E9">
        <w:rPr>
          <w:rFonts w:eastAsia="Times New Roman" w:hint="cs"/>
          <w:bCs/>
          <w:szCs w:val="28"/>
          <w:u w:val="single"/>
          <w:rtl/>
        </w:rPr>
        <w:t>מגמות במספר תגי החניה והגדרת הקריטריונים לאישורם</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rtl/>
        </w:rPr>
        <w:t xml:space="preserve">החוקים הרלוונטיים לאישור תגי חניה </w:t>
      </w:r>
      <w:r w:rsidRPr="00A210E9">
        <w:rPr>
          <w:rFonts w:eastAsia="Calibri" w:hint="cs"/>
          <w:rtl/>
        </w:rPr>
        <w:t>ומימוש הזכויות הנלוות להם נועדו</w:t>
      </w:r>
      <w:r w:rsidRPr="00A210E9">
        <w:rPr>
          <w:rFonts w:eastAsia="Calibri"/>
          <w:rtl/>
        </w:rPr>
        <w:t xml:space="preserve"> להבטיח </w:t>
      </w:r>
      <w:r w:rsidRPr="00A210E9">
        <w:rPr>
          <w:rFonts w:eastAsia="Calibri" w:hint="cs"/>
          <w:rtl/>
        </w:rPr>
        <w:t xml:space="preserve">לאנשים עם מוגבלות נגישות מיטבית. </w:t>
      </w:r>
      <w:r w:rsidRPr="00A210E9">
        <w:rPr>
          <w:rFonts w:eastAsia="Calibri"/>
          <w:rtl/>
        </w:rPr>
        <w:t xml:space="preserve">כל אחד מהחוקים </w:t>
      </w:r>
      <w:r w:rsidRPr="00A210E9">
        <w:rPr>
          <w:rFonts w:eastAsia="Calibri" w:hint="cs"/>
          <w:rtl/>
        </w:rPr>
        <w:t>תורם</w:t>
      </w:r>
      <w:r w:rsidRPr="00A210E9">
        <w:rPr>
          <w:rFonts w:eastAsia="Calibri"/>
          <w:rtl/>
        </w:rPr>
        <w:t xml:space="preserve"> </w:t>
      </w:r>
      <w:r w:rsidRPr="00A210E9">
        <w:rPr>
          <w:rFonts w:eastAsia="Calibri" w:hint="cs"/>
          <w:rtl/>
        </w:rPr>
        <w:t>ל</w:t>
      </w:r>
      <w:r w:rsidRPr="00A210E9">
        <w:rPr>
          <w:rFonts w:eastAsia="Calibri"/>
          <w:rtl/>
        </w:rPr>
        <w:t>הגדרה ו</w:t>
      </w:r>
      <w:r w:rsidRPr="00A210E9">
        <w:rPr>
          <w:rFonts w:eastAsia="Calibri" w:hint="cs"/>
          <w:rtl/>
        </w:rPr>
        <w:t>ל</w:t>
      </w:r>
      <w:r w:rsidRPr="00A210E9">
        <w:rPr>
          <w:rFonts w:eastAsia="Calibri"/>
          <w:rtl/>
        </w:rPr>
        <w:t>יישום של הזכויות הנלוו</w:t>
      </w:r>
      <w:r w:rsidRPr="00A210E9">
        <w:rPr>
          <w:rFonts w:eastAsia="Calibri" w:hint="cs"/>
          <w:rtl/>
        </w:rPr>
        <w:t>ת</w:t>
      </w:r>
      <w:r w:rsidRPr="00A210E9">
        <w:rPr>
          <w:rFonts w:eastAsia="Calibri"/>
          <w:rtl/>
        </w:rPr>
        <w:t xml:space="preserve"> לתגי החניה. </w:t>
      </w:r>
      <w:r w:rsidRPr="00A210E9">
        <w:rPr>
          <w:rFonts w:eastAsia="Calibri" w:hint="cs"/>
          <w:rtl/>
        </w:rPr>
        <w:t>להלן בתרשים יובא פירוט</w:t>
      </w:r>
      <w:r w:rsidRPr="00A210E9">
        <w:rPr>
          <w:rFonts w:eastAsia="Calibri"/>
          <w:rtl/>
        </w:rPr>
        <w:t xml:space="preserve"> </w:t>
      </w:r>
      <w:r w:rsidRPr="00A210E9">
        <w:rPr>
          <w:rFonts w:eastAsia="Calibri" w:hint="cs"/>
          <w:rtl/>
        </w:rPr>
        <w:t>לגבי</w:t>
      </w:r>
      <w:r w:rsidRPr="00A210E9">
        <w:rPr>
          <w:rFonts w:eastAsia="Calibri"/>
          <w:rtl/>
        </w:rPr>
        <w:t xml:space="preserve"> כל אחד מהם:</w:t>
      </w:r>
    </w:p>
    <w:p w:rsidR="00A210E9" w:rsidRPr="00A210E9" w:rsidP="00A210E9">
      <w:pPr>
        <w:keepNext/>
        <w:keepLines/>
        <w:spacing w:line="269" w:lineRule="auto"/>
        <w:ind w:left="-567"/>
        <w:rPr>
          <w:rFonts w:eastAsia="Calibri"/>
          <w:szCs w:val="20"/>
          <w:rtl/>
        </w:rPr>
      </w:pPr>
    </w:p>
    <w:p w:rsidR="00A210E9" w:rsidRPr="00A210E9" w:rsidP="00A210E9">
      <w:pPr>
        <w:keepNext/>
        <w:keepLines/>
        <w:spacing w:line="269" w:lineRule="auto"/>
        <w:jc w:val="center"/>
        <w:rPr>
          <w:rFonts w:eastAsia="Calibri"/>
          <w:b/>
          <w:bCs/>
          <w:rtl/>
        </w:rPr>
      </w:pPr>
      <w:r w:rsidRPr="00A210E9">
        <w:rPr>
          <w:rFonts w:eastAsia="Calibri" w:hint="eastAsia"/>
          <w:rtl/>
        </w:rPr>
        <w:t>תרשים</w:t>
      </w:r>
      <w:r w:rsidRPr="00A210E9">
        <w:rPr>
          <w:rFonts w:eastAsia="Calibri"/>
          <w:rtl/>
        </w:rPr>
        <w:t xml:space="preserve"> </w:t>
      </w:r>
      <w:r w:rsidRPr="00A210E9">
        <w:rPr>
          <w:rFonts w:eastAsia="Calibri" w:hint="cs"/>
          <w:rtl/>
        </w:rPr>
        <w:t>4</w:t>
      </w:r>
      <w:r w:rsidRPr="00A210E9">
        <w:rPr>
          <w:rFonts w:eastAsia="Calibri"/>
          <w:rtl/>
        </w:rPr>
        <w:t>:</w:t>
      </w:r>
      <w:r w:rsidRPr="00A210E9">
        <w:rPr>
          <w:rFonts w:eastAsia="Calibri" w:hint="cs"/>
          <w:b/>
          <w:bCs/>
          <w:rtl/>
        </w:rPr>
        <w:t xml:space="preserve"> אסדרה חוקית לאישור תגי חניה ומימוש הזכויות הנלוות להם</w:t>
      </w:r>
    </w:p>
    <w:p w:rsidR="00A210E9" w:rsidRPr="00A210E9" w:rsidP="00A210E9">
      <w:pPr>
        <w:spacing w:line="269" w:lineRule="auto"/>
        <w:rPr>
          <w:rFonts w:eastAsia="Calibri"/>
          <w:b/>
          <w:bCs/>
          <w:rtl/>
        </w:rPr>
      </w:pPr>
      <w:r w:rsidRPr="00A210E9">
        <w:rPr>
          <w:rFonts w:eastAsia="Calibri"/>
          <w:b/>
          <w:bCs/>
          <w:noProof/>
          <w:rtl/>
          <w:lang w:val="he-IL"/>
        </w:rPr>
        <w:drawing>
          <wp:inline distT="0" distB="0" distL="0" distR="0">
            <wp:extent cx="5025685" cy="3263774"/>
            <wp:effectExtent l="38100" t="19050" r="0" b="13335"/>
            <wp:docPr id="2" name="דיאגרמה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A210E9" w:rsidRPr="00A210E9" w:rsidP="00A210E9">
      <w:pPr>
        <w:spacing w:line="269" w:lineRule="auto"/>
        <w:rPr>
          <w:rFonts w:eastAsia="Calibri"/>
          <w:sz w:val="18"/>
          <w:szCs w:val="22"/>
          <w:rtl/>
        </w:rPr>
      </w:pPr>
      <w:r w:rsidRPr="00A210E9">
        <w:rPr>
          <w:rFonts w:eastAsia="Calibri" w:hint="cs"/>
          <w:sz w:val="18"/>
          <w:szCs w:val="22"/>
          <w:rtl/>
        </w:rPr>
        <w:t>הוכן בידי משרד מבקר המדינה.</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Pr>
      </w:pPr>
      <w:r w:rsidRPr="00A210E9">
        <w:rPr>
          <w:rFonts w:eastAsia="Calibri" w:hint="cs"/>
          <w:rtl/>
        </w:rPr>
        <w:t xml:space="preserve">נוסף על התשתית החוקית הנ"ל, ישראל חתמה ב-2012 על </w:t>
      </w:r>
      <w:r w:rsidRPr="00A210E9">
        <w:rPr>
          <w:rFonts w:eastAsia="Calibri"/>
          <w:rtl/>
        </w:rPr>
        <w:t>האמנה הבין-לאומית לזכויות אנשים עם מוגבלויות (</w:t>
      </w:r>
      <w:r w:rsidRPr="00A210E9">
        <w:rPr>
          <w:rFonts w:eastAsia="Calibri"/>
        </w:rPr>
        <w:t>UNCRPD</w:t>
      </w:r>
      <w:r>
        <w:rPr>
          <w:rFonts w:eastAsia="Calibri"/>
          <w:vertAlign w:val="superscript"/>
          <w:rtl/>
        </w:rPr>
        <w:footnoteReference w:id="30"/>
      </w:r>
      <w:r w:rsidRPr="00A210E9">
        <w:rPr>
          <w:rFonts w:eastAsia="Calibri"/>
          <w:rtl/>
        </w:rPr>
        <w:t>)</w:t>
      </w:r>
      <w:r w:rsidRPr="00A210E9">
        <w:rPr>
          <w:rFonts w:eastAsia="Calibri" w:hint="cs"/>
          <w:rtl/>
        </w:rPr>
        <w:t xml:space="preserve">. </w:t>
      </w:r>
      <w:r w:rsidRPr="00A210E9">
        <w:rPr>
          <w:rFonts w:eastAsia="Calibri"/>
          <w:rtl/>
        </w:rPr>
        <w:t xml:space="preserve">האמנה מחייבת את המדינות החתומות לספק זכויות שוות לאנשים עם מוגבלויות, תוך התמקדות בנגישות ובשילובם המלא של אנשים עם מוגבלות בחברה. </w:t>
      </w:r>
      <w:r w:rsidRPr="00A210E9">
        <w:rPr>
          <w:rFonts w:eastAsia="Calibri" w:hint="cs"/>
          <w:rtl/>
        </w:rPr>
        <w:t xml:space="preserve">בנוסף לכך, </w:t>
      </w:r>
      <w:r w:rsidRPr="00A210E9">
        <w:rPr>
          <w:rFonts w:eastAsia="Calibri"/>
          <w:rtl/>
        </w:rPr>
        <w:t xml:space="preserve">האמנה מחייבת את המדינות להבטיח נגישות לתחבורה ולשירותים ציבוריים, ובכך משפיעה גם על </w:t>
      </w:r>
      <w:r w:rsidRPr="00A210E9">
        <w:rPr>
          <w:rFonts w:eastAsia="Calibri" w:hint="cs"/>
          <w:rtl/>
        </w:rPr>
        <w:t xml:space="preserve">הצורך להסדיר בחקיקה הפנימית את </w:t>
      </w:r>
      <w:r w:rsidRPr="00A210E9">
        <w:rPr>
          <w:rFonts w:eastAsia="Calibri"/>
          <w:rtl/>
        </w:rPr>
        <w:t>נושא תגי החניה וההטבות הנלוות להם.</w:t>
      </w:r>
    </w:p>
    <w:p w:rsidR="00A210E9" w:rsidRPr="00A210E9" w:rsidP="00A210E9">
      <w:pPr>
        <w:spacing w:line="269" w:lineRule="auto"/>
        <w:rPr>
          <w:rFonts w:eastAsia="Calibri"/>
          <w:rtl/>
        </w:rPr>
      </w:pPr>
    </w:p>
    <w:p w:rsidR="00A210E9" w:rsidRPr="00A210E9" w:rsidP="00A210E9">
      <w:pPr>
        <w:keepNext/>
        <w:keepLines/>
        <w:spacing w:line="269" w:lineRule="auto"/>
        <w:outlineLvl w:val="3"/>
        <w:rPr>
          <w:rFonts w:eastAsia="Times New Roman"/>
          <w:bCs/>
          <w:szCs w:val="26"/>
          <w:rtl/>
        </w:rPr>
      </w:pPr>
      <w:bookmarkStart w:id="20" w:name="_Hlk223877163"/>
      <w:r w:rsidRPr="00A210E9">
        <w:rPr>
          <w:rFonts w:eastAsia="Times New Roman" w:hint="cs"/>
          <w:bCs/>
          <w:szCs w:val="26"/>
          <w:rtl/>
        </w:rPr>
        <w:t>הגדרת הקריטריונים לאישור תג חניה</w:t>
      </w:r>
    </w:p>
    <w:bookmarkEnd w:id="20"/>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התנאים</w:t>
      </w:r>
      <w:r w:rsidRPr="00A210E9">
        <w:rPr>
          <w:rFonts w:eastAsia="Calibri"/>
          <w:rtl/>
        </w:rPr>
        <w:t xml:space="preserve"> </w:t>
      </w:r>
      <w:r w:rsidRPr="00A210E9">
        <w:rPr>
          <w:rFonts w:eastAsia="Calibri" w:hint="cs"/>
          <w:rtl/>
        </w:rPr>
        <w:t xml:space="preserve">לאישור תג חניה </w:t>
      </w:r>
      <w:r w:rsidRPr="00A210E9">
        <w:rPr>
          <w:rFonts w:eastAsia="Calibri"/>
          <w:rtl/>
        </w:rPr>
        <w:t>מוגדרים ב</w:t>
      </w:r>
      <w:r w:rsidRPr="00A210E9">
        <w:rPr>
          <w:rFonts w:eastAsia="Calibri" w:hint="cs"/>
          <w:rtl/>
        </w:rPr>
        <w:t>חוק חניה לנכים, והם נוגעים</w:t>
      </w:r>
      <w:r w:rsidRPr="00A210E9">
        <w:rPr>
          <w:rFonts w:eastAsia="Calibri"/>
          <w:rtl/>
        </w:rPr>
        <w:t xml:space="preserve"> בעיקר למוגבלות פיזית המשפיעה באופן מהותי על היכולת לנוע ללא סיוע או על הצורך בקרבה לרכב</w:t>
      </w:r>
      <w:r w:rsidRPr="00A210E9">
        <w:rPr>
          <w:rFonts w:eastAsia="Calibri" w:hint="cs"/>
          <w:rtl/>
        </w:rPr>
        <w:t xml:space="preserve">, וכוללים </w:t>
      </w:r>
      <w:r w:rsidRPr="00A210E9">
        <w:rPr>
          <w:rFonts w:eastAsia="Calibri"/>
          <w:rtl/>
        </w:rPr>
        <w:t xml:space="preserve">גם מצבים </w:t>
      </w:r>
      <w:r w:rsidRPr="00A210E9">
        <w:rPr>
          <w:rFonts w:eastAsia="Calibri"/>
          <w:rtl/>
        </w:rPr>
        <w:t>רפואיים ותפקודיים נוספים</w:t>
      </w:r>
      <w:r w:rsidRPr="00A210E9">
        <w:rPr>
          <w:rFonts w:eastAsia="Calibri" w:hint="cs"/>
          <w:rtl/>
        </w:rPr>
        <w:t xml:space="preserve"> </w:t>
      </w:r>
      <w:r w:rsidRPr="00A210E9">
        <w:rPr>
          <w:rFonts w:eastAsia="Calibri"/>
          <w:rtl/>
        </w:rPr>
        <w:t xml:space="preserve">המשפיעים </w:t>
      </w:r>
      <w:r w:rsidRPr="00A210E9">
        <w:rPr>
          <w:rFonts w:eastAsia="Calibri" w:hint="cs"/>
          <w:rtl/>
        </w:rPr>
        <w:t>במידה ניכרת</w:t>
      </w:r>
      <w:r w:rsidRPr="00A210E9">
        <w:rPr>
          <w:rFonts w:eastAsia="Calibri"/>
          <w:rtl/>
        </w:rPr>
        <w:t xml:space="preserve"> על הניידות.</w:t>
      </w:r>
      <w:r w:rsidRPr="00A210E9">
        <w:rPr>
          <w:rFonts w:eastAsia="Calibri" w:hint="cs"/>
          <w:rtl/>
        </w:rPr>
        <w:t xml:space="preserve"> על פי סעיף 1 לחוק חניה לנכים, אדם עם מוגבלות ("</w:t>
      </w:r>
      <w:r w:rsidRPr="00A210E9">
        <w:rPr>
          <w:rFonts w:eastAsia="Calibri"/>
          <w:rtl/>
        </w:rPr>
        <w:t>נכה</w:t>
      </w:r>
      <w:r w:rsidRPr="00A210E9">
        <w:rPr>
          <w:rFonts w:eastAsia="Calibri" w:hint="cs"/>
          <w:rtl/>
        </w:rPr>
        <w:t>"</w:t>
      </w:r>
      <w:r w:rsidRPr="00A210E9">
        <w:rPr>
          <w:rFonts w:eastAsia="Calibri"/>
          <w:rtl/>
        </w:rPr>
        <w:t xml:space="preserve"> </w:t>
      </w:r>
      <w:r w:rsidRPr="00A210E9">
        <w:rPr>
          <w:rFonts w:eastAsia="Calibri" w:hint="cs"/>
          <w:rtl/>
        </w:rPr>
        <w:t xml:space="preserve">בחוק) מוגדר </w:t>
      </w:r>
      <w:r w:rsidRPr="00A210E9">
        <w:rPr>
          <w:rFonts w:eastAsia="Calibri"/>
          <w:rtl/>
        </w:rPr>
        <w:t>כעיוור</w:t>
      </w:r>
      <w:r>
        <w:rPr>
          <w:rFonts w:eastAsia="Calibri"/>
          <w:vertAlign w:val="superscript"/>
          <w:rtl/>
        </w:rPr>
        <w:footnoteReference w:id="31"/>
      </w:r>
      <w:r w:rsidRPr="00A210E9">
        <w:rPr>
          <w:rFonts w:eastAsia="Calibri"/>
          <w:rtl/>
        </w:rPr>
        <w:t xml:space="preserve"> או אדם אשר רופא שהוסמך לאשר נכות על פי דין אישר לגביו </w:t>
      </w:r>
      <w:r w:rsidRPr="00A210E9">
        <w:rPr>
          <w:rFonts w:eastAsia="Calibri" w:hint="cs"/>
          <w:rtl/>
        </w:rPr>
        <w:t>בכתב אחת מאלה</w:t>
      </w:r>
      <w:r w:rsidRPr="00A210E9">
        <w:rPr>
          <w:rFonts w:eastAsia="Calibri"/>
          <w:rtl/>
        </w:rPr>
        <w:t>:</w:t>
      </w:r>
    </w:p>
    <w:p w:rsidR="00A210E9" w:rsidRPr="00A210E9" w:rsidP="00A210E9">
      <w:pPr>
        <w:keepNext/>
        <w:keepLines/>
        <w:spacing w:line="269" w:lineRule="auto"/>
        <w:ind w:left="-567"/>
        <w:rPr>
          <w:rFonts w:eastAsia="Calibri"/>
          <w:szCs w:val="20"/>
        </w:rPr>
      </w:pPr>
    </w:p>
    <w:p w:rsidR="00A210E9" w:rsidRPr="00A210E9" w:rsidP="00D4573C">
      <w:pPr>
        <w:spacing w:line="269" w:lineRule="auto"/>
        <w:ind w:left="465" w:hanging="465"/>
        <w:rPr>
          <w:rFonts w:eastAsia="Calibri"/>
        </w:rPr>
      </w:pPr>
      <w:r w:rsidRPr="00A210E9">
        <w:rPr>
          <w:rFonts w:eastAsia="Calibri" w:hint="cs"/>
          <w:rtl/>
        </w:rPr>
        <w:t>"</w:t>
      </w:r>
      <w:r w:rsidRPr="00A210E9">
        <w:rPr>
          <w:rFonts w:eastAsia="Calibri"/>
          <w:rtl/>
        </w:rPr>
        <w:t xml:space="preserve">(1)  שדרגת נכותו מגיעה ל-60% לפחות </w:t>
      </w:r>
      <w:r w:rsidRPr="00A210E9">
        <w:rPr>
          <w:rFonts w:eastAsia="Calibri" w:hint="cs"/>
          <w:rtl/>
        </w:rPr>
        <w:t xml:space="preserve">[ראו להלן] </w:t>
      </w:r>
      <w:r w:rsidRPr="00A210E9">
        <w:rPr>
          <w:rFonts w:eastAsia="Calibri"/>
          <w:rtl/>
        </w:rPr>
        <w:t>ותנועתו בדרכים</w:t>
      </w:r>
      <w:r w:rsidRPr="00A210E9">
        <w:rPr>
          <w:rFonts w:eastAsia="Calibri" w:hint="cs"/>
          <w:rtl/>
        </w:rPr>
        <w:t xml:space="preserve"> </w:t>
      </w:r>
      <w:r w:rsidRPr="00A210E9">
        <w:rPr>
          <w:rFonts w:eastAsia="Calibri"/>
          <w:rtl/>
        </w:rPr>
        <w:t>בלי רכב עלולה לערער את מצב בריאותו</w:t>
      </w:r>
      <w:r w:rsidRPr="00A210E9">
        <w:rPr>
          <w:rFonts w:eastAsia="Calibri" w:hint="cs"/>
          <w:rtl/>
        </w:rPr>
        <w:t>;</w:t>
      </w:r>
    </w:p>
    <w:p w:rsidR="00A210E9" w:rsidRPr="00A210E9" w:rsidP="00D4573C">
      <w:pPr>
        <w:spacing w:line="269" w:lineRule="auto"/>
        <w:ind w:left="465" w:hanging="465"/>
        <w:rPr>
          <w:rFonts w:eastAsia="Calibri"/>
        </w:rPr>
      </w:pPr>
      <w:r w:rsidRPr="00A210E9">
        <w:rPr>
          <w:rFonts w:eastAsia="Calibri"/>
          <w:rtl/>
        </w:rPr>
        <w:t xml:space="preserve">(2)  </w:t>
      </w:r>
      <w:r w:rsidR="00D4573C">
        <w:rPr>
          <w:rFonts w:eastAsia="Calibri"/>
          <w:rtl/>
        </w:rPr>
        <w:tab/>
      </w:r>
      <w:r w:rsidRPr="00A210E9">
        <w:rPr>
          <w:rFonts w:eastAsia="Calibri"/>
          <w:rtl/>
        </w:rPr>
        <w:t>שהוא מוגבל בהליכה וזקוק לכ</w:t>
      </w:r>
      <w:r w:rsidRPr="00A210E9">
        <w:rPr>
          <w:rFonts w:eastAsia="Calibri" w:hint="cs"/>
          <w:rtl/>
        </w:rPr>
        <w:t>י</w:t>
      </w:r>
      <w:r w:rsidRPr="00A210E9">
        <w:rPr>
          <w:rFonts w:eastAsia="Calibri"/>
          <w:rtl/>
        </w:rPr>
        <w:t>סא גלגלים לצורך ניידותו</w:t>
      </w:r>
      <w:r w:rsidRPr="00A210E9">
        <w:rPr>
          <w:rFonts w:eastAsia="Calibri" w:hint="cs"/>
          <w:rtl/>
        </w:rPr>
        <w:t>;</w:t>
      </w:r>
    </w:p>
    <w:p w:rsidR="00A210E9" w:rsidRPr="00A210E9" w:rsidP="00D4573C">
      <w:pPr>
        <w:spacing w:line="269" w:lineRule="auto"/>
        <w:ind w:left="465" w:hanging="465"/>
        <w:rPr>
          <w:rFonts w:eastAsia="Calibri"/>
          <w:rtl/>
        </w:rPr>
      </w:pPr>
      <w:r w:rsidRPr="00A210E9">
        <w:rPr>
          <w:rFonts w:eastAsia="Calibri"/>
          <w:rtl/>
        </w:rPr>
        <w:t xml:space="preserve">(3)  </w:t>
      </w:r>
      <w:r w:rsidR="00D4573C">
        <w:rPr>
          <w:rFonts w:eastAsia="Calibri"/>
          <w:rtl/>
        </w:rPr>
        <w:tab/>
      </w:r>
      <w:r w:rsidRPr="00A210E9">
        <w:rPr>
          <w:rFonts w:eastAsia="Calibri"/>
          <w:rtl/>
        </w:rPr>
        <w:t>שהוא נכה הזקוק לרכב כאמצעי תנועה בגלל רגליו הנכות</w:t>
      </w:r>
      <w:r w:rsidRPr="00A210E9">
        <w:rPr>
          <w:rFonts w:eastAsia="Calibri" w:hint="cs"/>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רופאים שהוסמכו לאשר נכות על פי דין מועסקים בגופים האלה:</w:t>
      </w:r>
      <w:r w:rsidRPr="00A210E9">
        <w:rPr>
          <w:rFonts w:eastAsia="Calibri"/>
          <w:b/>
          <w:bCs/>
          <w:rtl/>
        </w:rPr>
        <w:t xml:space="preserve"> </w:t>
      </w:r>
      <w:r w:rsidRPr="00A210E9">
        <w:rPr>
          <w:rFonts w:eastAsia="Calibri"/>
          <w:rtl/>
        </w:rPr>
        <w:t>משרד הרווחה (לבעלי תעודת עיוור); אגף השיקום (</w:t>
      </w:r>
      <w:r w:rsidRPr="00A210E9">
        <w:rPr>
          <w:rFonts w:eastAsia="Calibri" w:hint="cs"/>
          <w:rtl/>
        </w:rPr>
        <w:t xml:space="preserve">עבור </w:t>
      </w:r>
      <w:r w:rsidRPr="00A210E9">
        <w:rPr>
          <w:rFonts w:eastAsia="Calibri"/>
          <w:rtl/>
        </w:rPr>
        <w:t>נכי צה"ל עם פגיעה ברגליים או עיוורון</w:t>
      </w:r>
      <w:r>
        <w:rPr>
          <w:rFonts w:eastAsia="Calibri"/>
          <w:vertAlign w:val="superscript"/>
          <w:rtl/>
        </w:rPr>
        <w:footnoteReference w:id="32"/>
      </w:r>
      <w:r w:rsidRPr="00A210E9">
        <w:rPr>
          <w:rFonts w:eastAsia="Calibri"/>
          <w:rtl/>
        </w:rPr>
        <w:t>); המוסד לביטוח לאומי (</w:t>
      </w:r>
      <w:r w:rsidRPr="00A210E9">
        <w:rPr>
          <w:rFonts w:eastAsia="Calibri" w:hint="cs"/>
          <w:rtl/>
        </w:rPr>
        <w:t>לצורך אישור זכאות לקצבאות והטבות שונות</w:t>
      </w:r>
      <w:r w:rsidRPr="00A210E9">
        <w:rPr>
          <w:rFonts w:eastAsia="Calibri"/>
          <w:rtl/>
        </w:rPr>
        <w:t>, כגון קצבת ניידות)</w:t>
      </w:r>
      <w:r w:rsidRPr="00A210E9">
        <w:rPr>
          <w:rFonts w:eastAsia="Calibri" w:hint="cs"/>
          <w:rtl/>
        </w:rPr>
        <w:t>; הרשות לזכויות ניצולי שואה במשרד ראש הממשלה (עבור אזרחים ניצולי שואה)</w:t>
      </w:r>
      <w:r w:rsidRPr="00A210E9">
        <w:rPr>
          <w:rFonts w:eastAsia="Calibri"/>
          <w:rtl/>
        </w:rPr>
        <w:t>. גופים אלה</w:t>
      </w:r>
      <w:r w:rsidRPr="00A210E9">
        <w:rPr>
          <w:rFonts w:eastAsia="Calibri" w:hint="cs"/>
          <w:rtl/>
        </w:rPr>
        <w:t xml:space="preserve"> (להלן - הגופים המאשרים)</w:t>
      </w:r>
      <w:r w:rsidRPr="00A210E9">
        <w:rPr>
          <w:rFonts w:eastAsia="Calibri"/>
          <w:rtl/>
        </w:rPr>
        <w:t xml:space="preserve"> מעבירים נתוני זכאות </w:t>
      </w:r>
      <w:r w:rsidRPr="00A210E9">
        <w:rPr>
          <w:rFonts w:eastAsia="Calibri" w:hint="cs"/>
          <w:rtl/>
        </w:rPr>
        <w:t xml:space="preserve">לנכות </w:t>
      </w:r>
      <w:r w:rsidRPr="00A210E9">
        <w:rPr>
          <w:rFonts w:eastAsia="Calibri"/>
          <w:rtl/>
        </w:rPr>
        <w:t xml:space="preserve">לאגף הרישוי </w:t>
      </w:r>
      <w:r w:rsidRPr="00A210E9">
        <w:rPr>
          <w:rFonts w:eastAsia="Calibri" w:hint="cs"/>
          <w:rtl/>
        </w:rPr>
        <w:t>עבור אוכלוסיות מוגדרות שבטיפולם</w:t>
      </w:r>
      <w:r>
        <w:rPr>
          <w:rFonts w:eastAsia="Calibri"/>
          <w:vertAlign w:val="superscript"/>
          <w:rtl/>
        </w:rPr>
        <w:footnoteReference w:id="33"/>
      </w:r>
      <w:r w:rsidRPr="00A210E9">
        <w:rPr>
          <w:rFonts w:eastAsia="Calibri" w:hint="cs"/>
          <w:rtl/>
        </w:rPr>
        <w:t xml:space="preserve">, </w:t>
      </w:r>
      <w:r w:rsidRPr="00A210E9">
        <w:rPr>
          <w:rFonts w:eastAsia="Calibri"/>
          <w:rtl/>
        </w:rPr>
        <w:t>והאגף מנפיק עבור</w:t>
      </w:r>
      <w:r w:rsidRPr="00A210E9">
        <w:rPr>
          <w:rFonts w:eastAsia="Calibri" w:hint="cs"/>
          <w:rtl/>
        </w:rPr>
        <w:t>ן</w:t>
      </w:r>
      <w:r w:rsidRPr="00A210E9">
        <w:rPr>
          <w:rFonts w:eastAsia="Calibri"/>
          <w:rtl/>
        </w:rPr>
        <w:t xml:space="preserve"> תגי </w:t>
      </w:r>
      <w:r w:rsidRPr="00A210E9">
        <w:rPr>
          <w:rFonts w:eastAsia="Calibri" w:hint="cs"/>
          <w:rtl/>
        </w:rPr>
        <w:t>חניה.</w:t>
      </w:r>
      <w:r w:rsidRPr="00A210E9">
        <w:rPr>
          <w:rFonts w:eastAsia="Calibri"/>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יש לציין כי הרופאים שהוסמכו לאשר נכות על פי דין בגופים המאשרים בוחנים את מצבם הרפואי של הפונים אליהם לפי קריטריונים שהוגדרו לצרכים שונים; למשל, לצורך קביעת זכאות לקצבאות שונות של הביטוח הלאומי או קביעת זכאות לטיפולים או לסיוע מאגף השיקום. קריטריונים אלה אינם תואמים באופן חד-ערכי את התנאים המוגדרים בסעיף 1 לחוק חניה לנכים. על כן, אף שבחוק חניה לנכים קיימת הגדרה ל"נכה", עדיין נדרש להגדיר אילו אנשים שהוגדרו כזכאים לסיוע על ידי הגופים המאשרים יכולים לענות גם על התנאים שבסעיף 1 לחוק חניה לנכים, וניתן לאשר להם זכאות לתג חניה מכוח הבדיקה הרפואית שעברו בגופים המאשרים.</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rtl/>
        </w:rPr>
        <w:t xml:space="preserve">נוסף על כך, סעיף 1א </w:t>
      </w:r>
      <w:r w:rsidRPr="00A210E9">
        <w:rPr>
          <w:rFonts w:eastAsia="Calibri" w:hint="cs"/>
          <w:rtl/>
        </w:rPr>
        <w:t>ל</w:t>
      </w:r>
      <w:r w:rsidRPr="00A210E9">
        <w:rPr>
          <w:rFonts w:eastAsia="Calibri"/>
          <w:rtl/>
        </w:rPr>
        <w:t>חוק</w:t>
      </w:r>
      <w:r w:rsidRPr="00A210E9">
        <w:rPr>
          <w:rFonts w:eastAsia="Calibri" w:hint="cs"/>
          <w:rtl/>
        </w:rPr>
        <w:t xml:space="preserve"> חניית נכים</w:t>
      </w:r>
      <w:r w:rsidRPr="00A210E9">
        <w:rPr>
          <w:rFonts w:eastAsia="Calibri"/>
          <w:rtl/>
        </w:rPr>
        <w:t xml:space="preserve"> מאפשר גם לרופא שהסמיכה רשות הרישוי </w:t>
      </w:r>
      <w:r w:rsidRPr="00A210E9">
        <w:rPr>
          <w:rFonts w:eastAsia="Calibri" w:hint="cs"/>
          <w:rtl/>
        </w:rPr>
        <w:t xml:space="preserve">(להלן - רופאי אגף הרישוי) </w:t>
      </w:r>
      <w:r w:rsidRPr="00A210E9">
        <w:rPr>
          <w:rFonts w:eastAsia="Calibri"/>
          <w:rtl/>
        </w:rPr>
        <w:t xml:space="preserve">לאשר כי דרגת נכותו של אדם מגיעה ל-60% לפחות </w:t>
      </w:r>
      <w:r w:rsidRPr="00A210E9">
        <w:rPr>
          <w:rFonts w:eastAsia="Calibri" w:hint="cs"/>
          <w:rtl/>
        </w:rPr>
        <w:t>ו</w:t>
      </w:r>
      <w:r w:rsidRPr="00A210E9">
        <w:rPr>
          <w:rFonts w:eastAsia="Calibri"/>
          <w:rtl/>
        </w:rPr>
        <w:t>תנועתו בדרכים בלי רכב עלולה לערער את מצב בריאותו, וזאת במצבים שבהם לא ניתן לאשר נכות על פי דין. הסעיף מאפשר לאוכלוסיות שיוריות שאינן מטופלות על ידי גופים אחרים לפנות ישירות למשרד התחבורה</w:t>
      </w:r>
      <w:r w:rsidRPr="00A210E9">
        <w:rPr>
          <w:rFonts w:eastAsia="Calibri" w:hint="cs"/>
          <w:rtl/>
        </w:rPr>
        <w:t xml:space="preserve">. בהתאם לכך, פעילות משרד התחבורה בכל הקשור לבדיקת הזכאות הרפואית הייתה אמורה להיות מצומצמת מאוד ולתת מענה משלים לאוכלוסיות שונות ובהן </w:t>
      </w:r>
      <w:bookmarkStart w:id="21" w:name="_Hlk224744738"/>
      <w:r w:rsidRPr="00A210E9">
        <w:rPr>
          <w:rFonts w:eastAsia="Calibri"/>
          <w:rtl/>
        </w:rPr>
        <w:t>מבוגרים שהחלו להתמודד עם מוגבלות בניידות אחרי גיל פרישה</w:t>
      </w:r>
      <w:r w:rsidRPr="00A210E9">
        <w:rPr>
          <w:rFonts w:eastAsia="Calibri" w:hint="cs"/>
          <w:rtl/>
        </w:rPr>
        <w:t>,</w:t>
      </w:r>
      <w:r w:rsidRPr="00A210E9">
        <w:rPr>
          <w:rFonts w:eastAsia="Calibri"/>
          <w:rtl/>
        </w:rPr>
        <w:t xml:space="preserve"> ולכן </w:t>
      </w:r>
      <w:r w:rsidRPr="00A210E9">
        <w:rPr>
          <w:rFonts w:eastAsia="Calibri" w:hint="cs"/>
          <w:rtl/>
        </w:rPr>
        <w:t xml:space="preserve">הם </w:t>
      </w:r>
      <w:r w:rsidRPr="00A210E9">
        <w:rPr>
          <w:rFonts w:eastAsia="Calibri"/>
          <w:rtl/>
        </w:rPr>
        <w:t xml:space="preserve">אינם זכאים לקצבת נכות </w:t>
      </w:r>
      <w:r w:rsidRPr="00A210E9">
        <w:rPr>
          <w:rFonts w:eastAsia="Calibri" w:hint="cs"/>
          <w:rtl/>
        </w:rPr>
        <w:t>מ</w:t>
      </w:r>
      <w:r w:rsidRPr="00A210E9">
        <w:rPr>
          <w:rFonts w:eastAsia="Calibri"/>
          <w:rtl/>
        </w:rPr>
        <w:t>הביטוח הלאומי</w:t>
      </w:r>
      <w:r w:rsidRPr="00A210E9">
        <w:rPr>
          <w:rFonts w:eastAsia="Calibri" w:hint="cs"/>
          <w:rtl/>
        </w:rPr>
        <w:t>,</w:t>
      </w:r>
      <w:r w:rsidRPr="00A210E9">
        <w:rPr>
          <w:rFonts w:eastAsia="Calibri"/>
          <w:rtl/>
        </w:rPr>
        <w:t xml:space="preserve"> ו</w:t>
      </w:r>
      <w:r w:rsidRPr="00A210E9">
        <w:rPr>
          <w:rFonts w:eastAsia="Calibri" w:hint="cs"/>
          <w:rtl/>
        </w:rPr>
        <w:t xml:space="preserve">כן </w:t>
      </w:r>
      <w:r w:rsidRPr="00A210E9">
        <w:rPr>
          <w:rFonts w:eastAsia="Calibri"/>
          <w:rtl/>
        </w:rPr>
        <w:t>אנשים עם מוגבלות בעלי הכנסה גבוהה שבעטי</w:t>
      </w:r>
      <w:r w:rsidRPr="00A210E9">
        <w:rPr>
          <w:rFonts w:eastAsia="Calibri" w:hint="cs"/>
          <w:rtl/>
        </w:rPr>
        <w:t>י</w:t>
      </w:r>
      <w:r w:rsidRPr="00A210E9">
        <w:rPr>
          <w:rFonts w:eastAsia="Calibri"/>
          <w:rtl/>
        </w:rPr>
        <w:t xml:space="preserve">ה </w:t>
      </w:r>
      <w:r w:rsidRPr="00A210E9">
        <w:rPr>
          <w:rFonts w:eastAsia="Calibri" w:hint="cs"/>
          <w:rtl/>
        </w:rPr>
        <w:t xml:space="preserve">הם </w:t>
      </w:r>
      <w:r w:rsidRPr="00A210E9">
        <w:rPr>
          <w:rFonts w:eastAsia="Calibri"/>
          <w:rtl/>
        </w:rPr>
        <w:t>אינם זכאים לקצבת ניידות</w:t>
      </w:r>
      <w:bookmarkEnd w:id="21"/>
      <w:r w:rsidRPr="00A210E9">
        <w:rPr>
          <w:rFonts w:eastAsia="Calibri"/>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בתרשים שלהלן מוצגים הקריטריונים לקבלת תג חניה, על פי חוק חניה לנכים:</w:t>
      </w:r>
    </w:p>
    <w:p w:rsidR="00A210E9" w:rsidRPr="00A210E9" w:rsidP="00A210E9">
      <w:pPr>
        <w:keepNext/>
        <w:keepLines/>
        <w:spacing w:line="269" w:lineRule="auto"/>
        <w:jc w:val="center"/>
        <w:rPr>
          <w:rFonts w:eastAsia="Calibri"/>
          <w:b/>
          <w:bCs/>
          <w:rtl/>
        </w:rPr>
      </w:pPr>
      <w:r w:rsidRPr="00A210E9">
        <w:rPr>
          <w:rFonts w:eastAsia="Calibri" w:hint="eastAsia"/>
          <w:rtl/>
        </w:rPr>
        <w:t>תרשים</w:t>
      </w:r>
      <w:r w:rsidRPr="00A210E9">
        <w:rPr>
          <w:rFonts w:eastAsia="Calibri"/>
          <w:rtl/>
        </w:rPr>
        <w:t xml:space="preserve"> </w:t>
      </w:r>
      <w:r w:rsidRPr="00A210E9">
        <w:rPr>
          <w:rFonts w:eastAsia="Calibri" w:hint="cs"/>
          <w:rtl/>
        </w:rPr>
        <w:t>5</w:t>
      </w:r>
      <w:r w:rsidRPr="00A210E9">
        <w:rPr>
          <w:rFonts w:eastAsia="Calibri"/>
          <w:rtl/>
        </w:rPr>
        <w:t xml:space="preserve">: </w:t>
      </w:r>
      <w:bookmarkStart w:id="22" w:name="_Hlk223954152"/>
      <w:r w:rsidRPr="00A210E9">
        <w:rPr>
          <w:rFonts w:eastAsia="Calibri"/>
          <w:b/>
          <w:bCs/>
          <w:rtl/>
        </w:rPr>
        <w:t xml:space="preserve">הקריטריונים לקבלת </w:t>
      </w:r>
      <w:r w:rsidRPr="00A210E9">
        <w:rPr>
          <w:rFonts w:eastAsia="Calibri" w:hint="cs"/>
          <w:b/>
          <w:bCs/>
          <w:rtl/>
        </w:rPr>
        <w:t>זכאות ל</w:t>
      </w:r>
      <w:r w:rsidRPr="00A210E9">
        <w:rPr>
          <w:rFonts w:eastAsia="Calibri"/>
          <w:b/>
          <w:bCs/>
          <w:rtl/>
        </w:rPr>
        <w:t>תג חניה</w:t>
      </w:r>
      <w:r w:rsidRPr="00A210E9">
        <w:rPr>
          <w:rFonts w:eastAsia="Calibri" w:hint="cs"/>
          <w:b/>
          <w:bCs/>
          <w:rtl/>
        </w:rPr>
        <w:t>, על פי חוק חניה לנכים</w:t>
      </w:r>
      <w:bookmarkEnd w:id="22"/>
    </w:p>
    <w:p w:rsidR="00A210E9" w:rsidRPr="00A210E9" w:rsidP="00A210E9">
      <w:pPr>
        <w:spacing w:line="269" w:lineRule="auto"/>
        <w:jc w:val="center"/>
        <w:rPr>
          <w:rFonts w:eastAsia="Calibri"/>
          <w:b/>
          <w:bCs/>
          <w:rtl/>
        </w:rPr>
      </w:pPr>
      <w:r w:rsidRPr="00A210E9">
        <w:rPr>
          <w:rFonts w:eastAsia="Calibri"/>
          <w:noProof/>
        </w:rPr>
        <w:drawing>
          <wp:inline distT="0" distB="0" distL="0" distR="0">
            <wp:extent cx="4758690" cy="5554133"/>
            <wp:effectExtent l="0" t="0" r="3810" b="8890"/>
            <wp:docPr id="8" name="תמונה 8" descr="קריטריונים לאישור נכות עפ״י דין -סעיף 1 לתקנות חניה לנכים:&#10;עיוור&#10;או&#10;שהוא נכה הזקוק לרכב כאמצעי תנועה בגלל מגבלות הנכות&#10;או&#10;שהוא מוגבל בהליכה וזקוק לכיסא גלגלים לצורך ניידותו&#10;או&#10;שדרגת נכותו מגיעה ל-60% לפחות ותנועתו בדרכים בלי רכב עלולה לערער את מצב בריאותו&#10;&#10;האם יש אישור רפואי שהוסמך לאשר נכות (רופאים שנוספו מטעם ביטוח לאומי, משרד הביטחון, משרד הרווחה, הרשות לניצולי שואה, משרד הבריאות)?&#10;אם כן, אז זכאי לתג חניה.&#10;אם לא אז בוחנים קריטריון לאישור הזכאות לתג על ידי רשות הרישוי על פי סעיף 1א לחוק חניה לנכים.&#10;&#10;הקריטריון הוא - שדרגת נכותו מגיעה ל-60% לפחות ונקבעו תנאים רפואיים כי הוא עלול לערער את מצב בריאותו&#10;&#10;במידה וניתן אישור רפואי של רשות הרישוי, אז הפונה זכאי לתג&#10;&#10;במידה ולא -&gt; אין אישור לתג חניה&#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21"/>
                    <a:srcRect t="4010" b="3104"/>
                    <a:stretch>
                      <a:fillRect/>
                    </a:stretch>
                  </pic:blipFill>
                  <pic:spPr bwMode="auto">
                    <a:xfrm>
                      <a:off x="0" y="0"/>
                      <a:ext cx="4779185" cy="557805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A210E9" w:rsidRPr="00A210E9" w:rsidP="00A210E9">
      <w:pPr>
        <w:spacing w:line="269" w:lineRule="auto"/>
        <w:rPr>
          <w:rFonts w:eastAsia="Calibri"/>
          <w:szCs w:val="20"/>
          <w:rtl/>
        </w:rPr>
      </w:pPr>
      <w:bookmarkStart w:id="23" w:name="_Hlk223875841"/>
      <w:r w:rsidRPr="00A210E9">
        <w:rPr>
          <w:rFonts w:eastAsia="Calibri" w:hint="eastAsia"/>
          <w:szCs w:val="20"/>
          <w:rtl/>
        </w:rPr>
        <w:t>על</w:t>
      </w:r>
      <w:r w:rsidRPr="00A210E9">
        <w:rPr>
          <w:rFonts w:eastAsia="Calibri"/>
          <w:szCs w:val="20"/>
          <w:rtl/>
        </w:rPr>
        <w:t xml:space="preserve"> פי חוק </w:t>
      </w:r>
      <w:r w:rsidRPr="00A210E9">
        <w:rPr>
          <w:rFonts w:eastAsia="Calibri" w:hint="cs"/>
          <w:szCs w:val="20"/>
          <w:rtl/>
        </w:rPr>
        <w:t xml:space="preserve">חניה </w:t>
      </w:r>
      <w:r w:rsidRPr="00A210E9">
        <w:rPr>
          <w:rFonts w:eastAsia="Calibri"/>
          <w:szCs w:val="20"/>
          <w:rtl/>
        </w:rPr>
        <w:t>לנכים, בעיבוד משרד מבקר המדינה</w:t>
      </w:r>
      <w:r w:rsidRPr="00A210E9">
        <w:rPr>
          <w:rFonts w:eastAsia="Calibri" w:hint="cs"/>
          <w:szCs w:val="20"/>
          <w:rtl/>
        </w:rPr>
        <w:t>.</w:t>
      </w:r>
    </w:p>
    <w:p w:rsidR="00A210E9" w:rsidRPr="00A210E9" w:rsidP="00A210E9">
      <w:pPr>
        <w:spacing w:line="269" w:lineRule="auto"/>
        <w:rPr>
          <w:rFonts w:eastAsia="Calibri"/>
          <w:szCs w:val="20"/>
          <w:rtl/>
        </w:rPr>
      </w:pPr>
      <w:r w:rsidRPr="00A210E9">
        <w:rPr>
          <w:rFonts w:eastAsia="Calibri" w:hint="cs"/>
          <w:szCs w:val="20"/>
          <w:rtl/>
        </w:rPr>
        <w:t>* רופאים שהוסמכו לכך מטעם הביטוח הלאומי, משרד הביטחון, משרד הרווחה ומשרד הבריאות.</w:t>
      </w:r>
    </w:p>
    <w:bookmarkEnd w:id="23"/>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במשך שנים רבות התקיימו דיונים רבים על הקריטריונים לקבלת תג חניה כפי שהם מוגדרים בחוק, והועלו טענות על כך שהם עמומים וכלליים מדי ומביאים לריבוי של בקשות לתגים. להלן כמה דוגמאות: </w:t>
      </w:r>
    </w:p>
    <w:p w:rsidR="00A210E9" w:rsidRPr="00A210E9" w:rsidP="00A210E9">
      <w:pPr>
        <w:keepNext/>
        <w:keepLines/>
        <w:spacing w:line="269" w:lineRule="auto"/>
        <w:ind w:left="-567"/>
        <w:rPr>
          <w:rFonts w:eastAsia="Calibri"/>
          <w:szCs w:val="20"/>
          <w:rtl/>
        </w:rPr>
      </w:pPr>
    </w:p>
    <w:p w:rsidR="00A210E9" w:rsidRPr="00A210E9" w:rsidP="00A210E9">
      <w:pPr>
        <w:numPr>
          <w:ilvl w:val="0"/>
          <w:numId w:val="26"/>
        </w:numPr>
        <w:spacing w:line="269" w:lineRule="auto"/>
        <w:contextualSpacing/>
        <w:rPr>
          <w:rFonts w:eastAsia="Calibri"/>
        </w:rPr>
      </w:pPr>
      <w:r w:rsidRPr="00A210E9">
        <w:rPr>
          <w:rFonts w:eastAsia="Calibri" w:hint="cs"/>
          <w:rtl/>
        </w:rPr>
        <w:t>בתזכיר לתיקון חוק חניה לנכים שניסח משרד התחבורה בינואר 2008 במטרה להתמודד עם ההגדרות הלא ברורות לזכאות לתגי חניה בחוק</w:t>
      </w:r>
      <w:r>
        <w:rPr>
          <w:rFonts w:eastAsia="Calibri"/>
          <w:vertAlign w:val="superscript"/>
          <w:rtl/>
        </w:rPr>
        <w:footnoteReference w:id="34"/>
      </w:r>
      <w:r w:rsidRPr="00A210E9">
        <w:rPr>
          <w:rFonts w:eastAsia="Calibri" w:hint="cs"/>
          <w:rtl/>
        </w:rPr>
        <w:t xml:space="preserve"> נכתב: </w:t>
      </w:r>
      <w:r w:rsidRPr="00A210E9">
        <w:rPr>
          <w:rFonts w:eastAsia="Calibri"/>
          <w:rtl/>
        </w:rPr>
        <w:t>"ההגדרות</w:t>
      </w:r>
      <w:r w:rsidRPr="00A210E9">
        <w:rPr>
          <w:rFonts w:eastAsia="Calibri" w:hint="cs"/>
          <w:rtl/>
        </w:rPr>
        <w:t xml:space="preserve"> </w:t>
      </w:r>
      <w:r w:rsidRPr="00A210E9">
        <w:rPr>
          <w:rFonts w:eastAsia="Calibri"/>
          <w:rtl/>
        </w:rPr>
        <w:t>המעורפלות ל'נכה' הקבועות בחוק, כמו גם הקושי באכיפת החוק במתכונתו הנוכחית, אפשרו שימוש</w:t>
      </w:r>
      <w:r w:rsidRPr="00A210E9">
        <w:rPr>
          <w:rFonts w:eastAsia="Calibri" w:hint="cs"/>
          <w:rtl/>
        </w:rPr>
        <w:t xml:space="preserve"> </w:t>
      </w:r>
      <w:r w:rsidRPr="00A210E9">
        <w:rPr>
          <w:rFonts w:eastAsia="Calibri"/>
          <w:rtl/>
        </w:rPr>
        <w:t>לרעה בתגים, בקנה מידה נרחב. השימוש לרעה התבטא בשני אופנים עיקריים: ניצול ההגדרה העמומה</w:t>
      </w:r>
      <w:r w:rsidRPr="00A210E9">
        <w:rPr>
          <w:rFonts w:eastAsia="Calibri" w:hint="cs"/>
          <w:rtl/>
        </w:rPr>
        <w:t xml:space="preserve"> </w:t>
      </w:r>
      <w:r w:rsidRPr="00A210E9">
        <w:rPr>
          <w:rFonts w:eastAsia="Calibri"/>
          <w:rtl/>
        </w:rPr>
        <w:t xml:space="preserve">של הנכות לשם קבלת תג </w:t>
      </w:r>
      <w:r w:rsidRPr="00A210E9">
        <w:rPr>
          <w:rFonts w:eastAsia="Calibri" w:hint="cs"/>
          <w:rtl/>
        </w:rPr>
        <w:t>חניה</w:t>
      </w:r>
      <w:r w:rsidRPr="00A210E9">
        <w:rPr>
          <w:rFonts w:eastAsia="Calibri"/>
          <w:rtl/>
        </w:rPr>
        <w:t xml:space="preserve"> על-ידי מי שספק אם הוא זכאי לו או נזקק לו לצורך נגישות </w:t>
      </w:r>
      <w:r w:rsidRPr="00A210E9">
        <w:rPr>
          <w:rFonts w:eastAsia="Calibri" w:hint="cs"/>
          <w:rtl/>
        </w:rPr>
        <w:t>(</w:t>
      </w:r>
      <w:r w:rsidRPr="00A210E9">
        <w:rPr>
          <w:rFonts w:eastAsia="Calibri"/>
          <w:rtl/>
        </w:rPr>
        <w:t>להבדיל</w:t>
      </w:r>
      <w:r w:rsidRPr="00A210E9">
        <w:rPr>
          <w:rFonts w:eastAsia="Calibri" w:hint="cs"/>
          <w:rtl/>
        </w:rPr>
        <w:t xml:space="preserve"> </w:t>
      </w:r>
      <w:r w:rsidRPr="00A210E9">
        <w:rPr>
          <w:rFonts w:eastAsia="Calibri"/>
          <w:rtl/>
        </w:rPr>
        <w:t>מנוחיות גרידא</w:t>
      </w:r>
      <w:r w:rsidRPr="00A210E9">
        <w:rPr>
          <w:rFonts w:eastAsia="Calibri" w:hint="cs"/>
          <w:rtl/>
        </w:rPr>
        <w:t>)</w:t>
      </w:r>
      <w:r w:rsidRPr="00A210E9">
        <w:rPr>
          <w:rFonts w:eastAsia="Calibri"/>
          <w:rtl/>
        </w:rPr>
        <w:t>, ושימוש בתגים ובהטבות החניה שהם מקנים, על-ידי מי שאינם נכים".</w:t>
      </w:r>
      <w:r w:rsidRPr="00A210E9">
        <w:rPr>
          <w:rFonts w:eastAsia="Calibri" w:hint="cs"/>
          <w:rtl/>
        </w:rPr>
        <w:t xml:space="preserve"> בתזכיר חוק שהופץ בשנת 2009 והחליף את התזכיר מינואר 2008, נכתב כי </w:t>
      </w:r>
      <w:r w:rsidRPr="00A210E9">
        <w:rPr>
          <w:rFonts w:eastAsia="Calibri" w:hint="cs"/>
          <w:rtl/>
        </w:rPr>
        <w:t>"בעיה... שאותרה ביישום החוק היא עמימות אמות המידה הרפואיות לפיהן מאושרת הזכאות לתג חניה, וכפועל יוצא מתעורר ספק אם כל האוכלוסייה הנזקקת לתגים ורק אוכלוסייה זו, היא המאושרת כזכאית על פי החוק". ניסיונות אלה לשינוי חקיקה לא נשאו פרי (ראו להלן בפרק "</w:t>
      </w:r>
      <w:r w:rsidRPr="00A210E9">
        <w:rPr>
          <w:rFonts w:eastAsia="Calibri"/>
          <w:rtl/>
        </w:rPr>
        <w:t>עבודת מטה במשרד התחבורה לקידום מדיניות בנוגע לתגי חניה</w:t>
      </w:r>
      <w:r w:rsidRPr="00A210E9">
        <w:rPr>
          <w:rFonts w:eastAsia="Calibri" w:hint="cs"/>
          <w:rtl/>
        </w:rPr>
        <w:t>").</w:t>
      </w:r>
    </w:p>
    <w:p w:rsidR="00A210E9" w:rsidRPr="00A210E9" w:rsidP="00A210E9">
      <w:pPr>
        <w:keepNext/>
        <w:keepLines/>
        <w:spacing w:line="269" w:lineRule="auto"/>
        <w:ind w:left="-567"/>
        <w:rPr>
          <w:rFonts w:eastAsia="Calibri"/>
          <w:szCs w:val="20"/>
          <w:rtl/>
        </w:rPr>
      </w:pPr>
    </w:p>
    <w:p w:rsidR="00A210E9" w:rsidRPr="00A210E9" w:rsidP="00A210E9">
      <w:pPr>
        <w:numPr>
          <w:ilvl w:val="0"/>
          <w:numId w:val="26"/>
        </w:numPr>
        <w:spacing w:line="269" w:lineRule="auto"/>
        <w:contextualSpacing/>
        <w:rPr>
          <w:rFonts w:eastAsia="Calibri"/>
        </w:rPr>
      </w:pPr>
      <w:r w:rsidRPr="00A210E9">
        <w:rPr>
          <w:rFonts w:eastAsia="Calibri" w:hint="cs"/>
          <w:rtl/>
        </w:rPr>
        <w:t>בשנים 2010 ו-2012 הכין מרכז המחקר והמידע של הכנסת, עבור ועדה מיוחדת לפניות ציבור של הכנסת בנושא תגי חניה</w:t>
      </w:r>
      <w:r>
        <w:rPr>
          <w:rFonts w:eastAsia="Calibri"/>
          <w:vertAlign w:val="superscript"/>
          <w:rtl/>
        </w:rPr>
        <w:footnoteReference w:id="35"/>
      </w:r>
      <w:r w:rsidRPr="00A210E9">
        <w:rPr>
          <w:rFonts w:eastAsia="Calibri" w:hint="cs"/>
          <w:rtl/>
        </w:rPr>
        <w:t xml:space="preserve">, שתי עבודות בנוגע לזכאות לתגי חניה. בעבודה משנת 2012 צוין כי על פי אגף הרישוי </w:t>
      </w:r>
      <w:r w:rsidRPr="00A210E9">
        <w:rPr>
          <w:rFonts w:eastAsia="Calibri"/>
          <w:rtl/>
        </w:rPr>
        <w:t>נקבעו הקריטריונים</w:t>
      </w:r>
      <w:r w:rsidRPr="00A210E9">
        <w:rPr>
          <w:rFonts w:eastAsia="Calibri" w:hint="cs"/>
          <w:rtl/>
        </w:rPr>
        <w:t xml:space="preserve"> לזכאות לתג</w:t>
      </w:r>
      <w:r w:rsidRPr="00A210E9">
        <w:rPr>
          <w:rFonts w:eastAsia="Calibri"/>
          <w:rtl/>
        </w:rPr>
        <w:t xml:space="preserve"> </w:t>
      </w:r>
      <w:r w:rsidRPr="00A210E9">
        <w:rPr>
          <w:rFonts w:eastAsia="Calibri" w:hint="cs"/>
          <w:rtl/>
        </w:rPr>
        <w:t>"</w:t>
      </w:r>
      <w:r w:rsidRPr="00A210E9">
        <w:rPr>
          <w:rFonts w:eastAsia="Calibri"/>
          <w:rtl/>
        </w:rPr>
        <w:t>כדי לשמש כלי לבחינת</w:t>
      </w:r>
      <w:r w:rsidRPr="00A210E9">
        <w:rPr>
          <w:rFonts w:eastAsia="Calibri" w:hint="cs"/>
          <w:rtl/>
        </w:rPr>
        <w:t xml:space="preserve"> </w:t>
      </w:r>
      <w:r w:rsidRPr="00A210E9">
        <w:rPr>
          <w:rFonts w:eastAsia="Calibri"/>
          <w:rtl/>
        </w:rPr>
        <w:t>מרכיב ערעור המצב הבריאותי בלא רכב, המהווה עילה מזכה לקבלת תג על-פי חוק החניה לנכים אולם</w:t>
      </w:r>
      <w:r w:rsidRPr="00A210E9">
        <w:rPr>
          <w:rFonts w:eastAsia="Calibri" w:hint="cs"/>
          <w:rtl/>
        </w:rPr>
        <w:t xml:space="preserve"> [כלי זה] </w:t>
      </w:r>
      <w:r w:rsidRPr="00A210E9">
        <w:rPr>
          <w:rFonts w:eastAsia="Calibri"/>
          <w:rtl/>
        </w:rPr>
        <w:t>לוקה בעמימות</w:t>
      </w:r>
      <w:r w:rsidRPr="00A210E9">
        <w:rPr>
          <w:rFonts w:eastAsia="Calibri" w:hint="cs"/>
          <w:rtl/>
        </w:rPr>
        <w:t>"</w:t>
      </w:r>
      <w:r w:rsidRPr="00A210E9">
        <w:rPr>
          <w:rFonts w:eastAsia="Calibri"/>
          <w:rtl/>
        </w:rPr>
        <w:t xml:space="preserve">. </w:t>
      </w:r>
    </w:p>
    <w:p w:rsidR="00A210E9" w:rsidRPr="00A210E9" w:rsidP="00A210E9">
      <w:pPr>
        <w:keepNext/>
        <w:keepLines/>
        <w:spacing w:line="269" w:lineRule="auto"/>
        <w:ind w:left="-567"/>
        <w:rPr>
          <w:rFonts w:eastAsia="Calibri"/>
          <w:szCs w:val="20"/>
          <w:rtl/>
        </w:rPr>
      </w:pPr>
    </w:p>
    <w:p w:rsidR="00A210E9" w:rsidRPr="00A210E9" w:rsidP="00A210E9">
      <w:pPr>
        <w:numPr>
          <w:ilvl w:val="0"/>
          <w:numId w:val="26"/>
        </w:numPr>
        <w:spacing w:line="269" w:lineRule="auto"/>
        <w:contextualSpacing/>
        <w:rPr>
          <w:rFonts w:eastAsia="Calibri"/>
        </w:rPr>
      </w:pPr>
      <w:r w:rsidRPr="00A210E9">
        <w:rPr>
          <w:rFonts w:eastAsia="Calibri" w:hint="cs"/>
          <w:rtl/>
        </w:rPr>
        <w:t>באוקטובר 2013 הוצג בפני מנכ"ל משרד התחבורה</w:t>
      </w:r>
      <w:r w:rsidRPr="00A210E9">
        <w:rPr>
          <w:rFonts w:eastAsia="Calibri"/>
          <w:rtl/>
        </w:rPr>
        <w:t xml:space="preserve"> סטטוס הטיפול במבקשי תגי חניה, </w:t>
      </w:r>
      <w:r w:rsidRPr="00A210E9">
        <w:rPr>
          <w:rFonts w:eastAsia="Calibri" w:hint="cs"/>
          <w:rtl/>
        </w:rPr>
        <w:t xml:space="preserve">והתקיים דיון שמטרתו "הצגת סטאטוס הטיפול במבקשי תגי חניה לנכים, </w:t>
      </w:r>
      <w:r w:rsidRPr="00A210E9">
        <w:rPr>
          <w:rFonts w:eastAsia="Calibri"/>
          <w:rtl/>
        </w:rPr>
        <w:t>פתרון למענה בשוטף וקביעת מדיניות להמשך טיפול</w:t>
      </w:r>
      <w:r w:rsidRPr="00A210E9">
        <w:rPr>
          <w:rFonts w:eastAsia="Calibri" w:hint="cs"/>
          <w:rtl/>
        </w:rPr>
        <w:t>"</w:t>
      </w:r>
      <w:r w:rsidRPr="00A210E9">
        <w:rPr>
          <w:rFonts w:eastAsia="Calibri"/>
          <w:rtl/>
        </w:rPr>
        <w:t>.</w:t>
      </w:r>
      <w:r w:rsidRPr="00A210E9">
        <w:rPr>
          <w:rFonts w:eastAsia="Calibri" w:hint="cs"/>
          <w:rtl/>
        </w:rPr>
        <w:t xml:space="preserve"> בין יתר הנושאים השוטפים בדיון זה צוין כי </w:t>
      </w:r>
      <w:r w:rsidRPr="00A210E9">
        <w:rPr>
          <w:rFonts w:eastAsia="Calibri"/>
          <w:rtl/>
        </w:rPr>
        <w:t xml:space="preserve">הגדרת החוק של </w:t>
      </w:r>
      <w:r w:rsidRPr="00A210E9">
        <w:rPr>
          <w:rFonts w:eastAsia="Calibri" w:hint="cs"/>
          <w:rtl/>
        </w:rPr>
        <w:t>אדם עם מוגבלות</w:t>
      </w:r>
      <w:r w:rsidRPr="00A210E9">
        <w:rPr>
          <w:rFonts w:eastAsia="Calibri"/>
          <w:rtl/>
        </w:rPr>
        <w:t xml:space="preserve"> ופרשנות</w:t>
      </w:r>
      <w:r w:rsidRPr="00A210E9">
        <w:rPr>
          <w:rFonts w:eastAsia="Calibri" w:hint="cs"/>
          <w:rtl/>
        </w:rPr>
        <w:t xml:space="preserve">ה </w:t>
      </w:r>
      <w:r w:rsidRPr="00A210E9">
        <w:rPr>
          <w:rFonts w:eastAsia="Calibri"/>
          <w:rtl/>
        </w:rPr>
        <w:t>״הליכתו</w:t>
      </w:r>
      <w:r>
        <w:rPr>
          <w:rFonts w:eastAsia="Calibri"/>
          <w:vertAlign w:val="superscript"/>
          <w:rtl/>
        </w:rPr>
        <w:footnoteReference w:id="36"/>
      </w:r>
      <w:r w:rsidRPr="00A210E9">
        <w:rPr>
          <w:rFonts w:eastAsia="Calibri"/>
          <w:rtl/>
        </w:rPr>
        <w:t xml:space="preserve"> בדרכים מסכנת את בריאותו״</w:t>
      </w:r>
      <w:r w:rsidRPr="00A210E9">
        <w:rPr>
          <w:rFonts w:eastAsia="Calibri" w:hint="cs"/>
          <w:rtl/>
        </w:rPr>
        <w:t xml:space="preserve"> </w:t>
      </w:r>
      <w:r w:rsidRPr="00A210E9">
        <w:rPr>
          <w:rFonts w:eastAsia="Calibri"/>
          <w:rtl/>
        </w:rPr>
        <w:t>בעייתית</w:t>
      </w:r>
      <w:r w:rsidRPr="00A210E9">
        <w:rPr>
          <w:rFonts w:eastAsia="Calibri" w:hint="cs"/>
          <w:rtl/>
        </w:rPr>
        <w:t>, וה</w:t>
      </w:r>
      <w:r w:rsidRPr="00A210E9">
        <w:rPr>
          <w:rFonts w:eastAsia="Calibri"/>
          <w:rtl/>
        </w:rPr>
        <w:t>קריטריונים למתן הזכאות</w:t>
      </w:r>
      <w:r w:rsidRPr="00A210E9">
        <w:rPr>
          <w:rFonts w:eastAsia="Calibri" w:hint="cs"/>
          <w:rtl/>
        </w:rPr>
        <w:t xml:space="preserve"> </w:t>
      </w:r>
      <w:r w:rsidRPr="00A210E9">
        <w:rPr>
          <w:rFonts w:eastAsia="Calibri"/>
          <w:rtl/>
        </w:rPr>
        <w:t>אינם חד</w:t>
      </w:r>
      <w:r w:rsidRPr="00A210E9">
        <w:rPr>
          <w:rFonts w:eastAsia="Calibri" w:hint="cs"/>
          <w:rtl/>
        </w:rPr>
        <w:t>-</w:t>
      </w:r>
      <w:r w:rsidRPr="00A210E9">
        <w:rPr>
          <w:rFonts w:eastAsia="Calibri"/>
          <w:rtl/>
        </w:rPr>
        <w:t>משמעיים.</w:t>
      </w:r>
      <w:r w:rsidRPr="00A210E9">
        <w:rPr>
          <w:rFonts w:eastAsia="Calibri" w:hint="cs"/>
          <w:rtl/>
        </w:rPr>
        <w:t xml:space="preserve"> </w:t>
      </w:r>
    </w:p>
    <w:p w:rsidR="00A210E9" w:rsidRPr="00A210E9" w:rsidP="00A210E9">
      <w:pPr>
        <w:keepNext/>
        <w:keepLines/>
        <w:spacing w:line="269" w:lineRule="auto"/>
        <w:ind w:left="-567"/>
        <w:rPr>
          <w:rFonts w:eastAsia="Calibri"/>
          <w:szCs w:val="20"/>
          <w:rtl/>
        </w:rPr>
      </w:pPr>
    </w:p>
    <w:p w:rsidR="00A210E9" w:rsidRPr="00A210E9" w:rsidP="00A210E9">
      <w:pPr>
        <w:numPr>
          <w:ilvl w:val="0"/>
          <w:numId w:val="26"/>
        </w:numPr>
        <w:spacing w:line="269" w:lineRule="auto"/>
        <w:contextualSpacing/>
        <w:rPr>
          <w:rFonts w:eastAsia="Calibri"/>
          <w:rtl/>
        </w:rPr>
      </w:pPr>
      <w:r w:rsidRPr="00A210E9">
        <w:rPr>
          <w:rFonts w:eastAsia="Calibri" w:hint="cs"/>
          <w:rtl/>
        </w:rPr>
        <w:t>במסגרת התוכנית הלאומית לחניה שפרסם משרד התחבורה בשנת 2023</w:t>
      </w:r>
      <w:r>
        <w:rPr>
          <w:rFonts w:eastAsia="Calibri"/>
          <w:vertAlign w:val="superscript"/>
          <w:rtl/>
        </w:rPr>
        <w:footnoteReference w:id="37"/>
      </w:r>
      <w:r w:rsidRPr="00A210E9">
        <w:rPr>
          <w:rFonts w:eastAsia="Calibri" w:hint="cs"/>
          <w:rtl/>
        </w:rPr>
        <w:t xml:space="preserve"> (להלן - התוכנית הלאומית לחניה)</w:t>
      </w:r>
      <w:r w:rsidRPr="00A210E9">
        <w:rPr>
          <w:rFonts w:eastAsia="Calibri" w:hint="cs"/>
        </w:rPr>
        <w:t xml:space="preserve"> </w:t>
      </w:r>
      <w:r w:rsidRPr="00A210E9">
        <w:rPr>
          <w:rFonts w:eastAsia="Calibri" w:hint="cs"/>
          <w:rtl/>
        </w:rPr>
        <w:t>צוין כי הקריטריונים "</w:t>
      </w:r>
      <w:r w:rsidRPr="00A210E9">
        <w:rPr>
          <w:rFonts w:eastAsia="Calibri"/>
          <w:rtl/>
        </w:rPr>
        <w:t>אדם נכה הזקוק לרכב כאמצעי תנועה בגלל רגליו הנכות</w:t>
      </w:r>
      <w:r w:rsidRPr="00A210E9">
        <w:rPr>
          <w:rFonts w:eastAsia="Calibri" w:hint="cs"/>
          <w:rtl/>
        </w:rPr>
        <w:t>" ו"</w:t>
      </w:r>
      <w:r w:rsidRPr="00A210E9">
        <w:rPr>
          <w:rFonts w:eastAsia="Calibri"/>
          <w:rtl/>
        </w:rPr>
        <w:t>אדם אשר רופא שהוסמך על ידי רשות הרישוי לאשר נכות על-פי החוק, אישר לגביו בכתב שדרגת נכותו מגיעה ל־60% לפחות ותנועתו בדרכים ללא רכב עלולה לערער את מצב בריאותו</w:t>
      </w:r>
      <w:r w:rsidRPr="00A210E9">
        <w:rPr>
          <w:rFonts w:eastAsia="Calibri" w:hint="cs"/>
          <w:rtl/>
        </w:rPr>
        <w:t xml:space="preserve">" רחבים ונתונים לפרשנות.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עם השנים התווספו בהדרגה למערך הזכאים לתג גם אוכלוסיות עם מוגבלויות אחרות. אוכלוסיות אלה אושרו על ידי משרד התחבורה: ילדים ומבוגרים על הספקטרום האוטיסטי</w:t>
      </w:r>
      <w:r>
        <w:rPr>
          <w:rFonts w:eastAsia="Calibri"/>
          <w:vertAlign w:val="superscript"/>
          <w:rtl/>
        </w:rPr>
        <w:footnoteReference w:id="38"/>
      </w:r>
      <w:r w:rsidRPr="00A210E9">
        <w:rPr>
          <w:rFonts w:eastAsia="Calibri" w:hint="cs"/>
          <w:rtl/>
        </w:rPr>
        <w:t>, חולים אונקולוגים, חולי דיאליזה ואנשים שנקבעה להם נכות נפשית בדרגה של 60% ומעלה ו</w:t>
      </w:r>
      <w:r w:rsidRPr="00A210E9">
        <w:rPr>
          <w:rFonts w:eastAsia="Calibri"/>
          <w:rtl/>
        </w:rPr>
        <w:t>התקבלה</w:t>
      </w:r>
      <w:r w:rsidRPr="00A210E9">
        <w:rPr>
          <w:rFonts w:eastAsia="Calibri" w:hint="cs"/>
          <w:rtl/>
        </w:rPr>
        <w:t xml:space="preserve"> לגביהם</w:t>
      </w:r>
      <w:r w:rsidRPr="00A210E9">
        <w:rPr>
          <w:rFonts w:eastAsia="Calibri"/>
          <w:rtl/>
        </w:rPr>
        <w:t xml:space="preserve"> חוות דעת רפואית</w:t>
      </w:r>
      <w:r w:rsidRPr="00A210E9">
        <w:rPr>
          <w:rFonts w:eastAsia="Calibri" w:hint="cs"/>
          <w:rtl/>
        </w:rPr>
        <w:t xml:space="preserve"> ש</w:t>
      </w:r>
      <w:r w:rsidRPr="00A210E9">
        <w:rPr>
          <w:rFonts w:eastAsia="Calibri"/>
          <w:rtl/>
        </w:rPr>
        <w:t>התניידות עם כלי רכב תאפשר לשמור על בריאות האדם ולמנוע הידרדרות במצבו הרפואי</w:t>
      </w:r>
      <w:r>
        <w:rPr>
          <w:rFonts w:eastAsia="Calibri"/>
          <w:vertAlign w:val="superscript"/>
          <w:rtl/>
        </w:rPr>
        <w:footnoteReference w:id="39"/>
      </w:r>
      <w:r w:rsidRPr="00A210E9">
        <w:rPr>
          <w:rFonts w:eastAsia="Calibri" w:hint="cs"/>
          <w:rtl/>
        </w:rPr>
        <w:t>. הדבר התאפשר בין היתר בשל העמימות בקריטריונים, אשר הביאה לכך שמשרד התחבורה לא החזיק בכלים שאפשרו לו לבדל בין האוכלוסיות הרלוונטיות לזכאות לתג חניה לבין אוכלוסיות שאינן רלוונטיות לזכאות זו. כך, בשנת 2018 העביר מנהל אגף הרישוי הנחיה שלפיה "</w:t>
      </w:r>
      <w:r w:rsidRPr="00A210E9">
        <w:rPr>
          <w:rFonts w:eastAsia="Calibri"/>
          <w:rtl/>
        </w:rPr>
        <w:t>בהמשך להחלטה שהתקבלה על ידי הנהלת המשרד</w:t>
      </w:r>
      <w:r w:rsidRPr="00A210E9">
        <w:rPr>
          <w:rFonts w:eastAsia="Calibri" w:hint="cs"/>
          <w:rtl/>
        </w:rPr>
        <w:t xml:space="preserve">... </w:t>
      </w:r>
      <w:r w:rsidRPr="00A210E9">
        <w:rPr>
          <w:rFonts w:eastAsia="Calibri"/>
          <w:rtl/>
        </w:rPr>
        <w:t>לאשר תג חניה למי שמצוי על הספקטרום</w:t>
      </w:r>
      <w:r w:rsidRPr="00A210E9">
        <w:rPr>
          <w:rFonts w:eastAsia="Calibri" w:hint="cs"/>
          <w:rtl/>
        </w:rPr>
        <w:t xml:space="preserve"> </w:t>
      </w:r>
      <w:r w:rsidRPr="00A210E9">
        <w:rPr>
          <w:rFonts w:eastAsia="Calibri"/>
          <w:rtl/>
        </w:rPr>
        <w:t>האוטיסטי.</w:t>
      </w:r>
      <w:r w:rsidRPr="00A210E9">
        <w:rPr>
          <w:rFonts w:eastAsia="Calibri" w:hint="cs"/>
          <w:rtl/>
        </w:rPr>
        <w:t xml:space="preserve">.. </w:t>
      </w:r>
      <w:r w:rsidRPr="00A210E9">
        <w:rPr>
          <w:rFonts w:eastAsia="Calibri"/>
          <w:rtl/>
        </w:rPr>
        <w:t>נכון לקיים דיון מקצועי האם ההחלטה לאשר לכל אדם המצוי על הספקטרום תג נכה היא סבירה ומקצועית</w:t>
      </w:r>
      <w:r w:rsidRPr="00A210E9">
        <w:rPr>
          <w:rFonts w:eastAsia="Calibri" w:hint="cs"/>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עמותת נגישות ישראל (ע"ר) כתבה בתשובתה למשרד מבקר המדינה ממאי 2026 (להלן - תשובת נגישות ישראל): "</w:t>
      </w:r>
      <w:r w:rsidRPr="00A210E9">
        <w:rPr>
          <w:rFonts w:eastAsia="Calibri"/>
          <w:rtl/>
        </w:rPr>
        <w:t xml:space="preserve">הסעיף </w:t>
      </w:r>
      <w:r w:rsidRPr="00A210E9">
        <w:rPr>
          <w:rFonts w:eastAsia="Calibri" w:hint="cs"/>
          <w:rtl/>
        </w:rPr>
        <w:t xml:space="preserve">[1א לחוק] </w:t>
      </w:r>
      <w:r w:rsidRPr="00A210E9">
        <w:rPr>
          <w:rFonts w:eastAsia="Calibri"/>
          <w:rtl/>
        </w:rPr>
        <w:t>מאפשר חופש לאשר למי שרק רוצים - פתח מסוכן</w:t>
      </w:r>
      <w:r w:rsidRPr="00A210E9">
        <w:rPr>
          <w:rFonts w:eastAsia="Calibri" w:hint="cs"/>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נמצא כי במשך השנים אושרו בפועל תגי חניה בגין מגוון רחב של עילות. בשני התרשימים שלהלן מובאים נתוני הסיווגים הרפואיים בבקשות שאושרו או נדחו על ידי רופאי אגף הרישוי בשנים 2019 - 2024:</w:t>
      </w:r>
    </w:p>
    <w:p w:rsidR="00A210E9" w:rsidRPr="00A210E9" w:rsidP="00A210E9">
      <w:pPr>
        <w:keepNext/>
        <w:keepLines/>
        <w:spacing w:line="269" w:lineRule="auto"/>
        <w:jc w:val="center"/>
        <w:rPr>
          <w:rFonts w:eastAsia="Calibri"/>
          <w:b/>
          <w:bCs/>
          <w:rtl/>
        </w:rPr>
      </w:pPr>
      <w:r w:rsidRPr="00A210E9">
        <w:rPr>
          <w:rFonts w:eastAsia="Calibri" w:hint="eastAsia"/>
          <w:rtl/>
        </w:rPr>
        <w:t>תרשים</w:t>
      </w:r>
      <w:r w:rsidRPr="00A210E9">
        <w:rPr>
          <w:rFonts w:eastAsia="Calibri"/>
          <w:rtl/>
        </w:rPr>
        <w:t xml:space="preserve"> </w:t>
      </w:r>
      <w:r w:rsidRPr="00A210E9">
        <w:rPr>
          <w:rFonts w:eastAsia="Calibri" w:hint="cs"/>
          <w:rtl/>
        </w:rPr>
        <w:t>6</w:t>
      </w:r>
      <w:r w:rsidRPr="00A210E9">
        <w:rPr>
          <w:rFonts w:eastAsia="Calibri"/>
          <w:rtl/>
        </w:rPr>
        <w:t>:</w:t>
      </w:r>
      <w:r w:rsidRPr="00A210E9">
        <w:rPr>
          <w:rFonts w:eastAsia="Calibri" w:hint="cs"/>
          <w:b/>
          <w:bCs/>
        </w:rPr>
        <w:t xml:space="preserve"> </w:t>
      </w:r>
      <w:bookmarkStart w:id="24" w:name="_Hlk224764763"/>
      <w:r w:rsidRPr="00A210E9">
        <w:rPr>
          <w:rFonts w:eastAsia="Calibri" w:hint="cs"/>
          <w:b/>
          <w:bCs/>
          <w:rtl/>
        </w:rPr>
        <w:t>מספר הבקשות לתג חניה שאושרו, לפי סיווגים רפואיים, 2019 - 2024 (באלפים)</w:t>
      </w:r>
      <w:bookmarkEnd w:id="24"/>
    </w:p>
    <w:p w:rsidR="00A210E9" w:rsidRPr="00A210E9" w:rsidP="00A210E9">
      <w:pPr>
        <w:spacing w:line="269" w:lineRule="auto"/>
        <w:rPr>
          <w:rFonts w:eastAsia="Calibri"/>
          <w:rtl/>
        </w:rPr>
      </w:pPr>
      <w:r w:rsidRPr="00A210E9">
        <w:rPr>
          <w:rFonts w:eastAsia="Calibri"/>
          <w:noProof/>
        </w:rPr>
        <w:drawing>
          <wp:inline distT="0" distB="0" distL="0" distR="0">
            <wp:extent cx="5263307" cy="2984739"/>
            <wp:effectExtent l="0" t="0" r="0" b="6350"/>
            <wp:docPr id="3" name="תמונה 3" descr="61,005&#10;99.6%&#10;שנת 2019&#10;&#10;72,865&#10;70%&#10;16%&#10;5%&#10;שנת 2020&#10;&#10;91,058&#10;8%&#10;35%&#10;9%&#10;5%&#10;13%&#10;31%&#10;שנת 2021&#10;&#10;121,869&#10;8%&#10;44%&#10;7%&#10;4%&#10;11%&#10;25%&#10;שנת 2022&#10;&#10;119,457&#10;11%&#10;9%&#10;12%&#10;6%&#10;18%&#10;44%&#10;שנת 2023&#10;&#10;125,516&#10;12%&#10;7%&#10;12%&#10;5%&#10;16%&#10;48%&#10;שנת 2024&#10;&#10;מימין (מקרא, מלמעלה למטה):&#10;סה&quot;כ אישורים&#10;סיווגים נוספים*&#10;&quot;אחר&quot;&#10;נירולוגי&#10;פסיכוטראומטי ואוטיסטי&#10;אונקולוגי&#10;אורטופדי&#10;&#10;סיווגים נוספים: כירורגי, נפרולוגי, פסיכיאטרי, ראייתי, קרדיולוגי, גסטרואנטרולוגי&#10;&#10;שאר 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91305" cy="3000616"/>
                    </a:xfrm>
                    <a:prstGeom prst="rect">
                      <a:avLst/>
                    </a:prstGeom>
                    <a:noFill/>
                  </pic:spPr>
                </pic:pic>
              </a:graphicData>
            </a:graphic>
          </wp:inline>
        </w:drawing>
      </w:r>
    </w:p>
    <w:p w:rsidR="00A210E9" w:rsidRPr="00A210E9" w:rsidP="00A210E9">
      <w:pPr>
        <w:spacing w:line="269" w:lineRule="auto"/>
        <w:rPr>
          <w:rFonts w:eastAsia="Calibri"/>
          <w:szCs w:val="20"/>
          <w:rtl/>
        </w:rPr>
      </w:pPr>
      <w:r w:rsidRPr="00A210E9">
        <w:rPr>
          <w:rFonts w:eastAsia="Calibri" w:hint="eastAsia"/>
          <w:szCs w:val="20"/>
          <w:rtl/>
        </w:rPr>
        <w:t>על</w:t>
      </w:r>
      <w:r w:rsidRPr="00A210E9">
        <w:rPr>
          <w:rFonts w:eastAsia="Calibri"/>
          <w:szCs w:val="20"/>
          <w:rtl/>
        </w:rPr>
        <w:t xml:space="preserve"> פי נתוני משרד התחבורה, בעיבוד משרד מבקר המדינה</w:t>
      </w:r>
      <w:r w:rsidRPr="00A210E9">
        <w:rPr>
          <w:rFonts w:eastAsia="Calibri" w:hint="cs"/>
          <w:szCs w:val="20"/>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בתרשים זה ניתן לראות את העילות שבגינן אושרו תגי חניה והוגדרו כסיווגים רפואיים. בשנים 2021 - 2024 שיעור התגים שאושרו בגין סיווג רפואי "אורטופדי" נע בין 31% ל-48%, תוך גידול במספרם המוחלט בפי שניים לערך; בסיווג "אונקולוגי" נע השיעור בין 11% ל-18%, ואף בסיווג זה מספרם המוחלט הכפיל את עצמו; בסיווג "בספקטרום האוטיסטי" שיעור התגים היה כ-5% בכל שנה; בסיווג "נוירולוגי" שיעור התגים גדל מ-9% ל-12% ומספרם גדל פי 1.5 לערך. יתר התגים אושרו עם הסיווגים הרפואיים הבאים: "קרדיולוגי", "ריאתי", "פסיכיאטרי", "נפרולוגי", "גסטרואנטרולוגי" ו"כירורגי". בשנים 2021 ו-2024 נרשמה עלייה חדה במספר התגים שאושרו עם סיווג רפואי "פסיכיאטרי" ביחס לשנה שקדמה להן.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עוד עולה מהתרשים כי בשנים 2019 ו-2020 מרבית הבקשות שאושרו לא סווגו כלל על ידי רופאי אגף הרישוי (כ-100% מהבקשות וכ-70%, בהתאמה). בשנים 2021 ו-2022</w:t>
      </w:r>
      <w:r w:rsidRPr="00A210E9">
        <w:rPr>
          <w:rFonts w:eastAsia="Calibri" w:hint="cs"/>
        </w:rPr>
        <w:t xml:space="preserve"> </w:t>
      </w:r>
      <w:r w:rsidRPr="00A210E9">
        <w:rPr>
          <w:rFonts w:eastAsia="Calibri" w:hint="cs"/>
          <w:rtl/>
        </w:rPr>
        <w:t xml:space="preserve">הסיווג הנפוץ ביותר בבקשות שאושרו היה "אחר" (35% ו-44%, בהתאמה), וגם בשנים שלאחר מכן עדיין היקפן לא היה מבוטל. כלומר, הרופאים אישרו בקשות לתגים אך לא סיווגו אותן על פי הסיווגים הרפואיים הקיימים. לא ניתן לדעת אם הדבר נבע מהעמימות בקריטריונים ומכך שהמגבלה של הפונה לא תאמה את הסיווגים הקיימים במערכת הממוחשבת, או שהדבר נבע ממילוי לא תקין של השדות במערכת על ידי הרופאים. </w:t>
      </w:r>
    </w:p>
    <w:p w:rsidR="00A210E9" w:rsidRPr="00A210E9" w:rsidP="00A210E9">
      <w:pPr>
        <w:keepNext/>
        <w:keepLines/>
        <w:spacing w:line="269" w:lineRule="auto"/>
        <w:jc w:val="center"/>
        <w:rPr>
          <w:rFonts w:eastAsia="Calibri"/>
          <w:b/>
          <w:bCs/>
          <w:rtl/>
        </w:rPr>
      </w:pPr>
      <w:r w:rsidRPr="00A210E9">
        <w:rPr>
          <w:rFonts w:eastAsia="Calibri" w:hint="eastAsia"/>
          <w:rtl/>
        </w:rPr>
        <w:t>תרשים</w:t>
      </w:r>
      <w:r w:rsidRPr="00A210E9">
        <w:rPr>
          <w:rFonts w:eastAsia="Calibri"/>
          <w:rtl/>
        </w:rPr>
        <w:t xml:space="preserve"> </w:t>
      </w:r>
      <w:r w:rsidRPr="00A210E9">
        <w:rPr>
          <w:rFonts w:eastAsia="Calibri" w:hint="cs"/>
          <w:rtl/>
        </w:rPr>
        <w:t>7</w:t>
      </w:r>
      <w:r w:rsidRPr="00A210E9">
        <w:rPr>
          <w:rFonts w:eastAsia="Calibri"/>
          <w:rtl/>
        </w:rPr>
        <w:t>:</w:t>
      </w:r>
      <w:r w:rsidRPr="00A210E9">
        <w:rPr>
          <w:rFonts w:eastAsia="Calibri" w:hint="cs"/>
          <w:b/>
          <w:bCs/>
        </w:rPr>
        <w:t xml:space="preserve"> </w:t>
      </w:r>
      <w:r w:rsidRPr="00A210E9">
        <w:rPr>
          <w:rFonts w:eastAsia="Calibri" w:hint="cs"/>
          <w:b/>
          <w:bCs/>
          <w:rtl/>
        </w:rPr>
        <w:t>מספר הבקשות לתג חניה שנדחו, לפי סיווגים רפואיים, 2019 - 2024 (באלפים)</w:t>
      </w:r>
    </w:p>
    <w:p w:rsidR="00A210E9" w:rsidRPr="00A210E9" w:rsidP="00A210E9">
      <w:pPr>
        <w:spacing w:line="269" w:lineRule="auto"/>
        <w:jc w:val="center"/>
        <w:rPr>
          <w:rFonts w:eastAsia="Calibri"/>
          <w:rtl/>
        </w:rPr>
      </w:pPr>
      <w:r w:rsidRPr="00A210E9">
        <w:rPr>
          <w:rFonts w:eastAsia="Calibri"/>
          <w:noProof/>
        </w:rPr>
        <w:drawing>
          <wp:inline distT="0" distB="0" distL="0" distR="0">
            <wp:extent cx="5262773" cy="2843189"/>
            <wp:effectExtent l="0" t="0" r="0" b="0"/>
            <wp:docPr id="17" name="תמונה 17" descr="61,005&#10;99.6%&#10;שנת 2019&#10;&#10;72,865&#10;70%&#10;16%&#10;5%&#10;שנת 2020&#10;&#10;91,058&#10;8%&#10;35%&#10;9%&#10;5%&#10;13%&#10;31%&#10;שנת 2021&#10;&#10;121,869&#10;8%&#10;44%&#10;7%&#10;4%&#10;11%&#10;25%&#10;שנת 2022&#10;&#10;119,457&#10;11%&#10;9%&#10;12%&#10;6%&#10;18%&#10;44%&#10;שנת 2023&#10;&#10;125,516&#10;12%&#10;7%&#10;12%&#10;5%&#10;16%&#10;48%&#10;שנת 2024&#10;&#10;מימין (מקרא, מלמעלה למטה):&#10;סה&quot;כ אישורים&#10;סיווגים נוספים*&#10;&quot;אחר&quot;&#10;נירולוגי&#10;בספקטרום האוטיסטי&#10;אונקולוגי&#10;אורטופדי&#10;&#10;סיווגים נוספים: כירורגי, נפרולוגי, פסיכיאטרי, ראייתי, קרדיולוגי, גסטרואנטרולוגי&#10;&#10;שאר 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96543" cy="2861433"/>
                    </a:xfrm>
                    <a:prstGeom prst="rect">
                      <a:avLst/>
                    </a:prstGeom>
                    <a:noFill/>
                  </pic:spPr>
                </pic:pic>
              </a:graphicData>
            </a:graphic>
          </wp:inline>
        </w:drawing>
      </w:r>
    </w:p>
    <w:p w:rsidR="00A210E9" w:rsidRPr="00A210E9" w:rsidP="00A210E9">
      <w:pPr>
        <w:spacing w:line="269" w:lineRule="auto"/>
        <w:rPr>
          <w:rFonts w:eastAsia="Calibri"/>
          <w:szCs w:val="20"/>
          <w:rtl/>
        </w:rPr>
      </w:pPr>
      <w:r w:rsidRPr="00A210E9">
        <w:rPr>
          <w:rFonts w:eastAsia="Calibri" w:hint="eastAsia"/>
          <w:szCs w:val="20"/>
          <w:rtl/>
        </w:rPr>
        <w:t>על</w:t>
      </w:r>
      <w:r w:rsidRPr="00A210E9">
        <w:rPr>
          <w:rFonts w:eastAsia="Calibri"/>
          <w:szCs w:val="20"/>
          <w:rtl/>
        </w:rPr>
        <w:t xml:space="preserve"> פי נתוני משרד התחבורה, בעיבוד משרד מבקר המדינה</w:t>
      </w:r>
      <w:r w:rsidRPr="00A210E9">
        <w:rPr>
          <w:rFonts w:eastAsia="Calibri" w:hint="cs"/>
          <w:szCs w:val="20"/>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אשר לבקשות שנדחו</w:t>
      </w:r>
      <w:r>
        <w:rPr>
          <w:rFonts w:eastAsia="Calibri"/>
          <w:vertAlign w:val="superscript"/>
          <w:rtl/>
        </w:rPr>
        <w:footnoteReference w:id="40"/>
      </w:r>
      <w:r w:rsidRPr="00A210E9">
        <w:rPr>
          <w:rFonts w:eastAsia="Calibri" w:hint="cs"/>
          <w:rtl/>
        </w:rPr>
        <w:t>, ניתן לראות בתרשים זה כי בשנים 2021 - 2024 היה היקף הבקשות שנדחו וסווגו בסיווג רפואי "אחר" גבוה - 31%-44% מהבקשות שנדחו. בשנים 2022 ו-2024 סיווג רפואי זה אף היה הסיווג הנפוץ ביותר.</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 xml:space="preserve">כבר בשנת 2008 העלה משרד התחבורה השגות לגבי ההגדרות למונח "נכה" הקבועות בחוק חניה לנכים. בין היתר, הוא טען כי הגדרות אלה עמומות, רחבות ונעדרות הגדרה רפואית </w:t>
      </w:r>
      <w:r w:rsidR="00136D6F">
        <w:rPr>
          <w:rFonts w:eastAsia="Calibri"/>
          <w:b/>
          <w:bCs/>
          <w:rtl/>
        </w:rPr>
        <w:br/>
      </w:r>
      <w:r w:rsidRPr="00A210E9">
        <w:rPr>
          <w:rFonts w:eastAsia="Calibri" w:hint="cs"/>
          <w:b/>
          <w:bCs/>
          <w:rtl/>
        </w:rPr>
        <w:t xml:space="preserve">חד-משמעית. טיעונים אלה התייחסו בפרט לקריטריונים שנקבעו בחוק לעניין הגדרת המונח "נכה" - "תנועתו בדרכים ללא רכב עלולה לערער את מצב בריאותו" ו"נכה הזקוק לרכב כאמצעי תנועה בגלל רגליו הנכות". </w:t>
      </w:r>
      <w:bookmarkStart w:id="25" w:name="_Hlk224764539"/>
      <w:r w:rsidRPr="00A210E9">
        <w:rPr>
          <w:rFonts w:eastAsia="Calibri" w:hint="cs"/>
          <w:b/>
          <w:bCs/>
          <w:rtl/>
        </w:rPr>
        <w:t>עמימות הקריטריונים מאפשרת פרשנות רחבה מאוד, ורופאים שונים עשויים ל</w:t>
      </w:r>
      <w:r w:rsidRPr="00A210E9">
        <w:rPr>
          <w:rFonts w:eastAsia="Calibri"/>
          <w:b/>
          <w:bCs/>
          <w:rtl/>
        </w:rPr>
        <w:t xml:space="preserve">פרש </w:t>
      </w:r>
      <w:r w:rsidRPr="00A210E9">
        <w:rPr>
          <w:rFonts w:eastAsia="Calibri" w:hint="cs"/>
          <w:b/>
          <w:bCs/>
          <w:rtl/>
        </w:rPr>
        <w:t xml:space="preserve">באופן </w:t>
      </w:r>
      <w:r w:rsidRPr="00A210E9">
        <w:rPr>
          <w:rFonts w:eastAsia="Calibri"/>
          <w:b/>
          <w:bCs/>
          <w:rtl/>
        </w:rPr>
        <w:t>שונה מה נחשב ל</w:t>
      </w:r>
      <w:r w:rsidRPr="00A210E9">
        <w:rPr>
          <w:rFonts w:eastAsia="Calibri" w:hint="cs"/>
          <w:b/>
          <w:bCs/>
          <w:rtl/>
        </w:rPr>
        <w:t>ערעור</w:t>
      </w:r>
      <w:r w:rsidRPr="00A210E9">
        <w:rPr>
          <w:rFonts w:eastAsia="Calibri"/>
          <w:b/>
          <w:bCs/>
          <w:rtl/>
        </w:rPr>
        <w:t xml:space="preserve"> </w:t>
      </w:r>
      <w:r w:rsidRPr="00A210E9">
        <w:rPr>
          <w:rFonts w:eastAsia="Calibri" w:hint="cs"/>
          <w:b/>
          <w:bCs/>
          <w:rtl/>
        </w:rPr>
        <w:t>ה</w:t>
      </w:r>
      <w:r w:rsidRPr="00A210E9">
        <w:rPr>
          <w:rFonts w:eastAsia="Calibri"/>
          <w:b/>
          <w:bCs/>
          <w:rtl/>
        </w:rPr>
        <w:t xml:space="preserve">מצב </w:t>
      </w:r>
      <w:r w:rsidRPr="00A210E9">
        <w:rPr>
          <w:rFonts w:eastAsia="Calibri" w:hint="cs"/>
          <w:b/>
          <w:bCs/>
          <w:rtl/>
        </w:rPr>
        <w:t>ה</w:t>
      </w:r>
      <w:r w:rsidRPr="00A210E9">
        <w:rPr>
          <w:rFonts w:eastAsia="Calibri"/>
          <w:b/>
          <w:bCs/>
          <w:rtl/>
        </w:rPr>
        <w:t>בריאותי</w:t>
      </w:r>
      <w:r w:rsidRPr="00A210E9">
        <w:rPr>
          <w:rFonts w:eastAsia="Calibri" w:hint="cs"/>
          <w:b/>
          <w:bCs/>
          <w:rtl/>
        </w:rPr>
        <w:t xml:space="preserve"> ו</w:t>
      </w:r>
      <w:r w:rsidRPr="00A210E9">
        <w:rPr>
          <w:rFonts w:eastAsia="Calibri"/>
          <w:b/>
          <w:bCs/>
          <w:rtl/>
        </w:rPr>
        <w:t>מה</w:t>
      </w:r>
      <w:r w:rsidRPr="00A210E9">
        <w:rPr>
          <w:rFonts w:eastAsia="Calibri" w:hint="cs"/>
          <w:b/>
          <w:bCs/>
          <w:rtl/>
        </w:rPr>
        <w:t xml:space="preserve">ן המוגבלויות ודרגת החומרה שלהן </w:t>
      </w:r>
      <w:r w:rsidRPr="00A210E9">
        <w:rPr>
          <w:rFonts w:eastAsia="Calibri"/>
          <w:b/>
          <w:bCs/>
          <w:rtl/>
        </w:rPr>
        <w:t>המצדיק</w:t>
      </w:r>
      <w:r w:rsidRPr="00A210E9">
        <w:rPr>
          <w:rFonts w:eastAsia="Calibri" w:hint="cs"/>
          <w:b/>
          <w:bCs/>
          <w:rtl/>
        </w:rPr>
        <w:t>ות</w:t>
      </w:r>
      <w:r w:rsidRPr="00A210E9">
        <w:rPr>
          <w:rFonts w:eastAsia="Calibri"/>
          <w:b/>
          <w:bCs/>
          <w:rtl/>
        </w:rPr>
        <w:t xml:space="preserve"> קבלת תג.</w:t>
      </w:r>
      <w:r w:rsidRPr="00A210E9">
        <w:rPr>
          <w:rFonts w:eastAsia="Calibri" w:hint="cs"/>
          <w:b/>
          <w:bCs/>
          <w:rtl/>
        </w:rPr>
        <w:t xml:space="preserve"> עמימות זו מתבטאת גם בנתונים המעידים כי אושרו בקשות לתגי חניה במגוון רחב של סיווגים רפואיים, וכי בחלק מהשנים שיעור גדול מהבקשות לא סווגו כלל או סווגו בקטגוריית "אחר". </w:t>
      </w:r>
      <w:bookmarkEnd w:id="25"/>
      <w:r w:rsidRPr="00A210E9">
        <w:rPr>
          <w:rFonts w:eastAsia="Calibri" w:hint="cs"/>
          <w:b/>
          <w:bCs/>
          <w:rtl/>
        </w:rPr>
        <w:t xml:space="preserve">למשל בשנים 2019 ו-2020, 100% ו-70% מהבקשות שאושרו בהתאמה לא סווגו בסיווג רפואי, ואילו בשנים 2021 ו-2022, 35% ו-44% מהבקשות בהתאמה קיבלו סיווג רפואי "אחר". היעדר </w:t>
      </w:r>
      <w:r w:rsidRPr="00A210E9">
        <w:rPr>
          <w:rFonts w:eastAsia="Calibri"/>
          <w:b/>
          <w:bCs/>
          <w:rtl/>
        </w:rPr>
        <w:t xml:space="preserve">מדדים כמותיים לבחינת </w:t>
      </w:r>
      <w:r w:rsidRPr="00A210E9">
        <w:rPr>
          <w:rFonts w:eastAsia="Calibri" w:hint="cs"/>
          <w:b/>
          <w:bCs/>
          <w:rtl/>
        </w:rPr>
        <w:t>מצבים שבהם תנועה ללא רכב מערערת את המצב הבריאותי של הפונה, מקשה על יישום</w:t>
      </w:r>
      <w:r w:rsidRPr="00A210E9">
        <w:rPr>
          <w:rFonts w:eastAsia="Calibri"/>
          <w:b/>
          <w:bCs/>
          <w:rtl/>
        </w:rPr>
        <w:t xml:space="preserve"> הקריטריון באופן אחיד ושיטתי</w:t>
      </w:r>
      <w:r w:rsidRPr="00A210E9">
        <w:rPr>
          <w:rFonts w:eastAsia="Calibri" w:hint="cs"/>
          <w:b/>
          <w:bCs/>
          <w:rtl/>
        </w:rPr>
        <w:t xml:space="preserve">. ההגדרה "זקוק לרכב" אומנם מעידה על </w:t>
      </w:r>
      <w:r w:rsidRPr="00A210E9">
        <w:rPr>
          <w:rFonts w:eastAsia="Calibri"/>
          <w:b/>
          <w:bCs/>
          <w:rtl/>
        </w:rPr>
        <w:t>הצורך הממשי ברכב כדי לנוע במרחב הציבורי</w:t>
      </w:r>
      <w:r w:rsidRPr="00A210E9">
        <w:rPr>
          <w:rFonts w:eastAsia="Calibri" w:hint="cs"/>
          <w:b/>
          <w:bCs/>
          <w:rtl/>
        </w:rPr>
        <w:t xml:space="preserve">, אולם </w:t>
      </w:r>
      <w:r w:rsidRPr="00A210E9">
        <w:rPr>
          <w:rFonts w:eastAsia="Calibri"/>
          <w:b/>
          <w:bCs/>
          <w:rtl/>
        </w:rPr>
        <w:t>המונח ״זקוק״ אינו מוגדר באופן כמותי או תפקודי.</w:t>
      </w:r>
      <w:r w:rsidRPr="00A210E9">
        <w:rPr>
          <w:rFonts w:eastAsia="Calibri"/>
          <w:rtl/>
        </w:rPr>
        <w:t xml:space="preserve"> </w:t>
      </w:r>
      <w:r w:rsidRPr="00A210E9">
        <w:rPr>
          <w:rFonts w:eastAsia="Calibri" w:hint="cs"/>
          <w:b/>
          <w:bCs/>
          <w:rtl/>
        </w:rPr>
        <w:t xml:space="preserve">על פי משרד התחבורה, </w:t>
      </w:r>
      <w:r w:rsidRPr="00A210E9">
        <w:rPr>
          <w:rFonts w:eastAsia="Calibri"/>
          <w:b/>
          <w:bCs/>
          <w:rtl/>
        </w:rPr>
        <w:t xml:space="preserve">עמימות </w:t>
      </w:r>
      <w:r w:rsidRPr="00A210E9">
        <w:rPr>
          <w:rFonts w:eastAsia="Calibri" w:hint="cs"/>
          <w:b/>
          <w:bCs/>
          <w:rtl/>
        </w:rPr>
        <w:t>זו מגבירה</w:t>
      </w:r>
      <w:r w:rsidRPr="00A210E9">
        <w:rPr>
          <w:rFonts w:eastAsia="Calibri"/>
          <w:b/>
          <w:bCs/>
          <w:rtl/>
        </w:rPr>
        <w:t xml:space="preserve"> את הסיכון להענקת תג למועמדים שאינם עונים בפועל על הרציונל הבסיסי של </w:t>
      </w:r>
      <w:r w:rsidRPr="00A210E9">
        <w:rPr>
          <w:rFonts w:eastAsia="Calibri" w:hint="cs"/>
          <w:b/>
          <w:bCs/>
          <w:rtl/>
        </w:rPr>
        <w:t xml:space="preserve">הזכאות לתג - הענקתו למי שזקוק לתג לצורך נגישות - </w:t>
      </w:r>
      <w:r w:rsidRPr="00A210E9">
        <w:rPr>
          <w:rFonts w:eastAsia="Calibri"/>
          <w:b/>
          <w:bCs/>
          <w:rtl/>
        </w:rPr>
        <w:t>ובכך פוגעת ב</w:t>
      </w:r>
      <w:r w:rsidRPr="00A210E9">
        <w:rPr>
          <w:rFonts w:eastAsia="Calibri" w:hint="cs"/>
          <w:b/>
          <w:bCs/>
          <w:rtl/>
        </w:rPr>
        <w:t xml:space="preserve">יעילות </w:t>
      </w:r>
      <w:r w:rsidRPr="00A210E9">
        <w:rPr>
          <w:rFonts w:eastAsia="Calibri"/>
          <w:b/>
          <w:bCs/>
          <w:rtl/>
        </w:rPr>
        <w:t xml:space="preserve">ובאמינות </w:t>
      </w:r>
      <w:r w:rsidRPr="00A210E9">
        <w:rPr>
          <w:rFonts w:eastAsia="Calibri" w:hint="cs"/>
          <w:b/>
          <w:bCs/>
          <w:rtl/>
        </w:rPr>
        <w:t xml:space="preserve">של </w:t>
      </w:r>
      <w:r w:rsidRPr="00A210E9">
        <w:rPr>
          <w:rFonts w:eastAsia="Calibri"/>
          <w:b/>
          <w:bCs/>
          <w:rtl/>
        </w:rPr>
        <w:t>המנגנון כולו.</w:t>
      </w:r>
      <w:r w:rsidRPr="00A210E9">
        <w:rPr>
          <w:rFonts w:eastAsia="Calibri" w:hint="cs"/>
          <w:b/>
          <w:bCs/>
          <w:rtl/>
        </w:rPr>
        <w:t xml:space="preserve"> כבר בשנת 2008 העלה משרד התחבורה כי בעיות אלה בהגדרת הקריטריונים מאפשרות שימוש לרעה בתגים בקנה מידה רחב.</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על פי השוואה שערך משרד התחבורה בשנת 2023, </w:t>
      </w:r>
      <w:r w:rsidRPr="00A210E9">
        <w:rPr>
          <w:rFonts w:eastAsia="Calibri"/>
          <w:rtl/>
        </w:rPr>
        <w:t xml:space="preserve">יש הבדלים </w:t>
      </w:r>
      <w:r w:rsidRPr="00A210E9">
        <w:rPr>
          <w:rFonts w:eastAsia="Calibri" w:hint="cs"/>
          <w:rtl/>
        </w:rPr>
        <w:t>רבים</w:t>
      </w:r>
      <w:r w:rsidRPr="00A210E9">
        <w:rPr>
          <w:rFonts w:eastAsia="Calibri"/>
          <w:rtl/>
        </w:rPr>
        <w:t xml:space="preserve"> בתנאים לקבלת תג </w:t>
      </w:r>
      <w:r w:rsidRPr="00A210E9">
        <w:rPr>
          <w:rFonts w:eastAsia="Calibri" w:hint="cs"/>
          <w:rtl/>
        </w:rPr>
        <w:t xml:space="preserve">חניה </w:t>
      </w:r>
      <w:r w:rsidRPr="00A210E9">
        <w:rPr>
          <w:rFonts w:eastAsia="Calibri"/>
          <w:rtl/>
        </w:rPr>
        <w:t>במדינות שונות</w:t>
      </w:r>
      <w:r w:rsidRPr="00A210E9">
        <w:rPr>
          <w:rFonts w:eastAsia="Calibri" w:hint="cs"/>
          <w:rtl/>
        </w:rPr>
        <w:t>. עם זאת, במדינות נבחרות שנבדקו יש הגדרה רפואית ברורה לזכאות לתג חניה.</w:t>
      </w:r>
      <w:r w:rsidRPr="00A210E9">
        <w:rPr>
          <w:rFonts w:eastAsia="Calibri"/>
          <w:rtl/>
        </w:rPr>
        <w:t xml:space="preserve"> </w:t>
      </w:r>
      <w:r w:rsidRPr="00A210E9">
        <w:rPr>
          <w:rFonts w:eastAsia="Calibri" w:hint="cs"/>
          <w:rtl/>
        </w:rPr>
        <w:t xml:space="preserve">בלוח שלהלן מובאות </w:t>
      </w:r>
      <w:r w:rsidRPr="00A210E9">
        <w:rPr>
          <w:rFonts w:eastAsia="Calibri"/>
          <w:rtl/>
        </w:rPr>
        <w:t xml:space="preserve">דוגמאות לקריטריונים לקבלת תג </w:t>
      </w:r>
      <w:r w:rsidRPr="00A210E9">
        <w:rPr>
          <w:rFonts w:eastAsia="Calibri" w:hint="cs"/>
          <w:rtl/>
        </w:rPr>
        <w:t xml:space="preserve">חניה </w:t>
      </w:r>
      <w:r w:rsidRPr="00A210E9">
        <w:rPr>
          <w:rFonts w:eastAsia="Calibri"/>
          <w:rtl/>
        </w:rPr>
        <w:t>במדינות נבחרות</w:t>
      </w:r>
      <w:r w:rsidRPr="00A210E9">
        <w:rPr>
          <w:rFonts w:eastAsia="Calibri" w:hint="cs"/>
          <w:rtl/>
        </w:rPr>
        <w:t>:</w:t>
      </w:r>
    </w:p>
    <w:p w:rsidR="00A210E9" w:rsidRPr="00A210E9" w:rsidP="00A210E9">
      <w:pPr>
        <w:spacing w:line="269" w:lineRule="auto"/>
        <w:rPr>
          <w:rFonts w:eastAsia="Calibri"/>
          <w:rtl/>
        </w:rPr>
      </w:pPr>
    </w:p>
    <w:p w:rsidR="00A210E9" w:rsidRPr="00A210E9" w:rsidP="00A210E9">
      <w:pPr>
        <w:spacing w:line="269" w:lineRule="auto"/>
        <w:rPr>
          <w:rFonts w:eastAsia="Calibri"/>
          <w:rtl/>
        </w:rPr>
      </w:pPr>
    </w:p>
    <w:p w:rsidR="00A210E9" w:rsidRPr="00A210E9" w:rsidP="00A210E9">
      <w:pPr>
        <w:keepNext/>
        <w:keepLines/>
        <w:spacing w:line="269" w:lineRule="auto"/>
        <w:jc w:val="center"/>
        <w:rPr>
          <w:rFonts w:eastAsia="Calibri"/>
          <w:b/>
          <w:bCs/>
          <w:rtl/>
        </w:rPr>
      </w:pPr>
      <w:r w:rsidRPr="00A210E9">
        <w:rPr>
          <w:rFonts w:eastAsia="Calibri" w:hint="eastAsia"/>
          <w:rtl/>
        </w:rPr>
        <w:t>לוח</w:t>
      </w:r>
      <w:r w:rsidRPr="00A210E9">
        <w:rPr>
          <w:rFonts w:eastAsia="Calibri"/>
          <w:rtl/>
        </w:rPr>
        <w:t xml:space="preserve"> </w:t>
      </w:r>
      <w:r w:rsidRPr="00A210E9">
        <w:rPr>
          <w:rFonts w:eastAsia="Calibri" w:hint="cs"/>
          <w:rtl/>
        </w:rPr>
        <w:t>1</w:t>
      </w:r>
      <w:r w:rsidRPr="00A210E9">
        <w:rPr>
          <w:rFonts w:eastAsia="Calibri"/>
          <w:rtl/>
        </w:rPr>
        <w:t>:</w:t>
      </w:r>
      <w:r w:rsidRPr="00A210E9">
        <w:rPr>
          <w:rFonts w:eastAsia="Calibri" w:hint="cs"/>
          <w:b/>
          <w:bCs/>
          <w:rtl/>
        </w:rPr>
        <w:t xml:space="preserve"> </w:t>
      </w:r>
      <w:r w:rsidRPr="00A210E9">
        <w:rPr>
          <w:rFonts w:eastAsia="Calibri"/>
          <w:b/>
          <w:bCs/>
          <w:rtl/>
        </w:rPr>
        <w:t xml:space="preserve">קריטריונים לקבלת תג </w:t>
      </w:r>
      <w:r w:rsidRPr="00A210E9">
        <w:rPr>
          <w:rFonts w:eastAsia="Calibri" w:hint="cs"/>
          <w:b/>
          <w:bCs/>
          <w:rtl/>
        </w:rPr>
        <w:t>חניה בארה"ב, סקוטלנד, אנגלייה, הולנד ואוסטרליה</w:t>
      </w:r>
    </w:p>
    <w:tbl>
      <w:tblPr>
        <w:tblStyle w:val="4-31"/>
        <w:bidiVisual/>
        <w:tblW w:w="0" w:type="auto"/>
        <w:tblInd w:w="15" w:type="dxa"/>
        <w:tblCellMar>
          <w:top w:w="85" w:type="dxa"/>
          <w:bottom w:w="85" w:type="dxa"/>
        </w:tblCellMar>
        <w:tblLook w:val="04A0"/>
      </w:tblPr>
      <w:tblGrid>
        <w:gridCol w:w="1353"/>
        <w:gridCol w:w="6842"/>
      </w:tblGrid>
      <w:tr w:rsidTr="00A157C9">
        <w:tblPrEx>
          <w:tblW w:w="0" w:type="auto"/>
          <w:tblInd w:w="15" w:type="dxa"/>
          <w:tblCellMar>
            <w:top w:w="85" w:type="dxa"/>
            <w:bottom w:w="85" w:type="dxa"/>
          </w:tblCellMar>
          <w:tblLook w:val="04A0"/>
        </w:tblPrEx>
        <w:trPr>
          <w:trHeight w:val="356"/>
        </w:trPr>
        <w:tc>
          <w:tcPr>
            <w:tcW w:w="1266" w:type="dxa"/>
            <w:vAlign w:val="center"/>
          </w:tcPr>
          <w:p w:rsidR="00A210E9" w:rsidRPr="00A210E9" w:rsidP="00A210E9">
            <w:pPr>
              <w:bidi w:val="0"/>
              <w:spacing w:line="269" w:lineRule="auto"/>
              <w:contextualSpacing/>
              <w:jc w:val="center"/>
              <w:rPr>
                <w:rFonts w:ascii="David" w:hAnsi="David"/>
                <w:rtl/>
              </w:rPr>
            </w:pPr>
            <w:r w:rsidRPr="00A210E9">
              <w:rPr>
                <w:rFonts w:ascii="David" w:hAnsi="David" w:hint="cs"/>
                <w:rtl/>
              </w:rPr>
              <w:t>ה</w:t>
            </w:r>
            <w:r w:rsidRPr="00A210E9">
              <w:rPr>
                <w:rFonts w:ascii="David" w:hAnsi="David"/>
                <w:rtl/>
              </w:rPr>
              <w:t>מדינה</w:t>
            </w:r>
          </w:p>
        </w:tc>
        <w:tc>
          <w:tcPr>
            <w:tcW w:w="6935" w:type="dxa"/>
            <w:vAlign w:val="center"/>
          </w:tcPr>
          <w:p w:rsidR="00A210E9" w:rsidRPr="00A210E9" w:rsidP="00A210E9">
            <w:pPr>
              <w:bidi w:val="0"/>
              <w:spacing w:line="269" w:lineRule="auto"/>
              <w:contextualSpacing/>
              <w:jc w:val="center"/>
              <w:rPr>
                <w:rFonts w:ascii="David" w:hAnsi="David"/>
              </w:rPr>
            </w:pPr>
            <w:r w:rsidRPr="00A210E9">
              <w:rPr>
                <w:rFonts w:ascii="David" w:hAnsi="David" w:hint="cs"/>
                <w:rtl/>
              </w:rPr>
              <w:t>ה</w:t>
            </w:r>
            <w:r w:rsidRPr="00A210E9">
              <w:rPr>
                <w:rFonts w:ascii="David" w:hAnsi="David"/>
                <w:rtl/>
              </w:rPr>
              <w:t xml:space="preserve">קריטריונים לקבלת תג </w:t>
            </w:r>
            <w:r w:rsidRPr="00A210E9">
              <w:rPr>
                <w:rFonts w:ascii="David" w:hAnsi="David" w:hint="cs"/>
                <w:rtl/>
              </w:rPr>
              <w:t xml:space="preserve">חניה </w:t>
            </w:r>
          </w:p>
        </w:tc>
      </w:tr>
      <w:tr w:rsidTr="00A157C9">
        <w:tblPrEx>
          <w:tblW w:w="0" w:type="auto"/>
          <w:tblInd w:w="15" w:type="dxa"/>
          <w:tblCellMar>
            <w:top w:w="85" w:type="dxa"/>
            <w:bottom w:w="85" w:type="dxa"/>
          </w:tblCellMar>
          <w:tblLook w:val="04A0"/>
        </w:tblPrEx>
        <w:tc>
          <w:tcPr>
            <w:tcW w:w="1266" w:type="dxa"/>
            <w:vAlign w:val="center"/>
          </w:tcPr>
          <w:p w:rsidR="00A210E9" w:rsidRPr="00A210E9" w:rsidP="00A210E9">
            <w:pPr>
              <w:spacing w:line="269" w:lineRule="auto"/>
              <w:rPr>
                <w:rFonts w:ascii="David" w:hAnsi="David"/>
                <w:rtl/>
              </w:rPr>
            </w:pPr>
            <w:r w:rsidRPr="00A210E9">
              <w:rPr>
                <w:rFonts w:ascii="David" w:hAnsi="David"/>
                <w:rtl/>
              </w:rPr>
              <w:t xml:space="preserve">ארה"ב (רוב המדינות) </w:t>
            </w:r>
            <w:r w:rsidRPr="00A210E9">
              <w:rPr>
                <w:rFonts w:ascii="David" w:hAnsi="David" w:hint="cs"/>
                <w:rtl/>
              </w:rPr>
              <w:t>-</w:t>
            </w:r>
            <w:r w:rsidRPr="00A210E9">
              <w:rPr>
                <w:rFonts w:ascii="David" w:hAnsi="David"/>
                <w:rtl/>
              </w:rPr>
              <w:t xml:space="preserve"> קריטריונים של ארגון </w:t>
            </w:r>
            <w:r w:rsidRPr="00A210E9">
              <w:rPr>
                <w:rFonts w:ascii="David" w:hAnsi="David"/>
              </w:rPr>
              <w:t xml:space="preserve">ADA </w:t>
            </w:r>
            <w:r w:rsidRPr="00A210E9">
              <w:rPr>
                <w:rFonts w:ascii="David" w:hAnsi="David"/>
                <w:rtl/>
              </w:rPr>
              <w:t>(</w:t>
            </w:r>
            <w:r w:rsidRPr="00A210E9">
              <w:rPr>
                <w:rFonts w:ascii="David" w:hAnsi="David"/>
              </w:rPr>
              <w:t>Americans With Disabilities Act</w:t>
            </w:r>
            <w:r w:rsidRPr="00A210E9">
              <w:rPr>
                <w:rFonts w:ascii="David" w:hAnsi="David"/>
                <w:rtl/>
              </w:rPr>
              <w:t>)</w:t>
            </w:r>
          </w:p>
        </w:tc>
        <w:tc>
          <w:tcPr>
            <w:tcW w:w="6935" w:type="dxa"/>
            <w:vAlign w:val="center"/>
          </w:tcPr>
          <w:p w:rsidR="00A210E9" w:rsidRPr="00A210E9" w:rsidP="00A210E9">
            <w:pPr>
              <w:spacing w:line="269" w:lineRule="auto"/>
              <w:contextualSpacing/>
              <w:rPr>
                <w:rFonts w:ascii="David" w:hAnsi="David"/>
                <w:rtl/>
              </w:rPr>
            </w:pPr>
            <w:r w:rsidRPr="00A210E9">
              <w:rPr>
                <w:rFonts w:ascii="David" w:hAnsi="David"/>
                <w:rtl/>
              </w:rPr>
              <w:t xml:space="preserve">חוסר יכולת ללכת יותר מ-200 רגל </w:t>
            </w:r>
            <w:r w:rsidRPr="00A210E9">
              <w:rPr>
                <w:rFonts w:ascii="David" w:hAnsi="David" w:hint="cs"/>
                <w:rtl/>
              </w:rPr>
              <w:t xml:space="preserve">(כ-61 מטר) </w:t>
            </w:r>
            <w:r w:rsidRPr="00A210E9">
              <w:rPr>
                <w:rFonts w:ascii="David" w:hAnsi="David"/>
                <w:rtl/>
              </w:rPr>
              <w:t>ללא הפסקת מנוחה</w:t>
            </w:r>
          </w:p>
          <w:p w:rsidR="00A210E9" w:rsidRPr="00A210E9" w:rsidP="00A210E9">
            <w:pPr>
              <w:spacing w:line="269" w:lineRule="auto"/>
              <w:contextualSpacing/>
              <w:rPr>
                <w:rFonts w:ascii="David" w:hAnsi="David"/>
                <w:rtl/>
              </w:rPr>
            </w:pPr>
            <w:r w:rsidRPr="00A210E9">
              <w:rPr>
                <w:rFonts w:ascii="David" w:hAnsi="David"/>
                <w:rtl/>
              </w:rPr>
              <w:t>חוסר יכולת ללכת ללא סיוע של קביים/כיסא גלגלים/אדם אחר</w:t>
            </w:r>
          </w:p>
          <w:p w:rsidR="00A210E9" w:rsidRPr="00A210E9" w:rsidP="00A210E9">
            <w:pPr>
              <w:spacing w:line="269" w:lineRule="auto"/>
              <w:contextualSpacing/>
              <w:rPr>
                <w:rFonts w:ascii="David" w:hAnsi="David"/>
                <w:rtl/>
              </w:rPr>
            </w:pPr>
            <w:r w:rsidRPr="00A210E9">
              <w:rPr>
                <w:rFonts w:ascii="David" w:hAnsi="David"/>
                <w:rtl/>
              </w:rPr>
              <w:t>קטועי גפיים</w:t>
            </w:r>
          </w:p>
          <w:p w:rsidR="00A210E9" w:rsidRPr="00A210E9" w:rsidP="00A210E9">
            <w:pPr>
              <w:spacing w:line="269" w:lineRule="auto"/>
              <w:contextualSpacing/>
              <w:rPr>
                <w:rFonts w:ascii="David" w:hAnsi="David"/>
                <w:rtl/>
              </w:rPr>
            </w:pPr>
            <w:r w:rsidRPr="00A210E9">
              <w:rPr>
                <w:rFonts w:ascii="David" w:hAnsi="David"/>
                <w:rtl/>
              </w:rPr>
              <w:t>מחלה נשימתית שגורמת לנשימה של פחות מליטר לשנ</w:t>
            </w:r>
            <w:r w:rsidRPr="00A210E9">
              <w:rPr>
                <w:rFonts w:ascii="David" w:hAnsi="David" w:hint="cs"/>
                <w:rtl/>
              </w:rPr>
              <w:t>י</w:t>
            </w:r>
            <w:r w:rsidRPr="00A210E9">
              <w:rPr>
                <w:rFonts w:ascii="David" w:hAnsi="David"/>
                <w:rtl/>
              </w:rPr>
              <w:t>יה</w:t>
            </w:r>
          </w:p>
          <w:p w:rsidR="00A210E9" w:rsidRPr="00A210E9" w:rsidP="00A210E9">
            <w:pPr>
              <w:spacing w:line="269" w:lineRule="auto"/>
              <w:contextualSpacing/>
              <w:rPr>
                <w:rFonts w:ascii="David" w:hAnsi="David"/>
                <w:rtl/>
              </w:rPr>
            </w:pPr>
            <w:r w:rsidRPr="00A210E9">
              <w:rPr>
                <w:rFonts w:ascii="David" w:hAnsi="David"/>
                <w:rtl/>
              </w:rPr>
              <w:t xml:space="preserve">מחלת לב </w:t>
            </w:r>
            <w:r w:rsidRPr="00A210E9">
              <w:rPr>
                <w:rFonts w:ascii="David" w:hAnsi="David" w:hint="cs"/>
                <w:rtl/>
              </w:rPr>
              <w:t>בדרגות חומרה גבוהות</w:t>
            </w:r>
          </w:p>
          <w:p w:rsidR="00A210E9" w:rsidRPr="00A210E9" w:rsidP="00A210E9">
            <w:pPr>
              <w:spacing w:line="269" w:lineRule="auto"/>
              <w:contextualSpacing/>
              <w:rPr>
                <w:rFonts w:ascii="David" w:hAnsi="David"/>
                <w:rtl/>
              </w:rPr>
            </w:pPr>
            <w:r w:rsidRPr="00A210E9">
              <w:rPr>
                <w:rFonts w:ascii="David" w:hAnsi="David"/>
                <w:rtl/>
              </w:rPr>
              <w:t>פגיעה קבועה בראי</w:t>
            </w:r>
            <w:r w:rsidRPr="00A210E9">
              <w:rPr>
                <w:rFonts w:ascii="David" w:hAnsi="David" w:hint="cs"/>
                <w:rtl/>
              </w:rPr>
              <w:t>י</w:t>
            </w:r>
            <w:r w:rsidRPr="00A210E9">
              <w:rPr>
                <w:rFonts w:ascii="David" w:hAnsi="David"/>
                <w:rtl/>
              </w:rPr>
              <w:t>ה הגורמת לפחות מ-20/200 עם משקפיים</w:t>
            </w:r>
            <w:r w:rsidRPr="00A210E9">
              <w:rPr>
                <w:rFonts w:ascii="David" w:hAnsi="David" w:hint="cs"/>
                <w:rtl/>
              </w:rPr>
              <w:t>*</w:t>
            </w:r>
            <w:r w:rsidRPr="00A210E9">
              <w:rPr>
                <w:rFonts w:ascii="David" w:hAnsi="David"/>
                <w:rtl/>
              </w:rPr>
              <w:t>, או פחות מ-20 מעלות טווח ראיה</w:t>
            </w:r>
          </w:p>
          <w:p w:rsidR="00A210E9" w:rsidRPr="00A210E9" w:rsidP="00A210E9">
            <w:pPr>
              <w:spacing w:line="269" w:lineRule="auto"/>
              <w:contextualSpacing/>
              <w:rPr>
                <w:rFonts w:ascii="David" w:hAnsi="David"/>
                <w:rtl/>
              </w:rPr>
            </w:pPr>
            <w:r w:rsidRPr="00A210E9">
              <w:rPr>
                <w:rFonts w:ascii="David" w:hAnsi="David"/>
                <w:rtl/>
              </w:rPr>
              <w:t xml:space="preserve">מחלת פרקים </w:t>
            </w:r>
            <w:r w:rsidRPr="00A210E9">
              <w:rPr>
                <w:rFonts w:ascii="David" w:hAnsi="David" w:hint="cs"/>
                <w:rtl/>
              </w:rPr>
              <w:t>בדרגות חומרה גבוהות</w:t>
            </w:r>
          </w:p>
        </w:tc>
      </w:tr>
      <w:tr w:rsidTr="00A157C9">
        <w:tblPrEx>
          <w:tblW w:w="0" w:type="auto"/>
          <w:tblInd w:w="15" w:type="dxa"/>
          <w:tblCellMar>
            <w:top w:w="85" w:type="dxa"/>
            <w:bottom w:w="85" w:type="dxa"/>
          </w:tblCellMar>
          <w:tblLook w:val="04A0"/>
        </w:tblPrEx>
        <w:tc>
          <w:tcPr>
            <w:tcW w:w="1266" w:type="dxa"/>
            <w:vAlign w:val="center"/>
          </w:tcPr>
          <w:p w:rsidR="00A210E9" w:rsidRPr="00A210E9" w:rsidP="00A210E9">
            <w:pPr>
              <w:bidi w:val="0"/>
              <w:spacing w:line="269" w:lineRule="auto"/>
              <w:contextualSpacing/>
              <w:jc w:val="right"/>
              <w:rPr>
                <w:rFonts w:ascii="David" w:hAnsi="David"/>
                <w:rtl/>
              </w:rPr>
            </w:pPr>
            <w:r w:rsidRPr="00A210E9">
              <w:rPr>
                <w:rFonts w:ascii="David" w:hAnsi="David"/>
                <w:rtl/>
              </w:rPr>
              <w:t>סקוטלנד</w:t>
            </w:r>
          </w:p>
        </w:tc>
        <w:tc>
          <w:tcPr>
            <w:tcW w:w="6935" w:type="dxa"/>
            <w:vAlign w:val="center"/>
          </w:tcPr>
          <w:p w:rsidR="00A210E9" w:rsidRPr="00A210E9" w:rsidP="00A210E9">
            <w:pPr>
              <w:spacing w:line="269" w:lineRule="auto"/>
              <w:contextualSpacing/>
              <w:rPr>
                <w:rFonts w:ascii="David" w:hAnsi="David"/>
                <w:rtl/>
              </w:rPr>
            </w:pPr>
            <w:r w:rsidRPr="00A210E9">
              <w:rPr>
                <w:rFonts w:ascii="David" w:hAnsi="David"/>
                <w:rtl/>
              </w:rPr>
              <w:t>עיוורים</w:t>
            </w:r>
          </w:p>
          <w:p w:rsidR="00A210E9" w:rsidRPr="00A210E9" w:rsidP="00A210E9">
            <w:pPr>
              <w:spacing w:line="269" w:lineRule="auto"/>
              <w:contextualSpacing/>
              <w:rPr>
                <w:rFonts w:ascii="David" w:hAnsi="David"/>
                <w:rtl/>
              </w:rPr>
            </w:pPr>
            <w:r w:rsidRPr="00A210E9">
              <w:rPr>
                <w:rFonts w:ascii="David" w:hAnsi="David"/>
                <w:rtl/>
              </w:rPr>
              <w:t xml:space="preserve">מקבלי קצבת נכות בניידות </w:t>
            </w:r>
            <w:r w:rsidRPr="00A210E9">
              <w:rPr>
                <w:rFonts w:ascii="David" w:hAnsi="David" w:hint="cs"/>
                <w:rtl/>
              </w:rPr>
              <w:t>בדרגות חומרה גבוהות</w:t>
            </w:r>
          </w:p>
          <w:p w:rsidR="00A210E9" w:rsidRPr="00A210E9" w:rsidP="00A210E9">
            <w:pPr>
              <w:spacing w:line="269" w:lineRule="auto"/>
              <w:contextualSpacing/>
              <w:rPr>
                <w:rFonts w:ascii="David" w:hAnsi="David"/>
              </w:rPr>
            </w:pPr>
            <w:r w:rsidRPr="00A210E9">
              <w:rPr>
                <w:rFonts w:ascii="David" w:hAnsi="David"/>
                <w:rtl/>
              </w:rPr>
              <w:t>מקבלי קצבת ניידות</w:t>
            </w:r>
            <w:r w:rsidRPr="00A210E9">
              <w:rPr>
                <w:rFonts w:ascii="David" w:hAnsi="David" w:hint="cs"/>
                <w:rtl/>
              </w:rPr>
              <w:t>**</w:t>
            </w:r>
            <w:r w:rsidRPr="00A210E9">
              <w:rPr>
                <w:rFonts w:ascii="David" w:hAnsi="David"/>
                <w:rtl/>
              </w:rPr>
              <w:t xml:space="preserve"> ממגוון סוגים ודרגות</w:t>
            </w:r>
          </w:p>
          <w:p w:rsidR="00A210E9" w:rsidRPr="00A210E9" w:rsidP="00A210E9">
            <w:pPr>
              <w:spacing w:line="269" w:lineRule="auto"/>
              <w:contextualSpacing/>
              <w:rPr>
                <w:rFonts w:ascii="David" w:hAnsi="David"/>
                <w:rtl/>
              </w:rPr>
            </w:pPr>
            <w:r w:rsidRPr="00A210E9">
              <w:rPr>
                <w:rFonts w:ascii="David" w:hAnsi="David"/>
                <w:rtl/>
              </w:rPr>
              <w:t>מחלה של 12 חודשים ומעלה המונעת הליכה לחלוטין או כמעט לחלוטין</w:t>
            </w:r>
          </w:p>
          <w:p w:rsidR="00A210E9" w:rsidRPr="00A210E9" w:rsidP="00A210E9">
            <w:pPr>
              <w:spacing w:line="269" w:lineRule="auto"/>
              <w:contextualSpacing/>
              <w:rPr>
                <w:rFonts w:ascii="David" w:hAnsi="David"/>
                <w:rtl/>
              </w:rPr>
            </w:pPr>
            <w:r w:rsidRPr="00A210E9">
              <w:rPr>
                <w:rFonts w:ascii="David" w:hAnsi="David"/>
                <w:rtl/>
              </w:rPr>
              <w:t>קטועי גפיים</w:t>
            </w:r>
          </w:p>
        </w:tc>
      </w:tr>
      <w:tr w:rsidTr="00A157C9">
        <w:tblPrEx>
          <w:tblW w:w="0" w:type="auto"/>
          <w:tblInd w:w="15" w:type="dxa"/>
          <w:tblCellMar>
            <w:top w:w="85" w:type="dxa"/>
            <w:bottom w:w="85" w:type="dxa"/>
          </w:tblCellMar>
          <w:tblLook w:val="04A0"/>
        </w:tblPrEx>
        <w:tc>
          <w:tcPr>
            <w:tcW w:w="1266" w:type="dxa"/>
            <w:vAlign w:val="center"/>
          </w:tcPr>
          <w:p w:rsidR="00A210E9" w:rsidRPr="00A210E9" w:rsidP="00A210E9">
            <w:pPr>
              <w:bidi w:val="0"/>
              <w:spacing w:line="269" w:lineRule="auto"/>
              <w:contextualSpacing/>
              <w:jc w:val="right"/>
              <w:rPr>
                <w:rFonts w:ascii="David" w:hAnsi="David"/>
              </w:rPr>
            </w:pPr>
            <w:r w:rsidRPr="00A210E9">
              <w:rPr>
                <w:rFonts w:ascii="David" w:hAnsi="David"/>
                <w:rtl/>
              </w:rPr>
              <w:t>אנגליה</w:t>
            </w:r>
          </w:p>
        </w:tc>
        <w:tc>
          <w:tcPr>
            <w:tcW w:w="6935" w:type="dxa"/>
            <w:vAlign w:val="center"/>
          </w:tcPr>
          <w:p w:rsidR="00A210E9" w:rsidRPr="00A210E9" w:rsidP="00A210E9">
            <w:pPr>
              <w:spacing w:line="269" w:lineRule="auto"/>
              <w:contextualSpacing/>
              <w:rPr>
                <w:rFonts w:ascii="David" w:hAnsi="David"/>
                <w:rtl/>
              </w:rPr>
            </w:pPr>
            <w:r w:rsidRPr="00A210E9">
              <w:rPr>
                <w:rFonts w:ascii="David" w:hAnsi="David"/>
                <w:rtl/>
              </w:rPr>
              <w:t>חוסר יכולת ללכת יותר מ-50 מטר</w:t>
            </w:r>
          </w:p>
          <w:p w:rsidR="00A210E9" w:rsidRPr="00A210E9" w:rsidP="00A210E9">
            <w:pPr>
              <w:spacing w:line="269" w:lineRule="auto"/>
              <w:contextualSpacing/>
              <w:rPr>
                <w:rFonts w:ascii="David" w:hAnsi="David"/>
                <w:rtl/>
              </w:rPr>
            </w:pPr>
            <w:r w:rsidRPr="00A210E9">
              <w:rPr>
                <w:rFonts w:ascii="David" w:hAnsi="David"/>
                <w:rtl/>
              </w:rPr>
              <w:t>עיוורים</w:t>
            </w:r>
          </w:p>
          <w:p w:rsidR="00A210E9" w:rsidRPr="00A210E9" w:rsidP="00A210E9">
            <w:pPr>
              <w:spacing w:line="269" w:lineRule="auto"/>
              <w:contextualSpacing/>
              <w:rPr>
                <w:rFonts w:ascii="David" w:hAnsi="David"/>
                <w:rtl/>
              </w:rPr>
            </w:pPr>
            <w:r w:rsidRPr="00A210E9">
              <w:rPr>
                <w:rFonts w:ascii="David" w:hAnsi="David"/>
                <w:rtl/>
              </w:rPr>
              <w:t>מקבלי קצבת ניידות מקסימלית</w:t>
            </w:r>
          </w:p>
          <w:p w:rsidR="00A210E9" w:rsidRPr="00A210E9" w:rsidP="00A210E9">
            <w:pPr>
              <w:spacing w:line="269" w:lineRule="auto"/>
              <w:contextualSpacing/>
              <w:rPr>
                <w:rFonts w:ascii="David" w:hAnsi="David"/>
                <w:rtl/>
              </w:rPr>
            </w:pPr>
            <w:r w:rsidRPr="00A210E9">
              <w:rPr>
                <w:rFonts w:ascii="David" w:hAnsi="David"/>
                <w:rtl/>
              </w:rPr>
              <w:t xml:space="preserve">מקבלי קצבת נכות בניידות </w:t>
            </w:r>
            <w:r w:rsidRPr="00A210E9">
              <w:rPr>
                <w:rFonts w:ascii="David" w:hAnsi="David" w:hint="cs"/>
                <w:rtl/>
              </w:rPr>
              <w:t>בדרגות חומרה גבוהות</w:t>
            </w:r>
          </w:p>
        </w:tc>
      </w:tr>
      <w:tr w:rsidTr="00A157C9">
        <w:tblPrEx>
          <w:tblW w:w="0" w:type="auto"/>
          <w:tblInd w:w="15" w:type="dxa"/>
          <w:tblCellMar>
            <w:top w:w="85" w:type="dxa"/>
            <w:bottom w:w="85" w:type="dxa"/>
          </w:tblCellMar>
          <w:tblLook w:val="04A0"/>
        </w:tblPrEx>
        <w:tc>
          <w:tcPr>
            <w:tcW w:w="1266" w:type="dxa"/>
            <w:vAlign w:val="center"/>
          </w:tcPr>
          <w:p w:rsidR="00A210E9" w:rsidRPr="00A210E9" w:rsidP="00A210E9">
            <w:pPr>
              <w:bidi w:val="0"/>
              <w:spacing w:line="269" w:lineRule="auto"/>
              <w:contextualSpacing/>
              <w:jc w:val="right"/>
              <w:rPr>
                <w:rFonts w:ascii="David" w:hAnsi="David"/>
                <w:rtl/>
              </w:rPr>
            </w:pPr>
            <w:r w:rsidRPr="00A210E9">
              <w:rPr>
                <w:rFonts w:ascii="David" w:hAnsi="David"/>
                <w:rtl/>
              </w:rPr>
              <w:t>הולנד</w:t>
            </w:r>
          </w:p>
        </w:tc>
        <w:tc>
          <w:tcPr>
            <w:tcW w:w="6935" w:type="dxa"/>
            <w:vAlign w:val="center"/>
          </w:tcPr>
          <w:p w:rsidR="00A210E9" w:rsidRPr="00A210E9" w:rsidP="00A210E9">
            <w:pPr>
              <w:spacing w:line="269" w:lineRule="auto"/>
              <w:contextualSpacing/>
              <w:rPr>
                <w:rFonts w:ascii="David" w:hAnsi="David"/>
                <w:rtl/>
              </w:rPr>
            </w:pPr>
            <w:r w:rsidRPr="00A210E9">
              <w:rPr>
                <w:rFonts w:ascii="David" w:hAnsi="David"/>
                <w:rtl/>
              </w:rPr>
              <w:t>חוסר יכולת ללכת יותר מ-100 מטר</w:t>
            </w:r>
          </w:p>
        </w:tc>
      </w:tr>
      <w:tr w:rsidTr="00A157C9">
        <w:tblPrEx>
          <w:tblW w:w="0" w:type="auto"/>
          <w:tblInd w:w="15" w:type="dxa"/>
          <w:tblCellMar>
            <w:top w:w="85" w:type="dxa"/>
            <w:bottom w:w="85" w:type="dxa"/>
          </w:tblCellMar>
          <w:tblLook w:val="04A0"/>
        </w:tblPrEx>
        <w:tc>
          <w:tcPr>
            <w:tcW w:w="1266" w:type="dxa"/>
            <w:vAlign w:val="center"/>
          </w:tcPr>
          <w:p w:rsidR="00A210E9" w:rsidRPr="00A210E9" w:rsidP="00A210E9">
            <w:pPr>
              <w:bidi w:val="0"/>
              <w:spacing w:line="269" w:lineRule="auto"/>
              <w:contextualSpacing/>
              <w:jc w:val="right"/>
              <w:rPr>
                <w:rFonts w:ascii="David" w:hAnsi="David"/>
                <w:rtl/>
              </w:rPr>
            </w:pPr>
            <w:r w:rsidRPr="00A210E9">
              <w:rPr>
                <w:rFonts w:ascii="David" w:hAnsi="David"/>
                <w:rtl/>
              </w:rPr>
              <w:t>אוסטרליה</w:t>
            </w:r>
          </w:p>
        </w:tc>
        <w:tc>
          <w:tcPr>
            <w:tcW w:w="6935" w:type="dxa"/>
            <w:vAlign w:val="center"/>
          </w:tcPr>
          <w:p w:rsidR="00A210E9" w:rsidRPr="00A210E9" w:rsidP="00A210E9">
            <w:pPr>
              <w:spacing w:line="269" w:lineRule="auto"/>
              <w:contextualSpacing/>
              <w:rPr>
                <w:rFonts w:ascii="David" w:hAnsi="David"/>
                <w:rtl/>
              </w:rPr>
            </w:pPr>
            <w:r w:rsidRPr="00A210E9">
              <w:rPr>
                <w:rFonts w:ascii="David" w:hAnsi="David"/>
                <w:rtl/>
              </w:rPr>
              <w:t>חוסר יכולת ללכת יותר מ-100 מטר</w:t>
            </w:r>
          </w:p>
          <w:p w:rsidR="00A210E9" w:rsidRPr="00A210E9" w:rsidP="00A210E9">
            <w:pPr>
              <w:spacing w:line="269" w:lineRule="auto"/>
              <w:contextualSpacing/>
              <w:rPr>
                <w:rFonts w:ascii="David" w:hAnsi="David"/>
                <w:rtl/>
              </w:rPr>
            </w:pPr>
            <w:r w:rsidRPr="00A210E9">
              <w:rPr>
                <w:rFonts w:ascii="David" w:hAnsi="David"/>
                <w:rtl/>
              </w:rPr>
              <w:t>קטועי גפיים</w:t>
            </w:r>
          </w:p>
          <w:p w:rsidR="00A210E9" w:rsidRPr="00A210E9" w:rsidP="00A210E9">
            <w:pPr>
              <w:spacing w:line="269" w:lineRule="auto"/>
              <w:contextualSpacing/>
              <w:rPr>
                <w:rFonts w:ascii="David" w:hAnsi="David"/>
                <w:rtl/>
              </w:rPr>
            </w:pPr>
            <w:r w:rsidRPr="00A210E9">
              <w:rPr>
                <w:rFonts w:ascii="David" w:hAnsi="David"/>
                <w:rtl/>
              </w:rPr>
              <w:t>מקבלי קצבת נכות ניידות</w:t>
            </w:r>
            <w:r w:rsidRPr="00A210E9">
              <w:rPr>
                <w:rFonts w:ascii="David" w:hAnsi="David" w:hint="cs"/>
                <w:rtl/>
              </w:rPr>
              <w:t>***</w:t>
            </w:r>
            <w:r w:rsidRPr="00A210E9">
              <w:rPr>
                <w:rFonts w:ascii="David" w:hAnsi="David"/>
                <w:rtl/>
              </w:rPr>
              <w:t xml:space="preserve"> בדרגה 50 ומעלה</w:t>
            </w:r>
          </w:p>
          <w:p w:rsidR="00A210E9" w:rsidRPr="00A210E9" w:rsidP="00A210E9">
            <w:pPr>
              <w:spacing w:line="269" w:lineRule="auto"/>
              <w:contextualSpacing/>
              <w:rPr>
                <w:rFonts w:ascii="David" w:hAnsi="David"/>
                <w:rtl/>
              </w:rPr>
            </w:pPr>
            <w:r w:rsidRPr="00A210E9">
              <w:rPr>
                <w:rFonts w:ascii="David" w:hAnsi="David"/>
                <w:rtl/>
              </w:rPr>
              <w:t>עיוורים</w:t>
            </w:r>
          </w:p>
        </w:tc>
      </w:tr>
    </w:tbl>
    <w:p w:rsidR="00A210E9" w:rsidRPr="00A210E9" w:rsidP="00A210E9">
      <w:pPr>
        <w:spacing w:line="269" w:lineRule="auto"/>
        <w:rPr>
          <w:rFonts w:eastAsia="Calibri"/>
          <w:szCs w:val="20"/>
          <w:rtl/>
        </w:rPr>
      </w:pPr>
      <w:r w:rsidRPr="00A210E9">
        <w:rPr>
          <w:rFonts w:eastAsia="Calibri" w:hint="cs"/>
          <w:szCs w:val="20"/>
          <w:rtl/>
        </w:rPr>
        <w:t>על פי</w:t>
      </w:r>
      <w:r w:rsidRPr="00A210E9">
        <w:rPr>
          <w:rFonts w:eastAsia="Calibri"/>
          <w:szCs w:val="20"/>
          <w:rtl/>
        </w:rPr>
        <w:t xml:space="preserve"> התוכנית הלאומית לחניה</w:t>
      </w:r>
      <w:r>
        <w:rPr>
          <w:rFonts w:eastAsia="Calibri"/>
          <w:vertAlign w:val="superscript"/>
          <w:rtl/>
        </w:rPr>
        <w:footnoteReference w:id="41"/>
      </w:r>
      <w:r w:rsidRPr="00A210E9">
        <w:rPr>
          <w:rFonts w:eastAsia="Calibri"/>
          <w:szCs w:val="20"/>
          <w:rtl/>
        </w:rPr>
        <w:t xml:space="preserve">, </w:t>
      </w:r>
      <w:r w:rsidRPr="00A210E9">
        <w:rPr>
          <w:rFonts w:eastAsia="Calibri" w:hint="eastAsia"/>
          <w:szCs w:val="20"/>
          <w:rtl/>
        </w:rPr>
        <w:t>משרד</w:t>
      </w:r>
      <w:r w:rsidRPr="00A210E9">
        <w:rPr>
          <w:rFonts w:eastAsia="Calibri"/>
          <w:szCs w:val="20"/>
          <w:rtl/>
        </w:rPr>
        <w:t xml:space="preserve"> התחבורה, </w:t>
      </w:r>
      <w:r w:rsidRPr="00A210E9">
        <w:rPr>
          <w:rFonts w:eastAsia="Calibri" w:hint="eastAsia"/>
          <w:szCs w:val="20"/>
          <w:rtl/>
        </w:rPr>
        <w:t>מינהל</w:t>
      </w:r>
      <w:r w:rsidRPr="00A210E9">
        <w:rPr>
          <w:rFonts w:eastAsia="Calibri"/>
          <w:szCs w:val="20"/>
          <w:rtl/>
        </w:rPr>
        <w:t xml:space="preserve"> תכנון ופיתוח תשתיות, 2023.</w:t>
      </w:r>
    </w:p>
    <w:p w:rsidR="00A210E9" w:rsidRPr="00A210E9" w:rsidP="00D4573C">
      <w:pPr>
        <w:spacing w:line="269" w:lineRule="auto"/>
        <w:ind w:left="282" w:hanging="282"/>
        <w:rPr>
          <w:rFonts w:eastAsia="Calibri"/>
          <w:szCs w:val="20"/>
          <w:rtl/>
        </w:rPr>
      </w:pPr>
      <w:r w:rsidRPr="00A210E9">
        <w:rPr>
          <w:rFonts w:eastAsia="Calibri" w:hint="cs"/>
          <w:szCs w:val="20"/>
          <w:rtl/>
        </w:rPr>
        <w:t xml:space="preserve">* </w:t>
      </w:r>
      <w:r w:rsidR="00D4573C">
        <w:rPr>
          <w:rFonts w:eastAsia="Calibri"/>
          <w:szCs w:val="20"/>
          <w:rtl/>
        </w:rPr>
        <w:tab/>
      </w:r>
      <w:r w:rsidRPr="00A210E9">
        <w:rPr>
          <w:rFonts w:eastAsia="Calibri"/>
          <w:szCs w:val="20"/>
          <w:rtl/>
        </w:rPr>
        <w:t xml:space="preserve">״20/200״ היא </w:t>
      </w:r>
      <w:r w:rsidRPr="00A210E9">
        <w:rPr>
          <w:rFonts w:eastAsia="Calibri" w:hint="cs"/>
          <w:szCs w:val="20"/>
          <w:rtl/>
        </w:rPr>
        <w:t>מדד ל</w:t>
      </w:r>
      <w:r w:rsidRPr="00A210E9">
        <w:rPr>
          <w:rFonts w:eastAsia="Calibri"/>
          <w:szCs w:val="20"/>
          <w:rtl/>
        </w:rPr>
        <w:t>חדות ראייה</w:t>
      </w:r>
      <w:r w:rsidRPr="00A210E9">
        <w:rPr>
          <w:rFonts w:eastAsia="Calibri" w:hint="cs"/>
          <w:szCs w:val="20"/>
          <w:rtl/>
        </w:rPr>
        <w:t xml:space="preserve"> -</w:t>
      </w:r>
      <w:r w:rsidRPr="00A210E9">
        <w:rPr>
          <w:rFonts w:eastAsia="Calibri"/>
          <w:szCs w:val="20"/>
          <w:rtl/>
        </w:rPr>
        <w:t xml:space="preserve"> 20 הוא מרחק הבדיקה בפיט </w:t>
      </w:r>
      <w:r w:rsidRPr="00A210E9">
        <w:rPr>
          <w:rFonts w:eastAsia="Calibri" w:hint="cs"/>
          <w:szCs w:val="20"/>
          <w:rtl/>
        </w:rPr>
        <w:t>(</w:t>
      </w:r>
      <w:r w:rsidRPr="00A210E9">
        <w:rPr>
          <w:rFonts w:eastAsia="Calibri"/>
          <w:szCs w:val="20"/>
          <w:rtl/>
        </w:rPr>
        <w:t>כ</w:t>
      </w:r>
      <w:r w:rsidRPr="00A210E9">
        <w:rPr>
          <w:rFonts w:eastAsia="Calibri" w:hint="cs"/>
          <w:szCs w:val="20"/>
          <w:rtl/>
        </w:rPr>
        <w:t>-</w:t>
      </w:r>
      <w:r w:rsidRPr="00A210E9">
        <w:rPr>
          <w:rFonts w:eastAsia="Calibri"/>
          <w:szCs w:val="20"/>
          <w:rtl/>
        </w:rPr>
        <w:t>6 מטר</w:t>
      </w:r>
      <w:r w:rsidRPr="00A210E9">
        <w:rPr>
          <w:rFonts w:eastAsia="Calibri" w:hint="cs"/>
          <w:szCs w:val="20"/>
          <w:rtl/>
        </w:rPr>
        <w:t xml:space="preserve">ים); </w:t>
      </w:r>
      <w:r w:rsidRPr="00A210E9">
        <w:rPr>
          <w:rFonts w:eastAsia="Calibri"/>
          <w:szCs w:val="20"/>
          <w:rtl/>
        </w:rPr>
        <w:t>200 הוא המרחק שבו אדם עם ראייה תקינה יראה את אותו אובייקט בחדות.</w:t>
      </w:r>
      <w:r w:rsidRPr="00A210E9">
        <w:rPr>
          <w:rFonts w:eastAsia="Calibri" w:hint="cs"/>
          <w:szCs w:val="20"/>
          <w:rtl/>
        </w:rPr>
        <w:t xml:space="preserve"> </w:t>
      </w:r>
      <w:r w:rsidRPr="00A210E9">
        <w:rPr>
          <w:rFonts w:eastAsia="Calibri"/>
          <w:szCs w:val="20"/>
          <w:rtl/>
        </w:rPr>
        <w:t>לכן</w:t>
      </w:r>
      <w:r w:rsidRPr="00A210E9">
        <w:rPr>
          <w:rFonts w:eastAsia="Calibri" w:hint="cs"/>
          <w:szCs w:val="20"/>
          <w:rtl/>
        </w:rPr>
        <w:t>,</w:t>
      </w:r>
      <w:r w:rsidRPr="00A210E9">
        <w:rPr>
          <w:rFonts w:eastAsia="Calibri"/>
          <w:szCs w:val="20"/>
          <w:rtl/>
        </w:rPr>
        <w:t xml:space="preserve"> ״20/200 עם משקפיים״ </w:t>
      </w:r>
      <w:r w:rsidRPr="00A210E9">
        <w:rPr>
          <w:rFonts w:eastAsia="Calibri" w:hint="cs"/>
          <w:szCs w:val="20"/>
          <w:rtl/>
        </w:rPr>
        <w:t>משמעו</w:t>
      </w:r>
      <w:r w:rsidRPr="00A210E9">
        <w:rPr>
          <w:rFonts w:eastAsia="Calibri"/>
          <w:szCs w:val="20"/>
          <w:rtl/>
        </w:rPr>
        <w:t xml:space="preserve"> </w:t>
      </w:r>
      <w:r w:rsidRPr="00A210E9">
        <w:rPr>
          <w:rFonts w:eastAsia="Calibri" w:hint="cs"/>
          <w:szCs w:val="20"/>
          <w:rtl/>
        </w:rPr>
        <w:t>ש</w:t>
      </w:r>
      <w:r w:rsidRPr="00A210E9">
        <w:rPr>
          <w:rFonts w:eastAsia="Calibri"/>
          <w:szCs w:val="20"/>
          <w:rtl/>
        </w:rPr>
        <w:t>גם לאחר תיקון מיטבי (משקפיים</w:t>
      </w:r>
      <w:r w:rsidRPr="00A210E9">
        <w:rPr>
          <w:rFonts w:eastAsia="Calibri" w:hint="cs"/>
          <w:szCs w:val="20"/>
          <w:rtl/>
        </w:rPr>
        <w:t xml:space="preserve"> או </w:t>
      </w:r>
      <w:r w:rsidRPr="00A210E9">
        <w:rPr>
          <w:rFonts w:eastAsia="Calibri"/>
          <w:szCs w:val="20"/>
          <w:rtl/>
        </w:rPr>
        <w:t>עדשות) הנבדק צריך להיות במרחק 20 פיט כדי לראות מה שאדם עם ראייה תקינה רואה מ</w:t>
      </w:r>
      <w:r w:rsidRPr="00A210E9">
        <w:rPr>
          <w:rFonts w:eastAsia="Calibri" w:hint="cs"/>
          <w:szCs w:val="20"/>
          <w:rtl/>
        </w:rPr>
        <w:t>-</w:t>
      </w:r>
      <w:r w:rsidRPr="00A210E9">
        <w:rPr>
          <w:rFonts w:eastAsia="Calibri"/>
          <w:szCs w:val="20"/>
          <w:rtl/>
        </w:rPr>
        <w:t>200 פיט</w:t>
      </w:r>
      <w:r>
        <w:rPr>
          <w:rFonts w:ascii="David" w:eastAsia="Calibri" w:hAnsi="David"/>
          <w:vertAlign w:val="superscript"/>
          <w:rtl/>
        </w:rPr>
        <w:footnoteReference w:id="42"/>
      </w:r>
      <w:r w:rsidRPr="00A210E9">
        <w:rPr>
          <w:rFonts w:eastAsia="Calibri"/>
          <w:szCs w:val="20"/>
          <w:rtl/>
        </w:rPr>
        <w:t>.</w:t>
      </w:r>
    </w:p>
    <w:p w:rsidR="00A210E9" w:rsidRPr="00A210E9" w:rsidP="00D4573C">
      <w:pPr>
        <w:spacing w:line="269" w:lineRule="auto"/>
        <w:ind w:left="282" w:hanging="282"/>
        <w:rPr>
          <w:rFonts w:eastAsia="Calibri"/>
          <w:szCs w:val="20"/>
          <w:rtl/>
        </w:rPr>
      </w:pPr>
      <w:r w:rsidRPr="00A210E9">
        <w:rPr>
          <w:rFonts w:eastAsia="Calibri" w:hint="cs"/>
          <w:szCs w:val="20"/>
          <w:rtl/>
        </w:rPr>
        <w:t xml:space="preserve">** </w:t>
      </w:r>
      <w:r w:rsidR="00D4573C">
        <w:rPr>
          <w:rFonts w:ascii="David" w:eastAsia="Calibri" w:hAnsi="David"/>
          <w:szCs w:val="20"/>
          <w:rtl/>
        </w:rPr>
        <w:tab/>
      </w:r>
      <w:r w:rsidRPr="00A210E9">
        <w:rPr>
          <w:rFonts w:ascii="David" w:eastAsia="Calibri" w:hAnsi="David"/>
          <w:szCs w:val="20"/>
          <w:rtl/>
        </w:rPr>
        <w:t>מקבלי קצב</w:t>
      </w:r>
      <w:r w:rsidRPr="00A210E9">
        <w:rPr>
          <w:rFonts w:ascii="David" w:eastAsia="Calibri" w:hAnsi="David" w:hint="cs"/>
          <w:szCs w:val="20"/>
          <w:rtl/>
        </w:rPr>
        <w:t>או</w:t>
      </w:r>
      <w:r w:rsidRPr="00A210E9">
        <w:rPr>
          <w:rFonts w:ascii="David" w:eastAsia="Calibri" w:hAnsi="David"/>
          <w:szCs w:val="20"/>
          <w:rtl/>
        </w:rPr>
        <w:t>ת</w:t>
      </w:r>
      <w:r w:rsidRPr="00A210E9">
        <w:rPr>
          <w:rFonts w:ascii="David" w:eastAsia="Calibri" w:hAnsi="David" w:hint="cs"/>
          <w:szCs w:val="20"/>
          <w:rtl/>
        </w:rPr>
        <w:t xml:space="preserve"> שונות עם רכיב</w:t>
      </w:r>
      <w:r w:rsidRPr="00A210E9">
        <w:rPr>
          <w:rFonts w:ascii="David" w:eastAsia="Calibri" w:hAnsi="David"/>
          <w:szCs w:val="20"/>
          <w:rtl/>
        </w:rPr>
        <w:t xml:space="preserve"> ניידות </w:t>
      </w:r>
      <w:r w:rsidRPr="00A210E9">
        <w:rPr>
          <w:rFonts w:ascii="David" w:eastAsia="Calibri" w:hAnsi="David" w:hint="cs"/>
          <w:szCs w:val="20"/>
          <w:rtl/>
        </w:rPr>
        <w:t>גבוה (קצבת נכות לילד, קצבת נכות כללית, נכי מלחמה, מקבלי מענק יוצאי צבא ומשרתי מילואים)</w:t>
      </w:r>
      <w:r w:rsidRPr="00A210E9">
        <w:rPr>
          <w:rFonts w:eastAsia="Calibri" w:hint="cs"/>
          <w:szCs w:val="20"/>
          <w:rtl/>
        </w:rPr>
        <w:t>.</w:t>
      </w:r>
    </w:p>
    <w:p w:rsidR="00A210E9" w:rsidRPr="00A210E9" w:rsidP="00A210E9">
      <w:pPr>
        <w:spacing w:line="269" w:lineRule="auto"/>
        <w:ind w:left="283" w:hanging="283"/>
        <w:rPr>
          <w:rFonts w:eastAsia="Calibri"/>
          <w:szCs w:val="20"/>
          <w:rtl/>
        </w:rPr>
      </w:pPr>
      <w:r w:rsidRPr="00A210E9">
        <w:rPr>
          <w:rFonts w:eastAsia="Calibri" w:hint="cs"/>
          <w:szCs w:val="20"/>
          <w:rtl/>
        </w:rPr>
        <w:t xml:space="preserve">*** </w:t>
      </w:r>
      <w:r w:rsidRPr="00A210E9">
        <w:rPr>
          <w:rFonts w:eastAsia="Calibri"/>
          <w:szCs w:val="20"/>
          <w:rtl/>
        </w:rPr>
        <w:t>במסמך של משרד התחבורה צוין כי מדובר ברכיב ניידות בדרגה 50 ומעלה</w:t>
      </w:r>
      <w:r w:rsidRPr="00A210E9">
        <w:rPr>
          <w:rFonts w:eastAsia="Calibri" w:hint="cs"/>
          <w:szCs w:val="20"/>
          <w:rtl/>
        </w:rPr>
        <w:t>, אך</w:t>
      </w:r>
      <w:r w:rsidRPr="00A210E9">
        <w:rPr>
          <w:rFonts w:eastAsia="Calibri"/>
          <w:szCs w:val="20"/>
          <w:rtl/>
        </w:rPr>
        <w:t xml:space="preserve"> נכון לספטמבר 2025 הזכאות מנוהלת ברמת המדינות והטריטוריות</w:t>
      </w:r>
      <w:r w:rsidRPr="00A210E9">
        <w:rPr>
          <w:rFonts w:eastAsia="Calibri" w:hint="cs"/>
          <w:szCs w:val="20"/>
          <w:rtl/>
        </w:rPr>
        <w:t>,</w:t>
      </w:r>
      <w:r w:rsidRPr="00A210E9">
        <w:rPr>
          <w:rFonts w:eastAsia="Calibri"/>
          <w:szCs w:val="20"/>
          <w:rtl/>
        </w:rPr>
        <w:t xml:space="preserve"> ו</w:t>
      </w:r>
      <w:r w:rsidRPr="00A210E9">
        <w:rPr>
          <w:rFonts w:eastAsia="Calibri" w:hint="cs"/>
          <w:szCs w:val="20"/>
          <w:rtl/>
        </w:rPr>
        <w:t xml:space="preserve">היא </w:t>
      </w:r>
      <w:r w:rsidRPr="00A210E9">
        <w:rPr>
          <w:rFonts w:eastAsia="Calibri"/>
          <w:szCs w:val="20"/>
          <w:rtl/>
        </w:rPr>
        <w:t>נשענת על מבחני תפקוד בניידות או עיוורון ח</w:t>
      </w:r>
      <w:r w:rsidRPr="00A210E9">
        <w:rPr>
          <w:rFonts w:eastAsia="Calibri" w:hint="cs"/>
          <w:szCs w:val="20"/>
          <w:rtl/>
        </w:rPr>
        <w:t>ל</w:t>
      </w:r>
      <w:r w:rsidRPr="00A210E9">
        <w:rPr>
          <w:rFonts w:eastAsia="Calibri"/>
          <w:szCs w:val="20"/>
          <w:rtl/>
        </w:rPr>
        <w:t xml:space="preserve">קי </w:t>
      </w:r>
      <w:r w:rsidRPr="00A210E9">
        <w:rPr>
          <w:rFonts w:eastAsia="Calibri" w:hint="cs"/>
          <w:szCs w:val="20"/>
          <w:rtl/>
        </w:rPr>
        <w:t>ו</w:t>
      </w:r>
      <w:r w:rsidRPr="00A210E9">
        <w:rPr>
          <w:rFonts w:eastAsia="Calibri"/>
          <w:szCs w:val="20"/>
          <w:rtl/>
        </w:rPr>
        <w:t>לא על אחוז</w:t>
      </w:r>
      <w:r w:rsidRPr="00A210E9">
        <w:rPr>
          <w:rFonts w:eastAsia="Calibri" w:hint="cs"/>
          <w:szCs w:val="20"/>
          <w:rtl/>
        </w:rPr>
        <w:t xml:space="preserve"> או </w:t>
      </w:r>
      <w:r w:rsidRPr="00A210E9">
        <w:rPr>
          <w:rFonts w:eastAsia="Calibri"/>
          <w:szCs w:val="20"/>
          <w:rtl/>
        </w:rPr>
        <w:t xml:space="preserve">דרגת קצבה. מקבלי קצבאות כשלעצמם אינם זכאים </w:t>
      </w:r>
      <w:r w:rsidRPr="00A210E9">
        <w:rPr>
          <w:rFonts w:eastAsia="Calibri" w:hint="cs"/>
          <w:szCs w:val="20"/>
          <w:rtl/>
        </w:rPr>
        <w:t xml:space="preserve">באופן </w:t>
      </w:r>
      <w:r w:rsidRPr="00A210E9">
        <w:rPr>
          <w:rFonts w:eastAsia="Calibri"/>
          <w:szCs w:val="20"/>
          <w:rtl/>
        </w:rPr>
        <w:t>אוטומטי בגלל שיעור קצבה ספציפי</w:t>
      </w:r>
      <w:r w:rsidRPr="00A210E9">
        <w:rPr>
          <w:rFonts w:eastAsia="Calibri" w:hint="cs"/>
          <w:szCs w:val="20"/>
          <w:rtl/>
        </w:rPr>
        <w:t>.</w:t>
      </w:r>
    </w:p>
    <w:p w:rsidR="00A210E9" w:rsidRPr="00A210E9" w:rsidP="00A210E9">
      <w:pPr>
        <w:keepNext/>
        <w:keepLines/>
        <w:spacing w:line="269" w:lineRule="auto"/>
        <w:ind w:left="-567"/>
        <w:rPr>
          <w:rFonts w:eastAsia="Calibri"/>
          <w:szCs w:val="20"/>
          <w:rtl/>
        </w:rPr>
      </w:pPr>
    </w:p>
    <w:p w:rsidR="00A210E9" w:rsidP="00A210E9">
      <w:pPr>
        <w:spacing w:line="269" w:lineRule="auto"/>
        <w:rPr>
          <w:rFonts w:eastAsia="Calibri"/>
          <w:b/>
          <w:bCs/>
          <w:rtl/>
        </w:rPr>
      </w:pPr>
      <w:r w:rsidRPr="00A210E9">
        <w:rPr>
          <w:rFonts w:eastAsia="Calibri" w:hint="cs"/>
          <w:b/>
          <w:bCs/>
          <w:rtl/>
        </w:rPr>
        <w:t xml:space="preserve">מהלוח עולה כי בהשוואה לישראל, במדינות שונות </w:t>
      </w:r>
      <w:r w:rsidRPr="00A210E9">
        <w:rPr>
          <w:rFonts w:eastAsia="Calibri"/>
          <w:b/>
          <w:bCs/>
          <w:rtl/>
        </w:rPr>
        <w:t xml:space="preserve">הזכאות לתג </w:t>
      </w:r>
      <w:r w:rsidRPr="00A210E9">
        <w:rPr>
          <w:rFonts w:eastAsia="Calibri" w:hint="cs"/>
          <w:b/>
          <w:bCs/>
          <w:rtl/>
        </w:rPr>
        <w:t xml:space="preserve">חניה </w:t>
      </w:r>
      <w:r w:rsidRPr="00A210E9">
        <w:rPr>
          <w:rFonts w:eastAsia="Calibri"/>
          <w:b/>
          <w:bCs/>
          <w:rtl/>
        </w:rPr>
        <w:t>נקבעת ל</w:t>
      </w:r>
      <w:r w:rsidRPr="00A210E9">
        <w:rPr>
          <w:rFonts w:eastAsia="Calibri" w:hint="cs"/>
          <w:b/>
          <w:bCs/>
          <w:rtl/>
        </w:rPr>
        <w:t>פי ה</w:t>
      </w:r>
      <w:r w:rsidRPr="00A210E9">
        <w:rPr>
          <w:rFonts w:eastAsia="Calibri"/>
          <w:b/>
          <w:bCs/>
          <w:rtl/>
        </w:rPr>
        <w:t xml:space="preserve">יכולת </w:t>
      </w:r>
      <w:r w:rsidRPr="00A210E9">
        <w:rPr>
          <w:rFonts w:eastAsia="Calibri" w:hint="cs"/>
          <w:b/>
          <w:bCs/>
          <w:rtl/>
        </w:rPr>
        <w:t>ה</w:t>
      </w:r>
      <w:r w:rsidRPr="00A210E9">
        <w:rPr>
          <w:rFonts w:eastAsia="Calibri"/>
          <w:b/>
          <w:bCs/>
          <w:rtl/>
        </w:rPr>
        <w:t>פיזית ללכת מרחק מסוים, או על בסיס תבחינים רפואיים ברורים ומדידים אחרים שקשורים במישרין ליכולת לנוע מרחק מסוים ממקום החניה ליעד</w:t>
      </w:r>
      <w:r w:rsidRPr="00A210E9">
        <w:rPr>
          <w:rFonts w:eastAsia="Calibri" w:hint="cs"/>
          <w:b/>
          <w:bCs/>
          <w:rtl/>
        </w:rPr>
        <w:t xml:space="preserve">, למשל ברוב מדינות ארה"ב נבדק האם מבקש תג החניה מסוגל </w:t>
      </w:r>
      <w:r w:rsidRPr="00A210E9">
        <w:rPr>
          <w:rFonts w:eastAsia="Calibri"/>
          <w:b/>
          <w:bCs/>
          <w:rtl/>
        </w:rPr>
        <w:t>ללכת יותר מ-200 רגל</w:t>
      </w:r>
      <w:r w:rsidRPr="00A210E9">
        <w:rPr>
          <w:rFonts w:eastAsia="Calibri" w:hint="cs"/>
          <w:b/>
          <w:bCs/>
          <w:rtl/>
        </w:rPr>
        <w:t xml:space="preserve"> (כ-61 מטר)</w:t>
      </w:r>
      <w:r w:rsidRPr="00A210E9">
        <w:rPr>
          <w:rFonts w:eastAsia="Calibri"/>
          <w:b/>
          <w:bCs/>
          <w:rtl/>
        </w:rPr>
        <w:t>.</w:t>
      </w:r>
    </w:p>
    <w:p w:rsidR="00C21358" w:rsidRPr="00A210E9" w:rsidP="00A210E9">
      <w:pPr>
        <w:spacing w:line="269" w:lineRule="auto"/>
        <w:rPr>
          <w:rFonts w:eastAsia="Calibri"/>
          <w:b/>
          <w:bCs/>
          <w:rtl/>
        </w:rPr>
      </w:pPr>
    </w:p>
    <w:p w:rsidR="00A210E9" w:rsidRPr="00A210E9" w:rsidP="00A210E9">
      <w:pPr>
        <w:spacing w:line="269" w:lineRule="auto"/>
        <w:rPr>
          <w:rFonts w:eastAsia="Calibri"/>
          <w:rtl/>
        </w:rPr>
      </w:pPr>
      <w:r w:rsidRPr="00A210E9">
        <w:rPr>
          <w:rFonts w:eastAsia="Calibri" w:hint="cs"/>
          <w:rtl/>
        </w:rPr>
        <w:t>יצוין כי במשך השנים גיבשו גורמים שונים בהזדמנויות שונות קריטריונים לזכאות לתגים</w:t>
      </w:r>
      <w:r>
        <w:rPr>
          <w:rFonts w:eastAsia="Calibri"/>
          <w:vertAlign w:val="superscript"/>
          <w:rtl/>
        </w:rPr>
        <w:footnoteReference w:id="43"/>
      </w:r>
      <w:r w:rsidRPr="00A210E9">
        <w:rPr>
          <w:rFonts w:eastAsia="Calibri" w:hint="cs"/>
          <w:rtl/>
        </w:rPr>
        <w:t>.</w:t>
      </w:r>
      <w:r w:rsidR="00136D6F">
        <w:rPr>
          <w:rFonts w:eastAsia="Calibri" w:hint="cs"/>
          <w:rtl/>
        </w:rPr>
        <w:t xml:space="preserve"> </w:t>
      </w:r>
      <w:r w:rsidRPr="00A210E9">
        <w:rPr>
          <w:rFonts w:eastAsia="Calibri" w:hint="cs"/>
          <w:rtl/>
        </w:rPr>
        <w:t>במכתב ששלח מנכ"ל בט"ל למנכ"ל משרד התחבורה בשנת 2005, בנוגע לבדיקות זכאות לתג במסגרת הוועדות הרפואיות, צוינו קריטריונים שבט"ל גיבש למתן זכאות לתג וכן מדד תפקודי של הליכת מרחק של 150 מטרים (ראה נספח 1). בתזכיר לתיקון חוק חניה לנכים שגיבש משרד התחבורה בשנת 2008 הוצעו תבחינים רפואיים מפורטים. בשנת 2010 הגישו רופאי חברה חיצונית שנתנה באותה עת שירותי ייעוץ רפואי לאגף הרישוי (להלן - חברה א'), מסמך למינהל התנועה במשרד התחבורה (להלן - מינהל תנועה) שפירט דרכי עבודה של ועדה רפואית שתפעל במשרד התחבורה, ובו הובא גם מגוון קריטריונים רפואיים למתן זכאות לתג (ראה נספח 2). בסוף 2022 הוקמה במשרד התחבורה ועדה מקצועית לקביעת קריטריונים ותהליכי עבודה בנושא זכאות לתג חניה (להלן - צוות 2022). הוועדה הוקמה כדי להבטיח שתגי חניה יינתנו רק לאוכלוסייה שעבורה התג חיוני לצורך ניידות, ו</w:t>
      </w:r>
      <w:r w:rsidRPr="00A210E9">
        <w:rPr>
          <w:rFonts w:ascii="Narkisim" w:eastAsia="Calibri" w:hAnsi="Narkisim"/>
          <w:sz w:val="24"/>
          <w:rtl/>
        </w:rPr>
        <w:t xml:space="preserve">ליצור </w:t>
      </w:r>
      <w:r w:rsidRPr="00A210E9">
        <w:rPr>
          <w:rFonts w:ascii="Narkisim" w:eastAsia="Calibri" w:hAnsi="Narkisim" w:hint="cs"/>
          <w:sz w:val="24"/>
          <w:rtl/>
        </w:rPr>
        <w:t>ת</w:t>
      </w:r>
      <w:r w:rsidRPr="00A210E9">
        <w:rPr>
          <w:rFonts w:ascii="Narkisim" w:eastAsia="Calibri" w:hAnsi="Narkisim"/>
          <w:sz w:val="24"/>
          <w:rtl/>
        </w:rPr>
        <w:t>הליך שנשען על תבחינים ענייניים, אחידים ושוויוניים</w:t>
      </w:r>
      <w:r w:rsidRPr="00A210E9">
        <w:rPr>
          <w:rFonts w:ascii="Narkisim" w:eastAsia="Calibri" w:hAnsi="Narkisim" w:hint="cs"/>
          <w:sz w:val="24"/>
          <w:rtl/>
        </w:rPr>
        <w:t>.</w:t>
      </w:r>
      <w:r w:rsidRPr="00A210E9">
        <w:rPr>
          <w:rFonts w:eastAsia="Calibri" w:hint="cs"/>
          <w:rtl/>
        </w:rPr>
        <w:t xml:space="preserve"> בסיכום דיוני הוועדה מיוני 2023 צוין כי "</w:t>
      </w:r>
      <w:r w:rsidRPr="00A210E9">
        <w:rPr>
          <w:rFonts w:eastAsia="Calibri"/>
          <w:rtl/>
        </w:rPr>
        <w:t>על בסיס השוואתי בעולם מוצע לאמץ קריטריון שלפיו בטווח הליכה של 250 מטרים נדרשת מנוחה</w:t>
      </w:r>
      <w:r w:rsidRPr="00A210E9">
        <w:rPr>
          <w:rFonts w:eastAsia="Calibri" w:hint="cs"/>
          <w:rtl/>
        </w:rPr>
        <w:t>"</w:t>
      </w:r>
      <w:r>
        <w:rPr>
          <w:rFonts w:eastAsia="Calibri"/>
          <w:vertAlign w:val="superscript"/>
          <w:rtl/>
        </w:rPr>
        <w:footnoteReference w:id="44"/>
      </w:r>
      <w:r w:rsidRPr="00A210E9">
        <w:rPr>
          <w:rFonts w:eastAsia="Calibri" w:hint="cs"/>
          <w:rtl/>
        </w:rPr>
        <w:t>. בשנת 2024 הוקמה במשרד התחבורה ועדה מקצועית נוספת לקביעת מדיניות לקבלת תג חניה (להלן - צוות 2024). גם בדיוני צוות זה עלה הקריטריון האמור, והוא הוזכר גם בדיון של ה</w:t>
      </w:r>
      <w:r w:rsidRPr="00A210E9">
        <w:rPr>
          <w:rFonts w:eastAsia="Calibri" w:hint="eastAsia"/>
          <w:rtl/>
        </w:rPr>
        <w:t xml:space="preserve">צוות </w:t>
      </w:r>
      <w:r w:rsidRPr="00A210E9">
        <w:rPr>
          <w:rFonts w:eastAsia="Calibri" w:hint="cs"/>
          <w:rtl/>
        </w:rPr>
        <w:t>ה</w:t>
      </w:r>
      <w:r w:rsidRPr="00A210E9">
        <w:rPr>
          <w:rFonts w:eastAsia="Calibri" w:hint="eastAsia"/>
          <w:rtl/>
        </w:rPr>
        <w:t>בין-משרדי 2025</w:t>
      </w:r>
      <w:r w:rsidRPr="00A210E9">
        <w:rPr>
          <w:rFonts w:eastAsia="Calibri"/>
          <w:rtl/>
        </w:rPr>
        <w:t xml:space="preserve">. </w:t>
      </w:r>
      <w:r w:rsidRPr="00A210E9">
        <w:rPr>
          <w:rFonts w:eastAsia="Calibri" w:hint="eastAsia"/>
          <w:rtl/>
        </w:rPr>
        <w:t>יצוין</w:t>
      </w:r>
      <w:r w:rsidRPr="00A210E9">
        <w:rPr>
          <w:rFonts w:eastAsia="Calibri"/>
          <w:rtl/>
        </w:rPr>
        <w:t xml:space="preserve"> כי בתוכנית הכלכלית לשנת 2026, </w:t>
      </w:r>
      <w:r w:rsidRPr="00A210E9">
        <w:rPr>
          <w:rFonts w:eastAsia="Calibri" w:hint="cs"/>
          <w:rtl/>
        </w:rPr>
        <w:t>ששימשה</w:t>
      </w:r>
      <w:r w:rsidRPr="00A210E9">
        <w:rPr>
          <w:rFonts w:eastAsia="Calibri"/>
          <w:rtl/>
        </w:rPr>
        <w:t xml:space="preserve"> בסיס לקבלת החלטת </w:t>
      </w:r>
      <w:r w:rsidRPr="00A210E9">
        <w:rPr>
          <w:rFonts w:eastAsia="Calibri" w:hint="cs"/>
          <w:rtl/>
        </w:rPr>
        <w:t>ה</w:t>
      </w:r>
      <w:r w:rsidRPr="00A210E9">
        <w:rPr>
          <w:rFonts w:eastAsia="Calibri"/>
          <w:rtl/>
        </w:rPr>
        <w:t>ממשלה 3584</w:t>
      </w:r>
      <w:r w:rsidRPr="00A210E9">
        <w:rPr>
          <w:rFonts w:eastAsia="Calibri" w:hint="cs"/>
          <w:rtl/>
        </w:rPr>
        <w:t>,</w:t>
      </w:r>
      <w:r w:rsidRPr="00A210E9">
        <w:rPr>
          <w:rFonts w:eastAsia="Calibri"/>
          <w:rtl/>
        </w:rPr>
        <w:t xml:space="preserve"> </w:t>
      </w:r>
      <w:r w:rsidRPr="00A210E9">
        <w:rPr>
          <w:rFonts w:eastAsia="Calibri" w:hint="eastAsia"/>
          <w:rtl/>
        </w:rPr>
        <w:t>נכתב</w:t>
      </w:r>
      <w:r w:rsidRPr="00A210E9">
        <w:rPr>
          <w:rFonts w:eastAsia="Calibri"/>
          <w:rtl/>
        </w:rPr>
        <w:t xml:space="preserve"> </w:t>
      </w:r>
      <w:r w:rsidRPr="00A210E9">
        <w:rPr>
          <w:rFonts w:eastAsia="Calibri" w:hint="eastAsia"/>
          <w:rtl/>
        </w:rPr>
        <w:t>כי</w:t>
      </w:r>
      <w:r w:rsidRPr="00A210E9">
        <w:rPr>
          <w:rFonts w:eastAsia="Calibri"/>
          <w:rtl/>
        </w:rPr>
        <w:t xml:space="preserve"> </w:t>
      </w:r>
      <w:r w:rsidRPr="00A210E9">
        <w:rPr>
          <w:rFonts w:eastAsia="Calibri" w:hint="eastAsia"/>
          <w:rtl/>
        </w:rPr>
        <w:t>במסגרת</w:t>
      </w:r>
      <w:r w:rsidRPr="00A210E9">
        <w:rPr>
          <w:rFonts w:eastAsia="Calibri"/>
          <w:rtl/>
        </w:rPr>
        <w:t xml:space="preserve"> </w:t>
      </w:r>
      <w:r w:rsidRPr="00A210E9">
        <w:rPr>
          <w:rFonts w:eastAsia="Calibri" w:hint="eastAsia"/>
          <w:rtl/>
        </w:rPr>
        <w:t>הנוהל</w:t>
      </w:r>
      <w:r w:rsidRPr="00A210E9">
        <w:rPr>
          <w:rFonts w:eastAsia="Calibri"/>
          <w:rtl/>
        </w:rPr>
        <w:t xml:space="preserve"> </w:t>
      </w:r>
      <w:r w:rsidRPr="00A210E9">
        <w:rPr>
          <w:rFonts w:eastAsia="Calibri" w:hint="eastAsia"/>
          <w:rtl/>
        </w:rPr>
        <w:t>שיגבש</w:t>
      </w:r>
      <w:r w:rsidRPr="00A210E9">
        <w:rPr>
          <w:rFonts w:eastAsia="Calibri"/>
          <w:rtl/>
        </w:rPr>
        <w:t xml:space="preserve"> </w:t>
      </w:r>
      <w:r w:rsidRPr="00A210E9">
        <w:rPr>
          <w:rFonts w:eastAsia="Calibri" w:hint="cs"/>
          <w:rtl/>
        </w:rPr>
        <w:t>ה</w:t>
      </w:r>
      <w:r w:rsidRPr="00A210E9">
        <w:rPr>
          <w:rFonts w:eastAsia="Calibri" w:hint="eastAsia"/>
          <w:rtl/>
        </w:rPr>
        <w:t xml:space="preserve">צוות </w:t>
      </w:r>
      <w:r w:rsidRPr="00A210E9">
        <w:rPr>
          <w:rFonts w:eastAsia="Calibri" w:hint="cs"/>
          <w:rtl/>
        </w:rPr>
        <w:t>ה</w:t>
      </w:r>
      <w:r w:rsidRPr="00A210E9">
        <w:rPr>
          <w:rFonts w:eastAsia="Calibri" w:hint="eastAsia"/>
          <w:rtl/>
        </w:rPr>
        <w:t>בין-משרדי 2025</w:t>
      </w:r>
      <w:r w:rsidRPr="00A210E9">
        <w:rPr>
          <w:rFonts w:eastAsia="Calibri"/>
          <w:rtl/>
        </w:rPr>
        <w:t xml:space="preserve"> </w:t>
      </w:r>
      <w:r w:rsidRPr="00A210E9">
        <w:rPr>
          <w:rFonts w:eastAsia="Calibri" w:hint="eastAsia"/>
          <w:rtl/>
        </w:rPr>
        <w:t>ייקבעו</w:t>
      </w:r>
      <w:r w:rsidRPr="00A210E9">
        <w:rPr>
          <w:rFonts w:eastAsia="Calibri"/>
          <w:rtl/>
        </w:rPr>
        <w:t xml:space="preserve"> </w:t>
      </w:r>
      <w:r w:rsidRPr="00A210E9">
        <w:rPr>
          <w:rFonts w:eastAsia="Calibri" w:hint="eastAsia"/>
          <w:rtl/>
        </w:rPr>
        <w:t>עבור</w:t>
      </w:r>
      <w:r w:rsidRPr="00A210E9">
        <w:rPr>
          <w:rFonts w:eastAsia="Calibri"/>
          <w:rtl/>
        </w:rPr>
        <w:t xml:space="preserve"> </w:t>
      </w:r>
      <w:r w:rsidRPr="00A210E9">
        <w:rPr>
          <w:rFonts w:eastAsia="Calibri" w:hint="eastAsia"/>
          <w:rtl/>
        </w:rPr>
        <w:t>כל</w:t>
      </w:r>
      <w:r w:rsidRPr="00A210E9">
        <w:rPr>
          <w:rFonts w:eastAsia="Calibri"/>
          <w:rtl/>
        </w:rPr>
        <w:t xml:space="preserve"> </w:t>
      </w:r>
      <w:r w:rsidRPr="00A210E9">
        <w:rPr>
          <w:rFonts w:eastAsia="Calibri" w:hint="eastAsia"/>
          <w:rtl/>
        </w:rPr>
        <w:t>סוג</w:t>
      </w:r>
      <w:r w:rsidRPr="00A210E9">
        <w:rPr>
          <w:rFonts w:eastAsia="Calibri"/>
          <w:rtl/>
        </w:rPr>
        <w:t xml:space="preserve"> </w:t>
      </w:r>
      <w:r w:rsidRPr="00A210E9">
        <w:rPr>
          <w:rFonts w:eastAsia="Calibri" w:hint="eastAsia"/>
          <w:rtl/>
        </w:rPr>
        <w:t>נכות</w:t>
      </w:r>
      <w:r w:rsidRPr="00A210E9">
        <w:rPr>
          <w:rFonts w:eastAsia="Calibri"/>
          <w:rtl/>
        </w:rPr>
        <w:t xml:space="preserve"> </w:t>
      </w:r>
      <w:r w:rsidRPr="00A210E9">
        <w:rPr>
          <w:rFonts w:eastAsia="Calibri" w:hint="eastAsia"/>
          <w:rtl/>
        </w:rPr>
        <w:t>ובדיקה</w:t>
      </w:r>
      <w:r w:rsidRPr="00A210E9">
        <w:rPr>
          <w:rFonts w:eastAsia="Calibri"/>
          <w:rtl/>
        </w:rPr>
        <w:t xml:space="preserve"> </w:t>
      </w:r>
      <w:r w:rsidRPr="00A210E9">
        <w:rPr>
          <w:rFonts w:eastAsia="Calibri" w:hint="eastAsia"/>
          <w:rtl/>
        </w:rPr>
        <w:t>רפואית</w:t>
      </w:r>
      <w:r w:rsidRPr="00A210E9">
        <w:rPr>
          <w:rFonts w:eastAsia="Calibri"/>
          <w:rtl/>
        </w:rPr>
        <w:t xml:space="preserve"> </w:t>
      </w:r>
      <w:r w:rsidRPr="00A210E9">
        <w:rPr>
          <w:rFonts w:eastAsia="Calibri" w:hint="cs"/>
          <w:rtl/>
        </w:rPr>
        <w:t>תנאי הסף המזכים בקבלת</w:t>
      </w:r>
      <w:r w:rsidRPr="00A210E9">
        <w:rPr>
          <w:rFonts w:eastAsia="Calibri"/>
          <w:rtl/>
        </w:rPr>
        <w:t xml:space="preserve"> </w:t>
      </w:r>
      <w:r w:rsidRPr="00A210E9">
        <w:rPr>
          <w:rFonts w:eastAsia="Calibri" w:hint="eastAsia"/>
          <w:rtl/>
        </w:rPr>
        <w:t>אישור</w:t>
      </w:r>
      <w:r w:rsidRPr="00A210E9">
        <w:rPr>
          <w:rFonts w:eastAsia="Calibri"/>
          <w:rtl/>
        </w:rPr>
        <w:t xml:space="preserve"> </w:t>
      </w:r>
      <w:r w:rsidRPr="00A210E9">
        <w:rPr>
          <w:rFonts w:eastAsia="Calibri" w:hint="eastAsia"/>
          <w:rtl/>
        </w:rPr>
        <w:t>רפואי</w:t>
      </w:r>
      <w:r w:rsidRPr="00A210E9">
        <w:rPr>
          <w:rFonts w:eastAsia="Calibri" w:hint="cs"/>
          <w:rtl/>
        </w:rPr>
        <w:t>,</w:t>
      </w:r>
      <w:r w:rsidRPr="00A210E9">
        <w:rPr>
          <w:rFonts w:eastAsia="Calibri"/>
          <w:rtl/>
        </w:rPr>
        <w:t xml:space="preserve"> </w:t>
      </w:r>
      <w:r w:rsidRPr="00A210E9">
        <w:rPr>
          <w:rFonts w:eastAsia="Calibri" w:hint="cs"/>
          <w:rtl/>
        </w:rPr>
        <w:t>לצורך הנפקת</w:t>
      </w:r>
      <w:r w:rsidRPr="00A210E9">
        <w:rPr>
          <w:rFonts w:eastAsia="Calibri"/>
          <w:rtl/>
        </w:rPr>
        <w:t xml:space="preserve"> </w:t>
      </w:r>
      <w:r w:rsidRPr="00A210E9">
        <w:rPr>
          <w:rFonts w:eastAsia="Calibri" w:hint="eastAsia"/>
          <w:rtl/>
        </w:rPr>
        <w:t>תג</w:t>
      </w:r>
      <w:r w:rsidRPr="00A210E9">
        <w:rPr>
          <w:rFonts w:eastAsia="Calibri"/>
          <w:rtl/>
        </w:rPr>
        <w:t xml:space="preserve"> </w:t>
      </w:r>
      <w:r w:rsidRPr="00A210E9">
        <w:rPr>
          <w:rFonts w:eastAsia="Calibri" w:hint="eastAsia"/>
          <w:rtl/>
        </w:rPr>
        <w:t>חניה</w:t>
      </w:r>
      <w:r w:rsidRPr="00A210E9">
        <w:rPr>
          <w:rFonts w:eastAsia="Calibri"/>
          <w:rtl/>
        </w:rPr>
        <w:t xml:space="preserve"> </w:t>
      </w:r>
      <w:r w:rsidRPr="00A210E9">
        <w:rPr>
          <w:rFonts w:eastAsia="Calibri" w:hint="eastAsia"/>
          <w:rtl/>
        </w:rPr>
        <w:t>על</w:t>
      </w:r>
      <w:r w:rsidRPr="00A210E9">
        <w:rPr>
          <w:rFonts w:eastAsia="Calibri"/>
          <w:rtl/>
        </w:rPr>
        <w:t xml:space="preserve"> </w:t>
      </w:r>
      <w:r w:rsidRPr="00A210E9">
        <w:rPr>
          <w:rFonts w:eastAsia="Calibri" w:hint="eastAsia"/>
          <w:rtl/>
        </w:rPr>
        <w:t>ידי</w:t>
      </w:r>
      <w:r w:rsidRPr="00A210E9">
        <w:rPr>
          <w:rFonts w:eastAsia="Calibri"/>
          <w:rtl/>
        </w:rPr>
        <w:t xml:space="preserve"> </w:t>
      </w:r>
      <w:r w:rsidRPr="00A210E9">
        <w:rPr>
          <w:rFonts w:eastAsia="Calibri" w:hint="eastAsia"/>
          <w:rtl/>
        </w:rPr>
        <w:t>רשות</w:t>
      </w:r>
      <w:r w:rsidRPr="00A210E9">
        <w:rPr>
          <w:rFonts w:eastAsia="Calibri"/>
          <w:rtl/>
        </w:rPr>
        <w:t xml:space="preserve"> </w:t>
      </w:r>
      <w:r w:rsidRPr="00A210E9">
        <w:rPr>
          <w:rFonts w:eastAsia="Calibri" w:hint="eastAsia"/>
          <w:rtl/>
        </w:rPr>
        <w:t>הרישוי</w:t>
      </w:r>
      <w:r w:rsidRPr="00A210E9">
        <w:rPr>
          <w:rFonts w:eastAsia="Calibri"/>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 xml:space="preserve">אף שכבר קרוב לשני עשורים משרד התחבורה סבור כי הקריטריונים לזכאות לתג חניה עמומים, נעדרים הגדרה רפואית חד-משמעית ומאפשרים פרשנות רחבה מדי, הוא לא </w:t>
      </w:r>
      <w:r w:rsidRPr="00A210E9">
        <w:rPr>
          <w:rFonts w:eastAsia="Calibri" w:hint="eastAsia"/>
          <w:b/>
          <w:bCs/>
          <w:rtl/>
        </w:rPr>
        <w:t>השלים</w:t>
      </w:r>
      <w:r w:rsidRPr="00A210E9">
        <w:rPr>
          <w:rFonts w:eastAsia="Calibri" w:hint="cs"/>
          <w:b/>
          <w:bCs/>
          <w:rtl/>
        </w:rPr>
        <w:t xml:space="preserve"> </w:t>
      </w:r>
      <w:r w:rsidRPr="00A210E9">
        <w:rPr>
          <w:rFonts w:eastAsia="Calibri" w:hint="eastAsia"/>
          <w:b/>
          <w:bCs/>
          <w:rtl/>
        </w:rPr>
        <w:t>עדכון</w:t>
      </w:r>
      <w:r w:rsidRPr="00A210E9">
        <w:rPr>
          <w:rFonts w:eastAsia="Calibri" w:hint="cs"/>
          <w:b/>
          <w:bCs/>
          <w:rtl/>
        </w:rPr>
        <w:t xml:space="preserve"> ההגדרות בחוק, או </w:t>
      </w:r>
      <w:r w:rsidRPr="00A210E9">
        <w:rPr>
          <w:rFonts w:eastAsia="Calibri" w:hint="eastAsia"/>
          <w:b/>
          <w:bCs/>
          <w:rtl/>
        </w:rPr>
        <w:t>מתן</w:t>
      </w:r>
      <w:r w:rsidRPr="00A210E9">
        <w:rPr>
          <w:rFonts w:eastAsia="Calibri" w:hint="cs"/>
          <w:b/>
          <w:bCs/>
          <w:rtl/>
        </w:rPr>
        <w:t xml:space="preserve"> פרשנות ברורה לסעיפי החוק, למשל באמצעות תקנות או נוהל. עמימות קריטריונים זו ייתכן שהשליכה גם על יכולת הרופאים להתאים סיווג רפואי לבקשות שאושרו או נדחו, כך למשל בשנת 2022 - 44% מהבקשות לתג חניה קיבלו סיווג רפואי "אחר". ההשוואה הבינלאומית שמשרד התחבורה ביצע מצביעה על כך שהזכאות לתג נקבעת במדינות השונות לפי היכולת הפיזית ללכת מרחק מסוים או על בסיס תבחינים רפואיים ברורים ומדידים אחרים. ביוני 2023 הציעה ועדה מקצועית בהובלת משרד התחבורה לאמץ קריטריון מדיד של טווח הליכה כדי לקבוע זכאות לתג חניה, וזאת על בסיס המדדים הנהוגים במדינות אחרות בעולם. נכון למועד הביקורת לא אימץ משרד התחבורה מדד זה. יצוין כי גם בנוהל חדש שפרסם משרד התחבורה ביוני 2025, בנוגע לתהליך אישור זכאות לתגי חניה לאדם עם מוגבלות (ראו פירוט להלן), הוגדרו אומנם אילו מסמכים רפואיים יש להגיש</w:t>
      </w:r>
      <w:r w:rsidRPr="00A210E9">
        <w:rPr>
          <w:rFonts w:eastAsia="Calibri" w:hint="cs"/>
          <w:b/>
          <w:bCs/>
        </w:rPr>
        <w:t xml:space="preserve"> </w:t>
      </w:r>
      <w:r w:rsidRPr="00A210E9">
        <w:rPr>
          <w:rFonts w:eastAsia="Calibri" w:hint="cs"/>
          <w:b/>
          <w:bCs/>
          <w:rtl/>
        </w:rPr>
        <w:t xml:space="preserve">במסגרת הבקשה לתג חניה, אולם עדיין לא הוגדרו קריטריונים ברורים לזכאות.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עמותת "איל"ן - איגוד ישראלי לילדים ולבוגרים נפגעים (ע"ר)" (להלן - עמותת איל"ן) כתבה בתשובתה ממאי 2026 </w:t>
      </w:r>
      <w:r w:rsidRPr="00A210E9">
        <w:rPr>
          <w:rFonts w:eastAsia="Calibri"/>
          <w:rtl/>
        </w:rPr>
        <w:t xml:space="preserve">(להלן </w:t>
      </w:r>
      <w:r w:rsidRPr="00A210E9">
        <w:rPr>
          <w:rFonts w:eastAsia="Calibri" w:hint="cs"/>
          <w:rtl/>
        </w:rPr>
        <w:t>-</w:t>
      </w:r>
      <w:r w:rsidRPr="00A210E9">
        <w:rPr>
          <w:rFonts w:eastAsia="Calibri"/>
          <w:rtl/>
        </w:rPr>
        <w:t xml:space="preserve"> תשובת עמותת איל"ן)</w:t>
      </w:r>
      <w:r w:rsidRPr="00A210E9">
        <w:rPr>
          <w:rFonts w:eastAsia="Calibri" w:hint="cs"/>
          <w:rtl/>
        </w:rPr>
        <w:t xml:space="preserve"> כי קריטריון המבוסס על יכולת ללכת מרחק מסוים ללא מנוחה אינו יכול להיות קריטריון יחיד, שכן למשל אנשים עם פגיעת עמוד שדרה או ניוון שרירים יכולים אולי לצעוד 250 מטרים, אך ככל הנראה יידרשו להשקיע בכך מאמץ רב, ייתכן שההליכה תהיה כרוכה בכאב וכמו כן יש חשש שייפלו. כמו כן ציינה העמותה כי מרחק של 250 מטרים הוא ארוך פי ארבעה מהקריטריון הבסיסי בארה"ב, וכי יש לשקול קריטריונים נוספים הדומים לקריטריונים המיושמים בארה"ב. </w:t>
      </w:r>
      <w:r w:rsidRPr="00A210E9">
        <w:rPr>
          <w:rFonts w:eastAsia="Calibri" w:hint="eastAsia"/>
          <w:rtl/>
        </w:rPr>
        <w:t>לדברי</w:t>
      </w:r>
      <w:r w:rsidRPr="00A210E9">
        <w:rPr>
          <w:rFonts w:eastAsia="Calibri" w:hint="cs"/>
          <w:rtl/>
        </w:rPr>
        <w:t xml:space="preserve"> עמותת פורום צמיד (להלן - פורום צמיד), כפי שבאה לידי ביטוי בתשובתו מאפריל 2026 </w:t>
      </w:r>
      <w:r w:rsidRPr="00A210E9">
        <w:rPr>
          <w:rFonts w:eastAsia="Calibri"/>
          <w:rtl/>
        </w:rPr>
        <w:t xml:space="preserve">(להלן </w:t>
      </w:r>
      <w:r w:rsidRPr="00A210E9">
        <w:rPr>
          <w:rFonts w:eastAsia="Calibri" w:hint="cs"/>
          <w:rtl/>
        </w:rPr>
        <w:t>-</w:t>
      </w:r>
      <w:r w:rsidRPr="00A210E9">
        <w:rPr>
          <w:rFonts w:eastAsia="Calibri"/>
          <w:rtl/>
        </w:rPr>
        <w:t xml:space="preserve"> תשובת פורום צמיד</w:t>
      </w:r>
      <w:r>
        <w:rPr>
          <w:rFonts w:eastAsia="Calibri"/>
          <w:vertAlign w:val="superscript"/>
          <w:rtl/>
        </w:rPr>
        <w:footnoteReference w:id="45"/>
      </w:r>
      <w:r w:rsidRPr="00A210E9">
        <w:rPr>
          <w:rFonts w:eastAsia="Calibri"/>
          <w:rtl/>
        </w:rPr>
        <w:t>)</w:t>
      </w:r>
      <w:r w:rsidRPr="00A210E9">
        <w:rPr>
          <w:rFonts w:eastAsia="Calibri" w:hint="cs"/>
          <w:rtl/>
        </w:rPr>
        <w:t>, מהס</w:t>
      </w:r>
      <w:r w:rsidRPr="00A210E9">
        <w:rPr>
          <w:rFonts w:eastAsia="Calibri"/>
          <w:rtl/>
        </w:rPr>
        <w:t>פרות הבי</w:t>
      </w:r>
      <w:r w:rsidRPr="00A210E9">
        <w:rPr>
          <w:rFonts w:eastAsia="Calibri" w:hint="cs"/>
          <w:rtl/>
        </w:rPr>
        <w:t>ן-</w:t>
      </w:r>
      <w:r w:rsidRPr="00A210E9">
        <w:rPr>
          <w:rFonts w:eastAsia="Calibri"/>
          <w:rtl/>
        </w:rPr>
        <w:t xml:space="preserve">לאומית בתחום לימודי המוגבלות </w:t>
      </w:r>
      <w:r w:rsidRPr="00A210E9">
        <w:rPr>
          <w:rFonts w:eastAsia="Calibri" w:hint="cs"/>
          <w:rtl/>
        </w:rPr>
        <w:t>(</w:t>
      </w:r>
      <w:r w:rsidRPr="00A210E9">
        <w:rPr>
          <w:rFonts w:eastAsia="Calibri"/>
        </w:rPr>
        <w:t>Disability Studies</w:t>
      </w:r>
      <w:r w:rsidRPr="00A210E9">
        <w:rPr>
          <w:rFonts w:eastAsia="Calibri" w:hint="cs"/>
          <w:rtl/>
        </w:rPr>
        <w:t>)</w:t>
      </w:r>
      <w:r w:rsidRPr="00A210E9">
        <w:rPr>
          <w:rFonts w:eastAsia="Calibri"/>
          <w:rtl/>
        </w:rPr>
        <w:t xml:space="preserve"> </w:t>
      </w:r>
      <w:r w:rsidRPr="00A210E9">
        <w:rPr>
          <w:rFonts w:eastAsia="Calibri" w:hint="cs"/>
          <w:rtl/>
        </w:rPr>
        <w:t>עולה</w:t>
      </w:r>
      <w:r w:rsidRPr="00A210E9">
        <w:rPr>
          <w:rFonts w:eastAsia="Calibri"/>
          <w:rtl/>
        </w:rPr>
        <w:t xml:space="preserve"> בעקביות כי מבחני הליכה אובייקטיביים, כדוגמת מבחן ״250 מטרים ללא עצירה״, פוסלים אנשים עם פיברומיאלגיה, טרשת נפוצה </w:t>
      </w:r>
      <w:r w:rsidRPr="00A210E9">
        <w:rPr>
          <w:rFonts w:eastAsia="Calibri" w:hint="cs"/>
          <w:rtl/>
        </w:rPr>
        <w:t>התקפית-הפוגתית</w:t>
      </w:r>
      <w:r w:rsidRPr="00A210E9">
        <w:rPr>
          <w:rFonts w:eastAsia="Calibri"/>
          <w:rtl/>
        </w:rPr>
        <w:t>, מחלות לב, ו</w:t>
      </w:r>
      <w:r w:rsidRPr="00A210E9">
        <w:rPr>
          <w:rFonts w:eastAsia="Calibri" w:hint="cs"/>
          <w:rtl/>
        </w:rPr>
        <w:t>-</w:t>
      </w:r>
      <w:r w:rsidRPr="00A210E9">
        <w:rPr>
          <w:rFonts w:eastAsia="Calibri"/>
        </w:rPr>
        <w:t>COPD</w:t>
      </w:r>
      <w:r w:rsidRPr="00A210E9">
        <w:rPr>
          <w:rFonts w:eastAsia="Calibri" w:hint="cs"/>
          <w:rtl/>
        </w:rPr>
        <w:t xml:space="preserve"> מלקבל תג חניה. </w:t>
      </w:r>
    </w:p>
    <w:p w:rsidR="00C21358" w:rsidP="00A210E9">
      <w:pPr>
        <w:spacing w:line="269" w:lineRule="auto"/>
        <w:rPr>
          <w:rFonts w:eastAsia="Calibri"/>
          <w:rtl/>
        </w:rPr>
      </w:pPr>
    </w:p>
    <w:p w:rsidR="00A210E9" w:rsidRPr="00A210E9" w:rsidP="00A210E9">
      <w:pPr>
        <w:spacing w:line="269" w:lineRule="auto"/>
        <w:rPr>
          <w:rFonts w:eastAsia="Calibri"/>
          <w:rtl/>
        </w:rPr>
      </w:pPr>
      <w:r w:rsidRPr="00A210E9">
        <w:rPr>
          <w:rFonts w:eastAsia="Calibri" w:hint="eastAsia"/>
          <w:rtl/>
        </w:rPr>
        <w:t>החשכ</w:t>
      </w:r>
      <w:r w:rsidRPr="00A210E9">
        <w:rPr>
          <w:rFonts w:eastAsia="Calibri"/>
          <w:rtl/>
        </w:rPr>
        <w:t>"ל כתב בתשוב</w:t>
      </w:r>
      <w:r w:rsidRPr="00A210E9">
        <w:rPr>
          <w:rFonts w:eastAsia="Calibri" w:hint="cs"/>
          <w:rtl/>
        </w:rPr>
        <w:t>ו</w:t>
      </w:r>
      <w:r w:rsidRPr="00A210E9">
        <w:rPr>
          <w:rFonts w:eastAsia="Calibri"/>
          <w:rtl/>
        </w:rPr>
        <w:t>ת</w:t>
      </w:r>
      <w:r w:rsidRPr="00A210E9">
        <w:rPr>
          <w:rFonts w:eastAsia="Calibri" w:hint="cs"/>
          <w:rtl/>
        </w:rPr>
        <w:t>י</w:t>
      </w:r>
      <w:r w:rsidRPr="00A210E9">
        <w:rPr>
          <w:rFonts w:eastAsia="Calibri"/>
          <w:rtl/>
        </w:rPr>
        <w:t xml:space="preserve">ו </w:t>
      </w:r>
      <w:r w:rsidRPr="00A210E9">
        <w:rPr>
          <w:rFonts w:eastAsia="Calibri" w:hint="cs"/>
          <w:rtl/>
        </w:rPr>
        <w:t xml:space="preserve">מ-11.5.26 ומ-17.5.26 (להלן - תשובות החשכ"ל) </w:t>
      </w:r>
      <w:r w:rsidRPr="00A210E9">
        <w:rPr>
          <w:rFonts w:eastAsia="Calibri" w:hint="eastAsia"/>
          <w:rtl/>
        </w:rPr>
        <w:t>כי</w:t>
      </w:r>
      <w:r w:rsidRPr="00A210E9">
        <w:rPr>
          <w:rFonts w:eastAsia="Calibri"/>
          <w:rtl/>
        </w:rPr>
        <w:t xml:space="preserve"> </w:t>
      </w:r>
      <w:r w:rsidRPr="00A210E9">
        <w:rPr>
          <w:rFonts w:eastAsia="Calibri" w:hint="cs"/>
          <w:rtl/>
        </w:rPr>
        <w:t>במסגרת גיבוש טיוטת דוח ה</w:t>
      </w:r>
      <w:r w:rsidRPr="00A210E9">
        <w:rPr>
          <w:rFonts w:eastAsia="Calibri" w:hint="eastAsia"/>
          <w:rtl/>
        </w:rPr>
        <w:t xml:space="preserve">צוות </w:t>
      </w:r>
      <w:r w:rsidRPr="00A210E9">
        <w:rPr>
          <w:rFonts w:eastAsia="Calibri" w:hint="cs"/>
          <w:rtl/>
        </w:rPr>
        <w:t>ה</w:t>
      </w:r>
      <w:r w:rsidRPr="00A210E9">
        <w:rPr>
          <w:rFonts w:eastAsia="Calibri" w:hint="eastAsia"/>
          <w:rtl/>
        </w:rPr>
        <w:t>בין-משרדי 2025</w:t>
      </w:r>
      <w:r w:rsidRPr="00A210E9">
        <w:rPr>
          <w:rFonts w:eastAsia="Calibri"/>
          <w:rtl/>
        </w:rPr>
        <w:t xml:space="preserve"> </w:t>
      </w:r>
      <w:r w:rsidRPr="00A210E9">
        <w:rPr>
          <w:rFonts w:eastAsia="Calibri" w:hint="cs"/>
          <w:rtl/>
        </w:rPr>
        <w:t>נ</w:t>
      </w:r>
      <w:r w:rsidRPr="00A210E9">
        <w:rPr>
          <w:rFonts w:eastAsia="Calibri" w:hint="eastAsia"/>
          <w:rtl/>
        </w:rPr>
        <w:t>קבע</w:t>
      </w:r>
      <w:r w:rsidRPr="00A210E9">
        <w:rPr>
          <w:rFonts w:eastAsia="Calibri"/>
          <w:rtl/>
        </w:rPr>
        <w:t xml:space="preserve"> כי במקום בדיקה רחבה של משרד התחבורה, הזכאות</w:t>
      </w:r>
      <w:r w:rsidRPr="00A210E9">
        <w:rPr>
          <w:rFonts w:eastAsia="Calibri" w:hint="cs"/>
          <w:rtl/>
        </w:rPr>
        <w:t xml:space="preserve"> </w:t>
      </w:r>
      <w:r w:rsidRPr="00A210E9">
        <w:rPr>
          <w:rFonts w:eastAsia="Calibri"/>
          <w:rtl/>
        </w:rPr>
        <w:t xml:space="preserve">תתבסס ככלל על המבחן הרפואי והתפקודי שכבר מבוצע בביטוח הלאומי ובגורמים המוסמכים </w:t>
      </w:r>
      <w:r w:rsidRPr="00A210E9">
        <w:rPr>
          <w:rFonts w:eastAsia="Calibri" w:hint="cs"/>
          <w:rtl/>
        </w:rPr>
        <w:t xml:space="preserve">לכך </w:t>
      </w:r>
      <w:r w:rsidRPr="00A210E9">
        <w:rPr>
          <w:rFonts w:eastAsia="Calibri"/>
          <w:rtl/>
        </w:rPr>
        <w:t xml:space="preserve">לפי דין, והיא תאושר רק </w:t>
      </w:r>
      <w:r w:rsidRPr="00A210E9">
        <w:rPr>
          <w:rFonts w:eastAsia="Calibri" w:hint="cs"/>
          <w:rtl/>
        </w:rPr>
        <w:t>לאנשים עם מוגבלות</w:t>
      </w:r>
      <w:r w:rsidRPr="00A210E9">
        <w:rPr>
          <w:rFonts w:eastAsia="Calibri"/>
          <w:rtl/>
        </w:rPr>
        <w:t xml:space="preserve"> שישתייכו לאוכלוסיות </w:t>
      </w:r>
      <w:r w:rsidRPr="00A210E9">
        <w:rPr>
          <w:rFonts w:eastAsia="Calibri" w:hint="cs"/>
          <w:rtl/>
        </w:rPr>
        <w:t>שהגדיר</w:t>
      </w:r>
      <w:r w:rsidRPr="00A210E9">
        <w:rPr>
          <w:rFonts w:eastAsia="Calibri"/>
          <w:rtl/>
        </w:rPr>
        <w:t xml:space="preserve"> </w:t>
      </w:r>
      <w:r w:rsidRPr="00A210E9">
        <w:rPr>
          <w:rFonts w:eastAsia="Calibri" w:hint="cs"/>
          <w:rtl/>
        </w:rPr>
        <w:t>ה</w:t>
      </w:r>
      <w:r w:rsidRPr="00A210E9">
        <w:rPr>
          <w:rFonts w:eastAsia="Calibri"/>
          <w:rtl/>
        </w:rPr>
        <w:t>ביטוח הלאומי</w:t>
      </w:r>
      <w:r w:rsidRPr="00A210E9">
        <w:rPr>
          <w:rFonts w:eastAsia="Calibri" w:hint="cs"/>
          <w:rtl/>
        </w:rPr>
        <w:t xml:space="preserve"> לעניין זה</w:t>
      </w:r>
      <w:r w:rsidRPr="00A210E9">
        <w:rPr>
          <w:rFonts w:eastAsia="Calibri"/>
          <w:rtl/>
        </w:rPr>
        <w:t xml:space="preserve">, וזאת לאחר קביעה מוסדרת של הצוות בדבר האוכלוסיות </w:t>
      </w:r>
      <w:r w:rsidRPr="00A210E9">
        <w:rPr>
          <w:rFonts w:eastAsia="Calibri" w:hint="cs"/>
          <w:rtl/>
        </w:rPr>
        <w:t>העומדות בתנאים שקבע</w:t>
      </w:r>
      <w:r w:rsidRPr="00A210E9">
        <w:rPr>
          <w:rFonts w:eastAsia="Calibri"/>
          <w:rtl/>
        </w:rPr>
        <w:t xml:space="preserve"> החוק. </w:t>
      </w:r>
      <w:r w:rsidRPr="00A210E9">
        <w:rPr>
          <w:rFonts w:eastAsia="Calibri" w:hint="cs"/>
          <w:rtl/>
        </w:rPr>
        <w:t>אשר</w:t>
      </w:r>
      <w:r w:rsidRPr="00A210E9">
        <w:rPr>
          <w:rFonts w:eastAsia="Calibri"/>
          <w:rtl/>
        </w:rPr>
        <w:t xml:space="preserve"> </w:t>
      </w:r>
      <w:r w:rsidRPr="00A210E9">
        <w:rPr>
          <w:rFonts w:eastAsia="Calibri" w:hint="cs"/>
          <w:rtl/>
        </w:rPr>
        <w:t>לאנשים עם מוגבלות</w:t>
      </w:r>
      <w:r w:rsidRPr="00A210E9">
        <w:rPr>
          <w:rFonts w:eastAsia="Calibri"/>
          <w:rtl/>
        </w:rPr>
        <w:t xml:space="preserve"> שלא ניתן לאשר להם נכות לפי דין, </w:t>
      </w:r>
      <w:r w:rsidRPr="00A210E9">
        <w:rPr>
          <w:rFonts w:eastAsia="Calibri" w:hint="eastAsia"/>
          <w:rtl/>
        </w:rPr>
        <w:t>החשכ</w:t>
      </w:r>
      <w:r w:rsidRPr="00A210E9">
        <w:rPr>
          <w:rFonts w:eastAsia="Calibri"/>
          <w:rtl/>
        </w:rPr>
        <w:t xml:space="preserve">"ל </w:t>
      </w:r>
      <w:r w:rsidRPr="00A210E9">
        <w:rPr>
          <w:rFonts w:eastAsia="Calibri" w:hint="cs"/>
          <w:rtl/>
        </w:rPr>
        <w:t xml:space="preserve">מסר </w:t>
      </w:r>
      <w:r w:rsidRPr="00A210E9">
        <w:rPr>
          <w:rFonts w:eastAsia="Calibri"/>
          <w:rtl/>
        </w:rPr>
        <w:t xml:space="preserve">בתשובתו כי נקבעו כללים זהים, </w:t>
      </w:r>
      <w:r w:rsidRPr="00A210E9">
        <w:rPr>
          <w:rFonts w:eastAsia="Calibri" w:hint="cs"/>
          <w:rtl/>
        </w:rPr>
        <w:t>באופן</w:t>
      </w:r>
      <w:r w:rsidRPr="00A210E9">
        <w:rPr>
          <w:rFonts w:eastAsia="Calibri"/>
          <w:rtl/>
        </w:rPr>
        <w:t xml:space="preserve"> שאם בבדיקה הרפואית שיעברו יעלה כי הם עומדים בתנאים של הקבוצות הזכאיות לתג הם יהיו זכאים לתג. </w:t>
      </w:r>
      <w:r w:rsidRPr="00A210E9">
        <w:rPr>
          <w:rFonts w:eastAsia="Calibri" w:hint="cs"/>
          <w:rtl/>
        </w:rPr>
        <w:t>עוד</w:t>
      </w:r>
      <w:r w:rsidRPr="00A210E9">
        <w:rPr>
          <w:rFonts w:eastAsia="Calibri"/>
          <w:rtl/>
        </w:rPr>
        <w:t xml:space="preserve"> </w:t>
      </w:r>
      <w:r w:rsidRPr="00A210E9">
        <w:rPr>
          <w:rFonts w:eastAsia="Calibri" w:hint="eastAsia"/>
          <w:rtl/>
        </w:rPr>
        <w:t>ציין</w:t>
      </w:r>
      <w:r w:rsidRPr="00A210E9">
        <w:rPr>
          <w:rFonts w:eastAsia="Calibri"/>
          <w:rtl/>
        </w:rPr>
        <w:t xml:space="preserve"> </w:t>
      </w:r>
      <w:r w:rsidRPr="00A210E9">
        <w:rPr>
          <w:rFonts w:eastAsia="Calibri" w:hint="eastAsia"/>
          <w:rtl/>
        </w:rPr>
        <w:t>החשכ</w:t>
      </w:r>
      <w:r w:rsidRPr="00A210E9">
        <w:rPr>
          <w:rFonts w:eastAsia="Calibri"/>
          <w:rtl/>
        </w:rPr>
        <w:t xml:space="preserve">"ל כי </w:t>
      </w:r>
      <w:r w:rsidRPr="00A210E9">
        <w:rPr>
          <w:rFonts w:eastAsia="Calibri" w:hint="eastAsia"/>
          <w:rtl/>
        </w:rPr>
        <w:t>עיקרון</w:t>
      </w:r>
      <w:r w:rsidRPr="00A210E9">
        <w:rPr>
          <w:rFonts w:eastAsia="Calibri"/>
          <w:rtl/>
        </w:rPr>
        <w:t xml:space="preserve"> שנבחן בעבודת הצוות הוא הצורך בהגדרת כללי</w:t>
      </w:r>
      <w:r w:rsidRPr="00A210E9">
        <w:rPr>
          <w:rFonts w:eastAsia="Calibri"/>
        </w:rPr>
        <w:t xml:space="preserve"> </w:t>
      </w:r>
      <w:r w:rsidRPr="00A210E9">
        <w:rPr>
          <w:rFonts w:eastAsia="Calibri"/>
          <w:rtl/>
        </w:rPr>
        <w:t>זכאות ברורים, אחידים ושקופים לציבור, באופן שיאפשר למבקשי תג להבין מראש את אמות המידה הרלוונטיות, יצמצם אי</w:t>
      </w:r>
      <w:r w:rsidRPr="00A210E9">
        <w:rPr>
          <w:rFonts w:eastAsia="Calibri" w:hint="cs"/>
          <w:rtl/>
        </w:rPr>
        <w:t>-</w:t>
      </w:r>
      <w:r w:rsidRPr="00A210E9">
        <w:rPr>
          <w:rFonts w:eastAsia="Calibri"/>
          <w:rtl/>
        </w:rPr>
        <w:t>ודאות וי</w:t>
      </w:r>
      <w:r w:rsidRPr="00A210E9">
        <w:rPr>
          <w:rFonts w:eastAsia="Calibri" w:hint="cs"/>
          <w:rtl/>
        </w:rPr>
        <w:t>גביר</w:t>
      </w:r>
      <w:r w:rsidRPr="00A210E9">
        <w:rPr>
          <w:rFonts w:eastAsia="Calibri"/>
          <w:rtl/>
        </w:rPr>
        <w:t xml:space="preserve"> את האחידות והשוויון בקבלת ההחלטות. </w:t>
      </w:r>
      <w:r w:rsidRPr="00A210E9">
        <w:rPr>
          <w:rFonts w:eastAsia="Calibri" w:hint="cs"/>
          <w:rtl/>
        </w:rPr>
        <w:t>החשכ"ל</w:t>
      </w:r>
      <w:r w:rsidRPr="00A210E9">
        <w:rPr>
          <w:rFonts w:eastAsia="Calibri"/>
          <w:rtl/>
        </w:rPr>
        <w:t xml:space="preserve"> הוסיף כי הכללים הסופיים ייקבעו לאחר השלמת הבחינה המקצועית, המשפטית והתפעולי</w:t>
      </w:r>
      <w:r w:rsidRPr="00A210E9">
        <w:rPr>
          <w:rFonts w:eastAsia="Calibri" w:hint="cs"/>
          <w:rtl/>
        </w:rPr>
        <w:t xml:space="preserve"> בנושא</w:t>
      </w:r>
      <w:r w:rsidRPr="00A210E9">
        <w:rPr>
          <w:rFonts w:eastAsia="Calibri"/>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משרד מבקר המדינה ממליץ</w:t>
      </w:r>
      <w:r w:rsidRPr="00A210E9">
        <w:rPr>
          <w:rFonts w:eastAsia="Calibri"/>
          <w:b/>
          <w:bCs/>
          <w:rtl/>
        </w:rPr>
        <w:t xml:space="preserve"> כי משרד התחבורה, בשיתוף משרד הבריאות</w:t>
      </w:r>
      <w:r w:rsidRPr="00A210E9">
        <w:rPr>
          <w:rFonts w:eastAsia="Calibri" w:hint="cs"/>
          <w:b/>
          <w:bCs/>
          <w:rtl/>
        </w:rPr>
        <w:t xml:space="preserve">, </w:t>
      </w:r>
      <w:r w:rsidRPr="00A210E9">
        <w:rPr>
          <w:rFonts w:eastAsia="Calibri"/>
          <w:b/>
          <w:bCs/>
          <w:rtl/>
        </w:rPr>
        <w:t>הביטוח הלאומי</w:t>
      </w:r>
      <w:r w:rsidRPr="00A210E9">
        <w:rPr>
          <w:rFonts w:eastAsia="Calibri" w:hint="cs"/>
          <w:b/>
          <w:bCs/>
          <w:rtl/>
        </w:rPr>
        <w:t xml:space="preserve"> ונציבות שוויון זכויות</w:t>
      </w:r>
      <w:r w:rsidRPr="00A210E9">
        <w:rPr>
          <w:rFonts w:eastAsia="Calibri"/>
          <w:b/>
          <w:bCs/>
          <w:rtl/>
        </w:rPr>
        <w:t xml:space="preserve">, </w:t>
      </w:r>
      <w:r w:rsidRPr="00A210E9">
        <w:rPr>
          <w:rFonts w:eastAsia="Calibri" w:hint="cs"/>
          <w:b/>
          <w:bCs/>
          <w:rtl/>
        </w:rPr>
        <w:t>תוך שמיעת</w:t>
      </w:r>
      <w:r w:rsidRPr="00A210E9">
        <w:rPr>
          <w:rFonts w:eastAsia="Calibri"/>
          <w:b/>
          <w:bCs/>
          <w:rtl/>
        </w:rPr>
        <w:t xml:space="preserve"> </w:t>
      </w:r>
      <w:r w:rsidRPr="00A210E9">
        <w:rPr>
          <w:rFonts w:eastAsia="Calibri" w:hint="eastAsia"/>
          <w:b/>
          <w:bCs/>
          <w:rtl/>
        </w:rPr>
        <w:t>ארגונים</w:t>
      </w:r>
      <w:r w:rsidRPr="00A210E9">
        <w:rPr>
          <w:rFonts w:eastAsia="Calibri"/>
          <w:b/>
          <w:bCs/>
          <w:rtl/>
        </w:rPr>
        <w:t xml:space="preserve"> </w:t>
      </w:r>
      <w:r w:rsidRPr="00A210E9">
        <w:rPr>
          <w:rFonts w:eastAsia="Calibri" w:hint="eastAsia"/>
          <w:b/>
          <w:bCs/>
          <w:rtl/>
        </w:rPr>
        <w:t>המייצגים</w:t>
      </w:r>
      <w:r w:rsidRPr="00A210E9">
        <w:rPr>
          <w:rFonts w:eastAsia="Calibri"/>
          <w:b/>
          <w:bCs/>
          <w:rtl/>
        </w:rPr>
        <w:t xml:space="preserve"> </w:t>
      </w:r>
      <w:r w:rsidRPr="00A210E9">
        <w:rPr>
          <w:rFonts w:eastAsia="Calibri" w:hint="eastAsia"/>
          <w:b/>
          <w:bCs/>
          <w:rtl/>
        </w:rPr>
        <w:t>אנשים</w:t>
      </w:r>
      <w:r w:rsidRPr="00A210E9">
        <w:rPr>
          <w:rFonts w:eastAsia="Calibri"/>
          <w:b/>
          <w:bCs/>
          <w:rtl/>
        </w:rPr>
        <w:t xml:space="preserve"> </w:t>
      </w:r>
      <w:r w:rsidRPr="00A210E9">
        <w:rPr>
          <w:rFonts w:eastAsia="Calibri" w:hint="eastAsia"/>
          <w:b/>
          <w:bCs/>
          <w:rtl/>
        </w:rPr>
        <w:t>עם</w:t>
      </w:r>
      <w:r w:rsidRPr="00A210E9">
        <w:rPr>
          <w:rFonts w:eastAsia="Calibri"/>
          <w:b/>
          <w:bCs/>
          <w:rtl/>
        </w:rPr>
        <w:t xml:space="preserve"> </w:t>
      </w:r>
      <w:r w:rsidRPr="00A210E9">
        <w:rPr>
          <w:rFonts w:eastAsia="Calibri" w:hint="eastAsia"/>
          <w:b/>
          <w:bCs/>
          <w:rtl/>
        </w:rPr>
        <w:t>מוגבלות</w:t>
      </w:r>
      <w:r w:rsidRPr="00A210E9">
        <w:rPr>
          <w:rFonts w:eastAsia="Calibri"/>
          <w:b/>
          <w:bCs/>
          <w:rtl/>
        </w:rPr>
        <w:t>,</w:t>
      </w:r>
      <w:r w:rsidRPr="00A210E9">
        <w:rPr>
          <w:rFonts w:eastAsia="Calibri" w:hint="cs"/>
          <w:b/>
          <w:bCs/>
          <w:rtl/>
        </w:rPr>
        <w:t xml:space="preserve"> ייצוק באופן מדיד וברור תוכן להגדרות "</w:t>
      </w:r>
      <w:r w:rsidRPr="00A210E9">
        <w:rPr>
          <w:rFonts w:eastAsia="Calibri"/>
          <w:b/>
          <w:bCs/>
          <w:rtl/>
        </w:rPr>
        <w:t>אדם נכה הזקוק לרכב כאמצעי תנועה בגלל רגליו הנכות</w:t>
      </w:r>
      <w:r w:rsidRPr="00A210E9">
        <w:rPr>
          <w:rFonts w:eastAsia="Calibri" w:hint="cs"/>
          <w:b/>
          <w:bCs/>
          <w:rtl/>
        </w:rPr>
        <w:t>" וכן אדם ש</w:t>
      </w:r>
      <w:r w:rsidRPr="00A210E9">
        <w:rPr>
          <w:rFonts w:eastAsia="Calibri"/>
          <w:b/>
          <w:bCs/>
          <w:rtl/>
        </w:rPr>
        <w:t>״תנועתו בדרכים בלי רכב עלולה לערער את מצב בריאותו״</w:t>
      </w:r>
      <w:r w:rsidRPr="00A210E9">
        <w:rPr>
          <w:rFonts w:eastAsia="Calibri" w:hint="cs"/>
          <w:b/>
          <w:bCs/>
          <w:rtl/>
        </w:rPr>
        <w:t xml:space="preserve"> שבחוק</w:t>
      </w:r>
      <w:r w:rsidRPr="00A210E9">
        <w:rPr>
          <w:rFonts w:eastAsia="Calibri"/>
          <w:b/>
          <w:bCs/>
          <w:rtl/>
        </w:rPr>
        <w:t xml:space="preserve">, </w:t>
      </w:r>
      <w:r w:rsidRPr="00A210E9">
        <w:rPr>
          <w:rFonts w:eastAsia="Calibri" w:hint="cs"/>
          <w:b/>
          <w:bCs/>
          <w:rtl/>
        </w:rPr>
        <w:t xml:space="preserve">בהתחשב בקריטריונים הקיימים בעולם, ובהתאם לכך </w:t>
      </w:r>
      <w:r w:rsidRPr="00A210E9">
        <w:rPr>
          <w:rFonts w:eastAsia="Calibri"/>
          <w:b/>
          <w:bCs/>
          <w:rtl/>
        </w:rPr>
        <w:t xml:space="preserve">יגבש </w:t>
      </w:r>
      <w:r w:rsidRPr="00A210E9">
        <w:rPr>
          <w:rFonts w:eastAsia="Calibri" w:hint="cs"/>
          <w:b/>
          <w:bCs/>
          <w:rtl/>
        </w:rPr>
        <w:t>קריטריונים ו</w:t>
      </w:r>
      <w:r w:rsidRPr="00A210E9">
        <w:rPr>
          <w:rFonts w:eastAsia="Calibri"/>
          <w:b/>
          <w:bCs/>
          <w:rtl/>
        </w:rPr>
        <w:t>הנחיות רפואיות מפורטות</w:t>
      </w:r>
      <w:r w:rsidRPr="00A210E9">
        <w:rPr>
          <w:rFonts w:eastAsia="Calibri" w:hint="cs"/>
          <w:b/>
          <w:bCs/>
          <w:rtl/>
        </w:rPr>
        <w:t>, ברורות</w:t>
      </w:r>
      <w:r w:rsidRPr="00A210E9">
        <w:rPr>
          <w:rFonts w:eastAsia="Calibri"/>
          <w:b/>
          <w:bCs/>
          <w:rtl/>
        </w:rPr>
        <w:t xml:space="preserve"> ואחידות ליישומ</w:t>
      </w:r>
      <w:r w:rsidRPr="00A210E9">
        <w:rPr>
          <w:rFonts w:eastAsia="Calibri" w:hint="cs"/>
          <w:b/>
          <w:bCs/>
          <w:rtl/>
        </w:rPr>
        <w:t>ם</w:t>
      </w:r>
      <w:r w:rsidRPr="00A210E9">
        <w:rPr>
          <w:rFonts w:eastAsia="Calibri"/>
          <w:b/>
          <w:bCs/>
          <w:rtl/>
        </w:rPr>
        <w:t>. הנחיות אל</w:t>
      </w:r>
      <w:r w:rsidRPr="00A210E9">
        <w:rPr>
          <w:rFonts w:eastAsia="Calibri" w:hint="cs"/>
          <w:b/>
          <w:bCs/>
          <w:rtl/>
        </w:rPr>
        <w:t>ה</w:t>
      </w:r>
      <w:r w:rsidRPr="00A210E9">
        <w:rPr>
          <w:rFonts w:eastAsia="Calibri"/>
          <w:b/>
          <w:bCs/>
          <w:rtl/>
        </w:rPr>
        <w:t xml:space="preserve"> יבהירו אילו מצבים רפואיים או נסיבות עונים על ההגדר</w:t>
      </w:r>
      <w:r w:rsidRPr="00A210E9">
        <w:rPr>
          <w:rFonts w:eastAsia="Calibri" w:hint="cs"/>
          <w:b/>
          <w:bCs/>
          <w:rtl/>
        </w:rPr>
        <w:t>ות</w:t>
      </w:r>
      <w:r w:rsidRPr="00A210E9">
        <w:rPr>
          <w:rFonts w:eastAsia="Calibri"/>
          <w:b/>
          <w:bCs/>
          <w:rtl/>
        </w:rPr>
        <w:t xml:space="preserve">, ויצמצמו את מרחב הפרשנות הקיים כיום, תוך שמירה על גמישות מסוימת </w:t>
      </w:r>
      <w:r w:rsidRPr="00A210E9">
        <w:rPr>
          <w:rFonts w:eastAsia="Calibri" w:hint="cs"/>
          <w:b/>
          <w:bCs/>
          <w:rtl/>
        </w:rPr>
        <w:t>ב</w:t>
      </w:r>
      <w:r w:rsidRPr="00A210E9">
        <w:rPr>
          <w:rFonts w:eastAsia="Calibri"/>
          <w:b/>
          <w:bCs/>
          <w:rtl/>
        </w:rPr>
        <w:t>מקרים חריגים.</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משרד התחבורה כתב בתשובתו </w:t>
      </w:r>
      <w:r w:rsidRPr="00A210E9">
        <w:rPr>
          <w:rFonts w:eastAsia="Calibri" w:hint="eastAsia"/>
          <w:rtl/>
        </w:rPr>
        <w:t>ממאי</w:t>
      </w:r>
      <w:r w:rsidRPr="00A210E9">
        <w:rPr>
          <w:rFonts w:eastAsia="Calibri"/>
          <w:rtl/>
        </w:rPr>
        <w:t xml:space="preserve"> 2026 (להלן </w:t>
      </w:r>
      <w:r w:rsidRPr="00A210E9">
        <w:rPr>
          <w:rFonts w:eastAsia="Calibri" w:hint="cs"/>
          <w:rtl/>
        </w:rPr>
        <w:t>-</w:t>
      </w:r>
      <w:r w:rsidRPr="00A210E9">
        <w:rPr>
          <w:rFonts w:eastAsia="Calibri"/>
          <w:rtl/>
        </w:rPr>
        <w:t xml:space="preserve"> תשובת משרד התחבורה)</w:t>
      </w:r>
      <w:r w:rsidRPr="00A210E9">
        <w:rPr>
          <w:rFonts w:eastAsia="Calibri" w:hint="cs"/>
          <w:rtl/>
        </w:rPr>
        <w:t xml:space="preserve"> כי הוא מקבל את ההמלצה ולפיה נדרש עיגון ברור, אחיד ומדיד יותר של הקריטריונים הרפואיים, וכי הנושא מטופל במסגרת עבודת הצוות הבין-משרדי 2025.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הביטוח הלאומי כתב בתשובתו ממאי 2026 (להלן - תשובת הביטוח הלאומי) כי הוא </w:t>
      </w:r>
      <w:r w:rsidRPr="00A210E9">
        <w:rPr>
          <w:rFonts w:ascii="David" w:eastAsia="Calibri" w:hAnsi="David"/>
          <w:sz w:val="24"/>
          <w:rtl/>
        </w:rPr>
        <w:t>ישתתף בגיבוש קריטריונים והנחיות ברור</w:t>
      </w:r>
      <w:r w:rsidRPr="00A210E9">
        <w:rPr>
          <w:rFonts w:ascii="David" w:eastAsia="Calibri" w:hAnsi="David" w:hint="cs"/>
          <w:sz w:val="24"/>
          <w:rtl/>
        </w:rPr>
        <w:t>ים</w:t>
      </w:r>
      <w:r w:rsidRPr="00A210E9">
        <w:rPr>
          <w:rFonts w:ascii="David" w:eastAsia="Calibri" w:hAnsi="David"/>
          <w:sz w:val="24"/>
          <w:rtl/>
        </w:rPr>
        <w:t xml:space="preserve"> ואחיד</w:t>
      </w:r>
      <w:r w:rsidRPr="00A210E9">
        <w:rPr>
          <w:rFonts w:ascii="David" w:eastAsia="Calibri" w:hAnsi="David" w:hint="cs"/>
          <w:sz w:val="24"/>
          <w:rtl/>
        </w:rPr>
        <w:t>ים</w:t>
      </w:r>
      <w:r w:rsidRPr="00A210E9">
        <w:rPr>
          <w:rFonts w:ascii="David" w:eastAsia="Calibri" w:hAnsi="David"/>
          <w:sz w:val="24"/>
          <w:rtl/>
        </w:rPr>
        <w:t xml:space="preserve"> להבהרת המצבים הרפואיים והנסיבות </w:t>
      </w:r>
      <w:r w:rsidRPr="00A210E9">
        <w:rPr>
          <w:rFonts w:ascii="David" w:eastAsia="Calibri" w:hAnsi="David" w:hint="cs"/>
          <w:sz w:val="24"/>
          <w:rtl/>
        </w:rPr>
        <w:t>העומדים בתנאים שהגדיר</w:t>
      </w:r>
      <w:r w:rsidRPr="00A210E9">
        <w:rPr>
          <w:rFonts w:ascii="David" w:eastAsia="Calibri" w:hAnsi="David"/>
          <w:sz w:val="24"/>
          <w:rtl/>
        </w:rPr>
        <w:t xml:space="preserve"> החוק, </w:t>
      </w:r>
      <w:r w:rsidRPr="00A210E9">
        <w:rPr>
          <w:rFonts w:ascii="David" w:eastAsia="Calibri" w:hAnsi="David" w:hint="cs"/>
          <w:sz w:val="24"/>
          <w:rtl/>
        </w:rPr>
        <w:t>אם</w:t>
      </w:r>
      <w:r w:rsidRPr="00A210E9">
        <w:rPr>
          <w:rFonts w:ascii="David" w:eastAsia="Calibri" w:hAnsi="David"/>
          <w:sz w:val="24"/>
          <w:rtl/>
        </w:rPr>
        <w:t xml:space="preserve"> משרד התחבורה</w:t>
      </w:r>
      <w:r w:rsidRPr="00A210E9">
        <w:rPr>
          <w:rFonts w:ascii="David" w:eastAsia="Calibri" w:hAnsi="David" w:hint="cs"/>
          <w:sz w:val="24"/>
          <w:rtl/>
        </w:rPr>
        <w:t xml:space="preserve"> יבקש שיעשה כן</w:t>
      </w:r>
      <w:r w:rsidRPr="00A210E9">
        <w:rPr>
          <w:rFonts w:ascii="David" w:eastAsia="Calibri" w:hAnsi="David"/>
          <w:sz w:val="24"/>
          <w:rtl/>
        </w:rPr>
        <w:t xml:space="preserve">. </w:t>
      </w:r>
      <w:r w:rsidRPr="00A210E9">
        <w:rPr>
          <w:rFonts w:ascii="David" w:eastAsia="Calibri" w:hAnsi="David" w:hint="cs"/>
          <w:sz w:val="24"/>
          <w:rtl/>
        </w:rPr>
        <w:t xml:space="preserve">כמו כן הוא </w:t>
      </w:r>
      <w:r w:rsidRPr="00A210E9">
        <w:rPr>
          <w:rFonts w:ascii="David" w:eastAsia="Calibri" w:hAnsi="David"/>
          <w:sz w:val="24"/>
          <w:rtl/>
        </w:rPr>
        <w:t xml:space="preserve">ממליץ לשתף גם נציגי עמותות בהליכי גיבוש הנהלים, </w:t>
      </w:r>
      <w:r w:rsidRPr="00A210E9">
        <w:rPr>
          <w:rFonts w:ascii="David" w:eastAsia="Calibri" w:hAnsi="David" w:hint="cs"/>
          <w:sz w:val="24"/>
          <w:rtl/>
        </w:rPr>
        <w:t>כדי</w:t>
      </w:r>
      <w:r w:rsidRPr="00A210E9">
        <w:rPr>
          <w:rFonts w:ascii="David" w:eastAsia="Calibri" w:hAnsi="David"/>
          <w:sz w:val="24"/>
          <w:rtl/>
        </w:rPr>
        <w:t xml:space="preserve"> לקבל ראייה רחבה וייצוגית</w:t>
      </w:r>
      <w:r w:rsidRPr="00A210E9">
        <w:rPr>
          <w:rFonts w:eastAsia="Calibri" w:hint="cs"/>
          <w:rtl/>
        </w:rPr>
        <w:t xml:space="preserve">. משרד הבריאות כתב בתשובתו ממאי 2026 </w:t>
      </w:r>
      <w:r w:rsidRPr="00A210E9">
        <w:rPr>
          <w:rFonts w:eastAsia="Calibri"/>
          <w:rtl/>
        </w:rPr>
        <w:t xml:space="preserve">(להלן </w:t>
      </w:r>
      <w:r w:rsidRPr="00A210E9">
        <w:rPr>
          <w:rFonts w:eastAsia="Calibri" w:hint="cs"/>
          <w:rtl/>
        </w:rPr>
        <w:t>-</w:t>
      </w:r>
      <w:r w:rsidRPr="00A210E9">
        <w:rPr>
          <w:rFonts w:eastAsia="Calibri"/>
          <w:rtl/>
        </w:rPr>
        <w:t xml:space="preserve"> תשובת משרד הבריאות)</w:t>
      </w:r>
      <w:r w:rsidRPr="00A210E9">
        <w:rPr>
          <w:rFonts w:eastAsia="Calibri" w:hint="cs"/>
          <w:rtl/>
        </w:rPr>
        <w:t xml:space="preserve"> כי גורמי המקצוע במשרד הבריאות נכונים להעמיד לרשות משרד התחבורה כל סיוע מקצועי שנדרש בגיבוש מדיניות הנוגעת לגדרי הזכאות. נציבות לשוויון זכויות כתבה בתשובתה </w:t>
      </w:r>
      <w:r w:rsidRPr="00A210E9">
        <w:rPr>
          <w:rFonts w:eastAsia="Calibri" w:hint="eastAsia"/>
          <w:rtl/>
        </w:rPr>
        <w:t>ממאי</w:t>
      </w:r>
      <w:r w:rsidRPr="00A210E9">
        <w:rPr>
          <w:rFonts w:eastAsia="Calibri"/>
          <w:rtl/>
        </w:rPr>
        <w:t xml:space="preserve"> 2026</w:t>
      </w:r>
      <w:r w:rsidRPr="00A210E9">
        <w:rPr>
          <w:rFonts w:eastAsia="Calibri" w:hint="cs"/>
          <w:rtl/>
        </w:rPr>
        <w:t xml:space="preserve"> </w:t>
      </w:r>
      <w:r w:rsidRPr="00A210E9">
        <w:rPr>
          <w:rFonts w:eastAsia="Calibri"/>
          <w:rtl/>
        </w:rPr>
        <w:t xml:space="preserve">(להלן </w:t>
      </w:r>
      <w:r w:rsidRPr="00A210E9">
        <w:rPr>
          <w:rFonts w:eastAsia="Calibri" w:hint="cs"/>
          <w:rtl/>
        </w:rPr>
        <w:t>-</w:t>
      </w:r>
      <w:r w:rsidRPr="00A210E9">
        <w:rPr>
          <w:rFonts w:eastAsia="Calibri"/>
          <w:rtl/>
        </w:rPr>
        <w:t xml:space="preserve"> ת</w:t>
      </w:r>
      <w:r w:rsidRPr="00A210E9">
        <w:rPr>
          <w:rFonts w:eastAsia="Calibri" w:hint="eastAsia"/>
          <w:rtl/>
        </w:rPr>
        <w:t>שובת</w:t>
      </w:r>
      <w:r w:rsidRPr="00A210E9">
        <w:rPr>
          <w:rFonts w:eastAsia="Calibri"/>
          <w:rtl/>
        </w:rPr>
        <w:t xml:space="preserve"> </w:t>
      </w:r>
      <w:r w:rsidRPr="00A210E9">
        <w:rPr>
          <w:rFonts w:eastAsia="Calibri" w:hint="eastAsia"/>
          <w:rtl/>
        </w:rPr>
        <w:t>נציבות</w:t>
      </w:r>
      <w:r w:rsidRPr="00A210E9">
        <w:rPr>
          <w:rFonts w:eastAsia="Calibri"/>
          <w:rtl/>
        </w:rPr>
        <w:t xml:space="preserve"> </w:t>
      </w:r>
      <w:r w:rsidRPr="00A210E9">
        <w:rPr>
          <w:rFonts w:eastAsia="Calibri" w:hint="eastAsia"/>
          <w:rtl/>
        </w:rPr>
        <w:t>לשוויון</w:t>
      </w:r>
      <w:r w:rsidRPr="00A210E9">
        <w:rPr>
          <w:rFonts w:eastAsia="Calibri"/>
          <w:rtl/>
        </w:rPr>
        <w:t xml:space="preserve"> </w:t>
      </w:r>
      <w:r w:rsidRPr="00A210E9">
        <w:rPr>
          <w:rFonts w:eastAsia="Calibri" w:hint="eastAsia"/>
          <w:rtl/>
        </w:rPr>
        <w:t>זכויות</w:t>
      </w:r>
      <w:r w:rsidRPr="00A210E9">
        <w:rPr>
          <w:rFonts w:eastAsia="Calibri"/>
          <w:rtl/>
        </w:rPr>
        <w:t>)</w:t>
      </w:r>
      <w:r w:rsidRPr="00A210E9">
        <w:rPr>
          <w:rFonts w:eastAsia="Calibri" w:hint="cs"/>
          <w:rtl/>
        </w:rPr>
        <w:t xml:space="preserve"> כי היא </w:t>
      </w:r>
      <w:r w:rsidRPr="00A210E9">
        <w:rPr>
          <w:rFonts w:eastAsia="Calibri"/>
          <w:rtl/>
        </w:rPr>
        <w:t>גיבש</w:t>
      </w:r>
      <w:r w:rsidRPr="00A210E9">
        <w:rPr>
          <w:rFonts w:eastAsia="Calibri" w:hint="cs"/>
          <w:rtl/>
        </w:rPr>
        <w:t>ה</w:t>
      </w:r>
      <w:r w:rsidRPr="00A210E9">
        <w:rPr>
          <w:rFonts w:eastAsia="Calibri"/>
          <w:rtl/>
        </w:rPr>
        <w:t xml:space="preserve"> הצעה לקריטריונים. </w:t>
      </w:r>
      <w:r w:rsidRPr="00A210E9">
        <w:rPr>
          <w:rFonts w:eastAsia="Calibri" w:hint="eastAsia"/>
          <w:rtl/>
        </w:rPr>
        <w:t>עוד</w:t>
      </w:r>
      <w:r w:rsidRPr="00A210E9">
        <w:rPr>
          <w:rFonts w:eastAsia="Calibri"/>
          <w:rtl/>
        </w:rPr>
        <w:t xml:space="preserve"> ציינה כי גם אנשים עם מוגבלות צריכים להיות שותפים בתהליכים השונים, בהתאם לעקרון שנקבע באמנת האו"ם: "שום דבר עלינו</w:t>
      </w:r>
      <w:r w:rsidRPr="00A210E9">
        <w:rPr>
          <w:rFonts w:eastAsia="Calibri" w:hint="cs"/>
          <w:rtl/>
        </w:rPr>
        <w:t xml:space="preserve"> </w:t>
      </w:r>
      <w:r w:rsidRPr="00A210E9">
        <w:rPr>
          <w:rFonts w:eastAsia="Calibri"/>
          <w:rtl/>
        </w:rPr>
        <w:t>-</w:t>
      </w:r>
      <w:r w:rsidRPr="00A210E9">
        <w:rPr>
          <w:rFonts w:eastAsia="Calibri" w:hint="cs"/>
          <w:rtl/>
        </w:rPr>
        <w:t xml:space="preserve"> </w:t>
      </w:r>
      <w:r w:rsidRPr="00A210E9">
        <w:rPr>
          <w:rFonts w:eastAsia="Calibri"/>
          <w:rtl/>
        </w:rPr>
        <w:t>בלעדינו".</w:t>
      </w:r>
    </w:p>
    <w:p w:rsidR="008529F8">
      <w:pPr>
        <w:bidi w:val="0"/>
        <w:spacing w:after="200" w:line="276" w:lineRule="auto"/>
        <w:rPr>
          <w:rFonts w:eastAsia="Times New Roman"/>
          <w:bCs/>
          <w:szCs w:val="26"/>
          <w:rtl/>
        </w:rPr>
      </w:pPr>
      <w:r>
        <w:rPr>
          <w:rFonts w:eastAsia="Times New Roman"/>
          <w:bCs/>
          <w:szCs w:val="26"/>
          <w:rtl/>
        </w:rPr>
        <w:br w:type="page"/>
      </w:r>
    </w:p>
    <w:p w:rsidR="00A210E9" w:rsidRPr="00A210E9" w:rsidP="00A210E9">
      <w:pPr>
        <w:keepNext/>
        <w:keepLines/>
        <w:spacing w:line="269" w:lineRule="auto"/>
        <w:outlineLvl w:val="3"/>
        <w:rPr>
          <w:rFonts w:eastAsia="Times New Roman"/>
          <w:bCs/>
          <w:szCs w:val="26"/>
          <w:rtl/>
        </w:rPr>
      </w:pPr>
      <w:r w:rsidRPr="00A210E9">
        <w:rPr>
          <w:rFonts w:eastAsia="Times New Roman" w:hint="cs"/>
          <w:bCs/>
          <w:szCs w:val="26"/>
          <w:rtl/>
        </w:rPr>
        <w:t>מגמות במספר תגי חניה לאורך השנים</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בתרשים שלהלן מוצגים נתונים על מספר תגי החניה לאורך 20 שנים:</w:t>
      </w:r>
    </w:p>
    <w:p w:rsidR="00A210E9" w:rsidRPr="00A210E9" w:rsidP="00A210E9">
      <w:pPr>
        <w:keepNext/>
        <w:keepLines/>
        <w:spacing w:line="269" w:lineRule="auto"/>
        <w:ind w:left="-567"/>
        <w:rPr>
          <w:rFonts w:eastAsia="Calibri"/>
          <w:szCs w:val="20"/>
          <w:rtl/>
        </w:rPr>
      </w:pPr>
    </w:p>
    <w:p w:rsidR="00A210E9" w:rsidRPr="00A210E9" w:rsidP="00A210E9">
      <w:pPr>
        <w:keepNext/>
        <w:keepLines/>
        <w:spacing w:line="269" w:lineRule="auto"/>
        <w:jc w:val="center"/>
        <w:rPr>
          <w:rFonts w:eastAsia="Calibri"/>
          <w:b/>
          <w:bCs/>
          <w:rtl/>
        </w:rPr>
      </w:pPr>
      <w:r w:rsidRPr="00A210E9">
        <w:rPr>
          <w:rFonts w:eastAsia="Calibri" w:hint="eastAsia"/>
          <w:rtl/>
        </w:rPr>
        <w:t>תרשים</w:t>
      </w:r>
      <w:r w:rsidRPr="00A210E9">
        <w:rPr>
          <w:rFonts w:eastAsia="Calibri"/>
          <w:rtl/>
        </w:rPr>
        <w:t xml:space="preserve"> </w:t>
      </w:r>
      <w:r w:rsidRPr="00A210E9">
        <w:rPr>
          <w:rFonts w:eastAsia="Calibri" w:hint="cs"/>
          <w:rtl/>
        </w:rPr>
        <w:t>8</w:t>
      </w:r>
      <w:r w:rsidRPr="00A210E9">
        <w:rPr>
          <w:rFonts w:eastAsia="Calibri"/>
          <w:rtl/>
        </w:rPr>
        <w:t>:</w:t>
      </w:r>
      <w:r w:rsidRPr="00A210E9">
        <w:rPr>
          <w:rFonts w:eastAsia="Calibri" w:hint="cs"/>
          <w:b/>
          <w:bCs/>
          <w:rtl/>
        </w:rPr>
        <w:t xml:space="preserve"> מספר תגי </w:t>
      </w:r>
      <w:r w:rsidR="008529F8">
        <w:rPr>
          <w:rFonts w:eastAsia="Calibri" w:hint="cs"/>
          <w:b/>
          <w:bCs/>
          <w:rtl/>
        </w:rPr>
        <w:t>ה</w:t>
      </w:r>
      <w:r w:rsidRPr="00A210E9">
        <w:rPr>
          <w:rFonts w:eastAsia="Calibri" w:hint="cs"/>
          <w:b/>
          <w:bCs/>
          <w:rtl/>
        </w:rPr>
        <w:t>חניה בישראל, 2006 - 2025 (באלפים)</w:t>
      </w:r>
    </w:p>
    <w:p w:rsidR="00A210E9" w:rsidRPr="00A210E9" w:rsidP="00A210E9">
      <w:pPr>
        <w:spacing w:line="269" w:lineRule="auto"/>
        <w:ind w:left="-284"/>
        <w:rPr>
          <w:rFonts w:eastAsia="Calibri"/>
          <w:rtl/>
        </w:rPr>
      </w:pPr>
      <w:r w:rsidRPr="00A210E9">
        <w:rPr>
          <w:rFonts w:eastAsia="Calibri"/>
          <w:noProof/>
        </w:rPr>
        <w:drawing>
          <wp:inline distT="0" distB="0" distL="0" distR="0">
            <wp:extent cx="5513696" cy="1778267"/>
            <wp:effectExtent l="0" t="0" r="0" b="0"/>
            <wp:docPr id="30" name="תמונה 30" descr="2006: 74.0&#10;2008: 85.0&#10;2010: 98.5&#10;2012: 120.8&#10;2015: 145.5&#10;2021: 244.6&#10;2022: 268.0&#10;2023: 415.3&#10;2024: 449.3&#10;2025: 444.9&#10;2025: 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561170" cy="1793578"/>
                    </a:xfrm>
                    <a:prstGeom prst="rect">
                      <a:avLst/>
                    </a:prstGeom>
                    <a:noFill/>
                  </pic:spPr>
                </pic:pic>
              </a:graphicData>
            </a:graphic>
          </wp:inline>
        </w:drawing>
      </w:r>
    </w:p>
    <w:p w:rsidR="00A210E9" w:rsidRPr="00A210E9" w:rsidP="00A210E9">
      <w:pPr>
        <w:spacing w:line="269" w:lineRule="auto"/>
        <w:rPr>
          <w:rFonts w:eastAsia="Calibri"/>
          <w:szCs w:val="20"/>
          <w:rtl/>
        </w:rPr>
      </w:pPr>
      <w:r w:rsidRPr="00A210E9">
        <w:rPr>
          <w:rFonts w:eastAsia="Calibri" w:hint="cs"/>
          <w:szCs w:val="20"/>
          <w:rtl/>
        </w:rPr>
        <w:t>על פי</w:t>
      </w:r>
      <w:r w:rsidRPr="00A210E9">
        <w:rPr>
          <w:rFonts w:eastAsia="Calibri"/>
          <w:szCs w:val="20"/>
          <w:rtl/>
        </w:rPr>
        <w:t xml:space="preserve"> נתוני משרד התחבורה, בעיבוד משרד מבקר המדינה</w:t>
      </w:r>
      <w:r w:rsidRPr="00A210E9">
        <w:rPr>
          <w:rFonts w:eastAsia="Calibri" w:hint="cs"/>
          <w:szCs w:val="20"/>
          <w:rtl/>
        </w:rPr>
        <w:t>.</w:t>
      </w:r>
    </w:p>
    <w:p w:rsidR="00A210E9" w:rsidRPr="00A210E9" w:rsidP="00A210E9">
      <w:pPr>
        <w:spacing w:line="269" w:lineRule="auto"/>
        <w:rPr>
          <w:rFonts w:eastAsia="Calibri"/>
          <w:sz w:val="16"/>
          <w:szCs w:val="20"/>
          <w:rtl/>
        </w:rPr>
      </w:pPr>
      <w:r w:rsidRPr="00A210E9">
        <w:rPr>
          <w:rFonts w:eastAsia="Calibri" w:hint="cs"/>
          <w:sz w:val="16"/>
          <w:szCs w:val="20"/>
          <w:rtl/>
        </w:rPr>
        <w:t>*</w:t>
      </w:r>
      <w:r w:rsidRPr="00A210E9">
        <w:rPr>
          <w:rFonts w:eastAsia="Calibri"/>
          <w:sz w:val="16"/>
          <w:szCs w:val="20"/>
          <w:rtl/>
        </w:rPr>
        <w:t xml:space="preserve"> </w:t>
      </w:r>
      <w:r w:rsidRPr="00A210E9">
        <w:rPr>
          <w:rFonts w:eastAsia="Calibri" w:hint="cs"/>
          <w:sz w:val="16"/>
          <w:szCs w:val="20"/>
          <w:rtl/>
        </w:rPr>
        <w:t>הנתונים נאספו ממסמכים שונים משום שאין בידי משרד התחבורה יכולת לשלוף נתוני עבר על מספר תגי החניה.</w:t>
      </w:r>
    </w:p>
    <w:p w:rsidR="00A210E9" w:rsidRPr="00A210E9" w:rsidP="00A210E9">
      <w:pPr>
        <w:keepNext/>
        <w:keepLines/>
        <w:spacing w:line="269" w:lineRule="auto"/>
        <w:ind w:left="-567"/>
        <w:rPr>
          <w:rFonts w:eastAsia="Calibri"/>
          <w:szCs w:val="20"/>
          <w:rtl/>
        </w:rPr>
      </w:pPr>
    </w:p>
    <w:p w:rsidR="00A210E9" w:rsidP="00A210E9">
      <w:pPr>
        <w:spacing w:line="269" w:lineRule="auto"/>
        <w:rPr>
          <w:rFonts w:eastAsia="Calibri"/>
          <w:rtl/>
        </w:rPr>
      </w:pPr>
      <w:r w:rsidRPr="00A210E9">
        <w:rPr>
          <w:rFonts w:eastAsia="Calibri" w:hint="cs"/>
          <w:rtl/>
        </w:rPr>
        <w:t>התרשים שלהלן מציג את מספר תגי החניה שאושרו בכל שנה, בשנים 2002 - 2024:</w:t>
      </w:r>
    </w:p>
    <w:p w:rsidR="00584BF0" w:rsidRPr="00A210E9" w:rsidP="00A210E9">
      <w:pPr>
        <w:spacing w:line="269" w:lineRule="auto"/>
        <w:rPr>
          <w:rFonts w:eastAsia="Calibri"/>
          <w:rtl/>
        </w:rPr>
      </w:pPr>
    </w:p>
    <w:p w:rsidR="00A210E9" w:rsidRPr="00A210E9" w:rsidP="00A210E9">
      <w:pPr>
        <w:keepNext/>
        <w:keepLines/>
        <w:spacing w:line="269" w:lineRule="auto"/>
        <w:jc w:val="center"/>
        <w:rPr>
          <w:rFonts w:eastAsia="Calibri"/>
          <w:sz w:val="24"/>
          <w:rtl/>
        </w:rPr>
      </w:pPr>
      <w:r w:rsidRPr="00A210E9">
        <w:rPr>
          <w:rFonts w:eastAsia="Calibri" w:hint="eastAsia"/>
          <w:sz w:val="24"/>
          <w:rtl/>
        </w:rPr>
        <w:t>תרשים</w:t>
      </w:r>
      <w:r w:rsidRPr="00A210E9">
        <w:rPr>
          <w:rFonts w:eastAsia="Calibri"/>
          <w:sz w:val="24"/>
          <w:rtl/>
        </w:rPr>
        <w:t xml:space="preserve"> </w:t>
      </w:r>
      <w:r w:rsidRPr="00A210E9">
        <w:rPr>
          <w:rFonts w:eastAsia="Calibri" w:hint="cs"/>
          <w:sz w:val="24"/>
          <w:rtl/>
        </w:rPr>
        <w:t>9</w:t>
      </w:r>
      <w:r w:rsidRPr="00A210E9">
        <w:rPr>
          <w:rFonts w:eastAsia="Calibri"/>
          <w:sz w:val="24"/>
          <w:rtl/>
        </w:rPr>
        <w:t>:</w:t>
      </w:r>
      <w:r w:rsidRPr="00A210E9">
        <w:rPr>
          <w:rFonts w:eastAsia="Calibri" w:hint="cs"/>
          <w:b/>
          <w:bCs/>
          <w:szCs w:val="20"/>
          <w:rtl/>
        </w:rPr>
        <w:t xml:space="preserve"> </w:t>
      </w:r>
      <w:r w:rsidRPr="00A210E9">
        <w:rPr>
          <w:rFonts w:eastAsia="Calibri" w:hint="cs"/>
          <w:b/>
          <w:bCs/>
          <w:sz w:val="24"/>
          <w:rtl/>
        </w:rPr>
        <w:t>מספר</w:t>
      </w:r>
      <w:r w:rsidRPr="00A210E9">
        <w:rPr>
          <w:rFonts w:eastAsia="Calibri"/>
          <w:b/>
          <w:bCs/>
          <w:sz w:val="24"/>
          <w:rtl/>
        </w:rPr>
        <w:t xml:space="preserve"> </w:t>
      </w:r>
      <w:r w:rsidRPr="00A210E9">
        <w:rPr>
          <w:rFonts w:eastAsia="Calibri" w:hint="eastAsia"/>
          <w:b/>
          <w:bCs/>
          <w:sz w:val="24"/>
          <w:rtl/>
        </w:rPr>
        <w:t>תגי</w:t>
      </w:r>
      <w:r w:rsidRPr="00A210E9">
        <w:rPr>
          <w:rFonts w:eastAsia="Calibri"/>
          <w:b/>
          <w:bCs/>
          <w:sz w:val="24"/>
          <w:rtl/>
        </w:rPr>
        <w:t xml:space="preserve"> </w:t>
      </w:r>
      <w:r w:rsidR="008529F8">
        <w:rPr>
          <w:rFonts w:eastAsia="Calibri" w:hint="cs"/>
          <w:b/>
          <w:bCs/>
          <w:sz w:val="24"/>
          <w:rtl/>
        </w:rPr>
        <w:t>ה</w:t>
      </w:r>
      <w:r w:rsidRPr="00A210E9">
        <w:rPr>
          <w:rFonts w:eastAsia="Calibri"/>
          <w:b/>
          <w:bCs/>
          <w:sz w:val="24"/>
          <w:rtl/>
        </w:rPr>
        <w:t>חניה</w:t>
      </w:r>
      <w:r w:rsidRPr="00A210E9">
        <w:rPr>
          <w:rFonts w:eastAsia="Calibri" w:hint="cs"/>
          <w:b/>
          <w:bCs/>
          <w:sz w:val="24"/>
          <w:rtl/>
        </w:rPr>
        <w:t xml:space="preserve"> </w:t>
      </w:r>
      <w:r w:rsidR="008529F8">
        <w:rPr>
          <w:rFonts w:eastAsia="Calibri" w:hint="cs"/>
          <w:b/>
          <w:bCs/>
          <w:sz w:val="24"/>
          <w:rtl/>
        </w:rPr>
        <w:t>ה</w:t>
      </w:r>
      <w:r w:rsidRPr="00A210E9">
        <w:rPr>
          <w:rFonts w:eastAsia="Calibri" w:hint="cs"/>
          <w:b/>
          <w:bCs/>
          <w:sz w:val="24"/>
          <w:rtl/>
        </w:rPr>
        <w:t>חדשים</w:t>
      </w:r>
      <w:r w:rsidRPr="00A210E9">
        <w:rPr>
          <w:rFonts w:eastAsia="Calibri"/>
          <w:b/>
          <w:bCs/>
          <w:sz w:val="24"/>
          <w:rtl/>
        </w:rPr>
        <w:t xml:space="preserve"> שאושרו </w:t>
      </w:r>
      <w:r w:rsidRPr="00A210E9">
        <w:rPr>
          <w:rFonts w:eastAsia="Calibri" w:hint="eastAsia"/>
          <w:b/>
          <w:bCs/>
          <w:sz w:val="24"/>
          <w:rtl/>
        </w:rPr>
        <w:t>בכל</w:t>
      </w:r>
      <w:r w:rsidRPr="00A210E9">
        <w:rPr>
          <w:rFonts w:eastAsia="Calibri"/>
          <w:b/>
          <w:bCs/>
          <w:sz w:val="24"/>
          <w:rtl/>
        </w:rPr>
        <w:t xml:space="preserve"> </w:t>
      </w:r>
      <w:r w:rsidRPr="00A210E9">
        <w:rPr>
          <w:rFonts w:eastAsia="Calibri" w:hint="eastAsia"/>
          <w:b/>
          <w:bCs/>
          <w:sz w:val="24"/>
          <w:rtl/>
        </w:rPr>
        <w:t>שנה</w:t>
      </w:r>
      <w:r w:rsidRPr="00A210E9">
        <w:rPr>
          <w:rFonts w:eastAsia="Calibri" w:hint="cs"/>
          <w:b/>
          <w:bCs/>
          <w:sz w:val="24"/>
          <w:rtl/>
        </w:rPr>
        <w:t>,</w:t>
      </w:r>
      <w:r w:rsidRPr="00A210E9">
        <w:rPr>
          <w:rFonts w:eastAsia="Calibri"/>
          <w:b/>
          <w:bCs/>
          <w:sz w:val="24"/>
          <w:rtl/>
        </w:rPr>
        <w:t xml:space="preserve"> 2002 - 2024 (באלפים)</w:t>
      </w:r>
    </w:p>
    <w:p w:rsidR="00A210E9" w:rsidRPr="00A210E9" w:rsidP="00A210E9">
      <w:pPr>
        <w:spacing w:line="269" w:lineRule="auto"/>
        <w:rPr>
          <w:rFonts w:eastAsia="Calibri"/>
          <w:rtl/>
        </w:rPr>
      </w:pPr>
      <w:r w:rsidRPr="00A210E9">
        <w:rPr>
          <w:rFonts w:eastAsia="Calibri"/>
          <w:noProof/>
        </w:rPr>
        <w:drawing>
          <wp:inline distT="0" distB="0" distL="0" distR="0">
            <wp:extent cx="5233895" cy="3302995"/>
            <wp:effectExtent l="0" t="0" r="5080" b="0"/>
            <wp:docPr id="43" name="תמונה 43" descr="2024: 69.7&#10;2023: 68.6&#10;2022: 73.7&#10;2021: 65.0&#10;2020: 29.1&#10;2019: 28.1&#10;2018: 23.8&#10;2017: 20.3&#10;2016: 16.3&#10;2015: 13.1&#10;2014: 13.9&#10;2013: 11.7&#10;2012: 10.9&#10;2011: 10.4&#10;2010: 9.5&#10;2009: 10.1&#10;2008: 8.7&#10;2007: 5.6&#10;2006: 5.4&#10;2005: 5.9&#10;2004: 7.9&#10;2003: 6.1&#10;2002: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5248698" cy="3312337"/>
                    </a:xfrm>
                    <a:prstGeom prst="rect">
                      <a:avLst/>
                    </a:prstGeom>
                    <a:noFill/>
                  </pic:spPr>
                </pic:pic>
              </a:graphicData>
            </a:graphic>
          </wp:inline>
        </w:drawing>
      </w:r>
    </w:p>
    <w:p w:rsidR="00A210E9" w:rsidRPr="00A210E9" w:rsidP="00A210E9">
      <w:pPr>
        <w:spacing w:line="269" w:lineRule="auto"/>
        <w:rPr>
          <w:rFonts w:eastAsia="Calibri"/>
          <w:sz w:val="22"/>
          <w:szCs w:val="22"/>
          <w:rtl/>
        </w:rPr>
      </w:pPr>
      <w:r w:rsidRPr="00A210E9">
        <w:rPr>
          <w:rFonts w:eastAsia="Calibri" w:hint="eastAsia"/>
          <w:sz w:val="22"/>
          <w:szCs w:val="22"/>
          <w:rtl/>
        </w:rPr>
        <w:t>על</w:t>
      </w:r>
      <w:r w:rsidRPr="00A210E9">
        <w:rPr>
          <w:rFonts w:eastAsia="Calibri"/>
          <w:sz w:val="22"/>
          <w:szCs w:val="22"/>
          <w:rtl/>
        </w:rPr>
        <w:t xml:space="preserve"> פי נתוני משרד התחבורה, בעיבוד משרד מבקר המדינה</w:t>
      </w:r>
      <w:r w:rsidRPr="00A210E9">
        <w:rPr>
          <w:rFonts w:eastAsia="Calibri" w:hint="cs"/>
          <w:sz w:val="22"/>
          <w:szCs w:val="22"/>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b/>
          <w:bCs/>
          <w:rtl/>
        </w:rPr>
        <w:t xml:space="preserve">מתרשים 8 עולה כי </w:t>
      </w:r>
      <w:bookmarkStart w:id="26" w:name="_Hlk223954674"/>
      <w:r w:rsidRPr="00A210E9">
        <w:rPr>
          <w:rFonts w:eastAsia="Calibri" w:hint="cs"/>
          <w:b/>
          <w:bCs/>
          <w:rtl/>
        </w:rPr>
        <w:t xml:space="preserve">מספר </w:t>
      </w:r>
      <w:r w:rsidRPr="00A210E9">
        <w:rPr>
          <w:rFonts w:eastAsia="Calibri"/>
          <w:b/>
          <w:bCs/>
          <w:rtl/>
        </w:rPr>
        <w:t xml:space="preserve">תגי החניה עלה באופן </w:t>
      </w:r>
      <w:r w:rsidRPr="00A210E9">
        <w:rPr>
          <w:rFonts w:eastAsia="Calibri" w:hint="cs"/>
          <w:b/>
          <w:bCs/>
          <w:rtl/>
        </w:rPr>
        <w:t>חד</w:t>
      </w:r>
      <w:r w:rsidRPr="00A210E9">
        <w:rPr>
          <w:rFonts w:eastAsia="Calibri"/>
          <w:b/>
          <w:bCs/>
          <w:rtl/>
        </w:rPr>
        <w:t xml:space="preserve"> לאורך 20 </w:t>
      </w:r>
      <w:r w:rsidRPr="00A210E9">
        <w:rPr>
          <w:rFonts w:eastAsia="Calibri" w:hint="cs"/>
          <w:b/>
          <w:bCs/>
          <w:rtl/>
        </w:rPr>
        <w:t>השנים</w:t>
      </w:r>
      <w:r w:rsidRPr="00A210E9">
        <w:rPr>
          <w:rFonts w:eastAsia="Calibri"/>
          <w:b/>
          <w:bCs/>
          <w:rtl/>
        </w:rPr>
        <w:t xml:space="preserve"> האחרונות</w:t>
      </w:r>
      <w:r w:rsidRPr="00A210E9">
        <w:rPr>
          <w:rFonts w:eastAsia="Calibri" w:hint="cs"/>
          <w:b/>
          <w:bCs/>
          <w:rtl/>
        </w:rPr>
        <w:t>. בתוך עשר שנים, משנת 2006 עד 2015,</w:t>
      </w:r>
      <w:r w:rsidRPr="00A210E9">
        <w:rPr>
          <w:rFonts w:eastAsia="Calibri"/>
          <w:b/>
          <w:bCs/>
          <w:rtl/>
        </w:rPr>
        <w:t xml:space="preserve"> </w:t>
      </w:r>
      <w:r w:rsidRPr="00A210E9">
        <w:rPr>
          <w:rFonts w:eastAsia="Calibri" w:hint="cs"/>
          <w:b/>
          <w:bCs/>
          <w:rtl/>
        </w:rPr>
        <w:t xml:space="preserve">מספר התגים כמעט הכפיל את עצמו מכ-74,000 תגים ב-2006 </w:t>
      </w:r>
      <w:r w:rsidR="008529F8">
        <w:rPr>
          <w:rFonts w:eastAsia="Calibri"/>
          <w:b/>
          <w:bCs/>
          <w:rtl/>
        </w:rPr>
        <w:br/>
      </w:r>
      <w:r w:rsidRPr="00A210E9">
        <w:rPr>
          <w:rFonts w:eastAsia="Calibri" w:hint="cs"/>
          <w:b/>
          <w:bCs/>
          <w:rtl/>
        </w:rPr>
        <w:t xml:space="preserve">לכ-146,000 ב-2015, בעוד אוכלוסיית ישראל גדלה רק ב-18%. כעבור עשר שנים נוספות שילש מספר התגים את עצמו לכ-445,000 ביולי 2025, בעוד אוכלוסיית ישראל גדלה רק ב-19%. </w:t>
      </w:r>
      <w:bookmarkEnd w:id="26"/>
      <w:r w:rsidRPr="00A210E9">
        <w:rPr>
          <w:rFonts w:eastAsia="Calibri" w:hint="cs"/>
          <w:b/>
          <w:bCs/>
          <w:rtl/>
        </w:rPr>
        <w:t>כמו כן, מתרשים זה עולה כי בחמש שנים בלבד, 2021 - 2025, מספר התגים כמעט הוכפל לעומת חמש השנים שקדמו להן שבהן נרשמה עליי</w:t>
      </w:r>
      <w:r w:rsidRPr="00A210E9">
        <w:rPr>
          <w:rFonts w:eastAsia="Calibri" w:hint="eastAsia"/>
          <w:b/>
          <w:bCs/>
          <w:rtl/>
        </w:rPr>
        <w:t>ה</w:t>
      </w:r>
      <w:r w:rsidRPr="00A210E9">
        <w:rPr>
          <w:rFonts w:eastAsia="Calibri" w:hint="cs"/>
          <w:b/>
          <w:bCs/>
          <w:rtl/>
        </w:rPr>
        <w:t xml:space="preserve"> מתונה יותר.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b/>
          <w:bCs/>
          <w:rtl/>
        </w:rPr>
        <w:t xml:space="preserve">מתרשים </w:t>
      </w:r>
      <w:r w:rsidRPr="00A210E9">
        <w:rPr>
          <w:rFonts w:eastAsia="Calibri"/>
          <w:b/>
          <w:bCs/>
          <w:rtl/>
        </w:rPr>
        <w:t>9</w:t>
      </w:r>
      <w:r w:rsidRPr="00A210E9">
        <w:rPr>
          <w:rFonts w:eastAsia="Calibri" w:hint="cs"/>
          <w:b/>
          <w:bCs/>
          <w:rtl/>
        </w:rPr>
        <w:t xml:space="preserve"> עולה כי מספר תגי החניה החדשים שאושרו בכל שנה עלה משנת 2007 ואילך באופן עקבי והגיע לשיא של כ-74,000 תגים בשנת 2022. יצוין כי בשנת 2021 עבר תהליך הבקשה לתג חניה דיגיטציה, כך שהוא הפך פשוט יותר עבור הציבור</w:t>
      </w:r>
      <w:r>
        <w:rPr>
          <w:rFonts w:eastAsia="Calibri"/>
          <w:b/>
          <w:bCs/>
          <w:vertAlign w:val="superscript"/>
          <w:rtl/>
        </w:rPr>
        <w:footnoteReference w:id="46"/>
      </w:r>
      <w:r w:rsidRPr="00A210E9">
        <w:rPr>
          <w:rFonts w:eastAsia="Calibri" w:hint="cs"/>
          <w:b/>
          <w:bCs/>
          <w:rtl/>
        </w:rPr>
        <w:t>. בשנתיים שלאחר מכן עמד מספר התגים שאושרו מדי שנה על כ-69,000 תגים לעומת כ-29,000 תגים בשנת 2020 וכ-7,000 תגים בלבד בשנת 2002.</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bookmarkStart w:id="27" w:name="_Hlk223877787"/>
      <w:r w:rsidRPr="00A210E9">
        <w:rPr>
          <w:rFonts w:eastAsia="Calibri"/>
          <w:b/>
          <w:bCs/>
          <w:rtl/>
        </w:rPr>
        <w:t>ריבוי תגי החניה עלול לפגוע ב</w:t>
      </w:r>
      <w:r w:rsidRPr="00A210E9">
        <w:rPr>
          <w:rFonts w:eastAsia="Calibri" w:hint="cs"/>
          <w:b/>
          <w:bCs/>
          <w:rtl/>
        </w:rPr>
        <w:t>מועילות</w:t>
      </w:r>
      <w:r w:rsidRPr="00A210E9">
        <w:rPr>
          <w:rFonts w:eastAsia="Calibri"/>
          <w:b/>
          <w:bCs/>
          <w:rtl/>
        </w:rPr>
        <w:t xml:space="preserve"> של ההטב</w:t>
      </w:r>
      <w:r w:rsidRPr="00A210E9">
        <w:rPr>
          <w:rFonts w:eastAsia="Calibri" w:hint="cs"/>
          <w:b/>
          <w:bCs/>
          <w:rtl/>
        </w:rPr>
        <w:t>ות שלשמן התג נועד</w:t>
      </w:r>
      <w:r w:rsidRPr="00A210E9">
        <w:rPr>
          <w:rFonts w:eastAsia="Calibri"/>
          <w:b/>
          <w:bCs/>
          <w:rtl/>
        </w:rPr>
        <w:t>, שכן הוא יוצר עומס על מקומות החניה הייעודיים</w:t>
      </w:r>
      <w:r w:rsidRPr="00A210E9">
        <w:rPr>
          <w:rFonts w:eastAsia="Calibri" w:hint="cs"/>
          <w:b/>
          <w:bCs/>
          <w:rtl/>
        </w:rPr>
        <w:t xml:space="preserve"> לאנשים עם מוגבלות</w:t>
      </w:r>
      <w:r w:rsidRPr="00A210E9">
        <w:rPr>
          <w:rFonts w:eastAsia="Calibri"/>
          <w:b/>
          <w:bCs/>
          <w:rtl/>
        </w:rPr>
        <w:t xml:space="preserve"> ומקשה על </w:t>
      </w:r>
      <w:r w:rsidRPr="00A210E9">
        <w:rPr>
          <w:rFonts w:eastAsia="Calibri" w:hint="cs"/>
          <w:b/>
          <w:bCs/>
          <w:rtl/>
        </w:rPr>
        <w:t>אנשים עם מוגבלות</w:t>
      </w:r>
      <w:r w:rsidRPr="00A210E9">
        <w:rPr>
          <w:rFonts w:eastAsia="Calibri"/>
          <w:b/>
          <w:bCs/>
          <w:rtl/>
        </w:rPr>
        <w:t xml:space="preserve"> בניידות למצוא חניה נגישה</w:t>
      </w:r>
      <w:r w:rsidRPr="00A210E9">
        <w:rPr>
          <w:rFonts w:eastAsia="Calibri" w:hint="cs"/>
          <w:b/>
          <w:bCs/>
          <w:rtl/>
        </w:rPr>
        <w:t xml:space="preserve"> שמותאמת לצרכיהם</w:t>
      </w:r>
      <w:r w:rsidRPr="00A210E9">
        <w:rPr>
          <w:rFonts w:eastAsia="Calibri"/>
          <w:b/>
          <w:bCs/>
          <w:rtl/>
        </w:rPr>
        <w:t>.</w:t>
      </w:r>
      <w:r w:rsidRPr="00A210E9">
        <w:rPr>
          <w:rFonts w:eastAsia="Calibri" w:hint="cs"/>
          <w:b/>
          <w:bCs/>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eastAsia"/>
          <w:rtl/>
        </w:rPr>
        <w:t>משרד</w:t>
      </w:r>
      <w:r w:rsidRPr="00A210E9">
        <w:rPr>
          <w:rFonts w:eastAsia="Calibri"/>
          <w:rtl/>
        </w:rPr>
        <w:t xml:space="preserve"> התחבורה כתב בתשובתו כי בשנת 2021, עם עליית הערוץ הדיגיטלי המאפשר הגשת בקשה דיגיטלית בלחיצת כפתור באמצעות האזור האישי, </w:t>
      </w:r>
      <w:r w:rsidRPr="00A210E9">
        <w:rPr>
          <w:rFonts w:eastAsia="Calibri" w:hint="eastAsia"/>
          <w:rtl/>
        </w:rPr>
        <w:t>הגשת</w:t>
      </w:r>
      <w:r w:rsidRPr="00A210E9">
        <w:rPr>
          <w:rFonts w:eastAsia="Calibri"/>
          <w:rtl/>
        </w:rPr>
        <w:t xml:space="preserve"> </w:t>
      </w:r>
      <w:r w:rsidRPr="00A210E9">
        <w:rPr>
          <w:rFonts w:eastAsia="Calibri" w:hint="eastAsia"/>
          <w:rtl/>
        </w:rPr>
        <w:t>הבקשות</w:t>
      </w:r>
      <w:r w:rsidRPr="00A210E9">
        <w:rPr>
          <w:rFonts w:eastAsia="Calibri"/>
          <w:rtl/>
        </w:rPr>
        <w:t xml:space="preserve"> </w:t>
      </w:r>
      <w:r w:rsidRPr="00A210E9">
        <w:rPr>
          <w:rFonts w:eastAsia="Calibri" w:hint="eastAsia"/>
          <w:rtl/>
        </w:rPr>
        <w:t>הפכה</w:t>
      </w:r>
      <w:r w:rsidRPr="00A210E9">
        <w:rPr>
          <w:rFonts w:eastAsia="Calibri"/>
          <w:rtl/>
        </w:rPr>
        <w:t xml:space="preserve"> </w:t>
      </w:r>
      <w:r w:rsidRPr="00A210E9">
        <w:rPr>
          <w:rFonts w:eastAsia="Calibri" w:hint="eastAsia"/>
          <w:rtl/>
        </w:rPr>
        <w:t>לפשוטה</w:t>
      </w:r>
      <w:r w:rsidRPr="00A210E9">
        <w:rPr>
          <w:rFonts w:eastAsia="Calibri"/>
          <w:rtl/>
        </w:rPr>
        <w:t xml:space="preserve"> וזמינה, </w:t>
      </w:r>
      <w:r w:rsidRPr="00A210E9">
        <w:rPr>
          <w:rFonts w:eastAsia="Calibri" w:hint="eastAsia"/>
          <w:rtl/>
        </w:rPr>
        <w:t>ו</w:t>
      </w:r>
      <w:r w:rsidRPr="00A210E9">
        <w:rPr>
          <w:rFonts w:eastAsia="Calibri"/>
          <w:rtl/>
        </w:rPr>
        <w:t xml:space="preserve">החלה עלייה משמעותית במספר הבקשות לתג חניה. המשרד </w:t>
      </w:r>
      <w:r w:rsidRPr="00A210E9">
        <w:rPr>
          <w:rFonts w:eastAsia="Calibri" w:hint="eastAsia"/>
          <w:rtl/>
        </w:rPr>
        <w:t>הוסיף</w:t>
      </w:r>
      <w:r w:rsidRPr="00A210E9">
        <w:rPr>
          <w:rFonts w:eastAsia="Calibri"/>
          <w:rtl/>
        </w:rPr>
        <w:t xml:space="preserve"> כי הוא מכיר בגידול החד במספר התגים ו</w:t>
      </w:r>
      <w:r w:rsidRPr="00A210E9">
        <w:rPr>
          <w:rFonts w:eastAsia="Calibri" w:hint="cs"/>
          <w:rtl/>
        </w:rPr>
        <w:t>ה</w:t>
      </w:r>
      <w:r w:rsidRPr="00A210E9">
        <w:rPr>
          <w:rFonts w:eastAsia="Calibri"/>
          <w:rtl/>
        </w:rPr>
        <w:t xml:space="preserve">רכבים המשויכים להם, וכי החל משנת 2025 </w:t>
      </w:r>
      <w:r w:rsidRPr="00A210E9">
        <w:rPr>
          <w:rFonts w:eastAsia="Calibri" w:hint="eastAsia"/>
          <w:rtl/>
        </w:rPr>
        <w:t>הוא</w:t>
      </w:r>
      <w:r w:rsidRPr="00A210E9">
        <w:rPr>
          <w:rFonts w:eastAsia="Calibri"/>
          <w:rtl/>
        </w:rPr>
        <w:t xml:space="preserve"> </w:t>
      </w:r>
      <w:r w:rsidRPr="00A210E9">
        <w:rPr>
          <w:rFonts w:eastAsia="Calibri" w:hint="eastAsia"/>
          <w:rtl/>
        </w:rPr>
        <w:t>נקט</w:t>
      </w:r>
      <w:r w:rsidRPr="00A210E9">
        <w:rPr>
          <w:rFonts w:eastAsia="Calibri"/>
          <w:rtl/>
        </w:rPr>
        <w:t xml:space="preserve"> צעדים לצמצום</w:t>
      </w:r>
      <w:r w:rsidRPr="00A210E9">
        <w:rPr>
          <w:rFonts w:eastAsia="Calibri" w:hint="cs"/>
          <w:rtl/>
        </w:rPr>
        <w:t xml:space="preserve"> מספר ה</w:t>
      </w:r>
      <w:r w:rsidRPr="00A210E9">
        <w:rPr>
          <w:rFonts w:eastAsia="Calibri"/>
          <w:rtl/>
        </w:rPr>
        <w:t xml:space="preserve">אישורים במסלול הישיר מול המשרד, להקשחת תנאי הבחינה, ולהפחתת השפעתם של מנגנונים שהקלו </w:t>
      </w:r>
      <w:r w:rsidRPr="00A210E9">
        <w:rPr>
          <w:rFonts w:eastAsia="Calibri"/>
          <w:rtl/>
        </w:rPr>
        <w:t xml:space="preserve">בעבר </w:t>
      </w:r>
      <w:r w:rsidRPr="00A210E9">
        <w:rPr>
          <w:rFonts w:eastAsia="Calibri" w:hint="cs"/>
          <w:rtl/>
        </w:rPr>
        <w:t>את</w:t>
      </w:r>
      <w:r w:rsidRPr="00A210E9">
        <w:rPr>
          <w:rFonts w:eastAsia="Calibri"/>
          <w:rtl/>
        </w:rPr>
        <w:t xml:space="preserve"> קבלת תג. </w:t>
      </w:r>
      <w:r w:rsidRPr="00A210E9">
        <w:rPr>
          <w:rFonts w:eastAsia="Calibri" w:hint="eastAsia"/>
          <w:rtl/>
        </w:rPr>
        <w:t>המשרד</w:t>
      </w:r>
      <w:r w:rsidRPr="00A210E9">
        <w:rPr>
          <w:rFonts w:eastAsia="Calibri"/>
          <w:rtl/>
        </w:rPr>
        <w:t xml:space="preserve"> ציין כי כיום, לאחר שינוי הנהלים, רוב הבקשות במסלול הישיר נדחות</w:t>
      </w:r>
      <w:r w:rsidRPr="00A210E9">
        <w:rPr>
          <w:rFonts w:eastAsia="Calibri" w:hint="cs"/>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rtl/>
        </w:rPr>
        <w:t>משרד התחבורה ו</w:t>
      </w:r>
      <w:r w:rsidRPr="00A210E9">
        <w:rPr>
          <w:rFonts w:eastAsia="Calibri" w:hint="eastAsia"/>
          <w:rtl/>
        </w:rPr>
        <w:t>החשכ</w:t>
      </w:r>
      <w:r w:rsidRPr="00A210E9">
        <w:rPr>
          <w:rFonts w:eastAsia="Calibri"/>
          <w:rtl/>
        </w:rPr>
        <w:t>"ל כתב</w:t>
      </w:r>
      <w:r w:rsidRPr="00A210E9">
        <w:rPr>
          <w:rFonts w:eastAsia="Calibri" w:hint="cs"/>
          <w:rtl/>
        </w:rPr>
        <w:t>ו</w:t>
      </w:r>
      <w:r w:rsidRPr="00A210E9">
        <w:rPr>
          <w:rFonts w:eastAsia="Calibri"/>
          <w:rtl/>
        </w:rPr>
        <w:t xml:space="preserve"> בתשוב</w:t>
      </w:r>
      <w:r w:rsidRPr="00A210E9">
        <w:rPr>
          <w:rFonts w:eastAsia="Calibri" w:hint="eastAsia"/>
          <w:rtl/>
        </w:rPr>
        <w:t>ותי</w:t>
      </w:r>
      <w:r w:rsidRPr="00A210E9">
        <w:rPr>
          <w:rFonts w:eastAsia="Calibri" w:hint="cs"/>
          <w:rtl/>
        </w:rPr>
        <w:t>הם</w:t>
      </w:r>
      <w:r w:rsidRPr="00A210E9">
        <w:rPr>
          <w:rFonts w:eastAsia="Calibri"/>
          <w:rtl/>
        </w:rPr>
        <w:t xml:space="preserve"> </w:t>
      </w:r>
      <w:r w:rsidRPr="00A210E9">
        <w:rPr>
          <w:rFonts w:eastAsia="Calibri" w:hint="eastAsia"/>
          <w:rtl/>
        </w:rPr>
        <w:t>כי</w:t>
      </w:r>
      <w:r w:rsidRPr="00A210E9">
        <w:rPr>
          <w:rFonts w:eastAsia="Calibri"/>
          <w:rtl/>
        </w:rPr>
        <w:t xml:space="preserve"> </w:t>
      </w:r>
      <w:r w:rsidRPr="00A210E9">
        <w:rPr>
          <w:rFonts w:eastAsia="Calibri" w:hint="cs"/>
          <w:rtl/>
        </w:rPr>
        <w:t>ה</w:t>
      </w:r>
      <w:r w:rsidRPr="00A210E9">
        <w:rPr>
          <w:rFonts w:eastAsia="Calibri" w:hint="eastAsia"/>
          <w:rtl/>
        </w:rPr>
        <w:t xml:space="preserve">צוות </w:t>
      </w:r>
      <w:r w:rsidRPr="00A210E9">
        <w:rPr>
          <w:rFonts w:eastAsia="Calibri" w:hint="cs"/>
          <w:rtl/>
        </w:rPr>
        <w:t>ה</w:t>
      </w:r>
      <w:r w:rsidRPr="00A210E9">
        <w:rPr>
          <w:rFonts w:eastAsia="Calibri" w:hint="eastAsia"/>
          <w:rtl/>
        </w:rPr>
        <w:t>בין-משרדי 2025</w:t>
      </w:r>
      <w:r w:rsidRPr="00A210E9">
        <w:rPr>
          <w:rFonts w:eastAsia="Calibri"/>
          <w:rtl/>
        </w:rPr>
        <w:t xml:space="preserve"> פועל לגיבוש הסדרה קבועה, </w:t>
      </w:r>
      <w:r w:rsidRPr="00A210E9">
        <w:rPr>
          <w:rFonts w:eastAsia="Calibri" w:hint="cs"/>
          <w:rtl/>
        </w:rPr>
        <w:t>ו</w:t>
      </w:r>
      <w:r w:rsidRPr="00A210E9">
        <w:rPr>
          <w:rFonts w:eastAsia="Calibri"/>
          <w:rtl/>
        </w:rPr>
        <w:t>לפיה ההכרעה ב</w:t>
      </w:r>
      <w:r w:rsidRPr="00A210E9">
        <w:rPr>
          <w:rFonts w:eastAsia="Calibri" w:hint="cs"/>
          <w:rtl/>
        </w:rPr>
        <w:t>דבר ה</w:t>
      </w:r>
      <w:r w:rsidRPr="00A210E9">
        <w:rPr>
          <w:rFonts w:eastAsia="Calibri"/>
          <w:rtl/>
        </w:rPr>
        <w:t xml:space="preserve">זכאות </w:t>
      </w:r>
      <w:r w:rsidRPr="00A210E9">
        <w:rPr>
          <w:rFonts w:eastAsia="Calibri" w:hint="cs"/>
          <w:rtl/>
        </w:rPr>
        <w:t xml:space="preserve">לתג חניה </w:t>
      </w:r>
      <w:r w:rsidRPr="00A210E9">
        <w:rPr>
          <w:rFonts w:eastAsia="Calibri"/>
          <w:rtl/>
        </w:rPr>
        <w:t>תתבסס ככלל על הגורמים המוסמכים לאשר נכות לפי דין, תוך צמצום מרחב הפרשנות שהיה קיים בעבר</w:t>
      </w:r>
      <w:r w:rsidRPr="00A210E9">
        <w:rPr>
          <w:rFonts w:eastAsia="Calibri" w:hint="cs"/>
          <w:rtl/>
        </w:rPr>
        <w:t>, וכי ייושמו ה</w:t>
      </w:r>
      <w:r w:rsidRPr="00A210E9">
        <w:rPr>
          <w:rFonts w:eastAsia="Calibri"/>
          <w:rtl/>
        </w:rPr>
        <w:t xml:space="preserve">המלצות </w:t>
      </w:r>
      <w:r w:rsidRPr="00A210E9">
        <w:rPr>
          <w:rFonts w:eastAsia="Calibri" w:hint="eastAsia"/>
          <w:rtl/>
        </w:rPr>
        <w:t>שנועדו</w:t>
      </w:r>
      <w:r w:rsidRPr="00A210E9">
        <w:rPr>
          <w:rFonts w:eastAsia="Calibri"/>
          <w:rtl/>
        </w:rPr>
        <w:t xml:space="preserve"> למקד את הזכאות </w:t>
      </w:r>
      <w:r w:rsidRPr="00A210E9">
        <w:rPr>
          <w:rFonts w:eastAsia="Calibri" w:hint="eastAsia"/>
          <w:rtl/>
        </w:rPr>
        <w:t>לתג</w:t>
      </w:r>
      <w:r w:rsidRPr="00A210E9">
        <w:rPr>
          <w:rFonts w:eastAsia="Calibri"/>
          <w:rtl/>
        </w:rPr>
        <w:t xml:space="preserve"> חניה רק באוכלוסיות הזקוקות לכך</w:t>
      </w:r>
      <w:r w:rsidRPr="00A210E9">
        <w:rPr>
          <w:rFonts w:eastAsia="Calibri" w:hint="cs"/>
          <w:rtl/>
        </w:rPr>
        <w:t xml:space="preserve">. כמו כן ציינו משרד התחבורה והחשכ"ל כי הצוות </w:t>
      </w:r>
      <w:r w:rsidRPr="00A210E9">
        <w:rPr>
          <w:rFonts w:eastAsia="Calibri"/>
          <w:rtl/>
        </w:rPr>
        <w:t xml:space="preserve">הציע </w:t>
      </w:r>
      <w:r w:rsidRPr="00A210E9">
        <w:rPr>
          <w:rFonts w:eastAsia="Calibri" w:hint="cs"/>
          <w:rtl/>
        </w:rPr>
        <w:t xml:space="preserve">שבשנים הקרובות תתבצע </w:t>
      </w:r>
      <w:r w:rsidRPr="00A210E9">
        <w:rPr>
          <w:rFonts w:eastAsia="Calibri"/>
          <w:rtl/>
        </w:rPr>
        <w:t xml:space="preserve">בדיקה מחודשת ומדורגת של מלאי התגים הקיים, </w:t>
      </w:r>
      <w:r w:rsidRPr="00A210E9">
        <w:rPr>
          <w:rFonts w:eastAsia="Calibri" w:hint="eastAsia"/>
          <w:rtl/>
        </w:rPr>
        <w:t>כדי</w:t>
      </w:r>
      <w:r w:rsidRPr="00A210E9">
        <w:rPr>
          <w:rFonts w:eastAsia="Calibri"/>
          <w:rtl/>
        </w:rPr>
        <w:t xml:space="preserve"> </w:t>
      </w:r>
      <w:r w:rsidRPr="00A210E9">
        <w:rPr>
          <w:rFonts w:eastAsia="Calibri" w:hint="eastAsia"/>
          <w:rtl/>
        </w:rPr>
        <w:t>לוודא</w:t>
      </w:r>
      <w:r w:rsidRPr="00A210E9">
        <w:rPr>
          <w:rFonts w:eastAsia="Calibri"/>
          <w:rtl/>
        </w:rPr>
        <w:t xml:space="preserve"> </w:t>
      </w:r>
      <w:r w:rsidRPr="00A210E9">
        <w:rPr>
          <w:rFonts w:eastAsia="Calibri" w:hint="eastAsia"/>
          <w:rtl/>
        </w:rPr>
        <w:t>שאנשים</w:t>
      </w:r>
      <w:r w:rsidRPr="00A210E9">
        <w:rPr>
          <w:rFonts w:eastAsia="Calibri"/>
          <w:rtl/>
        </w:rPr>
        <w:t xml:space="preserve"> </w:t>
      </w:r>
      <w:r w:rsidRPr="00A210E9">
        <w:rPr>
          <w:rFonts w:eastAsia="Calibri" w:hint="eastAsia"/>
          <w:rtl/>
        </w:rPr>
        <w:t>שקיבלו</w:t>
      </w:r>
      <w:r w:rsidRPr="00A210E9">
        <w:rPr>
          <w:rFonts w:eastAsia="Calibri"/>
          <w:rtl/>
        </w:rPr>
        <w:t xml:space="preserve"> </w:t>
      </w:r>
      <w:r w:rsidRPr="00A210E9">
        <w:rPr>
          <w:rFonts w:eastAsia="Calibri" w:hint="eastAsia"/>
          <w:rtl/>
        </w:rPr>
        <w:t>תג</w:t>
      </w:r>
      <w:r w:rsidRPr="00A210E9">
        <w:rPr>
          <w:rFonts w:eastAsia="Calibri"/>
          <w:rtl/>
        </w:rPr>
        <w:t xml:space="preserve"> </w:t>
      </w:r>
      <w:r w:rsidRPr="00A210E9">
        <w:rPr>
          <w:rFonts w:eastAsia="Calibri" w:hint="eastAsia"/>
          <w:rtl/>
        </w:rPr>
        <w:t>בעבר</w:t>
      </w:r>
      <w:r w:rsidRPr="00A210E9">
        <w:rPr>
          <w:rFonts w:eastAsia="Calibri"/>
          <w:rtl/>
        </w:rPr>
        <w:t xml:space="preserve"> </w:t>
      </w:r>
      <w:r w:rsidRPr="00A210E9">
        <w:rPr>
          <w:rFonts w:eastAsia="Calibri" w:hint="eastAsia"/>
          <w:rtl/>
        </w:rPr>
        <w:t>אכן</w:t>
      </w:r>
      <w:r w:rsidRPr="00A210E9">
        <w:rPr>
          <w:rFonts w:eastAsia="Calibri"/>
          <w:rtl/>
        </w:rPr>
        <w:t xml:space="preserve"> </w:t>
      </w:r>
      <w:r w:rsidRPr="00A210E9">
        <w:rPr>
          <w:rFonts w:eastAsia="Calibri" w:hint="eastAsia"/>
          <w:rtl/>
        </w:rPr>
        <w:t>זכאים</w:t>
      </w:r>
      <w:r w:rsidRPr="00A210E9">
        <w:rPr>
          <w:rFonts w:eastAsia="Calibri"/>
          <w:rtl/>
        </w:rPr>
        <w:t xml:space="preserve"> </w:t>
      </w:r>
      <w:r w:rsidRPr="00A210E9">
        <w:rPr>
          <w:rFonts w:eastAsia="Calibri" w:hint="eastAsia"/>
          <w:rtl/>
        </w:rPr>
        <w:t>לו</w:t>
      </w:r>
      <w:r w:rsidRPr="00A210E9">
        <w:rPr>
          <w:rFonts w:eastAsia="Calibri"/>
          <w:rtl/>
        </w:rPr>
        <w:t xml:space="preserve"> </w:t>
      </w:r>
      <w:r w:rsidRPr="00A210E9">
        <w:rPr>
          <w:rFonts w:eastAsia="Calibri" w:hint="eastAsia"/>
          <w:rtl/>
        </w:rPr>
        <w:t>מ</w:t>
      </w:r>
      <w:r w:rsidRPr="00A210E9">
        <w:rPr>
          <w:rFonts w:eastAsia="Calibri" w:hint="cs"/>
          <w:rtl/>
        </w:rPr>
        <w:t>ה</w:t>
      </w:r>
      <w:r w:rsidRPr="00A210E9">
        <w:rPr>
          <w:rFonts w:eastAsia="Calibri" w:hint="eastAsia"/>
          <w:rtl/>
        </w:rPr>
        <w:t>בחינה</w:t>
      </w:r>
      <w:r w:rsidRPr="00A210E9">
        <w:rPr>
          <w:rFonts w:eastAsia="Calibri"/>
          <w:rtl/>
        </w:rPr>
        <w:t xml:space="preserve"> </w:t>
      </w:r>
      <w:r w:rsidRPr="00A210E9">
        <w:rPr>
          <w:rFonts w:eastAsia="Calibri" w:hint="cs"/>
          <w:rtl/>
        </w:rPr>
        <w:t>ה</w:t>
      </w:r>
      <w:r w:rsidRPr="00A210E9">
        <w:rPr>
          <w:rFonts w:eastAsia="Calibri" w:hint="eastAsia"/>
          <w:rtl/>
        </w:rPr>
        <w:t>רפואית</w:t>
      </w:r>
      <w:r w:rsidRPr="00A210E9">
        <w:rPr>
          <w:rFonts w:eastAsia="Calibri" w:hint="cs"/>
          <w:rtl/>
        </w:rPr>
        <w:t xml:space="preserve">. </w:t>
      </w:r>
    </w:p>
    <w:bookmarkEnd w:id="27"/>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 xml:space="preserve">מומלץ שמשרד התחבורה ינתח את הסיבות לגידול הניכר במספר תגי החניה בשנים האחרונות אל מול גידול האוכלוסייה. עוד מומלץ כי יתקף, </w:t>
      </w:r>
      <w:r w:rsidRPr="00A210E9">
        <w:rPr>
          <w:rFonts w:eastAsia="Calibri" w:hint="eastAsia"/>
          <w:b/>
          <w:bCs/>
          <w:rtl/>
        </w:rPr>
        <w:t>בשיתוף</w:t>
      </w:r>
      <w:r w:rsidRPr="00A210E9">
        <w:rPr>
          <w:rFonts w:eastAsia="Calibri" w:hint="cs"/>
          <w:b/>
          <w:bCs/>
          <w:rtl/>
        </w:rPr>
        <w:t xml:space="preserve"> עם הביטוח הלאומי ועם נציבות שוויון זכויות, תוך שמיעת</w:t>
      </w:r>
      <w:r w:rsidRPr="00A210E9">
        <w:rPr>
          <w:rFonts w:eastAsia="Calibri"/>
          <w:b/>
          <w:bCs/>
          <w:rtl/>
        </w:rPr>
        <w:t xml:space="preserve"> </w:t>
      </w:r>
      <w:r w:rsidRPr="00A210E9">
        <w:rPr>
          <w:rFonts w:eastAsia="Calibri" w:hint="eastAsia"/>
          <w:b/>
          <w:bCs/>
          <w:rtl/>
        </w:rPr>
        <w:t>ארגונים</w:t>
      </w:r>
      <w:r w:rsidRPr="00A210E9">
        <w:rPr>
          <w:rFonts w:eastAsia="Calibri"/>
          <w:b/>
          <w:bCs/>
          <w:rtl/>
        </w:rPr>
        <w:t xml:space="preserve"> </w:t>
      </w:r>
      <w:r w:rsidRPr="00A210E9">
        <w:rPr>
          <w:rFonts w:eastAsia="Calibri" w:hint="eastAsia"/>
          <w:b/>
          <w:bCs/>
          <w:rtl/>
        </w:rPr>
        <w:t>המייצגים</w:t>
      </w:r>
      <w:r w:rsidRPr="00A210E9">
        <w:rPr>
          <w:rFonts w:eastAsia="Calibri"/>
          <w:b/>
          <w:bCs/>
          <w:rtl/>
        </w:rPr>
        <w:t xml:space="preserve"> </w:t>
      </w:r>
      <w:r w:rsidRPr="00A210E9">
        <w:rPr>
          <w:rFonts w:eastAsia="Calibri" w:hint="eastAsia"/>
          <w:b/>
          <w:bCs/>
          <w:rtl/>
        </w:rPr>
        <w:t>אנשים</w:t>
      </w:r>
      <w:r w:rsidRPr="00A210E9">
        <w:rPr>
          <w:rFonts w:eastAsia="Calibri"/>
          <w:b/>
          <w:bCs/>
          <w:rtl/>
        </w:rPr>
        <w:t xml:space="preserve"> </w:t>
      </w:r>
      <w:r w:rsidRPr="00A210E9">
        <w:rPr>
          <w:rFonts w:eastAsia="Calibri" w:hint="eastAsia"/>
          <w:b/>
          <w:bCs/>
          <w:rtl/>
        </w:rPr>
        <w:t>עם</w:t>
      </w:r>
      <w:r w:rsidRPr="00A210E9">
        <w:rPr>
          <w:rFonts w:eastAsia="Calibri"/>
          <w:b/>
          <w:bCs/>
          <w:rtl/>
        </w:rPr>
        <w:t xml:space="preserve"> </w:t>
      </w:r>
      <w:r w:rsidRPr="00A210E9">
        <w:rPr>
          <w:rFonts w:eastAsia="Calibri" w:hint="eastAsia"/>
          <w:b/>
          <w:bCs/>
          <w:rtl/>
        </w:rPr>
        <w:t>מוגבלויות</w:t>
      </w:r>
      <w:r w:rsidRPr="00A210E9">
        <w:rPr>
          <w:rFonts w:eastAsia="Calibri" w:hint="cs"/>
          <w:b/>
          <w:bCs/>
          <w:rtl/>
        </w:rPr>
        <w:t xml:space="preserve"> את הקריטריונים למתן תגי חניה בהתאם לצרכים האמיתיים.</w:t>
      </w:r>
    </w:p>
    <w:p w:rsidR="00A210E9" w:rsidRPr="00A210E9" w:rsidP="00A210E9">
      <w:pPr>
        <w:keepNext/>
        <w:keepLines/>
        <w:spacing w:line="269" w:lineRule="auto"/>
        <w:outlineLvl w:val="3"/>
        <w:rPr>
          <w:rFonts w:eastAsia="Times New Roman"/>
          <w:bCs/>
          <w:szCs w:val="26"/>
          <w:rtl/>
        </w:rPr>
      </w:pPr>
      <w:r w:rsidRPr="00A210E9">
        <w:rPr>
          <w:rFonts w:eastAsia="Times New Roman" w:hint="cs"/>
          <w:bCs/>
          <w:szCs w:val="26"/>
          <w:rtl/>
        </w:rPr>
        <w:t>הבחנה בין סוגי תגים</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אגף הרישוי מנפיק עבור אנשים עם מוגבלות שני סוגי תגים - תג רגיל ותג כיסא גלגלים</w:t>
      </w:r>
      <w:r>
        <w:rPr>
          <w:rFonts w:eastAsia="Calibri"/>
          <w:vertAlign w:val="superscript"/>
          <w:rtl/>
        </w:rPr>
        <w:footnoteReference w:id="47"/>
      </w:r>
      <w:r w:rsidRPr="00A210E9">
        <w:rPr>
          <w:rFonts w:eastAsia="Calibri" w:hint="cs"/>
          <w:rtl/>
        </w:rPr>
        <w:t>:</w:t>
      </w:r>
    </w:p>
    <w:p w:rsidR="00A210E9" w:rsidRPr="00A210E9" w:rsidP="00A210E9">
      <w:pPr>
        <w:spacing w:line="269" w:lineRule="auto"/>
        <w:rPr>
          <w:rFonts w:eastAsia="Calibri"/>
          <w:rtl/>
        </w:rPr>
      </w:pPr>
    </w:p>
    <w:p w:rsidR="00C21358">
      <w:pPr>
        <w:bidi w:val="0"/>
        <w:spacing w:after="200" w:line="276" w:lineRule="auto"/>
        <w:rPr>
          <w:rFonts w:eastAsia="Calibri"/>
          <w:rtl/>
        </w:rPr>
      </w:pPr>
      <w:r>
        <w:rPr>
          <w:rFonts w:eastAsia="Calibri"/>
          <w:rtl/>
        </w:rPr>
        <w:br w:type="page"/>
      </w:r>
    </w:p>
    <w:p w:rsidR="00A210E9" w:rsidRPr="00A210E9" w:rsidP="00A210E9">
      <w:pPr>
        <w:spacing w:line="269" w:lineRule="auto"/>
        <w:jc w:val="center"/>
        <w:rPr>
          <w:rFonts w:eastAsia="Calibri"/>
          <w:b/>
          <w:bCs/>
          <w:rtl/>
        </w:rPr>
      </w:pPr>
      <w:r w:rsidRPr="00A210E9">
        <w:rPr>
          <w:rFonts w:eastAsia="Calibri" w:hint="cs"/>
          <w:rtl/>
        </w:rPr>
        <w:t xml:space="preserve">תמונה 1: </w:t>
      </w:r>
      <w:r w:rsidRPr="00A210E9">
        <w:rPr>
          <w:rFonts w:eastAsia="Calibri" w:hint="cs"/>
          <w:b/>
          <w:bCs/>
          <w:rtl/>
        </w:rPr>
        <w:t>סוגי תגי חניה</w:t>
      </w:r>
    </w:p>
    <w:p w:rsidR="00A210E9" w:rsidRPr="00A210E9" w:rsidP="00A210E9">
      <w:pPr>
        <w:spacing w:line="269" w:lineRule="auto"/>
        <w:contextualSpacing/>
        <w:jc w:val="center"/>
        <w:rPr>
          <w:rFonts w:eastAsia="Calibri"/>
          <w:noProof/>
          <w:rtl/>
        </w:rPr>
      </w:pPr>
      <w:r w:rsidRPr="00A210E9">
        <w:rPr>
          <w:rFonts w:eastAsia="Calibri"/>
          <w:noProof/>
        </w:rPr>
        <w:drawing>
          <wp:inline distT="0" distB="0" distL="0" distR="0">
            <wp:extent cx="2099462" cy="1223260"/>
            <wp:effectExtent l="0" t="0" r="0" b="0"/>
            <wp:docPr id="12" name="תמונה 12" descr="מדינת ישראל / משרד התחבורה והבטיחות בדרכים&#10;STATE OF ISRAEL&#10;מדינת ישראל&#10;&#10;תג חניה לנכה&#10;PARKING CARD FOR DISABLED PERSONS&#10;&#10;מס' רכב: פרטי הרכב/ים מופיעים&#10;ברישיוני אגף הרישוי&#10;&#10;בתוקף מ:&#10;בתוקף עד:&#10;&#10;EXPIRY DATE:&#10;&#10;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26"/>
                    <a:stretch>
                      <a:fillRect/>
                    </a:stretch>
                  </pic:blipFill>
                  <pic:spPr>
                    <a:xfrm>
                      <a:off x="0" y="0"/>
                      <a:ext cx="2117380" cy="1233700"/>
                    </a:xfrm>
                    <a:prstGeom prst="rect">
                      <a:avLst/>
                    </a:prstGeom>
                  </pic:spPr>
                </pic:pic>
              </a:graphicData>
            </a:graphic>
          </wp:inline>
        </w:drawing>
      </w:r>
    </w:p>
    <w:p w:rsidR="00A210E9" w:rsidRPr="00A210E9" w:rsidP="00C21358">
      <w:pPr>
        <w:spacing w:after="120" w:line="269" w:lineRule="auto"/>
        <w:ind w:left="1440" w:firstLine="1056"/>
        <w:jc w:val="left"/>
        <w:rPr>
          <w:rFonts w:eastAsia="Calibri"/>
          <w:szCs w:val="20"/>
        </w:rPr>
      </w:pPr>
      <w:r w:rsidRPr="00A210E9">
        <w:rPr>
          <w:rFonts w:eastAsia="Calibri" w:hint="cs"/>
          <w:szCs w:val="20"/>
          <w:rtl/>
        </w:rPr>
        <w:t>תג רגיל (צד קדמי)</w:t>
      </w:r>
    </w:p>
    <w:p w:rsidR="00A210E9" w:rsidRPr="00A210E9" w:rsidP="00A210E9">
      <w:pPr>
        <w:spacing w:line="269" w:lineRule="auto"/>
        <w:contextualSpacing/>
        <w:jc w:val="center"/>
        <w:rPr>
          <w:rFonts w:eastAsia="Calibri"/>
          <w:rtl/>
        </w:rPr>
      </w:pPr>
      <w:r w:rsidRPr="00A210E9">
        <w:rPr>
          <w:rFonts w:eastAsia="Calibri"/>
          <w:noProof/>
        </w:rPr>
        <w:drawing>
          <wp:inline distT="0" distB="0" distL="0" distR="0">
            <wp:extent cx="2100399" cy="1391920"/>
            <wp:effectExtent l="0" t="0" r="0" b="0"/>
            <wp:docPr id="13" name="תמונה 13" descr="מדינת ישראל / משרד התחבורה והבטיחות בדרכים&#10;STATE OF ISRAEL&#10;מדינת ישראל&#10;&#10;תג חניה לנכה&#10;PARKING CARD FOR DISABLED PERSON&#10;&#10;ID No.&#10;מס' ת.ז.&#10;&#10;NAME&#10;ש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27"/>
                    <a:stretch>
                      <a:fillRect/>
                    </a:stretch>
                  </pic:blipFill>
                  <pic:spPr>
                    <a:xfrm>
                      <a:off x="0" y="0"/>
                      <a:ext cx="2122185" cy="1406357"/>
                    </a:xfrm>
                    <a:prstGeom prst="rect">
                      <a:avLst/>
                    </a:prstGeom>
                  </pic:spPr>
                </pic:pic>
              </a:graphicData>
            </a:graphic>
          </wp:inline>
        </w:drawing>
      </w:r>
    </w:p>
    <w:p w:rsidR="00A210E9" w:rsidRPr="00A210E9" w:rsidP="00C21358">
      <w:pPr>
        <w:spacing w:after="120" w:line="269" w:lineRule="auto"/>
        <w:ind w:left="1440" w:firstLine="1056"/>
        <w:jc w:val="left"/>
        <w:rPr>
          <w:rFonts w:eastAsia="Calibri"/>
          <w:szCs w:val="20"/>
        </w:rPr>
      </w:pPr>
      <w:r w:rsidRPr="00A210E9">
        <w:rPr>
          <w:rFonts w:eastAsia="Calibri" w:hint="cs"/>
          <w:szCs w:val="20"/>
          <w:rtl/>
        </w:rPr>
        <w:t>תג רגיל (צד אחורי)</w:t>
      </w:r>
    </w:p>
    <w:p w:rsidR="00A210E9" w:rsidRPr="00A210E9" w:rsidP="00A210E9">
      <w:pPr>
        <w:spacing w:line="269" w:lineRule="auto"/>
        <w:contextualSpacing/>
        <w:jc w:val="center"/>
        <w:rPr>
          <w:rFonts w:eastAsia="Calibri"/>
          <w:rtl/>
        </w:rPr>
      </w:pPr>
      <w:r w:rsidRPr="00A210E9">
        <w:rPr>
          <w:rFonts w:eastAsia="Calibri"/>
          <w:noProof/>
        </w:rPr>
        <w:drawing>
          <wp:inline distT="0" distB="0" distL="0" distR="0">
            <wp:extent cx="2074748" cy="1253798"/>
            <wp:effectExtent l="0" t="0" r="1905" b="3810"/>
            <wp:docPr id="26" name="תמונה 26" descr="מדינת ישראל / משרד התחבורה והבטיחות בדרכים&#10;STATE OF ISRAEL&#10;מדינת ישראל&#10;&#10;תג חניה לנכה&#10;PARKING CARD FOR DISABLED PERSONS&#10;&#10;מס' רכב: פרטי הרכב/ים מופיעים&#10;ברישיוני אגף הרישוי&#10;&#10;29.07.2020&#10;בתוקף מ:&#10;&#10;EXPIRY DATE:&#10;בתוקף עד:&#10;לצמיתות&#10;&#10;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rcRect l="2748" t="4700" r="1548" b="7797"/>
                    <a:stretch>
                      <a:fillRect/>
                    </a:stretch>
                  </pic:blipFill>
                  <pic:spPr bwMode="auto">
                    <a:xfrm>
                      <a:off x="0" y="0"/>
                      <a:ext cx="2102444" cy="127053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A210E9" w:rsidRPr="00A210E9" w:rsidP="00C21358">
      <w:pPr>
        <w:spacing w:after="120" w:line="269" w:lineRule="auto"/>
        <w:ind w:left="1440" w:firstLine="1056"/>
        <w:jc w:val="left"/>
        <w:rPr>
          <w:rFonts w:eastAsia="Calibri"/>
          <w:szCs w:val="20"/>
          <w:rtl/>
        </w:rPr>
      </w:pPr>
      <w:r w:rsidRPr="00A210E9">
        <w:rPr>
          <w:rFonts w:eastAsia="Calibri" w:hint="cs"/>
          <w:szCs w:val="20"/>
          <w:rtl/>
        </w:rPr>
        <w:t>תג כיסא גלגלים</w:t>
      </w:r>
      <w:r>
        <w:rPr>
          <w:rFonts w:eastAsia="Calibri"/>
          <w:vertAlign w:val="superscript"/>
          <w:rtl/>
        </w:rPr>
        <w:footnoteReference w:id="48"/>
      </w:r>
    </w:p>
    <w:p w:rsidR="00A210E9" w:rsidRPr="00A210E9" w:rsidP="008529F8">
      <w:pPr>
        <w:spacing w:before="120" w:line="269" w:lineRule="auto"/>
        <w:rPr>
          <w:rFonts w:eastAsia="Calibri"/>
          <w:szCs w:val="20"/>
        </w:rPr>
      </w:pPr>
      <w:r w:rsidRPr="00A210E9">
        <w:rPr>
          <w:rFonts w:eastAsia="Calibri" w:hint="cs"/>
          <w:szCs w:val="20"/>
          <w:rtl/>
        </w:rPr>
        <w:t>על פי צילומי תגי חניה, בעיבוד משרד מבקר המדינה.</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עם זאת, ב</w:t>
      </w:r>
      <w:r w:rsidRPr="00A210E9">
        <w:rPr>
          <w:rFonts w:eastAsia="Calibri"/>
          <w:rtl/>
        </w:rPr>
        <w:t xml:space="preserve">חוק חניה לנכים </w:t>
      </w:r>
      <w:r w:rsidRPr="00A210E9">
        <w:rPr>
          <w:rFonts w:eastAsia="Calibri" w:hint="cs"/>
          <w:rtl/>
        </w:rPr>
        <w:t xml:space="preserve">אין הבחנה </w:t>
      </w:r>
      <w:r w:rsidRPr="00A210E9">
        <w:rPr>
          <w:rFonts w:eastAsia="Calibri"/>
          <w:rtl/>
        </w:rPr>
        <w:t>בין סוגי התגים השונים</w:t>
      </w:r>
      <w:r>
        <w:rPr>
          <w:rFonts w:eastAsia="Calibri"/>
          <w:vertAlign w:val="superscript"/>
          <w:rtl/>
        </w:rPr>
        <w:footnoteReference w:id="49"/>
      </w:r>
      <w:r w:rsidRPr="00A210E9">
        <w:rPr>
          <w:rFonts w:eastAsia="Calibri" w:hint="cs"/>
          <w:rtl/>
        </w:rPr>
        <w:t xml:space="preserve"> הן מבחינת הזכאות והן מבחינת ההטבות הנלוות, וככל הנראה הנפקת שני סוגי תגים השתרשה ללא עיגון בחוק. בפועל, מבחינת הזכאות התבחין הברור היחיד לקבלת תג כיסא גלגלים הוא אדם עם מוגבלות הזכאי לקצבת ניידות עם מוגבלות בניידות בשיעור של 60% ומעלה המרותק לכיסא גלגלים</w:t>
      </w:r>
      <w:r>
        <w:rPr>
          <w:rFonts w:eastAsia="Calibri"/>
          <w:vertAlign w:val="superscript"/>
          <w:rtl/>
        </w:rPr>
        <w:footnoteReference w:id="50"/>
      </w:r>
      <w:r w:rsidRPr="00A210E9">
        <w:rPr>
          <w:rFonts w:eastAsia="Calibri" w:hint="cs"/>
          <w:rtl/>
        </w:rPr>
        <w:t xml:space="preserve">. </w:t>
      </w:r>
      <w:r w:rsidRPr="00A210E9">
        <w:rPr>
          <w:rFonts w:eastAsia="Calibri"/>
          <w:rtl/>
        </w:rPr>
        <w:t xml:space="preserve">בפועל, </w:t>
      </w:r>
      <w:r w:rsidRPr="00A210E9">
        <w:rPr>
          <w:rFonts w:eastAsia="Calibri" w:hint="cs"/>
          <w:rtl/>
        </w:rPr>
        <w:t xml:space="preserve">מבחינת ההטבות </w:t>
      </w:r>
      <w:r w:rsidRPr="00A210E9">
        <w:rPr>
          <w:rFonts w:eastAsia="Calibri"/>
          <w:rtl/>
        </w:rPr>
        <w:t xml:space="preserve">ההבדל היחיד </w:t>
      </w:r>
      <w:r w:rsidRPr="00A210E9">
        <w:rPr>
          <w:rFonts w:eastAsia="Calibri" w:hint="cs"/>
          <w:rtl/>
        </w:rPr>
        <w:t xml:space="preserve">שמוסדר בחיקוק </w:t>
      </w:r>
      <w:r w:rsidRPr="00A210E9">
        <w:rPr>
          <w:rFonts w:eastAsia="Calibri"/>
          <w:rtl/>
        </w:rPr>
        <w:t>בין התג הרגיל לתג כיסא גלגלים הוא הזכאות של מחזיקי תג כיסא גלגלים</w:t>
      </w:r>
      <w:r w:rsidRPr="00A210E9">
        <w:rPr>
          <w:rFonts w:eastAsia="Calibri" w:hint="cs"/>
          <w:rtl/>
        </w:rPr>
        <w:t xml:space="preserve"> משנת 2008 </w:t>
      </w:r>
      <w:r w:rsidRPr="00A210E9">
        <w:rPr>
          <w:rFonts w:eastAsia="Calibri"/>
          <w:rtl/>
        </w:rPr>
        <w:t>לנסוע בנתיבים המיועדים לתחבורה ציבורית (נת"צים)</w:t>
      </w:r>
      <w:r>
        <w:rPr>
          <w:rFonts w:eastAsia="Calibri"/>
          <w:vertAlign w:val="superscript"/>
          <w:rtl/>
        </w:rPr>
        <w:footnoteReference w:id="51"/>
      </w:r>
      <w:r w:rsidRPr="00A210E9">
        <w:rPr>
          <w:rFonts w:eastAsia="Calibri"/>
          <w:rtl/>
        </w:rPr>
        <w:t xml:space="preserve">. </w:t>
      </w:r>
      <w:r w:rsidRPr="00A210E9">
        <w:rPr>
          <w:rFonts w:eastAsia="Calibri" w:hint="cs"/>
          <w:rtl/>
        </w:rPr>
        <w:t>לא זו אף זו, אין הבחנה חוקית בין חניות נכים רגילות לבין חניות נכים המיועדות לבעלי רכב עם מעלון או מתקן הרמה לכיסא גלגלים (ראו להלן בהרחבה בפרק "הקצאת מקומות חניה לנכים ברשויות המקומיות").</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כבר לפני חקיקת חוק חניה לנכים ב-1993, וגם לאחריו, נושא ההבחנה בין סוגי התגים עלה לדיון ציבורי, והועלו טיעונים בעד ונגד הנפקת סוגי תגים שונים, אך בסופו של דבר הנושא לא הוגדר. להלן כמה דוגמאות:</w:t>
      </w:r>
    </w:p>
    <w:p w:rsidR="00A210E9" w:rsidRPr="00A210E9" w:rsidP="00A210E9">
      <w:pPr>
        <w:numPr>
          <w:ilvl w:val="0"/>
          <w:numId w:val="14"/>
        </w:numPr>
        <w:spacing w:line="269" w:lineRule="auto"/>
        <w:contextualSpacing/>
        <w:rPr>
          <w:rFonts w:eastAsia="Calibri"/>
          <w:sz w:val="24"/>
        </w:rPr>
      </w:pPr>
      <w:r w:rsidRPr="00A210E9">
        <w:rPr>
          <w:rFonts w:eastAsia="Calibri" w:hint="cs"/>
          <w:rtl/>
        </w:rPr>
        <w:t>בדיון של ועדת הפנים והסביבה של הכנסת, שדנה בשנת 1993 בהצעת חוק חניה לנכים, התשנ"ג-1992</w:t>
      </w:r>
      <w:r>
        <w:rPr>
          <w:rFonts w:eastAsia="Calibri"/>
          <w:vertAlign w:val="superscript"/>
          <w:rtl/>
        </w:rPr>
        <w:footnoteReference w:id="52"/>
      </w:r>
      <w:r w:rsidRPr="00A210E9">
        <w:rPr>
          <w:rFonts w:eastAsia="Calibri" w:hint="cs"/>
          <w:rtl/>
        </w:rPr>
        <w:t>, אמר יו"ר ארגון הנכים הכללי: "יש הרבה נכים שהם לא על כיסא גלגלים אבל ההליכה שלהם היא כל כך קשה שהייתי אומר שהם נכים יותר קשים מאשר נכה על כיסא גלגלים, לכן כשאנחנו מדברים פה על התו, הייתי מדבר על תו המשולש שזה מכסה את כולם".</w:t>
      </w:r>
    </w:p>
    <w:p w:rsidR="00A210E9" w:rsidRPr="00A210E9" w:rsidP="00A210E9">
      <w:pPr>
        <w:keepNext/>
        <w:keepLines/>
        <w:spacing w:line="269" w:lineRule="auto"/>
        <w:ind w:left="-567"/>
        <w:rPr>
          <w:rFonts w:eastAsia="Calibri"/>
          <w:szCs w:val="20"/>
        </w:rPr>
      </w:pPr>
    </w:p>
    <w:p w:rsidR="00A210E9" w:rsidRPr="00A210E9" w:rsidP="00A210E9">
      <w:pPr>
        <w:numPr>
          <w:ilvl w:val="0"/>
          <w:numId w:val="14"/>
        </w:numPr>
        <w:spacing w:line="269" w:lineRule="auto"/>
        <w:contextualSpacing/>
        <w:rPr>
          <w:rFonts w:eastAsia="Calibri"/>
          <w:sz w:val="24"/>
        </w:rPr>
      </w:pPr>
      <w:r w:rsidRPr="00A210E9">
        <w:rPr>
          <w:rFonts w:eastAsia="Calibri" w:hint="cs"/>
          <w:rtl/>
        </w:rPr>
        <w:t>בוועדת הכלכלה של הכנסת שדנה בשנת 2000 בתיקון לחוק ציין נציג של ארגוני אנשים עם מוגבלות כי "</w:t>
      </w:r>
      <w:r w:rsidRPr="00A210E9">
        <w:rPr>
          <w:rFonts w:eastAsia="Calibri"/>
          <w:sz w:val="24"/>
          <w:rtl/>
        </w:rPr>
        <w:t xml:space="preserve">צריך להבדיל בין </w:t>
      </w:r>
      <w:r w:rsidRPr="00A210E9">
        <w:rPr>
          <w:rFonts w:eastAsia="Calibri" w:hint="cs"/>
          <w:sz w:val="24"/>
          <w:rtl/>
        </w:rPr>
        <w:t>נכים</w:t>
      </w:r>
      <w:r w:rsidRPr="00A210E9">
        <w:rPr>
          <w:rFonts w:eastAsia="Calibri"/>
          <w:sz w:val="24"/>
          <w:rtl/>
        </w:rPr>
        <w:t xml:space="preserve"> צמודים לכיסאות גלגלים לבין </w:t>
      </w:r>
      <w:r w:rsidRPr="00A210E9">
        <w:rPr>
          <w:rFonts w:eastAsia="Calibri" w:hint="cs"/>
          <w:sz w:val="24"/>
          <w:rtl/>
        </w:rPr>
        <w:t xml:space="preserve">נכים </w:t>
      </w:r>
      <w:r w:rsidRPr="00A210E9">
        <w:rPr>
          <w:rFonts w:eastAsia="Calibri"/>
          <w:sz w:val="24"/>
          <w:rtl/>
        </w:rPr>
        <w:t>בלי כסאות גלגלים</w:t>
      </w:r>
      <w:r w:rsidRPr="00A210E9">
        <w:rPr>
          <w:rFonts w:eastAsia="Calibri" w:hint="cs"/>
          <w:sz w:val="24"/>
          <w:rtl/>
        </w:rPr>
        <w:t>".</w:t>
      </w:r>
      <w:r w:rsidRPr="00A210E9">
        <w:rPr>
          <w:rFonts w:eastAsia="Calibri"/>
          <w:sz w:val="24"/>
          <w:rtl/>
        </w:rPr>
        <w:t xml:space="preserve"> </w:t>
      </w:r>
    </w:p>
    <w:p w:rsidR="00A210E9" w:rsidRPr="00A210E9" w:rsidP="00A210E9">
      <w:pPr>
        <w:keepNext/>
        <w:keepLines/>
        <w:spacing w:line="269" w:lineRule="auto"/>
        <w:ind w:left="-567"/>
        <w:rPr>
          <w:rFonts w:eastAsia="Calibri"/>
          <w:szCs w:val="20"/>
          <w:rtl/>
        </w:rPr>
      </w:pPr>
    </w:p>
    <w:p w:rsidR="00A210E9" w:rsidRPr="00A210E9" w:rsidP="00A210E9">
      <w:pPr>
        <w:numPr>
          <w:ilvl w:val="0"/>
          <w:numId w:val="14"/>
        </w:numPr>
        <w:spacing w:line="269" w:lineRule="auto"/>
        <w:contextualSpacing/>
        <w:rPr>
          <w:rFonts w:eastAsia="Calibri"/>
        </w:rPr>
      </w:pPr>
      <w:r w:rsidRPr="00A210E9">
        <w:rPr>
          <w:rFonts w:eastAsia="Calibri" w:hint="cs"/>
          <w:rtl/>
        </w:rPr>
        <w:t>בפסק דין בבקשה לאישור הגשת תובענה ייצוגית שנדונה ונדחתה בבית המשפט המחוזי בתל אביב שניתן בשנת 2015 (יעקב זכאי נ' אחוזות החוף בע"מ</w:t>
      </w:r>
      <w:r>
        <w:rPr>
          <w:rFonts w:eastAsia="Calibri"/>
          <w:vertAlign w:val="superscript"/>
          <w:rtl/>
        </w:rPr>
        <w:footnoteReference w:id="53"/>
      </w:r>
      <w:r w:rsidRPr="00A210E9">
        <w:rPr>
          <w:rFonts w:eastAsia="Calibri" w:hint="cs"/>
          <w:rtl/>
        </w:rPr>
        <w:t>) הביעה השופטת בתביעה את עמדתה כי: "...</w:t>
      </w:r>
      <w:r w:rsidRPr="00A210E9">
        <w:rPr>
          <w:rFonts w:eastAsia="Calibri"/>
          <w:rtl/>
        </w:rPr>
        <w:t xml:space="preserve">מבלי להמעיט מחומרת נכותם של </w:t>
      </w:r>
      <w:r w:rsidRPr="00A210E9">
        <w:rPr>
          <w:rFonts w:eastAsia="Calibri" w:hint="cs"/>
          <w:rtl/>
        </w:rPr>
        <w:t>נכים</w:t>
      </w:r>
      <w:r w:rsidRPr="00A210E9">
        <w:rPr>
          <w:rFonts w:eastAsia="Calibri"/>
          <w:rtl/>
        </w:rPr>
        <w:t xml:space="preserve"> בעלי תג "רגיל", קיים שוני ברור בינם לבין בעלי תג "עגלה", ולכן</w:t>
      </w:r>
      <w:r w:rsidRPr="00A210E9">
        <w:rPr>
          <w:rFonts w:eastAsia="Calibri" w:hint="cs"/>
          <w:rtl/>
        </w:rPr>
        <w:t xml:space="preserve"> </w:t>
      </w:r>
      <w:r w:rsidRPr="00A210E9">
        <w:rPr>
          <w:rFonts w:eastAsia="Calibri"/>
          <w:rtl/>
        </w:rPr>
        <w:t xml:space="preserve">המדיניות בה נקטה המשיבה, כאשר אפשרה לפנים משורת הדין </w:t>
      </w:r>
      <w:r w:rsidRPr="00A210E9">
        <w:rPr>
          <w:rFonts w:eastAsia="Calibri" w:hint="cs"/>
          <w:rtl/>
        </w:rPr>
        <w:t>לנכים</w:t>
      </w:r>
      <w:r w:rsidRPr="00A210E9">
        <w:rPr>
          <w:rFonts w:eastAsia="Calibri"/>
          <w:rtl/>
        </w:rPr>
        <w:t xml:space="preserve"> בעלי תג "עגלה" לחנות חינם בחניוניה - היא</w:t>
      </w:r>
      <w:r w:rsidRPr="00A210E9">
        <w:rPr>
          <w:rFonts w:eastAsia="Calibri" w:hint="cs"/>
          <w:rtl/>
        </w:rPr>
        <w:t xml:space="preserve"> </w:t>
      </w:r>
      <w:r w:rsidRPr="00A210E9">
        <w:rPr>
          <w:rFonts w:eastAsia="Calibri"/>
          <w:rtl/>
        </w:rPr>
        <w:t>מדיניות סבירה ואין לראותה כאפליה פסולה, העומדת בניגוד להוראות חוק שוויון זכויות</w:t>
      </w:r>
      <w:r w:rsidRPr="00A210E9">
        <w:rPr>
          <w:rFonts w:eastAsia="Calibri" w:hint="cs"/>
          <w:rtl/>
        </w:rPr>
        <w:t xml:space="preserve">". </w:t>
      </w:r>
    </w:p>
    <w:p w:rsidR="00A210E9" w:rsidRPr="00A210E9" w:rsidP="00A210E9">
      <w:pPr>
        <w:numPr>
          <w:ilvl w:val="0"/>
          <w:numId w:val="14"/>
        </w:numPr>
        <w:spacing w:line="269" w:lineRule="auto"/>
        <w:contextualSpacing/>
        <w:rPr>
          <w:rFonts w:eastAsia="Calibri"/>
        </w:rPr>
      </w:pPr>
      <w:r w:rsidRPr="00A210E9">
        <w:rPr>
          <w:rFonts w:eastAsia="Calibri" w:hint="cs"/>
          <w:rtl/>
        </w:rPr>
        <w:t>בעתירה מינהלית לבית המשפט העליון</w:t>
      </w:r>
      <w:r>
        <w:rPr>
          <w:rFonts w:eastAsia="Calibri"/>
          <w:vertAlign w:val="superscript"/>
          <w:rtl/>
        </w:rPr>
        <w:footnoteReference w:id="54"/>
      </w:r>
      <w:r w:rsidRPr="00A210E9">
        <w:rPr>
          <w:rFonts w:eastAsia="Calibri" w:hint="cs"/>
          <w:rtl/>
        </w:rPr>
        <w:t xml:space="preserve"> שנדונה בשנת 2012 בעתירה של עמותת נגישות ישראל נגד משרד התחבורה,</w:t>
      </w:r>
      <w:r w:rsidRPr="00A210E9">
        <w:rPr>
          <w:rFonts w:eastAsia="Calibri" w:hint="cs"/>
        </w:rPr>
        <w:t xml:space="preserve"> </w:t>
      </w:r>
      <w:r w:rsidRPr="00A210E9">
        <w:rPr>
          <w:rFonts w:eastAsia="Calibri" w:hint="cs"/>
          <w:rtl/>
        </w:rPr>
        <w:t>ציין בית המשפט כי בתגובת משרד התחבורה צוין ש "</w:t>
      </w:r>
      <w:r w:rsidRPr="00A210E9">
        <w:rPr>
          <w:rFonts w:eastAsia="Calibri"/>
          <w:rtl/>
        </w:rPr>
        <w:t>הסוגים השונים של התגים אומנם היקנו זכויות</w:t>
      </w:r>
      <w:r w:rsidRPr="00A210E9">
        <w:rPr>
          <w:rFonts w:eastAsia="Calibri" w:hint="cs"/>
          <w:rtl/>
        </w:rPr>
        <w:t xml:space="preserve"> </w:t>
      </w:r>
      <w:r w:rsidRPr="00A210E9">
        <w:rPr>
          <w:rFonts w:eastAsia="Calibri"/>
          <w:rtl/>
        </w:rPr>
        <w:t>שונות בכל הנוגע לחניית נכים</w:t>
      </w:r>
      <w:r w:rsidRPr="00A210E9">
        <w:rPr>
          <w:rFonts w:eastAsia="Calibri" w:hint="cs"/>
          <w:rtl/>
        </w:rPr>
        <w:t>" וכי "...</w:t>
      </w:r>
      <w:r w:rsidRPr="00A210E9">
        <w:rPr>
          <w:rFonts w:eastAsia="Calibri"/>
          <w:rtl/>
        </w:rPr>
        <w:t>הגם שבעבר הונפקו סוגים שונים של תגים</w:t>
      </w:r>
      <w:r w:rsidRPr="00A210E9">
        <w:rPr>
          <w:rFonts w:eastAsia="Calibri" w:hint="cs"/>
          <w:rtl/>
        </w:rPr>
        <w:t xml:space="preserve"> [על ידי המדינה]</w:t>
      </w:r>
      <w:r w:rsidRPr="00A210E9">
        <w:rPr>
          <w:rFonts w:eastAsia="Calibri"/>
          <w:rtl/>
        </w:rPr>
        <w:t>, הרי מעתה ואילך לא תוקנינה זכויות שונות לבעלי התגים השונים</w:t>
      </w:r>
      <w:r w:rsidRPr="00A210E9">
        <w:rPr>
          <w:rFonts w:eastAsia="Calibri" w:hint="cs"/>
          <w:rtl/>
        </w:rPr>
        <w:t xml:space="preserve">...", וכי "[נציגי המדינה] </w:t>
      </w:r>
      <w:r w:rsidRPr="00A210E9">
        <w:rPr>
          <w:rFonts w:eastAsia="Calibri"/>
          <w:rtl/>
        </w:rPr>
        <w:t xml:space="preserve">מאשרים כי יש צורך להביא שינויים בחקיקה בכל הנוגע להסדרת הזכויות של </w:t>
      </w:r>
      <w:r w:rsidRPr="00A210E9">
        <w:rPr>
          <w:rFonts w:eastAsia="Calibri" w:hint="cs"/>
          <w:sz w:val="24"/>
          <w:rtl/>
        </w:rPr>
        <w:t xml:space="preserve">נכים </w:t>
      </w:r>
      <w:r w:rsidRPr="00A210E9">
        <w:rPr>
          <w:rFonts w:eastAsia="Calibri"/>
          <w:rtl/>
        </w:rPr>
        <w:t>באשר לחניה</w:t>
      </w:r>
      <w:r w:rsidRPr="00A210E9">
        <w:rPr>
          <w:rFonts w:eastAsia="Calibri" w:hint="cs"/>
          <w:rtl/>
        </w:rPr>
        <w:t>". בשל כך התייתרה אותה עתירה ובית המשפט מחק אותה (ראו פירוט נוסף בפרק "הקצאת מקומות חניה ל</w:t>
      </w:r>
      <w:r w:rsidRPr="00A210E9">
        <w:rPr>
          <w:rFonts w:eastAsia="Calibri" w:hint="cs"/>
          <w:sz w:val="24"/>
          <w:rtl/>
        </w:rPr>
        <w:t>אנשים עם מוגבלות</w:t>
      </w:r>
      <w:r w:rsidRPr="00A210E9">
        <w:rPr>
          <w:rFonts w:eastAsia="Calibri"/>
          <w:sz w:val="24"/>
          <w:rtl/>
        </w:rPr>
        <w:t xml:space="preserve"> </w:t>
      </w:r>
      <w:r w:rsidRPr="00A210E9">
        <w:rPr>
          <w:rFonts w:eastAsia="Calibri" w:hint="cs"/>
          <w:rtl/>
        </w:rPr>
        <w:t>ברשויות המקומיות").</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eastAsia"/>
          <w:b/>
          <w:bCs/>
          <w:rtl/>
        </w:rPr>
        <w:t>עד</w:t>
      </w:r>
      <w:r w:rsidRPr="00A210E9">
        <w:rPr>
          <w:rFonts w:eastAsia="Calibri"/>
          <w:b/>
          <w:bCs/>
          <w:rtl/>
        </w:rPr>
        <w:t xml:space="preserve"> </w:t>
      </w:r>
      <w:r w:rsidRPr="00A210E9">
        <w:rPr>
          <w:rFonts w:eastAsia="Calibri" w:hint="eastAsia"/>
          <w:b/>
          <w:bCs/>
          <w:rtl/>
        </w:rPr>
        <w:t>תחילת</w:t>
      </w:r>
      <w:r w:rsidRPr="00A210E9">
        <w:rPr>
          <w:rFonts w:eastAsia="Calibri"/>
          <w:b/>
          <w:bCs/>
          <w:rtl/>
        </w:rPr>
        <w:t xml:space="preserve"> 2025 </w:t>
      </w:r>
      <w:r w:rsidRPr="00A210E9">
        <w:rPr>
          <w:rFonts w:eastAsia="Calibri" w:hint="eastAsia"/>
          <w:b/>
          <w:bCs/>
          <w:rtl/>
        </w:rPr>
        <w:t>המשיך</w:t>
      </w:r>
      <w:r w:rsidRPr="00A210E9">
        <w:rPr>
          <w:rFonts w:eastAsia="Calibri"/>
          <w:b/>
          <w:bCs/>
          <w:rtl/>
        </w:rPr>
        <w:t xml:space="preserve"> </w:t>
      </w:r>
      <w:r w:rsidRPr="00A210E9">
        <w:rPr>
          <w:rFonts w:eastAsia="Calibri" w:hint="eastAsia"/>
          <w:b/>
          <w:bCs/>
          <w:rtl/>
        </w:rPr>
        <w:t>משרד</w:t>
      </w:r>
      <w:r w:rsidRPr="00A210E9">
        <w:rPr>
          <w:rFonts w:eastAsia="Calibri"/>
          <w:b/>
          <w:bCs/>
          <w:rtl/>
        </w:rPr>
        <w:t xml:space="preserve"> </w:t>
      </w:r>
      <w:r w:rsidRPr="00A210E9">
        <w:rPr>
          <w:rFonts w:eastAsia="Calibri" w:hint="eastAsia"/>
          <w:b/>
          <w:bCs/>
          <w:rtl/>
        </w:rPr>
        <w:t>התחבורה</w:t>
      </w:r>
      <w:r w:rsidRPr="00A210E9">
        <w:rPr>
          <w:rFonts w:eastAsia="Calibri"/>
          <w:b/>
          <w:bCs/>
          <w:rtl/>
        </w:rPr>
        <w:t xml:space="preserve"> </w:t>
      </w:r>
      <w:r w:rsidRPr="00A210E9">
        <w:rPr>
          <w:rFonts w:eastAsia="Calibri" w:hint="eastAsia"/>
          <w:b/>
          <w:bCs/>
          <w:rtl/>
        </w:rPr>
        <w:t>להנפיק</w:t>
      </w:r>
      <w:r w:rsidRPr="00A210E9">
        <w:rPr>
          <w:rFonts w:eastAsia="Calibri"/>
          <w:b/>
          <w:bCs/>
          <w:rtl/>
        </w:rPr>
        <w:t xml:space="preserve"> </w:t>
      </w:r>
      <w:r w:rsidRPr="00A210E9">
        <w:rPr>
          <w:rFonts w:eastAsia="Calibri" w:hint="eastAsia"/>
          <w:b/>
          <w:bCs/>
          <w:rtl/>
        </w:rPr>
        <w:t>סוגים</w:t>
      </w:r>
      <w:r w:rsidRPr="00A210E9">
        <w:rPr>
          <w:rFonts w:eastAsia="Calibri"/>
          <w:b/>
          <w:bCs/>
          <w:rtl/>
        </w:rPr>
        <w:t xml:space="preserve"> </w:t>
      </w:r>
      <w:r w:rsidRPr="00A210E9">
        <w:rPr>
          <w:rFonts w:eastAsia="Calibri" w:hint="eastAsia"/>
          <w:b/>
          <w:bCs/>
          <w:rtl/>
        </w:rPr>
        <w:t>שונים</w:t>
      </w:r>
      <w:r w:rsidRPr="00A210E9">
        <w:rPr>
          <w:rFonts w:eastAsia="Calibri"/>
          <w:b/>
          <w:bCs/>
          <w:rtl/>
        </w:rPr>
        <w:t xml:space="preserve"> </w:t>
      </w:r>
      <w:r w:rsidRPr="00A210E9">
        <w:rPr>
          <w:rFonts w:eastAsia="Calibri" w:hint="eastAsia"/>
          <w:b/>
          <w:bCs/>
          <w:rtl/>
        </w:rPr>
        <w:t>של</w:t>
      </w:r>
      <w:r w:rsidRPr="00A210E9">
        <w:rPr>
          <w:rFonts w:eastAsia="Calibri"/>
          <w:b/>
          <w:bCs/>
          <w:rtl/>
        </w:rPr>
        <w:t xml:space="preserve"> </w:t>
      </w:r>
      <w:r w:rsidRPr="00A210E9">
        <w:rPr>
          <w:rFonts w:eastAsia="Calibri" w:hint="eastAsia"/>
          <w:b/>
          <w:bCs/>
          <w:rtl/>
        </w:rPr>
        <w:t>תגי</w:t>
      </w:r>
      <w:r w:rsidRPr="00A210E9">
        <w:rPr>
          <w:rFonts w:eastAsia="Calibri"/>
          <w:b/>
          <w:bCs/>
          <w:rtl/>
        </w:rPr>
        <w:t xml:space="preserve"> </w:t>
      </w:r>
      <w:r w:rsidRPr="00A210E9">
        <w:rPr>
          <w:rFonts w:eastAsia="Calibri" w:hint="eastAsia"/>
          <w:b/>
          <w:bCs/>
          <w:rtl/>
        </w:rPr>
        <w:t>חניה</w:t>
      </w:r>
      <w:r w:rsidRPr="00A210E9">
        <w:rPr>
          <w:rFonts w:eastAsia="Calibri"/>
          <w:b/>
          <w:bCs/>
          <w:rtl/>
        </w:rPr>
        <w:t>, אך במהלך שנה זו החל המשרד לאשר תג כיסא גלגלים רק למי ש</w:t>
      </w:r>
      <w:r w:rsidRPr="00A210E9">
        <w:rPr>
          <w:rFonts w:eastAsia="Calibri" w:hint="eastAsia"/>
          <w:b/>
          <w:bCs/>
          <w:rtl/>
        </w:rPr>
        <w:t>ממציא</w:t>
      </w:r>
      <w:r w:rsidRPr="00A210E9">
        <w:rPr>
          <w:rFonts w:eastAsia="Calibri"/>
          <w:b/>
          <w:bCs/>
          <w:rtl/>
        </w:rPr>
        <w:t xml:space="preserve"> </w:t>
      </w:r>
      <w:r w:rsidRPr="00A210E9">
        <w:rPr>
          <w:rFonts w:eastAsia="Calibri" w:hint="eastAsia"/>
          <w:b/>
          <w:bCs/>
          <w:rtl/>
        </w:rPr>
        <w:t>אישור</w:t>
      </w:r>
      <w:r w:rsidRPr="00A210E9">
        <w:rPr>
          <w:rFonts w:eastAsia="Calibri"/>
          <w:b/>
          <w:bCs/>
          <w:rtl/>
        </w:rPr>
        <w:t xml:space="preserve"> מהביטוח הלאומי או </w:t>
      </w:r>
      <w:r w:rsidRPr="00A210E9">
        <w:rPr>
          <w:rFonts w:eastAsia="Calibri" w:hint="eastAsia"/>
          <w:b/>
          <w:bCs/>
          <w:rtl/>
        </w:rPr>
        <w:t>מאגף</w:t>
      </w:r>
      <w:r w:rsidRPr="00A210E9">
        <w:rPr>
          <w:rFonts w:eastAsia="Calibri"/>
          <w:b/>
          <w:bCs/>
          <w:rtl/>
        </w:rPr>
        <w:t xml:space="preserve"> </w:t>
      </w:r>
      <w:r w:rsidRPr="00A210E9">
        <w:rPr>
          <w:rFonts w:eastAsia="Calibri" w:hint="eastAsia"/>
          <w:b/>
          <w:bCs/>
          <w:rtl/>
        </w:rPr>
        <w:t>השיקום</w:t>
      </w:r>
      <w:r w:rsidRPr="00A210E9">
        <w:rPr>
          <w:rFonts w:eastAsia="Calibri"/>
          <w:b/>
          <w:bCs/>
          <w:rtl/>
        </w:rPr>
        <w:t xml:space="preserve"> </w:t>
      </w:r>
      <w:r w:rsidRPr="00A210E9">
        <w:rPr>
          <w:rFonts w:eastAsia="Calibri" w:hint="eastAsia"/>
          <w:b/>
          <w:bCs/>
          <w:rtl/>
        </w:rPr>
        <w:t>שהוא</w:t>
      </w:r>
      <w:r w:rsidRPr="00A210E9">
        <w:rPr>
          <w:rFonts w:eastAsia="Calibri"/>
          <w:b/>
          <w:bCs/>
          <w:rtl/>
        </w:rPr>
        <w:t xml:space="preserve"> </w:t>
      </w:r>
      <w:r w:rsidRPr="00A210E9">
        <w:rPr>
          <w:rFonts w:eastAsia="Calibri" w:hint="eastAsia"/>
          <w:b/>
          <w:bCs/>
          <w:rtl/>
        </w:rPr>
        <w:t>מרותק</w:t>
      </w:r>
      <w:r w:rsidRPr="00A210E9">
        <w:rPr>
          <w:rFonts w:eastAsia="Calibri"/>
          <w:b/>
          <w:bCs/>
          <w:rtl/>
        </w:rPr>
        <w:t xml:space="preserve"> </w:t>
      </w:r>
      <w:r w:rsidRPr="00A210E9">
        <w:rPr>
          <w:rFonts w:eastAsia="Calibri" w:hint="eastAsia"/>
          <w:b/>
          <w:bCs/>
          <w:rtl/>
        </w:rPr>
        <w:t>לכיסא</w:t>
      </w:r>
      <w:r w:rsidRPr="00A210E9">
        <w:rPr>
          <w:rFonts w:eastAsia="Calibri"/>
          <w:b/>
          <w:bCs/>
          <w:rtl/>
        </w:rPr>
        <w:t xml:space="preserve"> גלגלים.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eastAsia"/>
          <w:rtl/>
        </w:rPr>
        <w:t>מש</w:t>
      </w:r>
      <w:r w:rsidRPr="00A210E9">
        <w:rPr>
          <w:rFonts w:eastAsia="Calibri"/>
          <w:rtl/>
        </w:rPr>
        <w:t xml:space="preserve">"ם כתב בתשובתו ממאי 2026 (להלן - תשובת </w:t>
      </w:r>
      <w:r w:rsidRPr="00A210E9">
        <w:rPr>
          <w:rFonts w:eastAsia="Calibri" w:hint="eastAsia"/>
          <w:rtl/>
        </w:rPr>
        <w:t>מש</w:t>
      </w:r>
      <w:r w:rsidRPr="00A210E9">
        <w:rPr>
          <w:rFonts w:eastAsia="Calibri"/>
          <w:rtl/>
        </w:rPr>
        <w:t>"ם) כי ריבוי התגים ואי</w:t>
      </w:r>
      <w:r w:rsidRPr="00A210E9">
        <w:rPr>
          <w:rFonts w:eastAsia="Calibri" w:hint="cs"/>
          <w:rtl/>
        </w:rPr>
        <w:t>-ההבחנה</w:t>
      </w:r>
      <w:r w:rsidRPr="00A210E9">
        <w:rPr>
          <w:rFonts w:eastAsia="Calibri"/>
          <w:rtl/>
        </w:rPr>
        <w:t xml:space="preserve"> בין סוגי התגים </w:t>
      </w:r>
      <w:r w:rsidRPr="00A210E9">
        <w:rPr>
          <w:rFonts w:eastAsia="Calibri" w:hint="cs"/>
          <w:rtl/>
        </w:rPr>
        <w:t xml:space="preserve">של הרכבים </w:t>
      </w:r>
      <w:r w:rsidRPr="00A210E9">
        <w:rPr>
          <w:rFonts w:eastAsia="Calibri"/>
          <w:rtl/>
        </w:rPr>
        <w:t xml:space="preserve">הרשאים לחנות בכל </w:t>
      </w:r>
      <w:r w:rsidRPr="00A210E9">
        <w:rPr>
          <w:rFonts w:eastAsia="Calibri" w:hint="eastAsia"/>
          <w:rtl/>
        </w:rPr>
        <w:t>סוג</w:t>
      </w:r>
      <w:r w:rsidRPr="00A210E9">
        <w:rPr>
          <w:rFonts w:eastAsia="Calibri"/>
          <w:rtl/>
        </w:rPr>
        <w:t xml:space="preserve"> חניה פוגע במשאב הציבורי וביכולת הרשויות המקומיות לאסדר אותו, ו</w:t>
      </w:r>
      <w:r w:rsidRPr="00A210E9">
        <w:rPr>
          <w:rFonts w:eastAsia="Calibri" w:hint="cs"/>
          <w:rtl/>
        </w:rPr>
        <w:t xml:space="preserve">כי הדבר </w:t>
      </w:r>
      <w:r w:rsidRPr="00A210E9">
        <w:rPr>
          <w:rFonts w:eastAsia="Calibri"/>
          <w:rtl/>
        </w:rPr>
        <w:t>אינו מיטיב עם האוכלוסי</w:t>
      </w:r>
      <w:r w:rsidRPr="00A210E9">
        <w:rPr>
          <w:rFonts w:eastAsia="Calibri" w:hint="eastAsia"/>
          <w:rtl/>
        </w:rPr>
        <w:t>י</w:t>
      </w:r>
      <w:r w:rsidRPr="00A210E9">
        <w:rPr>
          <w:rFonts w:eastAsia="Calibri"/>
          <w:rtl/>
        </w:rPr>
        <w:t>ה שבאמת זקוקה לחניות הנכים.</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 xml:space="preserve">נמצא כי עד 2025 הנפיק אגף הרישוי בפועל שני סוגי תגים עבור אנשים עם מוגבלות - תג רגיל ותג כיסא גלגלים, אולם בחוק חניה לנכים אין הבדל בין הקריטריונים לזכאות וההטבות הנלוות לכל אחד משני סוגי התגים. </w:t>
      </w:r>
      <w:r w:rsidRPr="00A210E9">
        <w:rPr>
          <w:rFonts w:eastAsia="Calibri"/>
          <w:b/>
          <w:bCs/>
          <w:rtl/>
        </w:rPr>
        <w:t xml:space="preserve">בפועל, ההבדל היחיד </w:t>
      </w:r>
      <w:r w:rsidRPr="00A210E9">
        <w:rPr>
          <w:rFonts w:eastAsia="Calibri" w:hint="cs"/>
          <w:b/>
          <w:bCs/>
          <w:rtl/>
        </w:rPr>
        <w:t xml:space="preserve">בהטבות שמקנים שני סוגי התגים האמורים </w:t>
      </w:r>
      <w:r w:rsidRPr="00A210E9">
        <w:rPr>
          <w:rFonts w:eastAsia="Calibri"/>
          <w:b/>
          <w:bCs/>
          <w:rtl/>
        </w:rPr>
        <w:t>הוא הזכאות של מחזיקי תג כיסא גלגלים</w:t>
      </w:r>
      <w:r w:rsidRPr="00A210E9">
        <w:rPr>
          <w:rFonts w:eastAsia="Calibri" w:hint="cs"/>
          <w:b/>
          <w:bCs/>
          <w:rtl/>
        </w:rPr>
        <w:t xml:space="preserve"> </w:t>
      </w:r>
      <w:r w:rsidRPr="00A210E9">
        <w:rPr>
          <w:rFonts w:eastAsia="Calibri"/>
          <w:b/>
          <w:bCs/>
          <w:rtl/>
        </w:rPr>
        <w:t>לנסוע בנתיבים המיועדים לתחבורה ציבורית</w:t>
      </w:r>
      <w:r w:rsidRPr="00A210E9">
        <w:rPr>
          <w:rFonts w:eastAsia="Calibri" w:hint="cs"/>
          <w:b/>
          <w:bCs/>
          <w:rtl/>
        </w:rPr>
        <w:t>. אף שהצורך בהסדרה עלה לאורך שלושה עשורים, ובא לידי ביטוי גם בהליכים משפטיים נגד המדינה, לא הסדיר משרד התחבורה את הנושא.</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eastAsia"/>
          <w:b/>
          <w:bCs/>
          <w:rtl/>
        </w:rPr>
        <w:t>מומלץ</w:t>
      </w:r>
      <w:r w:rsidRPr="00A210E9">
        <w:rPr>
          <w:rFonts w:eastAsia="Calibri"/>
          <w:b/>
          <w:bCs/>
          <w:rtl/>
        </w:rPr>
        <w:t xml:space="preserve"> </w:t>
      </w:r>
      <w:r w:rsidRPr="00A210E9">
        <w:rPr>
          <w:rFonts w:eastAsia="Calibri" w:hint="eastAsia"/>
          <w:b/>
          <w:bCs/>
          <w:rtl/>
        </w:rPr>
        <w:t>ל</w:t>
      </w:r>
      <w:r w:rsidRPr="00A210E9">
        <w:rPr>
          <w:rFonts w:eastAsia="Calibri" w:hint="cs"/>
          <w:b/>
          <w:bCs/>
          <w:rtl/>
        </w:rPr>
        <w:t>משרד התחבורה להסדיר את סוגיית התגים השונים, בשיתוף נציבות שוויון זכויות, הן מבחינת תבחיני הזכאות והן מבחינת ההטבות הנלוות להם, באופן שיאזן בין השיקולים השונים ובשים לב לקשיים שאנשים עם מוגבלויות שונות מתמודדים עימם.</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משרד התחבורה כתב בתשובתו כי הוא </w:t>
      </w:r>
      <w:r w:rsidRPr="00A210E9">
        <w:rPr>
          <w:rFonts w:eastAsia="Calibri"/>
          <w:rtl/>
        </w:rPr>
        <w:t xml:space="preserve">נכון לבחון </w:t>
      </w:r>
      <w:r w:rsidRPr="00A210E9">
        <w:rPr>
          <w:rFonts w:eastAsia="Calibri" w:hint="cs"/>
          <w:rtl/>
        </w:rPr>
        <w:t>ב</w:t>
      </w:r>
      <w:r w:rsidRPr="00A210E9">
        <w:rPr>
          <w:rFonts w:eastAsia="Calibri"/>
          <w:rtl/>
        </w:rPr>
        <w:t>מסגרת ההסדרה הכוללת גם את סוגיית</w:t>
      </w:r>
      <w:r w:rsidRPr="00A210E9">
        <w:rPr>
          <w:rFonts w:eastAsia="Calibri" w:hint="cs"/>
          <w:rtl/>
        </w:rPr>
        <w:t xml:space="preserve"> </w:t>
      </w:r>
      <w:r w:rsidRPr="00A210E9">
        <w:rPr>
          <w:rFonts w:eastAsia="Calibri"/>
          <w:rtl/>
        </w:rPr>
        <w:t>סוגי התגים, ובכלל זה את הצורך בהסדרה נוספת</w:t>
      </w:r>
      <w:r w:rsidRPr="00A210E9">
        <w:rPr>
          <w:rFonts w:eastAsia="Calibri" w:hint="cs"/>
          <w:rtl/>
        </w:rPr>
        <w:t xml:space="preserve">. </w:t>
      </w:r>
    </w:p>
    <w:p w:rsidR="00A210E9" w:rsidRPr="00A210E9" w:rsidP="00A210E9">
      <w:pPr>
        <w:spacing w:line="269" w:lineRule="auto"/>
        <w:rPr>
          <w:rFonts w:eastAsia="Calibri"/>
          <w:rtl/>
        </w:rPr>
      </w:pPr>
    </w:p>
    <w:p w:rsidR="00A210E9" w:rsidRPr="00A210E9" w:rsidP="00A210E9">
      <w:pPr>
        <w:keepNext/>
        <w:keepLines/>
        <w:spacing w:line="269" w:lineRule="auto"/>
        <w:outlineLvl w:val="3"/>
        <w:rPr>
          <w:rFonts w:eastAsia="Times New Roman"/>
          <w:bCs/>
          <w:szCs w:val="26"/>
          <w:rtl/>
        </w:rPr>
      </w:pPr>
      <w:r w:rsidRPr="00A210E9">
        <w:rPr>
          <w:rFonts w:eastAsia="Times New Roman" w:hint="cs"/>
          <w:bCs/>
          <w:szCs w:val="26"/>
          <w:rtl/>
        </w:rPr>
        <w:t>תוקף התג</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rtl/>
        </w:rPr>
        <w:t>קיימ</w:t>
      </w:r>
      <w:r w:rsidRPr="00A210E9">
        <w:rPr>
          <w:rFonts w:eastAsia="Calibri" w:hint="cs"/>
          <w:rtl/>
        </w:rPr>
        <w:t>ות חמש קטגוריות של תוקף לתגים - שנה, שנתיים, שלוש שנים, ארבע שנים ולצמיתות</w:t>
      </w:r>
      <w:r>
        <w:rPr>
          <w:rFonts w:eastAsia="Calibri"/>
          <w:vertAlign w:val="superscript"/>
          <w:rtl/>
        </w:rPr>
        <w:footnoteReference w:id="55"/>
      </w:r>
      <w:r w:rsidRPr="00A210E9">
        <w:rPr>
          <w:rFonts w:eastAsia="Calibri" w:hint="cs"/>
          <w:rtl/>
        </w:rPr>
        <w:t xml:space="preserve">. </w:t>
      </w:r>
      <w:r w:rsidRPr="00A210E9">
        <w:rPr>
          <w:rFonts w:eastAsia="Calibri"/>
          <w:rtl/>
        </w:rPr>
        <w:t xml:space="preserve">בעבר, תגי </w:t>
      </w:r>
      <w:r w:rsidRPr="00A210E9">
        <w:rPr>
          <w:rFonts w:eastAsia="Calibri" w:hint="cs"/>
          <w:rtl/>
        </w:rPr>
        <w:t>החניה</w:t>
      </w:r>
      <w:r w:rsidRPr="00A210E9">
        <w:rPr>
          <w:rFonts w:eastAsia="Calibri"/>
          <w:rtl/>
        </w:rPr>
        <w:t xml:space="preserve"> שניתנו לצמיתות היו בתוקף למשך </w:t>
      </w:r>
      <w:r w:rsidRPr="00A210E9">
        <w:rPr>
          <w:rFonts w:eastAsia="Calibri" w:hint="cs"/>
          <w:rtl/>
        </w:rPr>
        <w:t xml:space="preserve">שמונה </w:t>
      </w:r>
      <w:r w:rsidRPr="00A210E9">
        <w:rPr>
          <w:rFonts w:eastAsia="Calibri"/>
          <w:rtl/>
        </w:rPr>
        <w:t xml:space="preserve">שנים, ולאחר מכן נדרשו </w:t>
      </w:r>
      <w:r w:rsidRPr="00A210E9">
        <w:rPr>
          <w:rFonts w:eastAsia="Calibri" w:hint="cs"/>
          <w:rtl/>
        </w:rPr>
        <w:t xml:space="preserve">בעלי התגים </w:t>
      </w:r>
      <w:r w:rsidRPr="00A210E9">
        <w:rPr>
          <w:rFonts w:eastAsia="Calibri"/>
          <w:rtl/>
        </w:rPr>
        <w:t>לחדש</w:t>
      </w:r>
      <w:r w:rsidRPr="00A210E9">
        <w:rPr>
          <w:rFonts w:eastAsia="Calibri" w:hint="cs"/>
          <w:rtl/>
        </w:rPr>
        <w:t xml:space="preserve">ם. </w:t>
      </w:r>
      <w:r w:rsidRPr="00A210E9">
        <w:rPr>
          <w:rFonts w:eastAsia="Calibri"/>
          <w:rtl/>
        </w:rPr>
        <w:t xml:space="preserve">ממרץ 2019 </w:t>
      </w:r>
      <w:r w:rsidRPr="00A210E9">
        <w:rPr>
          <w:rFonts w:eastAsia="Calibri" w:hint="cs"/>
          <w:rtl/>
        </w:rPr>
        <w:t xml:space="preserve">לא נדרש עוד </w:t>
      </w:r>
      <w:r w:rsidRPr="00A210E9">
        <w:rPr>
          <w:rFonts w:eastAsia="Calibri"/>
          <w:rtl/>
        </w:rPr>
        <w:t>חידוש</w:t>
      </w:r>
      <w:r w:rsidRPr="00A210E9">
        <w:rPr>
          <w:rFonts w:eastAsia="Calibri" w:hint="cs"/>
          <w:rtl/>
        </w:rPr>
        <w:t>ו</w:t>
      </w:r>
      <w:r w:rsidRPr="00A210E9">
        <w:rPr>
          <w:rFonts w:eastAsia="Calibri"/>
          <w:rtl/>
        </w:rPr>
        <w:t xml:space="preserve"> </w:t>
      </w:r>
      <w:r w:rsidRPr="00A210E9">
        <w:rPr>
          <w:rFonts w:eastAsia="Calibri" w:hint="cs"/>
          <w:rtl/>
        </w:rPr>
        <w:t xml:space="preserve">של </w:t>
      </w:r>
      <w:r w:rsidRPr="00A210E9">
        <w:rPr>
          <w:rFonts w:eastAsia="Calibri"/>
          <w:rtl/>
        </w:rPr>
        <w:t xml:space="preserve">תג </w:t>
      </w:r>
      <w:r w:rsidRPr="00A210E9">
        <w:rPr>
          <w:rFonts w:eastAsia="Calibri" w:hint="cs"/>
          <w:rtl/>
        </w:rPr>
        <w:t xml:space="preserve">שתוקפו מרגע הנפקתו היה לצמיתות. </w:t>
      </w:r>
      <w:r w:rsidRPr="00A210E9">
        <w:rPr>
          <w:rFonts w:eastAsia="Calibri"/>
          <w:rtl/>
        </w:rPr>
        <w:t xml:space="preserve">מי שעבר ועדה רפואית </w:t>
      </w:r>
      <w:r w:rsidRPr="00A210E9">
        <w:rPr>
          <w:rFonts w:eastAsia="Calibri" w:hint="cs"/>
          <w:rtl/>
        </w:rPr>
        <w:t xml:space="preserve">באגף השיקום </w:t>
      </w:r>
      <w:r w:rsidRPr="00A210E9">
        <w:rPr>
          <w:rFonts w:eastAsia="Calibri"/>
          <w:rtl/>
        </w:rPr>
        <w:t xml:space="preserve">ועמד בקריטריונים </w:t>
      </w:r>
      <w:r w:rsidRPr="00A210E9">
        <w:rPr>
          <w:rFonts w:eastAsia="Calibri" w:hint="cs"/>
          <w:rtl/>
        </w:rPr>
        <w:t xml:space="preserve">יכול לקבל תג רגיל לצמיתות או </w:t>
      </w:r>
      <w:r w:rsidRPr="00A210E9">
        <w:rPr>
          <w:rFonts w:eastAsia="Calibri"/>
          <w:rtl/>
        </w:rPr>
        <w:t xml:space="preserve">תג כיסא גלגלים </w:t>
      </w:r>
      <w:r w:rsidRPr="00A210E9">
        <w:rPr>
          <w:rFonts w:eastAsia="Calibri" w:hint="cs"/>
          <w:rtl/>
        </w:rPr>
        <w:t xml:space="preserve">לצמיתות, אם הוא </w:t>
      </w:r>
      <w:r w:rsidRPr="00A210E9">
        <w:rPr>
          <w:rFonts w:eastAsia="Calibri" w:hint="eastAsia"/>
          <w:rtl/>
        </w:rPr>
        <w:t>מרותק</w:t>
      </w:r>
      <w:r w:rsidRPr="00A210E9">
        <w:rPr>
          <w:rFonts w:eastAsia="Calibri"/>
          <w:rtl/>
        </w:rPr>
        <w:t xml:space="preserve"> </w:t>
      </w:r>
      <w:r w:rsidRPr="00A210E9">
        <w:rPr>
          <w:rFonts w:eastAsia="Calibri" w:hint="eastAsia"/>
          <w:rtl/>
        </w:rPr>
        <w:t>לכיסא</w:t>
      </w:r>
      <w:r w:rsidRPr="00A210E9">
        <w:rPr>
          <w:rFonts w:eastAsia="Calibri"/>
          <w:rtl/>
        </w:rPr>
        <w:t xml:space="preserve"> </w:t>
      </w:r>
      <w:r w:rsidRPr="00A210E9">
        <w:rPr>
          <w:rFonts w:eastAsia="Calibri" w:hint="eastAsia"/>
          <w:rtl/>
        </w:rPr>
        <w:t>גלגלים</w:t>
      </w:r>
      <w:r w:rsidRPr="00A210E9">
        <w:rPr>
          <w:rFonts w:eastAsia="Calibri" w:hint="cs"/>
          <w:rtl/>
        </w:rPr>
        <w:t>. החל מנובמבר 2023 הונפק גם תג זמני לתקופה של שנה לפצועי מלחמת חרבות ברזל שטרם עברו ועדה רפואית לקביעת שיעורי הנכות שלהם</w:t>
      </w:r>
      <w:r>
        <w:rPr>
          <w:rFonts w:eastAsia="Calibri"/>
          <w:vertAlign w:val="superscript"/>
          <w:rtl/>
        </w:rPr>
        <w:footnoteReference w:id="56"/>
      </w:r>
      <w:r w:rsidRPr="00A210E9">
        <w:rPr>
          <w:rFonts w:eastAsia="Calibri"/>
          <w:rtl/>
        </w:rPr>
        <w:t>.</w:t>
      </w:r>
      <w:r w:rsidRPr="00A210E9">
        <w:rPr>
          <w:rFonts w:eastAsia="Calibri" w:hint="cs"/>
          <w:rtl/>
        </w:rPr>
        <w:t xml:space="preserve"> עד 2025 אישר משרד התחבורה תגים לצמיתות </w:t>
      </w:r>
      <w:r w:rsidRPr="00A210E9">
        <w:rPr>
          <w:rFonts w:eastAsia="Calibri" w:hint="eastAsia"/>
          <w:rtl/>
        </w:rPr>
        <w:t>לאוכלוסיות</w:t>
      </w:r>
      <w:r w:rsidRPr="00A210E9">
        <w:rPr>
          <w:rFonts w:eastAsia="Calibri"/>
          <w:rtl/>
        </w:rPr>
        <w:t xml:space="preserve"> </w:t>
      </w:r>
      <w:r w:rsidRPr="00A210E9">
        <w:rPr>
          <w:rFonts w:eastAsia="Calibri" w:hint="eastAsia"/>
          <w:rtl/>
        </w:rPr>
        <w:t>השיוריות</w:t>
      </w:r>
      <w:r w:rsidRPr="00A210E9">
        <w:rPr>
          <w:rFonts w:eastAsia="Calibri" w:hint="cs"/>
          <w:rtl/>
        </w:rPr>
        <w:t xml:space="preserve"> על סמך רשימה של 11 קריטריונים שהכין המרכז הרפואי שיבא תל השומר</w:t>
      </w:r>
      <w:r>
        <w:rPr>
          <w:rFonts w:eastAsia="Calibri"/>
          <w:vertAlign w:val="superscript"/>
          <w:rtl/>
        </w:rPr>
        <w:footnoteReference w:id="57"/>
      </w:r>
      <w:r w:rsidRPr="00A210E9">
        <w:rPr>
          <w:rFonts w:eastAsia="Calibri" w:hint="cs"/>
          <w:rtl/>
        </w:rPr>
        <w:t xml:space="preserve"> בשנת 2015.</w:t>
      </w:r>
      <w:r w:rsidRPr="00A210E9">
        <w:rPr>
          <w:rFonts w:eastAsia="Times New Roman" w:hint="cs"/>
          <w:rtl/>
        </w:rPr>
        <w:t xml:space="preserve"> </w:t>
      </w:r>
      <w:r w:rsidRPr="00A210E9">
        <w:rPr>
          <w:rFonts w:eastAsia="Calibri" w:hint="cs"/>
          <w:rtl/>
        </w:rPr>
        <w:t xml:space="preserve">בסוף מאי 2025 חתם משרד התחבורה על הסכם עם ספק חדש לבדיקת בקשות לתג חניה, ועם תחילת עבודתו של הספק החליט המשרד </w:t>
      </w:r>
      <w:r w:rsidRPr="00A210E9">
        <w:rPr>
          <w:rFonts w:eastAsia="Times New Roman" w:hint="cs"/>
          <w:rtl/>
        </w:rPr>
        <w:t>כי לגבי הבקשות החדשות שייבדקו על ידי רופאי אגף הרישוי - "</w:t>
      </w:r>
      <w:r w:rsidRPr="00A210E9">
        <w:rPr>
          <w:rFonts w:eastAsia="Times New Roman"/>
          <w:rtl/>
        </w:rPr>
        <w:t>לעת הזו לא יינתן תג לצמיתות</w:t>
      </w:r>
      <w:r w:rsidRPr="00A210E9">
        <w:rPr>
          <w:rFonts w:eastAsia="Calibri" w:hint="cs"/>
          <w:rtl/>
        </w:rPr>
        <w:t xml:space="preserve">" </w:t>
      </w:r>
      <w:r w:rsidRPr="00A210E9">
        <w:rPr>
          <w:rFonts w:eastAsia="Calibri"/>
          <w:rtl/>
        </w:rPr>
        <w:t xml:space="preserve">(שאר הגופים המאשרים ימשיכו לפעול </w:t>
      </w:r>
      <w:r w:rsidRPr="00A210E9">
        <w:rPr>
          <w:rFonts w:eastAsia="Calibri" w:hint="cs"/>
          <w:rtl/>
        </w:rPr>
        <w:t xml:space="preserve">כרגיל </w:t>
      </w:r>
      <w:r w:rsidRPr="00A210E9">
        <w:rPr>
          <w:rFonts w:eastAsia="Calibri"/>
          <w:rtl/>
        </w:rPr>
        <w:t>בנוגע לזכאות</w:t>
      </w:r>
      <w:r w:rsidRPr="00A210E9">
        <w:rPr>
          <w:rFonts w:eastAsia="Calibri" w:hint="cs"/>
          <w:rtl/>
        </w:rPr>
        <w:t xml:space="preserve"> לתג</w:t>
      </w:r>
      <w:r w:rsidRPr="00A210E9">
        <w:rPr>
          <w:rFonts w:eastAsia="Calibri"/>
          <w:rtl/>
        </w:rPr>
        <w:t xml:space="preserve"> ותוק</w:t>
      </w:r>
      <w:r w:rsidRPr="00A210E9">
        <w:rPr>
          <w:rFonts w:eastAsia="Calibri" w:hint="cs"/>
          <w:rtl/>
        </w:rPr>
        <w:t>פו</w:t>
      </w:r>
      <w:r w:rsidRPr="00A210E9">
        <w:rPr>
          <w:rFonts w:eastAsia="Calibri"/>
          <w:rtl/>
        </w:rPr>
        <w:t>)</w:t>
      </w:r>
      <w:r w:rsidRPr="00A210E9">
        <w:rPr>
          <w:rFonts w:eastAsia="Calibri" w:hint="cs"/>
          <w:rtl/>
        </w:rPr>
        <w:t>. נמצא כי סוגיית תוקף התג לא עוגנה מעולם בחוק ואף לא בנוהל כלשהו.</w:t>
      </w:r>
    </w:p>
    <w:p w:rsidR="00A210E9" w:rsidRPr="00A210E9" w:rsidP="00A210E9">
      <w:pPr>
        <w:keepNext/>
        <w:keepLines/>
        <w:spacing w:line="269" w:lineRule="auto"/>
        <w:ind w:left="-567"/>
        <w:rPr>
          <w:rFonts w:eastAsia="Calibri"/>
          <w:szCs w:val="20"/>
          <w:rtl/>
        </w:rPr>
      </w:pPr>
    </w:p>
    <w:p w:rsidR="00A210E9" w:rsidP="00A210E9">
      <w:pPr>
        <w:spacing w:line="269" w:lineRule="auto"/>
        <w:rPr>
          <w:rFonts w:eastAsia="Calibri"/>
          <w:rtl/>
        </w:rPr>
      </w:pPr>
      <w:r w:rsidRPr="00A210E9">
        <w:rPr>
          <w:rFonts w:eastAsia="Calibri" w:hint="cs"/>
          <w:rtl/>
        </w:rPr>
        <w:t>על פי נתוני משרד התחבורה, היו בשנת 2001 כ-20,000 בעלי תג לצמיתות. בתרשים שלהלן מוצגים נתונים על תגי החניה שהונפקו לצמיתות בשנים 2002 - 2024:</w:t>
      </w:r>
    </w:p>
    <w:p w:rsidR="008529F8" w:rsidRPr="00A210E9" w:rsidP="00A210E9">
      <w:pPr>
        <w:spacing w:line="269" w:lineRule="auto"/>
        <w:rPr>
          <w:rFonts w:eastAsia="Calibri"/>
          <w:rtl/>
        </w:rPr>
      </w:pPr>
    </w:p>
    <w:p w:rsidR="00A210E9" w:rsidRPr="00A210E9" w:rsidP="00A210E9">
      <w:pPr>
        <w:keepNext/>
        <w:keepLines/>
        <w:spacing w:line="269" w:lineRule="auto"/>
        <w:jc w:val="center"/>
        <w:rPr>
          <w:rFonts w:eastAsia="Calibri"/>
          <w:b/>
          <w:bCs/>
          <w:rtl/>
        </w:rPr>
      </w:pPr>
      <w:r w:rsidRPr="00A210E9">
        <w:rPr>
          <w:rFonts w:eastAsia="Calibri" w:hint="eastAsia"/>
          <w:rtl/>
        </w:rPr>
        <w:t>תרשים</w:t>
      </w:r>
      <w:r w:rsidRPr="00A210E9">
        <w:rPr>
          <w:rFonts w:eastAsia="Calibri"/>
          <w:rtl/>
        </w:rPr>
        <w:t xml:space="preserve"> </w:t>
      </w:r>
      <w:r w:rsidRPr="00A210E9">
        <w:rPr>
          <w:rFonts w:eastAsia="Calibri" w:hint="cs"/>
          <w:rtl/>
        </w:rPr>
        <w:t>10</w:t>
      </w:r>
      <w:r w:rsidRPr="00A210E9">
        <w:rPr>
          <w:rFonts w:eastAsia="Calibri"/>
          <w:rtl/>
        </w:rPr>
        <w:t>:</w:t>
      </w:r>
      <w:r w:rsidRPr="00A210E9">
        <w:rPr>
          <w:rFonts w:eastAsia="Calibri" w:hint="cs"/>
          <w:b/>
          <w:bCs/>
        </w:rPr>
        <w:t xml:space="preserve"> </w:t>
      </w:r>
      <w:r w:rsidRPr="00A210E9">
        <w:rPr>
          <w:rFonts w:eastAsia="Calibri" w:hint="cs"/>
          <w:b/>
          <w:bCs/>
          <w:rtl/>
        </w:rPr>
        <w:t>תגי חניה שהונפקו לצמיתות*, 2002 - 2024 (באלפים)</w:t>
      </w:r>
    </w:p>
    <w:p w:rsidR="00A210E9" w:rsidRPr="00A210E9" w:rsidP="00A210E9">
      <w:pPr>
        <w:spacing w:line="269" w:lineRule="auto"/>
        <w:jc w:val="center"/>
        <w:rPr>
          <w:rFonts w:eastAsia="Calibri"/>
        </w:rPr>
      </w:pPr>
      <w:r w:rsidRPr="00A210E9">
        <w:rPr>
          <w:rFonts w:eastAsia="Calibri"/>
          <w:noProof/>
        </w:rPr>
        <w:drawing>
          <wp:inline distT="0" distB="0" distL="0" distR="0">
            <wp:extent cx="5151497" cy="3476531"/>
            <wp:effectExtent l="0" t="0" r="0" b="0"/>
            <wp:docPr id="77" name="תמונה 77" descr="2024: 33.2&#10;2023: 30.9&#10;2022: 32.3&#10;2021: 32.2&#10;2020: 14.3&#10;2019: 15.0&#10;2018: 12.1&#10;2017: 10.5&#10;2016: 9.2&#10;2015: 7.0&#10;2014: 6.7&#10;2013: 5.7&#10;2012: 5.3&#10;2011: 4.9&#10;2010: 4.7&#10;2009: 5.1&#10;2008: 4.9&#10;2007: 4.4&#10;2006: 4.4&#10;2005: 4.9&#10;2004: 7.1&#10;2003: 5.6&#10;2002: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8"/>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5192075" cy="3503915"/>
                    </a:xfrm>
                    <a:prstGeom prst="rect">
                      <a:avLst/>
                    </a:prstGeom>
                    <a:noFill/>
                  </pic:spPr>
                </pic:pic>
              </a:graphicData>
            </a:graphic>
          </wp:inline>
        </w:drawing>
      </w:r>
    </w:p>
    <w:p w:rsidR="00A210E9" w:rsidRPr="00A210E9" w:rsidP="00A210E9">
      <w:pPr>
        <w:spacing w:line="269" w:lineRule="auto"/>
        <w:rPr>
          <w:rFonts w:eastAsia="Calibri"/>
          <w:szCs w:val="20"/>
          <w:rtl/>
        </w:rPr>
      </w:pPr>
      <w:r w:rsidRPr="00A210E9">
        <w:rPr>
          <w:rFonts w:eastAsia="Calibri" w:hint="eastAsia"/>
          <w:szCs w:val="20"/>
          <w:rtl/>
        </w:rPr>
        <w:t>על</w:t>
      </w:r>
      <w:r w:rsidRPr="00A210E9">
        <w:rPr>
          <w:rFonts w:eastAsia="Calibri"/>
          <w:szCs w:val="20"/>
          <w:rtl/>
        </w:rPr>
        <w:t xml:space="preserve"> פי נתוני משרד התחבורה, בעיבוד משרד מבקר המדינה</w:t>
      </w:r>
      <w:r w:rsidRPr="00A210E9">
        <w:rPr>
          <w:rFonts w:eastAsia="Calibri" w:hint="cs"/>
          <w:szCs w:val="20"/>
          <w:rtl/>
        </w:rPr>
        <w:t>.</w:t>
      </w:r>
    </w:p>
    <w:p w:rsidR="00A210E9" w:rsidRPr="00A210E9" w:rsidP="00A210E9">
      <w:pPr>
        <w:spacing w:line="269" w:lineRule="auto"/>
        <w:rPr>
          <w:rFonts w:eastAsia="Calibri"/>
          <w:szCs w:val="20"/>
          <w:rtl/>
        </w:rPr>
      </w:pPr>
      <w:r w:rsidRPr="00A210E9">
        <w:rPr>
          <w:rFonts w:eastAsia="Calibri" w:hint="cs"/>
          <w:szCs w:val="20"/>
          <w:rtl/>
        </w:rPr>
        <w:t>* מתוכם 6,651 הופסקו לשימוש בשל פטירת האנשים שהחזיקו בהם.</w:t>
      </w:r>
    </w:p>
    <w:p w:rsidR="00C21358" w:rsidP="00A210E9">
      <w:pPr>
        <w:spacing w:line="269" w:lineRule="auto"/>
        <w:rPr>
          <w:rFonts w:eastAsia="Calibri"/>
          <w:b/>
          <w:bCs/>
          <w:rtl/>
        </w:rPr>
      </w:pPr>
    </w:p>
    <w:p w:rsidR="00A210E9" w:rsidRPr="00A210E9" w:rsidP="00A210E9">
      <w:pPr>
        <w:spacing w:line="269" w:lineRule="auto"/>
        <w:rPr>
          <w:rFonts w:eastAsia="Calibri"/>
          <w:b/>
          <w:bCs/>
          <w:rtl/>
        </w:rPr>
      </w:pPr>
      <w:r w:rsidRPr="00A210E9">
        <w:rPr>
          <w:rFonts w:eastAsia="Calibri" w:hint="cs"/>
          <w:b/>
          <w:bCs/>
          <w:rtl/>
        </w:rPr>
        <w:t xml:space="preserve">מהתרשים עולה כי משנת 2002 הונפקו בכל שנה אלפי תגים חדשים לצמיתות, כך שנכון להיום נמצאים בשימוש סך של כ-282,000 תגים שהונפקו לצמיתות. משנת 2012 נצפה גידול מתמיד בנתון זה (למעט 2020 שהייתה שנת קורונה). העלייה במספר התגים שניתנו לצמיתות הואצה משנת 2015, כאשר משנת 2021 נרשמת קפיצה של ממש בנתונים בד בבד עם עלייה חדה במספר תגי החניה בכללותם. </w:t>
      </w:r>
      <w:r w:rsidRPr="00A210E9">
        <w:rPr>
          <w:rFonts w:eastAsia="Calibri" w:hint="eastAsia"/>
          <w:b/>
          <w:bCs/>
          <w:rtl/>
        </w:rPr>
        <w:t>בעוד</w:t>
      </w:r>
      <w:r w:rsidRPr="00A210E9">
        <w:rPr>
          <w:rFonts w:eastAsia="Calibri"/>
          <w:b/>
          <w:bCs/>
          <w:rtl/>
        </w:rPr>
        <w:t xml:space="preserve"> שבשנת 2020 הונפקו </w:t>
      </w:r>
      <w:r w:rsidRPr="00A210E9">
        <w:rPr>
          <w:rFonts w:eastAsia="Calibri" w:hint="eastAsia"/>
          <w:b/>
          <w:bCs/>
          <w:rtl/>
        </w:rPr>
        <w:t>כ</w:t>
      </w:r>
      <w:r w:rsidRPr="00A210E9">
        <w:rPr>
          <w:rFonts w:eastAsia="Calibri"/>
          <w:b/>
          <w:bCs/>
          <w:rtl/>
        </w:rPr>
        <w:t>-14</w:t>
      </w:r>
      <w:r w:rsidRPr="00A210E9">
        <w:rPr>
          <w:rFonts w:eastAsia="Calibri" w:hint="cs"/>
          <w:b/>
          <w:bCs/>
          <w:rtl/>
        </w:rPr>
        <w:t>,000</w:t>
      </w:r>
      <w:r w:rsidRPr="00A210E9">
        <w:rPr>
          <w:rFonts w:eastAsia="Calibri"/>
          <w:b/>
          <w:bCs/>
          <w:rtl/>
        </w:rPr>
        <w:t xml:space="preserve"> תגים חדשים לצמיתות, בשנים 2021 </w:t>
      </w:r>
      <w:r w:rsidRPr="00A210E9">
        <w:rPr>
          <w:rFonts w:eastAsia="Calibri" w:hint="cs"/>
          <w:b/>
          <w:bCs/>
          <w:rtl/>
        </w:rPr>
        <w:t>-</w:t>
      </w:r>
      <w:r w:rsidRPr="00A210E9">
        <w:rPr>
          <w:rFonts w:eastAsia="Calibri"/>
          <w:b/>
          <w:bCs/>
          <w:rtl/>
        </w:rPr>
        <w:t xml:space="preserve"> 2024 </w:t>
      </w:r>
      <w:r w:rsidRPr="00A210E9">
        <w:rPr>
          <w:rFonts w:eastAsia="Calibri" w:hint="eastAsia"/>
          <w:b/>
          <w:bCs/>
          <w:rtl/>
        </w:rPr>
        <w:t>הונפקו</w:t>
      </w:r>
      <w:r w:rsidRPr="00A210E9">
        <w:rPr>
          <w:rFonts w:eastAsia="Calibri"/>
          <w:b/>
          <w:bCs/>
          <w:rtl/>
        </w:rPr>
        <w:t xml:space="preserve"> מדי שנה למעלה מ-30</w:t>
      </w:r>
      <w:r w:rsidRPr="00A210E9">
        <w:rPr>
          <w:rFonts w:eastAsia="Calibri" w:hint="cs"/>
          <w:b/>
          <w:bCs/>
          <w:rtl/>
        </w:rPr>
        <w:t>,000</w:t>
      </w:r>
      <w:r w:rsidRPr="00A210E9">
        <w:rPr>
          <w:rFonts w:eastAsia="Calibri"/>
          <w:b/>
          <w:bCs/>
          <w:rtl/>
        </w:rPr>
        <w:t xml:space="preserve"> </w:t>
      </w:r>
      <w:r w:rsidRPr="00A210E9">
        <w:rPr>
          <w:rFonts w:eastAsia="Calibri" w:hint="eastAsia"/>
          <w:b/>
          <w:bCs/>
          <w:rtl/>
        </w:rPr>
        <w:t>תגים</w:t>
      </w:r>
      <w:r w:rsidRPr="00A210E9">
        <w:rPr>
          <w:rFonts w:eastAsia="Calibri"/>
          <w:b/>
          <w:bCs/>
          <w:rtl/>
        </w:rPr>
        <w:t xml:space="preserve"> </w:t>
      </w:r>
      <w:r w:rsidRPr="00A210E9">
        <w:rPr>
          <w:rFonts w:eastAsia="Calibri" w:hint="eastAsia"/>
          <w:b/>
          <w:bCs/>
          <w:rtl/>
        </w:rPr>
        <w:t>לצמיתות</w:t>
      </w:r>
      <w:r w:rsidRPr="00A210E9">
        <w:rPr>
          <w:rFonts w:eastAsia="Calibri"/>
          <w:b/>
          <w:bCs/>
          <w:rtl/>
        </w:rPr>
        <w:t>.</w:t>
      </w:r>
      <w:r w:rsidRPr="00A210E9">
        <w:rPr>
          <w:rFonts w:eastAsia="Calibri" w:hint="cs"/>
          <w:b/>
          <w:bCs/>
          <w:rtl/>
        </w:rPr>
        <w:t xml:space="preserve"> </w:t>
      </w:r>
    </w:p>
    <w:p w:rsidR="00A210E9" w:rsidRPr="00A210E9" w:rsidP="00A210E9">
      <w:pPr>
        <w:keepNext/>
        <w:keepLines/>
        <w:spacing w:line="269" w:lineRule="auto"/>
        <w:ind w:left="-567"/>
        <w:rPr>
          <w:rFonts w:eastAsia="Calibri"/>
          <w:szCs w:val="20"/>
          <w:rtl/>
        </w:rPr>
      </w:pPr>
    </w:p>
    <w:p w:rsidR="00A210E9" w:rsidP="00A210E9">
      <w:pPr>
        <w:spacing w:line="269" w:lineRule="auto"/>
        <w:rPr>
          <w:rFonts w:eastAsia="Calibri"/>
          <w:rtl/>
        </w:rPr>
      </w:pPr>
      <w:r w:rsidRPr="00A210E9">
        <w:rPr>
          <w:rFonts w:eastAsia="Calibri" w:hint="cs"/>
          <w:rtl/>
        </w:rPr>
        <w:t>להלן תרשים המציג את שיעור תגי החניה שהונפקו לצמיתות מתוך כלל תגי החניה שאושרו בכל שנה, בשנים 2002 - 2024:</w:t>
      </w:r>
    </w:p>
    <w:p w:rsidR="00C21358" w:rsidRPr="00A210E9" w:rsidP="00A210E9">
      <w:pPr>
        <w:spacing w:line="269" w:lineRule="auto"/>
        <w:rPr>
          <w:rFonts w:eastAsia="Calibri"/>
          <w:rtl/>
        </w:rPr>
      </w:pPr>
    </w:p>
    <w:p w:rsidR="00A210E9" w:rsidRPr="00A210E9" w:rsidP="00A210E9">
      <w:pPr>
        <w:keepNext/>
        <w:keepLines/>
        <w:spacing w:line="269" w:lineRule="auto"/>
        <w:jc w:val="center"/>
        <w:rPr>
          <w:rFonts w:eastAsia="Calibri"/>
          <w:b/>
          <w:bCs/>
          <w:rtl/>
        </w:rPr>
      </w:pPr>
      <w:r w:rsidRPr="00A210E9">
        <w:rPr>
          <w:rFonts w:eastAsia="Calibri" w:hint="eastAsia"/>
          <w:rtl/>
        </w:rPr>
        <w:t>תרשים</w:t>
      </w:r>
      <w:r w:rsidRPr="00A210E9">
        <w:rPr>
          <w:rFonts w:eastAsia="Calibri"/>
          <w:rtl/>
        </w:rPr>
        <w:t xml:space="preserve"> </w:t>
      </w:r>
      <w:r w:rsidRPr="00A210E9">
        <w:rPr>
          <w:rFonts w:eastAsia="Calibri" w:hint="cs"/>
          <w:rtl/>
        </w:rPr>
        <w:t>11</w:t>
      </w:r>
      <w:r w:rsidRPr="00A210E9">
        <w:rPr>
          <w:rFonts w:eastAsia="Calibri"/>
          <w:rtl/>
        </w:rPr>
        <w:t>:</w:t>
      </w:r>
      <w:r w:rsidRPr="00A210E9">
        <w:rPr>
          <w:rFonts w:eastAsia="Calibri" w:hint="cs"/>
          <w:b/>
          <w:bCs/>
          <w:rtl/>
        </w:rPr>
        <w:t xml:space="preserve"> שיעור תגי חניה שהונפקו לצמיתות מתוך כלל תגי החניה שאושרו מדי שנה, </w:t>
      </w:r>
    </w:p>
    <w:p w:rsidR="00A210E9" w:rsidRPr="00A210E9" w:rsidP="008529F8">
      <w:pPr>
        <w:keepNext/>
        <w:keepLines/>
        <w:spacing w:after="120" w:line="269" w:lineRule="auto"/>
        <w:jc w:val="center"/>
        <w:rPr>
          <w:rFonts w:eastAsia="Calibri"/>
          <w:b/>
          <w:bCs/>
          <w:rtl/>
        </w:rPr>
      </w:pPr>
      <w:r w:rsidRPr="00A210E9">
        <w:rPr>
          <w:rFonts w:eastAsia="Calibri" w:hint="cs"/>
          <w:b/>
          <w:bCs/>
          <w:rtl/>
        </w:rPr>
        <w:t>2002 - 2024</w:t>
      </w:r>
    </w:p>
    <w:p w:rsidR="00A210E9" w:rsidRPr="00A210E9" w:rsidP="00A210E9">
      <w:pPr>
        <w:spacing w:line="269" w:lineRule="auto"/>
        <w:rPr>
          <w:rFonts w:eastAsia="Calibri"/>
          <w:b/>
          <w:bCs/>
        </w:rPr>
      </w:pPr>
      <w:r w:rsidRPr="00A210E9">
        <w:rPr>
          <w:rFonts w:eastAsia="Calibri"/>
          <w:b/>
          <w:bCs/>
          <w:noProof/>
        </w:rPr>
        <w:drawing>
          <wp:inline distT="0" distB="0" distL="0" distR="0">
            <wp:extent cx="5207000" cy="4937063"/>
            <wp:effectExtent l="0" t="0" r="0" b="0"/>
            <wp:docPr id="80" name="תמונה 80" descr="מדובר בתרשים עמודות אופקי המציג נתונים באחוזים עבור כל שנה משנת 2002 ועד 2024. כל עמודה מייצגת שנה, ואורכה מייצג את הערך באחוזים.&#10;&#10;להלן פירוט הנתונים המלא המוצג בתרשים, בסדר כרונולוגי:&#10;&#10;2002: 94.9%&#10;2003: 91.6%&#10;2004: 89.7%&#10;2005: 82.8%&#10;2006: 81.4%&#10;2007: 79.0%&#10;2008: 56.5%&#10;2009: 50.3%&#10;2010: 49.7%&#10;2011: 47.4%&#10;2012: 48.6%&#10;2013: 49.0%&#10;2014: 47.9%&#10;2015: 53.7%&#10;2016: 56.3%&#10;2017: 51.6%&#10;2018: 51.0%&#10;2019: 53.5%&#10;2020: 49.0%&#10;2021: 49.5%&#10;2022: 43.9%&#10;2023: 45.0%&#10;2024: 47.6%&#10;&#10;תיאור כללי של המגמות בגרף:&#10;ניתן לראות מגמת ירידה כללית בערכים לאורך השנים.&#10;בשנים 2002 עד 2007, האחוזים היו גבוהים מאוד, מעל 79%.&#10;בשנת 2008 חלה ירידה חדה ל-56.5%.&#10;מאז 2009, הערכים מתייצבים בטווח נמוך יותר, ונעים בדרך כלל בין 43% ל-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11"/>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0381" cy="4940268"/>
                    </a:xfrm>
                    <a:prstGeom prst="rect">
                      <a:avLst/>
                    </a:prstGeom>
                    <a:noFill/>
                  </pic:spPr>
                </pic:pic>
              </a:graphicData>
            </a:graphic>
          </wp:inline>
        </w:drawing>
      </w:r>
    </w:p>
    <w:p w:rsidR="00A210E9" w:rsidRPr="00A210E9" w:rsidP="00A210E9">
      <w:pPr>
        <w:spacing w:line="269" w:lineRule="auto"/>
        <w:rPr>
          <w:rFonts w:eastAsia="Calibri"/>
          <w:szCs w:val="20"/>
          <w:rtl/>
        </w:rPr>
      </w:pPr>
      <w:r w:rsidRPr="00A210E9">
        <w:rPr>
          <w:rFonts w:eastAsia="Calibri" w:hint="eastAsia"/>
          <w:szCs w:val="20"/>
          <w:rtl/>
        </w:rPr>
        <w:t>על</w:t>
      </w:r>
      <w:r w:rsidRPr="00A210E9">
        <w:rPr>
          <w:rFonts w:eastAsia="Calibri"/>
          <w:szCs w:val="20"/>
          <w:rtl/>
        </w:rPr>
        <w:t xml:space="preserve"> פי נתוני משרד התחבורה, בעיבוד משרד מבקר המדינה</w:t>
      </w:r>
      <w:r w:rsidRPr="00A210E9">
        <w:rPr>
          <w:rFonts w:eastAsia="Calibri" w:hint="cs"/>
          <w:szCs w:val="20"/>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 xml:space="preserve">מהתרשים עולה כי לעומת השנים 2002 - 2007 שבהן השיעור של תגי החניה שאושרו לצמיתות היה בין 79% ל-94.9%, ב-15 השנים האחרונות שיעור תגי החניה שהונפקו לצמיתות, מתוך כלל תגי החניה שאושרו בכל שנה, נע בין 43.9% ל-56.3%, ובשנת 2024 עמד שיעור תגי החניה שהונפקו לצמיתות על 47.6%. בשנת 2008 אישור הזכאות לתגי חניה על פי סעיף 1א לחוק חניה לנכים עבר למשרד התחבורה. כאמור, משנה זו חל גידול עקבי במספר התגים החדשים שאושרו מדי שנה, אולם שיעור תגי החניה שהונפקו לצמיתות מתוכם ירד ירידה של ממש. ייתכן שההסבר לכך הוא שזכאותן של האוכלוסיות החדשות שהגישו בקשות אינה מובהקת. לאחר שנקבעו בשנת 2015 קריטריונים ברורים לזכאות לתג לצמיתות חלה עלייה מסוימת בשיעור התגים שהונפקו לצמיתות, אולם בשנים שלאחר מכן חזר השיעור לרמות שהיו בעבר.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אף שמשנת 2015 קיימים קריטריונים ברורים לאישור תגי חניה לצמיתות, שעל פיהם עובד משרד התחבורה, היו במשך השנים לאוכלוסיות השונות השגות על הנושא וכן הועלו שאלות בנושא בדיונים שונים. להלן כמה דוגמאות:</w:t>
      </w:r>
    </w:p>
    <w:p w:rsidR="00A210E9" w:rsidRPr="00A210E9" w:rsidP="00A210E9">
      <w:pPr>
        <w:keepNext/>
        <w:keepLines/>
        <w:spacing w:line="269" w:lineRule="auto"/>
        <w:ind w:left="-567"/>
        <w:rPr>
          <w:rFonts w:eastAsia="Calibri"/>
          <w:szCs w:val="20"/>
          <w:rtl/>
        </w:rPr>
      </w:pPr>
    </w:p>
    <w:p w:rsidR="00A210E9" w:rsidP="00A210E9">
      <w:pPr>
        <w:numPr>
          <w:ilvl w:val="0"/>
          <w:numId w:val="15"/>
        </w:numPr>
        <w:spacing w:line="269" w:lineRule="auto"/>
        <w:contextualSpacing/>
        <w:rPr>
          <w:rFonts w:eastAsia="Calibri"/>
        </w:rPr>
      </w:pPr>
      <w:r w:rsidRPr="00A210E9">
        <w:rPr>
          <w:rFonts w:eastAsia="Calibri"/>
          <w:rtl/>
        </w:rPr>
        <w:t xml:space="preserve">בנציבות תלונות הציבור התקבלו תלונות של </w:t>
      </w:r>
      <w:r w:rsidRPr="00A210E9">
        <w:rPr>
          <w:rFonts w:eastAsia="Calibri" w:hint="cs"/>
          <w:rtl/>
        </w:rPr>
        <w:t>אנשים עם מוגבלות</w:t>
      </w:r>
      <w:r w:rsidRPr="00A210E9">
        <w:rPr>
          <w:rFonts w:eastAsia="Calibri"/>
          <w:rtl/>
        </w:rPr>
        <w:t xml:space="preserve"> </w:t>
      </w:r>
      <w:r w:rsidRPr="00A210E9">
        <w:rPr>
          <w:rFonts w:eastAsia="Calibri" w:hint="cs"/>
          <w:rtl/>
        </w:rPr>
        <w:t>ש</w:t>
      </w:r>
      <w:r w:rsidRPr="00A210E9">
        <w:rPr>
          <w:rFonts w:eastAsia="Calibri"/>
          <w:rtl/>
        </w:rPr>
        <w:t>טענו כי הם סובלים ממגבלות בריאותיות כרוניות שאין סיכוי</w:t>
      </w:r>
      <w:r w:rsidRPr="00A210E9">
        <w:rPr>
          <w:rFonts w:eastAsia="Calibri" w:hint="cs"/>
          <w:rtl/>
        </w:rPr>
        <w:t xml:space="preserve"> </w:t>
      </w:r>
      <w:r w:rsidRPr="00A210E9">
        <w:rPr>
          <w:rFonts w:eastAsia="Calibri"/>
          <w:rtl/>
        </w:rPr>
        <w:t>שיחלימו מהן</w:t>
      </w:r>
      <w:r w:rsidRPr="00A210E9">
        <w:rPr>
          <w:rFonts w:eastAsia="Calibri" w:hint="cs"/>
          <w:rtl/>
        </w:rPr>
        <w:t xml:space="preserve"> או שקיים סיכוי קטן מאוד לכך</w:t>
      </w:r>
      <w:r w:rsidRPr="00A210E9">
        <w:rPr>
          <w:rFonts w:eastAsia="Calibri"/>
          <w:rtl/>
        </w:rPr>
        <w:t xml:space="preserve">, אולם משרד התחבורה </w:t>
      </w:r>
      <w:r w:rsidRPr="00A210E9">
        <w:rPr>
          <w:rFonts w:eastAsia="Calibri" w:hint="cs"/>
          <w:rtl/>
        </w:rPr>
        <w:t>אישר</w:t>
      </w:r>
      <w:r w:rsidRPr="00A210E9">
        <w:rPr>
          <w:rFonts w:eastAsia="Calibri"/>
          <w:rtl/>
        </w:rPr>
        <w:t xml:space="preserve"> להם תג </w:t>
      </w:r>
      <w:r w:rsidRPr="00A210E9">
        <w:rPr>
          <w:rFonts w:eastAsia="Calibri" w:hint="cs"/>
          <w:rtl/>
        </w:rPr>
        <w:t>חניה</w:t>
      </w:r>
      <w:r w:rsidRPr="00A210E9">
        <w:rPr>
          <w:rFonts w:eastAsia="Calibri"/>
          <w:rtl/>
        </w:rPr>
        <w:t xml:space="preserve"> לתקופות קצובות של </w:t>
      </w:r>
      <w:r w:rsidRPr="00A210E9">
        <w:rPr>
          <w:rFonts w:eastAsia="Calibri" w:hint="cs"/>
          <w:rtl/>
        </w:rPr>
        <w:t>כמה</w:t>
      </w:r>
      <w:r w:rsidRPr="00A210E9">
        <w:rPr>
          <w:rFonts w:eastAsia="Calibri"/>
          <w:rtl/>
        </w:rPr>
        <w:t xml:space="preserve"> שנים בלבד</w:t>
      </w:r>
      <w:r w:rsidRPr="00A210E9">
        <w:rPr>
          <w:rFonts w:eastAsia="Calibri" w:hint="cs"/>
          <w:rtl/>
        </w:rPr>
        <w:t>,</w:t>
      </w:r>
      <w:r w:rsidRPr="00A210E9">
        <w:rPr>
          <w:rFonts w:eastAsia="Calibri"/>
          <w:rtl/>
        </w:rPr>
        <w:t xml:space="preserve"> שבסיומן הם נדרשים להוכיח בכל פעם מחדש את זכאותם לקבלת התג.</w:t>
      </w:r>
    </w:p>
    <w:p w:rsidR="008529F8" w:rsidRPr="00A210E9" w:rsidP="008529F8">
      <w:pPr>
        <w:spacing w:line="269" w:lineRule="auto"/>
        <w:ind w:left="340"/>
        <w:contextualSpacing/>
        <w:rPr>
          <w:rFonts w:eastAsia="Calibri"/>
        </w:rPr>
      </w:pPr>
    </w:p>
    <w:p w:rsidR="00A210E9" w:rsidRPr="00A210E9" w:rsidP="00A210E9">
      <w:pPr>
        <w:numPr>
          <w:ilvl w:val="0"/>
          <w:numId w:val="15"/>
        </w:numPr>
        <w:spacing w:line="269" w:lineRule="auto"/>
        <w:contextualSpacing/>
        <w:rPr>
          <w:rFonts w:eastAsia="Calibri"/>
          <w:rtl/>
        </w:rPr>
      </w:pPr>
      <w:r w:rsidRPr="00A210E9">
        <w:rPr>
          <w:rFonts w:eastAsia="Calibri" w:hint="cs"/>
          <w:rtl/>
        </w:rPr>
        <w:t>אוכלוסיות נוספות של אנשים עם מוגבלות כרונית בניידות טענו כי הן מתמודדות לעיתים עם קושי לקבל תג חניה לצמיתות. למשל, נציגי עמותה של חולי פיברוזיס ריאתי ציינו בספטמבר 2025 בוועדת הכלכלה של הכנסת כי אף שהמחלה היא מחלה כרונית קשה ופוגעת ביכולתם להתנייד, הם אינם מקבלים תג לצמיתות</w:t>
      </w:r>
      <w:r>
        <w:rPr>
          <w:rFonts w:eastAsia="Calibri"/>
          <w:vertAlign w:val="superscript"/>
          <w:rtl/>
        </w:rPr>
        <w:footnoteReference w:id="58"/>
      </w:r>
      <w:r w:rsidRPr="00A210E9">
        <w:rPr>
          <w:rFonts w:eastAsia="Calibri" w:hint="cs"/>
          <w:rtl/>
        </w:rPr>
        <w:t xml:space="preserve">. </w:t>
      </w:r>
    </w:p>
    <w:p w:rsidR="00A210E9" w:rsidRPr="00A210E9" w:rsidP="00A210E9">
      <w:pPr>
        <w:keepNext/>
        <w:keepLines/>
        <w:spacing w:line="269" w:lineRule="auto"/>
        <w:ind w:left="-567"/>
        <w:rPr>
          <w:rFonts w:eastAsia="Calibri"/>
          <w:szCs w:val="20"/>
        </w:rPr>
      </w:pPr>
    </w:p>
    <w:p w:rsidR="00A210E9" w:rsidRPr="00A210E9" w:rsidP="00A210E9">
      <w:pPr>
        <w:numPr>
          <w:ilvl w:val="0"/>
          <w:numId w:val="15"/>
        </w:numPr>
        <w:spacing w:line="269" w:lineRule="auto"/>
        <w:contextualSpacing/>
        <w:rPr>
          <w:rFonts w:eastAsia="Calibri"/>
          <w:rtl/>
        </w:rPr>
      </w:pPr>
      <w:r w:rsidRPr="00A210E9">
        <w:rPr>
          <w:rFonts w:eastAsia="Calibri" w:hint="cs"/>
          <w:rtl/>
        </w:rPr>
        <w:t xml:space="preserve">מנהל אגף הרישוי הוציא בשנת 2018 הנחיה כי אף על פי שלא ברור אם ההחלטה </w:t>
      </w:r>
      <w:r w:rsidRPr="00A210E9">
        <w:rPr>
          <w:rFonts w:eastAsia="Calibri"/>
          <w:rtl/>
        </w:rPr>
        <w:t xml:space="preserve">לאשר תג </w:t>
      </w:r>
      <w:r w:rsidRPr="00A210E9">
        <w:rPr>
          <w:rFonts w:eastAsia="Calibri" w:hint="cs"/>
          <w:rtl/>
        </w:rPr>
        <w:t>חניה</w:t>
      </w:r>
      <w:r w:rsidRPr="00A210E9">
        <w:rPr>
          <w:rFonts w:eastAsia="Calibri"/>
          <w:rtl/>
        </w:rPr>
        <w:t xml:space="preserve"> לכל אדם המצוי על הספקטרום</w:t>
      </w:r>
      <w:r w:rsidRPr="00A210E9">
        <w:rPr>
          <w:rFonts w:eastAsia="Calibri" w:hint="cs"/>
          <w:rtl/>
        </w:rPr>
        <w:t xml:space="preserve"> האוטיסטי</w:t>
      </w:r>
      <w:r w:rsidRPr="00A210E9">
        <w:rPr>
          <w:rFonts w:eastAsia="Calibri"/>
          <w:rtl/>
        </w:rPr>
        <w:t xml:space="preserve"> היא סבירה ומקצועית</w:t>
      </w:r>
      <w:r w:rsidRPr="00A210E9">
        <w:rPr>
          <w:rFonts w:eastAsia="Calibri" w:hint="cs"/>
          <w:rtl/>
        </w:rPr>
        <w:t>, וכל עוד לא התקיים דיון בעניין יש לתת</w:t>
      </w:r>
      <w:r w:rsidRPr="00A210E9">
        <w:rPr>
          <w:rFonts w:eastAsia="Calibri"/>
          <w:rtl/>
        </w:rPr>
        <w:t xml:space="preserve"> תג לצמיתות</w:t>
      </w:r>
      <w:r w:rsidRPr="00A210E9">
        <w:rPr>
          <w:rFonts w:eastAsia="Calibri" w:hint="cs"/>
          <w:rtl/>
        </w:rPr>
        <w:t xml:space="preserve"> מכיוון ש</w:t>
      </w:r>
      <w:r w:rsidRPr="00A210E9">
        <w:rPr>
          <w:rFonts w:eastAsia="Calibri"/>
          <w:rtl/>
        </w:rPr>
        <w:t>אוטיזם אינו בר ריפוי.</w:t>
      </w:r>
      <w:r w:rsidRPr="00A210E9">
        <w:rPr>
          <w:rFonts w:eastAsia="Calibri" w:hint="cs"/>
          <w:rtl/>
        </w:rPr>
        <w:t xml:space="preserve"> יצוין כי אוטיזם אינו נכלל ברשימת הקריטריונים שמשרד התחבורה נהג לעבוד על פיה המאפשרים קבלת תג לצמיתות. משרד התחבורה מסר במאי 2026 כי בשנים האחרונות הוא בודק באופן פרטני את הצורך במתן תג חניה לאנשים על הספקטרום האוטיסטי.</w:t>
      </w:r>
    </w:p>
    <w:p w:rsidR="00A210E9" w:rsidRPr="00A210E9" w:rsidP="00A210E9">
      <w:pPr>
        <w:keepNext/>
        <w:keepLines/>
        <w:spacing w:line="269" w:lineRule="auto"/>
        <w:ind w:left="-567"/>
        <w:rPr>
          <w:rFonts w:eastAsia="Calibri"/>
          <w:szCs w:val="20"/>
          <w:rtl/>
        </w:rPr>
      </w:pPr>
    </w:p>
    <w:p w:rsidR="00A210E9" w:rsidRPr="00A210E9" w:rsidP="00A210E9">
      <w:pPr>
        <w:numPr>
          <w:ilvl w:val="0"/>
          <w:numId w:val="15"/>
        </w:numPr>
        <w:spacing w:line="269" w:lineRule="auto"/>
        <w:contextualSpacing/>
        <w:rPr>
          <w:rFonts w:eastAsia="Calibri"/>
        </w:rPr>
      </w:pPr>
      <w:r w:rsidRPr="00A210E9">
        <w:rPr>
          <w:rFonts w:eastAsia="Calibri" w:hint="cs"/>
          <w:rtl/>
        </w:rPr>
        <w:t xml:space="preserve">אוכלוסייה נוספת שצרכיה לתג לצמיתות עלו לדיון ולא נכללו ברשימת הקריטריונים של משרד התחבורה היא זכאים לתג שמלאו להם 75 שנים. בדיון ועדת הכלכלה של הכנסת </w:t>
      </w:r>
      <w:r w:rsidR="008529F8">
        <w:rPr>
          <w:rFonts w:eastAsia="Calibri"/>
          <w:rtl/>
        </w:rPr>
        <w:br/>
      </w:r>
      <w:r w:rsidRPr="00A210E9">
        <w:rPr>
          <w:rFonts w:eastAsia="Calibri" w:hint="cs"/>
          <w:rtl/>
        </w:rPr>
        <w:t>ב-7.12.20</w:t>
      </w:r>
      <w:r>
        <w:rPr>
          <w:rFonts w:eastAsia="Calibri"/>
          <w:vertAlign w:val="superscript"/>
          <w:rtl/>
        </w:rPr>
        <w:footnoteReference w:id="59"/>
      </w:r>
      <w:r w:rsidRPr="00A210E9">
        <w:rPr>
          <w:rFonts w:eastAsia="Calibri" w:hint="cs"/>
          <w:rtl/>
        </w:rPr>
        <w:t xml:space="preserve"> ציין סמנכ"ל תנועה במשרד התחבורה כי אחת הפעולות שבוצעו לשיפור השירות הייתה להעניק לזכאים אלה תג לצמיתות. סוגיה זו עלתה שוב בדיון של צוות 2024, ובו צוין כי "כיום מעל גיל 75 מקבלים [תג חניה] באופן אוטומטי, זהו נוהל בעל פה שהיה קיים בעבר". בהמשך הדיון הוסכם כי יש למנוע יישום אוטומטי של הוראה זו.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Pr>
      </w:pPr>
      <w:r w:rsidRPr="00A210E9">
        <w:rPr>
          <w:rFonts w:eastAsia="Calibri" w:hint="cs"/>
          <w:rtl/>
        </w:rPr>
        <w:t xml:space="preserve">עמותת </w:t>
      </w:r>
      <w:r w:rsidRPr="00A210E9">
        <w:rPr>
          <w:rFonts w:eastAsia="Calibri"/>
          <w:rtl/>
        </w:rPr>
        <w:t>"</w:t>
      </w:r>
      <w:r w:rsidRPr="00A210E9">
        <w:rPr>
          <w:rFonts w:eastAsia="Calibri" w:hint="cs"/>
          <w:rtl/>
        </w:rPr>
        <w:t xml:space="preserve">הצעד הבא </w:t>
      </w:r>
      <w:r w:rsidRPr="00A210E9">
        <w:rPr>
          <w:rFonts w:eastAsia="Calibri"/>
          <w:rtl/>
        </w:rPr>
        <w:t xml:space="preserve">- </w:t>
      </w:r>
      <w:r w:rsidRPr="00A210E9">
        <w:rPr>
          <w:rFonts w:eastAsia="Calibri" w:hint="eastAsia"/>
          <w:rtl/>
        </w:rPr>
        <w:t>הבית</w:t>
      </w:r>
      <w:r w:rsidRPr="00A210E9">
        <w:rPr>
          <w:rFonts w:eastAsia="Calibri"/>
          <w:rtl/>
        </w:rPr>
        <w:t xml:space="preserve"> </w:t>
      </w:r>
      <w:r w:rsidRPr="00A210E9">
        <w:rPr>
          <w:rFonts w:eastAsia="Calibri" w:hint="eastAsia"/>
          <w:rtl/>
        </w:rPr>
        <w:t>של</w:t>
      </w:r>
      <w:r w:rsidRPr="00A210E9">
        <w:rPr>
          <w:rFonts w:eastAsia="Calibri"/>
          <w:rtl/>
        </w:rPr>
        <w:t xml:space="preserve"> </w:t>
      </w:r>
      <w:r w:rsidRPr="00A210E9">
        <w:rPr>
          <w:rFonts w:eastAsia="Calibri" w:hint="eastAsia"/>
          <w:rtl/>
        </w:rPr>
        <w:t>קטועי</w:t>
      </w:r>
      <w:r w:rsidRPr="00A210E9">
        <w:rPr>
          <w:rFonts w:eastAsia="Calibri"/>
          <w:rtl/>
        </w:rPr>
        <w:t xml:space="preserve"> </w:t>
      </w:r>
      <w:r w:rsidRPr="00A210E9">
        <w:rPr>
          <w:rFonts w:eastAsia="Calibri" w:hint="eastAsia"/>
          <w:rtl/>
        </w:rPr>
        <w:t>הגפיים</w:t>
      </w:r>
      <w:r w:rsidRPr="00A210E9">
        <w:rPr>
          <w:rFonts w:eastAsia="Calibri"/>
          <w:rtl/>
        </w:rPr>
        <w:t xml:space="preserve"> </w:t>
      </w:r>
      <w:r w:rsidRPr="00A210E9">
        <w:rPr>
          <w:rFonts w:eastAsia="Calibri" w:hint="eastAsia"/>
          <w:rtl/>
        </w:rPr>
        <w:t>בישראל</w:t>
      </w:r>
      <w:r w:rsidRPr="00A210E9">
        <w:rPr>
          <w:rFonts w:eastAsia="Calibri"/>
          <w:rtl/>
        </w:rPr>
        <w:t>"</w:t>
      </w:r>
      <w:r w:rsidRPr="00A210E9">
        <w:rPr>
          <w:rFonts w:eastAsia="Calibri" w:hint="cs"/>
          <w:rtl/>
        </w:rPr>
        <w:t xml:space="preserve"> מסרה בתשובתה </w:t>
      </w:r>
      <w:r w:rsidRPr="00A210E9">
        <w:rPr>
          <w:rFonts w:eastAsia="Calibri" w:hint="eastAsia"/>
          <w:rtl/>
        </w:rPr>
        <w:t>ממאי</w:t>
      </w:r>
      <w:r w:rsidRPr="00A210E9">
        <w:rPr>
          <w:rFonts w:eastAsia="Calibri"/>
          <w:rtl/>
        </w:rPr>
        <w:t xml:space="preserve"> 2026 (להלן </w:t>
      </w:r>
      <w:r w:rsidRPr="00A210E9">
        <w:rPr>
          <w:rFonts w:eastAsia="Calibri" w:hint="cs"/>
          <w:rtl/>
        </w:rPr>
        <w:t>-</w:t>
      </w:r>
      <w:r w:rsidRPr="00A210E9">
        <w:rPr>
          <w:rFonts w:eastAsia="Calibri"/>
          <w:rtl/>
        </w:rPr>
        <w:t xml:space="preserve"> תשובת </w:t>
      </w:r>
      <w:r w:rsidRPr="00A210E9">
        <w:rPr>
          <w:rFonts w:eastAsia="Calibri" w:hint="cs"/>
          <w:rtl/>
        </w:rPr>
        <w:t xml:space="preserve">עמותת </w:t>
      </w:r>
      <w:r w:rsidRPr="00A210E9">
        <w:rPr>
          <w:rFonts w:eastAsia="Calibri" w:hint="eastAsia"/>
          <w:rtl/>
        </w:rPr>
        <w:t>הצעד</w:t>
      </w:r>
      <w:r w:rsidRPr="00A210E9">
        <w:rPr>
          <w:rFonts w:eastAsia="Calibri"/>
          <w:rtl/>
        </w:rPr>
        <w:t xml:space="preserve"> </w:t>
      </w:r>
      <w:r w:rsidRPr="00A210E9">
        <w:rPr>
          <w:rFonts w:eastAsia="Calibri" w:hint="eastAsia"/>
          <w:rtl/>
        </w:rPr>
        <w:t>הבא</w:t>
      </w:r>
      <w:r w:rsidRPr="00A210E9">
        <w:rPr>
          <w:rFonts w:eastAsia="Calibri"/>
          <w:rtl/>
        </w:rPr>
        <w:t>)</w:t>
      </w:r>
      <w:r w:rsidRPr="00A210E9">
        <w:rPr>
          <w:rFonts w:eastAsia="Calibri" w:hint="cs"/>
          <w:rtl/>
        </w:rPr>
        <w:t xml:space="preserve"> כי </w:t>
      </w:r>
      <w:r w:rsidRPr="00A210E9">
        <w:rPr>
          <w:rFonts w:eastAsia="Calibri"/>
          <w:rtl/>
        </w:rPr>
        <w:t xml:space="preserve">בפועל קטועי גפה תחתונה </w:t>
      </w:r>
      <w:r w:rsidRPr="00A210E9">
        <w:rPr>
          <w:rFonts w:eastAsia="Calibri" w:hint="cs"/>
          <w:rtl/>
        </w:rPr>
        <w:t>אינם</w:t>
      </w:r>
      <w:r w:rsidRPr="00A210E9">
        <w:rPr>
          <w:rFonts w:eastAsia="Calibri"/>
          <w:rtl/>
        </w:rPr>
        <w:t xml:space="preserve"> מקבלים תג </w:t>
      </w:r>
      <w:r w:rsidRPr="00A210E9">
        <w:rPr>
          <w:rFonts w:eastAsia="Calibri" w:hint="cs"/>
          <w:rtl/>
        </w:rPr>
        <w:t>לצמיתות</w:t>
      </w:r>
      <w:r w:rsidRPr="00A210E9">
        <w:rPr>
          <w:rFonts w:eastAsia="Calibri"/>
          <w:rtl/>
        </w:rPr>
        <w:t xml:space="preserve"> ונאלצים </w:t>
      </w:r>
      <w:r w:rsidRPr="00A210E9">
        <w:rPr>
          <w:rFonts w:eastAsia="Calibri" w:hint="cs"/>
          <w:rtl/>
        </w:rPr>
        <w:t xml:space="preserve">מדי פעם </w:t>
      </w:r>
      <w:r w:rsidRPr="00A210E9">
        <w:rPr>
          <w:rFonts w:eastAsia="Calibri"/>
          <w:rtl/>
        </w:rPr>
        <w:t>להביא מכתב עדכני</w:t>
      </w:r>
      <w:r w:rsidRPr="00A210E9">
        <w:rPr>
          <w:rFonts w:eastAsia="Calibri" w:hint="cs"/>
          <w:rtl/>
        </w:rPr>
        <w:t xml:space="preserve"> מרופא</w:t>
      </w:r>
      <w:r w:rsidRPr="00A210E9">
        <w:rPr>
          <w:rFonts w:eastAsia="Calibri"/>
          <w:rtl/>
        </w:rPr>
        <w:t xml:space="preserve">, </w:t>
      </w:r>
      <w:r w:rsidRPr="00A210E9">
        <w:rPr>
          <w:rFonts w:eastAsia="Calibri" w:hint="cs"/>
          <w:rtl/>
        </w:rPr>
        <w:t xml:space="preserve">וכי - </w:t>
      </w:r>
      <w:r w:rsidRPr="00A210E9">
        <w:rPr>
          <w:rFonts w:eastAsia="Calibri"/>
          <w:rtl/>
        </w:rPr>
        <w:t xml:space="preserve">בין היתר בבואם לחדש את התג </w:t>
      </w:r>
      <w:r w:rsidRPr="00A210E9">
        <w:rPr>
          <w:rFonts w:eastAsia="Calibri" w:hint="cs"/>
          <w:rtl/>
        </w:rPr>
        <w:t xml:space="preserve">- </w:t>
      </w:r>
      <w:r w:rsidRPr="00A210E9">
        <w:rPr>
          <w:rFonts w:eastAsia="Calibri"/>
          <w:rtl/>
        </w:rPr>
        <w:t xml:space="preserve">הם מקבלים תשובה שלא חלה החמרה במצבם ועל כן </w:t>
      </w:r>
      <w:r w:rsidRPr="00A210E9">
        <w:rPr>
          <w:rFonts w:eastAsia="Calibri" w:hint="cs"/>
          <w:rtl/>
        </w:rPr>
        <w:t xml:space="preserve">הם </w:t>
      </w:r>
      <w:r w:rsidRPr="00A210E9">
        <w:rPr>
          <w:rFonts w:eastAsia="Calibri"/>
          <w:rtl/>
        </w:rPr>
        <w:t xml:space="preserve">אינם זכאים לתג </w:t>
      </w:r>
      <w:r w:rsidRPr="00A210E9">
        <w:rPr>
          <w:rFonts w:eastAsia="Calibri" w:hint="cs"/>
          <w:rtl/>
        </w:rPr>
        <w:t>לצמיתות</w:t>
      </w:r>
      <w:r w:rsidRPr="00A210E9">
        <w:rPr>
          <w:rFonts w:eastAsia="Calibri"/>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משרד התחבורה נמנע עד כה מלהסדיר את סוגיית תוקף התג באופן רשמי, אולם בהצעת חוק פרטית לתיקון חוק חניה לנכים שהוגשה לכנסת בשנת 2023, ולאחר מכן בשנת 2024, הוצע </w:t>
      </w:r>
      <w:r w:rsidRPr="00A210E9">
        <w:rPr>
          <w:rFonts w:eastAsia="Calibri"/>
          <w:rtl/>
        </w:rPr>
        <w:t xml:space="preserve">לקבוע </w:t>
      </w:r>
      <w:r w:rsidRPr="00A210E9">
        <w:rPr>
          <w:rFonts w:eastAsia="Calibri" w:hint="cs"/>
          <w:rtl/>
        </w:rPr>
        <w:t xml:space="preserve">בנוגע לזכאות לתג לצמיתות </w:t>
      </w:r>
      <w:r w:rsidRPr="00A210E9">
        <w:rPr>
          <w:rFonts w:eastAsia="Calibri"/>
          <w:rtl/>
        </w:rPr>
        <w:t>כי אדם קטוע גפה תחתונה אחת לפחות, אדם עם עיוורון או כל אדם עם נכות אחרת</w:t>
      </w:r>
      <w:r w:rsidRPr="00A210E9">
        <w:rPr>
          <w:rFonts w:eastAsia="Calibri" w:hint="cs"/>
          <w:rtl/>
        </w:rPr>
        <w:t>,</w:t>
      </w:r>
      <w:r w:rsidRPr="00A210E9">
        <w:rPr>
          <w:rFonts w:eastAsia="Calibri"/>
          <w:rtl/>
        </w:rPr>
        <w:t xml:space="preserve"> כפי שיקבע שר התחבורה בתקנות</w:t>
      </w:r>
      <w:r w:rsidRPr="00A210E9">
        <w:rPr>
          <w:rFonts w:eastAsia="Calibri" w:hint="cs"/>
          <w:rtl/>
        </w:rPr>
        <w:t>,</w:t>
      </w:r>
      <w:r w:rsidRPr="00A210E9">
        <w:rPr>
          <w:rFonts w:eastAsia="Calibri"/>
          <w:rtl/>
        </w:rPr>
        <w:t xml:space="preserve"> באישור ועדת הכלכלה של הכנסת, יהיה זכאי לתג </w:t>
      </w:r>
      <w:r w:rsidRPr="00A210E9">
        <w:rPr>
          <w:rFonts w:eastAsia="Calibri" w:hint="cs"/>
          <w:rtl/>
        </w:rPr>
        <w:t>חניה</w:t>
      </w:r>
      <w:r w:rsidRPr="00A210E9">
        <w:rPr>
          <w:rFonts w:eastAsia="Calibri"/>
          <w:rtl/>
        </w:rPr>
        <w:t xml:space="preserve"> לצמיתות ללא צורך בחידוש התג מדי שנה</w:t>
      </w:r>
      <w:r>
        <w:rPr>
          <w:rFonts w:eastAsia="Calibri"/>
          <w:vertAlign w:val="superscript"/>
          <w:rtl/>
        </w:rPr>
        <w:footnoteReference w:id="60"/>
      </w:r>
      <w:r w:rsidRPr="00A210E9">
        <w:rPr>
          <w:rFonts w:eastAsia="Calibri" w:hint="cs"/>
          <w:rtl/>
        </w:rPr>
        <w:t xml:space="preserve">. בדיון על הצעת החוק במליאת הכנסת </w:t>
      </w:r>
      <w:r w:rsidR="008529F8">
        <w:rPr>
          <w:rFonts w:eastAsia="Calibri"/>
          <w:rtl/>
        </w:rPr>
        <w:br/>
      </w:r>
      <w:r w:rsidRPr="00A210E9">
        <w:rPr>
          <w:rFonts w:eastAsia="Calibri" w:hint="cs"/>
          <w:rtl/>
        </w:rPr>
        <w:t>ב-10.7.24</w:t>
      </w:r>
      <w:r>
        <w:rPr>
          <w:rFonts w:eastAsia="Calibri"/>
          <w:vertAlign w:val="superscript"/>
          <w:rtl/>
        </w:rPr>
        <w:footnoteReference w:id="61"/>
      </w:r>
      <w:r w:rsidRPr="00A210E9">
        <w:rPr>
          <w:rFonts w:eastAsia="Calibri" w:hint="cs"/>
          <w:rtl/>
        </w:rPr>
        <w:t xml:space="preserve"> צוין כי </w:t>
      </w:r>
      <w:r w:rsidRPr="00A210E9">
        <w:rPr>
          <w:rFonts w:eastAsia="Calibri" w:hint="cs"/>
          <w:rtl/>
          <w:lang w:eastAsia="he-IL"/>
        </w:rPr>
        <w:t xml:space="preserve">אין תקנות </w:t>
      </w:r>
      <w:bookmarkStart w:id="29" w:name="_ETM_Q37_559000"/>
      <w:bookmarkEnd w:id="29"/>
      <w:r w:rsidRPr="00A210E9">
        <w:rPr>
          <w:rFonts w:eastAsia="Calibri" w:hint="cs"/>
          <w:rtl/>
          <w:lang w:eastAsia="he-IL"/>
        </w:rPr>
        <w:t>שמגדירות במפורש מהן בדיוק מחלות כרוניות שמחייבות לתת</w:t>
      </w:r>
      <w:bookmarkStart w:id="30" w:name="_ETM_Q37_567000"/>
      <w:bookmarkEnd w:id="30"/>
      <w:r w:rsidRPr="00A210E9">
        <w:rPr>
          <w:rFonts w:eastAsia="Calibri" w:hint="cs"/>
          <w:rtl/>
          <w:lang w:eastAsia="he-IL"/>
        </w:rPr>
        <w:t xml:space="preserve"> תג חניה לצמיתות. על כך ציין ה</w:t>
      </w:r>
      <w:r w:rsidRPr="00A210E9">
        <w:rPr>
          <w:rFonts w:eastAsia="Calibri"/>
          <w:rtl/>
        </w:rPr>
        <w:t>סג</w:t>
      </w:r>
      <w:r w:rsidRPr="00A210E9">
        <w:rPr>
          <w:rFonts w:eastAsia="Calibri" w:hint="cs"/>
          <w:rtl/>
        </w:rPr>
        <w:t>ן</w:t>
      </w:r>
      <w:r w:rsidRPr="00A210E9">
        <w:rPr>
          <w:rFonts w:eastAsia="Calibri"/>
          <w:rtl/>
        </w:rPr>
        <w:t xml:space="preserve"> </w:t>
      </w:r>
      <w:r w:rsidRPr="00A210E9">
        <w:rPr>
          <w:rFonts w:eastAsia="Calibri" w:hint="cs"/>
          <w:rtl/>
        </w:rPr>
        <w:t xml:space="preserve">לשעבר של </w:t>
      </w:r>
      <w:r w:rsidRPr="00A210E9">
        <w:rPr>
          <w:rFonts w:eastAsia="Calibri"/>
          <w:rtl/>
        </w:rPr>
        <w:t>שרת התחבורה</w:t>
      </w:r>
      <w:r w:rsidRPr="00A210E9">
        <w:rPr>
          <w:rFonts w:eastAsia="Calibri" w:hint="cs"/>
          <w:rtl/>
        </w:rPr>
        <w:t>: "מעיון בהגדרת המונח 'נכה</w:t>
      </w:r>
      <w:bookmarkStart w:id="31" w:name="_ETM_Q38_43235"/>
      <w:bookmarkStart w:id="32" w:name="_ETM_Q38_209610"/>
      <w:bookmarkStart w:id="33" w:name="_ETM_Q38_210480"/>
      <w:bookmarkEnd w:id="31"/>
      <w:bookmarkEnd w:id="32"/>
      <w:bookmarkEnd w:id="33"/>
      <w:r w:rsidRPr="00A210E9">
        <w:rPr>
          <w:rFonts w:eastAsia="Calibri" w:hint="cs"/>
          <w:rtl/>
        </w:rPr>
        <w:t xml:space="preserve">' </w:t>
      </w:r>
      <w:r w:rsidRPr="00A210E9">
        <w:rPr>
          <w:rFonts w:eastAsia="Calibri"/>
          <w:rtl/>
        </w:rPr>
        <w:t xml:space="preserve">שבחוק </w:t>
      </w:r>
      <w:bookmarkStart w:id="34" w:name="_ETM_Q38_211050"/>
      <w:bookmarkEnd w:id="34"/>
      <w:r w:rsidRPr="00A210E9">
        <w:rPr>
          <w:rFonts w:eastAsia="Calibri"/>
          <w:rtl/>
        </w:rPr>
        <w:t xml:space="preserve">חניה </w:t>
      </w:r>
      <w:bookmarkStart w:id="35" w:name="_ETM_Q38_211380"/>
      <w:bookmarkEnd w:id="35"/>
      <w:r w:rsidRPr="00A210E9">
        <w:rPr>
          <w:rFonts w:eastAsia="Calibri"/>
          <w:rtl/>
        </w:rPr>
        <w:t>לנכים</w:t>
      </w:r>
      <w:r w:rsidRPr="00A210E9">
        <w:rPr>
          <w:rFonts w:eastAsia="Calibri" w:hint="cs"/>
          <w:rtl/>
        </w:rPr>
        <w:t>,</w:t>
      </w:r>
      <w:r w:rsidRPr="00A210E9">
        <w:rPr>
          <w:rFonts w:eastAsia="Calibri"/>
          <w:rtl/>
        </w:rPr>
        <w:t xml:space="preserve"> </w:t>
      </w:r>
      <w:bookmarkStart w:id="36" w:name="_ETM_Q38_211829"/>
      <w:bookmarkEnd w:id="36"/>
      <w:r w:rsidRPr="00A210E9">
        <w:rPr>
          <w:rFonts w:eastAsia="Calibri"/>
          <w:rtl/>
        </w:rPr>
        <w:t>התשנ"ד</w:t>
      </w:r>
      <w:r w:rsidRPr="00A210E9">
        <w:rPr>
          <w:rFonts w:eastAsia="Calibri" w:hint="cs"/>
          <w:rtl/>
        </w:rPr>
        <w:t xml:space="preserve">, </w:t>
      </w:r>
      <w:bookmarkStart w:id="37" w:name="_ETM_Q38_212969"/>
      <w:bookmarkEnd w:id="37"/>
      <w:r w:rsidRPr="00A210E9">
        <w:rPr>
          <w:rFonts w:eastAsia="Calibri"/>
          <w:rtl/>
        </w:rPr>
        <w:t xml:space="preserve">ניתן </w:t>
      </w:r>
      <w:bookmarkStart w:id="38" w:name="_ETM_Q38_213329"/>
      <w:bookmarkEnd w:id="38"/>
      <w:r w:rsidRPr="00A210E9">
        <w:rPr>
          <w:rFonts w:eastAsia="Calibri" w:hint="cs"/>
          <w:rtl/>
        </w:rPr>
        <w:t xml:space="preserve">להיווכח </w:t>
      </w:r>
      <w:bookmarkStart w:id="39" w:name="_ETM_Q38_213930"/>
      <w:bookmarkStart w:id="40" w:name="_ETM_Q38_214859"/>
      <w:bookmarkStart w:id="41" w:name="_ETM_Q38_215819"/>
      <w:bookmarkEnd w:id="39"/>
      <w:bookmarkEnd w:id="40"/>
      <w:bookmarkEnd w:id="41"/>
      <w:r w:rsidRPr="00A210E9">
        <w:rPr>
          <w:rFonts w:eastAsia="Calibri" w:hint="cs"/>
          <w:rtl/>
        </w:rPr>
        <w:t>שעיוור נכ</w:t>
      </w:r>
      <w:r w:rsidRPr="00A210E9">
        <w:rPr>
          <w:rFonts w:eastAsia="Calibri"/>
          <w:rtl/>
        </w:rPr>
        <w:t xml:space="preserve">לל </w:t>
      </w:r>
      <w:bookmarkStart w:id="42" w:name="_ETM_Q38_216299"/>
      <w:bookmarkEnd w:id="42"/>
      <w:r w:rsidRPr="00A210E9">
        <w:rPr>
          <w:rFonts w:eastAsia="Calibri"/>
          <w:rtl/>
        </w:rPr>
        <w:t>בה</w:t>
      </w:r>
      <w:r w:rsidRPr="00A210E9">
        <w:rPr>
          <w:rFonts w:eastAsia="Calibri" w:hint="cs"/>
          <w:rtl/>
        </w:rPr>
        <w:t xml:space="preserve">, ולפיכך </w:t>
      </w:r>
      <w:bookmarkStart w:id="43" w:name="_ETM_Q38_215442"/>
      <w:bookmarkEnd w:id="43"/>
      <w:r w:rsidRPr="00A210E9">
        <w:rPr>
          <w:rFonts w:eastAsia="Calibri" w:hint="cs"/>
          <w:rtl/>
        </w:rPr>
        <w:t>זכאי לקבל ת</w:t>
      </w:r>
      <w:bookmarkStart w:id="44" w:name="_ETM_Q38_216809"/>
      <w:bookmarkStart w:id="45" w:name="_ETM_Q38_217229"/>
      <w:bookmarkStart w:id="46" w:name="_ETM_Q38_217530"/>
      <w:bookmarkStart w:id="47" w:name="_ETM_Q38_217769"/>
      <w:bookmarkStart w:id="48" w:name="_ETM_Q38_218339"/>
      <w:bookmarkStart w:id="49" w:name="_ETM_Q38_218819"/>
      <w:bookmarkStart w:id="50" w:name="_ETM_Q38_219210"/>
      <w:bookmarkStart w:id="51" w:name="_ETM_Q38_219420"/>
      <w:bookmarkEnd w:id="44"/>
      <w:bookmarkEnd w:id="45"/>
      <w:bookmarkEnd w:id="46"/>
      <w:bookmarkEnd w:id="47"/>
      <w:bookmarkEnd w:id="48"/>
      <w:bookmarkEnd w:id="49"/>
      <w:bookmarkEnd w:id="50"/>
      <w:bookmarkEnd w:id="51"/>
      <w:r w:rsidRPr="00A210E9">
        <w:rPr>
          <w:rFonts w:eastAsia="Calibri" w:hint="cs"/>
          <w:rtl/>
        </w:rPr>
        <w:t xml:space="preserve">ג [חניה], </w:t>
      </w:r>
      <w:bookmarkStart w:id="52" w:name="_ETM_Q38_220109"/>
      <w:bookmarkStart w:id="53" w:name="_ETM_Q38_220229"/>
      <w:bookmarkEnd w:id="52"/>
      <w:bookmarkEnd w:id="53"/>
      <w:r w:rsidRPr="00A210E9">
        <w:rPr>
          <w:rFonts w:eastAsia="Calibri" w:hint="cs"/>
          <w:rtl/>
        </w:rPr>
        <w:t>ו</w:t>
      </w:r>
      <w:r w:rsidRPr="00A210E9">
        <w:rPr>
          <w:rFonts w:eastAsia="Calibri"/>
          <w:rtl/>
        </w:rPr>
        <w:t xml:space="preserve">בהתאם </w:t>
      </w:r>
      <w:bookmarkStart w:id="54" w:name="_ETM_Q38_220890"/>
      <w:bookmarkEnd w:id="54"/>
      <w:r w:rsidRPr="00A210E9">
        <w:rPr>
          <w:rFonts w:eastAsia="Calibri"/>
          <w:rtl/>
        </w:rPr>
        <w:t xml:space="preserve">לנוהל </w:t>
      </w:r>
      <w:bookmarkStart w:id="55" w:name="_ETM_Q38_221640"/>
      <w:bookmarkEnd w:id="55"/>
      <w:r w:rsidRPr="00A210E9">
        <w:rPr>
          <w:rFonts w:eastAsia="Calibri"/>
          <w:rtl/>
        </w:rPr>
        <w:t>המשרד</w:t>
      </w:r>
      <w:r w:rsidRPr="00A210E9">
        <w:rPr>
          <w:rFonts w:eastAsia="Calibri" w:hint="cs"/>
          <w:rtl/>
        </w:rPr>
        <w:t>,</w:t>
      </w:r>
      <w:r w:rsidRPr="00A210E9">
        <w:rPr>
          <w:rFonts w:eastAsia="Calibri"/>
          <w:rtl/>
        </w:rPr>
        <w:t xml:space="preserve"> </w:t>
      </w:r>
      <w:bookmarkStart w:id="56" w:name="_ETM_Q38_222179"/>
      <w:bookmarkEnd w:id="56"/>
      <w:r w:rsidRPr="00A210E9">
        <w:rPr>
          <w:rFonts w:eastAsia="Calibri"/>
          <w:rtl/>
        </w:rPr>
        <w:t>הת</w:t>
      </w:r>
      <w:bookmarkStart w:id="57" w:name="_ETM_Q38_222690"/>
      <w:bookmarkEnd w:id="57"/>
      <w:r w:rsidRPr="00A210E9">
        <w:rPr>
          <w:rFonts w:eastAsia="Calibri" w:hint="cs"/>
          <w:rtl/>
        </w:rPr>
        <w:t xml:space="preserve">ג </w:t>
      </w:r>
      <w:r w:rsidRPr="00A210E9">
        <w:rPr>
          <w:rFonts w:eastAsia="Calibri"/>
          <w:rtl/>
        </w:rPr>
        <w:t xml:space="preserve">יהיה </w:t>
      </w:r>
      <w:bookmarkStart w:id="58" w:name="_ETM_Q38_223079"/>
      <w:bookmarkEnd w:id="58"/>
      <w:r w:rsidRPr="00A210E9">
        <w:rPr>
          <w:rFonts w:eastAsia="Calibri"/>
          <w:rtl/>
        </w:rPr>
        <w:t>לצמיתות</w:t>
      </w:r>
      <w:r w:rsidRPr="00A210E9">
        <w:rPr>
          <w:rFonts w:eastAsia="Calibri" w:hint="cs"/>
          <w:rtl/>
        </w:rPr>
        <w:t xml:space="preserve">... </w:t>
      </w:r>
      <w:r w:rsidRPr="00A210E9">
        <w:rPr>
          <w:rFonts w:eastAsia="Calibri"/>
          <w:rtl/>
        </w:rPr>
        <w:t xml:space="preserve">לגבי </w:t>
      </w:r>
      <w:bookmarkStart w:id="59" w:name="_ETM_Q38_232510"/>
      <w:bookmarkEnd w:id="59"/>
      <w:r w:rsidRPr="00A210E9">
        <w:rPr>
          <w:rFonts w:eastAsia="Calibri"/>
          <w:rtl/>
        </w:rPr>
        <w:t xml:space="preserve">קטוע </w:t>
      </w:r>
      <w:bookmarkStart w:id="60" w:name="_ETM_Q38_232840"/>
      <w:bookmarkEnd w:id="60"/>
      <w:r w:rsidRPr="00A210E9">
        <w:rPr>
          <w:rFonts w:eastAsia="Calibri"/>
          <w:rtl/>
        </w:rPr>
        <w:t xml:space="preserve">הגפה </w:t>
      </w:r>
      <w:bookmarkStart w:id="61" w:name="_ETM_Q38_233200"/>
      <w:bookmarkEnd w:id="61"/>
      <w:r w:rsidRPr="00A210E9">
        <w:rPr>
          <w:rFonts w:eastAsia="Calibri"/>
          <w:rtl/>
        </w:rPr>
        <w:t>התחתונה</w:t>
      </w:r>
      <w:r w:rsidRPr="00A210E9">
        <w:rPr>
          <w:rFonts w:eastAsia="Calibri" w:hint="cs"/>
          <w:rtl/>
        </w:rPr>
        <w:t>,</w:t>
      </w:r>
      <w:r w:rsidRPr="00A210E9">
        <w:rPr>
          <w:rFonts w:eastAsia="Calibri"/>
          <w:rtl/>
        </w:rPr>
        <w:t xml:space="preserve"> </w:t>
      </w:r>
      <w:bookmarkStart w:id="62" w:name="_ETM_Q38_234100"/>
      <w:bookmarkEnd w:id="62"/>
      <w:r w:rsidRPr="00A210E9">
        <w:rPr>
          <w:rFonts w:eastAsia="Calibri"/>
          <w:rtl/>
        </w:rPr>
        <w:t>ג</w:t>
      </w:r>
      <w:r w:rsidRPr="00A210E9">
        <w:rPr>
          <w:rFonts w:eastAsia="Calibri" w:hint="cs"/>
          <w:rtl/>
        </w:rPr>
        <w:t>ם הוא</w:t>
      </w:r>
      <w:r w:rsidRPr="00A210E9">
        <w:rPr>
          <w:rFonts w:eastAsia="Calibri"/>
          <w:rtl/>
        </w:rPr>
        <w:t xml:space="preserve"> נכלל </w:t>
      </w:r>
      <w:bookmarkStart w:id="63" w:name="_ETM_Q38_234520"/>
      <w:bookmarkStart w:id="64" w:name="_ETM_Q38_235510"/>
      <w:bookmarkEnd w:id="63"/>
      <w:bookmarkEnd w:id="64"/>
      <w:r w:rsidRPr="00A210E9">
        <w:rPr>
          <w:rFonts w:eastAsia="Calibri"/>
          <w:rtl/>
        </w:rPr>
        <w:t xml:space="preserve">בקריטריונים </w:t>
      </w:r>
      <w:bookmarkStart w:id="65" w:name="_ETM_Q38_236920"/>
      <w:bookmarkEnd w:id="65"/>
      <w:r w:rsidRPr="00A210E9">
        <w:rPr>
          <w:rFonts w:eastAsia="Calibri"/>
          <w:rtl/>
        </w:rPr>
        <w:t xml:space="preserve">של </w:t>
      </w:r>
      <w:bookmarkStart w:id="66" w:name="_ETM_Q38_237160"/>
      <w:bookmarkEnd w:id="66"/>
      <w:r w:rsidRPr="00A210E9">
        <w:rPr>
          <w:rFonts w:eastAsia="Calibri"/>
          <w:rtl/>
        </w:rPr>
        <w:t>המשרד</w:t>
      </w:r>
      <w:r w:rsidRPr="00A210E9">
        <w:rPr>
          <w:rFonts w:eastAsia="Calibri" w:hint="cs"/>
          <w:rtl/>
        </w:rPr>
        <w:t>,</w:t>
      </w:r>
      <w:r w:rsidRPr="00A210E9">
        <w:rPr>
          <w:rFonts w:eastAsia="Calibri"/>
          <w:rtl/>
        </w:rPr>
        <w:t xml:space="preserve"> </w:t>
      </w:r>
      <w:bookmarkStart w:id="67" w:name="_ETM_Q38_237730"/>
      <w:bookmarkEnd w:id="67"/>
      <w:r w:rsidRPr="00A210E9">
        <w:rPr>
          <w:rFonts w:eastAsia="Calibri"/>
          <w:rtl/>
        </w:rPr>
        <w:t xml:space="preserve">ולפיכך </w:t>
      </w:r>
      <w:bookmarkStart w:id="68" w:name="_ETM_Q38_238239"/>
      <w:bookmarkEnd w:id="68"/>
      <w:r w:rsidRPr="00A210E9">
        <w:rPr>
          <w:rFonts w:eastAsia="Calibri"/>
          <w:rtl/>
        </w:rPr>
        <w:t xml:space="preserve">גם </w:t>
      </w:r>
      <w:bookmarkStart w:id="69" w:name="_ETM_Q38_238449"/>
      <w:bookmarkEnd w:id="69"/>
      <w:r w:rsidRPr="00A210E9">
        <w:rPr>
          <w:rFonts w:eastAsia="Calibri"/>
          <w:rtl/>
        </w:rPr>
        <w:t xml:space="preserve">הוא </w:t>
      </w:r>
      <w:bookmarkStart w:id="70" w:name="_ETM_Q38_238570"/>
      <w:bookmarkEnd w:id="70"/>
      <w:r w:rsidRPr="00A210E9">
        <w:rPr>
          <w:rFonts w:eastAsia="Calibri"/>
          <w:rtl/>
        </w:rPr>
        <w:t xml:space="preserve">זכאי </w:t>
      </w:r>
      <w:bookmarkStart w:id="71" w:name="_ETM_Q38_239440"/>
      <w:bookmarkEnd w:id="71"/>
      <w:r w:rsidRPr="00A210E9">
        <w:rPr>
          <w:rFonts w:eastAsia="Calibri"/>
          <w:rtl/>
        </w:rPr>
        <w:t xml:space="preserve">לתעודת </w:t>
      </w:r>
      <w:bookmarkStart w:id="72" w:name="_ETM_Q38_240519"/>
      <w:bookmarkEnd w:id="72"/>
      <w:r w:rsidRPr="00A210E9">
        <w:rPr>
          <w:rFonts w:eastAsia="Calibri"/>
          <w:rtl/>
        </w:rPr>
        <w:t xml:space="preserve">תו </w:t>
      </w:r>
      <w:bookmarkStart w:id="73" w:name="_ETM_Q38_240730"/>
      <w:bookmarkEnd w:id="73"/>
      <w:r w:rsidRPr="00A210E9">
        <w:rPr>
          <w:rFonts w:eastAsia="Calibri" w:hint="cs"/>
          <w:rtl/>
        </w:rPr>
        <w:t>[חניה]</w:t>
      </w:r>
      <w:r w:rsidRPr="00A210E9">
        <w:rPr>
          <w:rFonts w:eastAsia="Calibri"/>
          <w:rtl/>
        </w:rPr>
        <w:t xml:space="preserve"> </w:t>
      </w:r>
      <w:bookmarkStart w:id="74" w:name="_ETM_Q38_241120"/>
      <w:bookmarkEnd w:id="74"/>
      <w:r w:rsidRPr="00A210E9">
        <w:rPr>
          <w:rFonts w:eastAsia="Calibri"/>
          <w:rtl/>
        </w:rPr>
        <w:t>לצמיתות</w:t>
      </w:r>
      <w:bookmarkStart w:id="75" w:name="_ETM_Q38_243210"/>
      <w:bookmarkStart w:id="76" w:name="_ETM_Q38_243899"/>
      <w:bookmarkStart w:id="77" w:name="_ETM_Q38_279380"/>
      <w:bookmarkStart w:id="78" w:name="_ETM_Q38_281569"/>
      <w:bookmarkStart w:id="79" w:name="_ETM_Q38_282590"/>
      <w:bookmarkStart w:id="80" w:name="_ETM_Q38_282920"/>
      <w:bookmarkEnd w:id="75"/>
      <w:bookmarkEnd w:id="76"/>
      <w:bookmarkEnd w:id="77"/>
      <w:bookmarkEnd w:id="78"/>
      <w:bookmarkEnd w:id="79"/>
      <w:bookmarkEnd w:id="80"/>
      <w:r w:rsidRPr="00A210E9">
        <w:rPr>
          <w:rFonts w:eastAsia="Calibri" w:hint="cs"/>
          <w:rtl/>
        </w:rPr>
        <w:t>". הצעת החוק לא קודמה לבסוף, והסגן ציין עוד כי בנוגע לשאר המוגבלויות, מלבד עיוור וקטוע גפה תחתונה: "נעשה</w:t>
      </w:r>
      <w:r w:rsidRPr="00A210E9">
        <w:rPr>
          <w:rFonts w:eastAsia="Calibri"/>
          <w:rtl/>
        </w:rPr>
        <w:t xml:space="preserve"> </w:t>
      </w:r>
      <w:bookmarkStart w:id="81" w:name="_ETM_Q38_281060"/>
      <w:bookmarkEnd w:id="81"/>
      <w:r w:rsidRPr="00A210E9">
        <w:rPr>
          <w:rFonts w:eastAsia="Calibri"/>
          <w:rtl/>
        </w:rPr>
        <w:t>דיון</w:t>
      </w:r>
      <w:r w:rsidRPr="00A210E9">
        <w:rPr>
          <w:rFonts w:eastAsia="Calibri" w:hint="cs"/>
          <w:rtl/>
        </w:rPr>
        <w:t xml:space="preserve"> </w:t>
      </w:r>
      <w:r w:rsidRPr="00A210E9">
        <w:rPr>
          <w:rFonts w:eastAsia="Calibri"/>
          <w:rtl/>
        </w:rPr>
        <w:t>מה</w:t>
      </w:r>
      <w:r w:rsidRPr="00A210E9">
        <w:rPr>
          <w:rFonts w:eastAsia="Calibri" w:hint="cs"/>
          <w:rtl/>
        </w:rPr>
        <w:t xml:space="preserve"> </w:t>
      </w:r>
      <w:r w:rsidRPr="00A210E9">
        <w:rPr>
          <w:rFonts w:eastAsia="Calibri"/>
          <w:rtl/>
        </w:rPr>
        <w:t xml:space="preserve">אנחנו </w:t>
      </w:r>
      <w:bookmarkStart w:id="82" w:name="_ETM_Q38_281869"/>
      <w:bookmarkEnd w:id="82"/>
      <w:r w:rsidRPr="00A210E9">
        <w:rPr>
          <w:rFonts w:eastAsia="Calibri"/>
          <w:rtl/>
        </w:rPr>
        <w:t xml:space="preserve">יכולים </w:t>
      </w:r>
      <w:bookmarkStart w:id="83" w:name="_ETM_Q38_282200"/>
      <w:bookmarkEnd w:id="83"/>
      <w:r w:rsidRPr="00A210E9">
        <w:rPr>
          <w:rFonts w:eastAsia="Calibri"/>
          <w:rtl/>
        </w:rPr>
        <w:t xml:space="preserve">לכלול </w:t>
      </w:r>
      <w:r w:rsidRPr="00A210E9">
        <w:rPr>
          <w:rFonts w:eastAsia="Calibri" w:hint="cs"/>
          <w:rtl/>
        </w:rPr>
        <w:t>ב</w:t>
      </w:r>
      <w:r w:rsidRPr="00A210E9">
        <w:rPr>
          <w:rFonts w:eastAsia="Calibri"/>
          <w:rtl/>
        </w:rPr>
        <w:t xml:space="preserve">אלה </w:t>
      </w:r>
      <w:r w:rsidRPr="00A210E9">
        <w:rPr>
          <w:rFonts w:eastAsia="Calibri" w:hint="cs"/>
          <w:rtl/>
        </w:rPr>
        <w:t>שיקבלו צמיתות".</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bookmarkStart w:id="84" w:name="_Hlk223878705"/>
      <w:r w:rsidRPr="00A210E9">
        <w:rPr>
          <w:rFonts w:eastAsia="Calibri" w:hint="cs"/>
          <w:b/>
          <w:bCs/>
          <w:rtl/>
        </w:rPr>
        <w:t xml:space="preserve">נמצא כי בשנים האחרונות הונפקו מעל 30,000 תגי חניה לצמיתות בשנה, בשיעור שנע בין </w:t>
      </w:r>
      <w:r w:rsidRPr="00A210E9">
        <w:rPr>
          <w:rFonts w:eastAsia="Calibri"/>
          <w:b/>
          <w:bCs/>
          <w:rtl/>
        </w:rPr>
        <w:br/>
      </w:r>
      <w:r w:rsidRPr="00A210E9">
        <w:rPr>
          <w:rFonts w:eastAsia="Calibri" w:hint="cs"/>
          <w:b/>
          <w:bCs/>
          <w:rtl/>
        </w:rPr>
        <w:t>כ-44% לכ-50% מכלל תגי החניה שניתנו באותה השנה. לצד זאת, החקיקה ונוהלי משרד התחבורה אינם נוגעים לתנאים המזכים אנשים עם מוגבלות לקבל תג חניה לזמן קצוב או לצמיתות. אשר לתגים הניתנים לצמיתות, משרד התחבורה עבד עד 2025 על פי רשימת קריטריונים שהוכנה בשנת 2015</w:t>
      </w:r>
      <w:r w:rsidRPr="00A210E9">
        <w:rPr>
          <w:rFonts w:eastAsia="Calibri"/>
          <w:b/>
          <w:bCs/>
          <w:rtl/>
        </w:rPr>
        <w:t xml:space="preserve">, </w:t>
      </w:r>
      <w:r w:rsidRPr="00A210E9">
        <w:rPr>
          <w:rFonts w:eastAsia="Calibri" w:hint="eastAsia"/>
          <w:b/>
          <w:bCs/>
          <w:rtl/>
        </w:rPr>
        <w:t>אך</w:t>
      </w:r>
      <w:r w:rsidRPr="00A210E9">
        <w:rPr>
          <w:rFonts w:eastAsia="Calibri"/>
          <w:b/>
          <w:bCs/>
          <w:rtl/>
        </w:rPr>
        <w:t xml:space="preserve"> </w:t>
      </w:r>
      <w:r w:rsidRPr="00A210E9">
        <w:rPr>
          <w:rFonts w:eastAsia="Calibri" w:hint="eastAsia"/>
          <w:b/>
          <w:bCs/>
          <w:rtl/>
        </w:rPr>
        <w:t>לא</w:t>
      </w:r>
      <w:r w:rsidRPr="00A210E9">
        <w:rPr>
          <w:rFonts w:eastAsia="Calibri"/>
          <w:b/>
          <w:bCs/>
          <w:rtl/>
        </w:rPr>
        <w:t xml:space="preserve"> </w:t>
      </w:r>
      <w:r w:rsidRPr="00A210E9">
        <w:rPr>
          <w:rFonts w:eastAsia="Calibri" w:hint="eastAsia"/>
          <w:b/>
          <w:bCs/>
          <w:rtl/>
        </w:rPr>
        <w:t>עוגנה</w:t>
      </w:r>
      <w:r w:rsidRPr="00A210E9">
        <w:rPr>
          <w:rFonts w:eastAsia="Calibri"/>
          <w:b/>
          <w:bCs/>
          <w:rtl/>
        </w:rPr>
        <w:t xml:space="preserve"> </w:t>
      </w:r>
      <w:r w:rsidRPr="00A210E9">
        <w:rPr>
          <w:rFonts w:eastAsia="Calibri" w:hint="eastAsia"/>
          <w:b/>
          <w:bCs/>
          <w:rtl/>
        </w:rPr>
        <w:t>בנוהל</w:t>
      </w:r>
      <w:r w:rsidRPr="00A210E9">
        <w:rPr>
          <w:rFonts w:eastAsia="Calibri" w:hint="cs"/>
          <w:b/>
          <w:bCs/>
          <w:rtl/>
        </w:rPr>
        <w:t xml:space="preserve">. למרות רשימת הקריטריונים הזאת, </w:t>
      </w:r>
      <w:r w:rsidRPr="00A210E9">
        <w:rPr>
          <w:rFonts w:eastAsia="Calibri" w:hint="cs"/>
          <w:b/>
          <w:bCs/>
          <w:rtl/>
        </w:rPr>
        <w:t>התווספו בפועל אוכלוסיות אחרות כזכאיות לתג לצמיתות, למשל אנשים על הספקטרום האוטיסטי</w:t>
      </w:r>
      <w:bookmarkStart w:id="85" w:name="_Hlk231488430"/>
      <w:r>
        <w:rPr>
          <w:rFonts w:eastAsia="Calibri"/>
          <w:b/>
          <w:bCs/>
          <w:vertAlign w:val="superscript"/>
          <w:rtl/>
        </w:rPr>
        <w:footnoteReference w:id="62"/>
      </w:r>
      <w:bookmarkEnd w:id="85"/>
      <w:r w:rsidRPr="00A210E9">
        <w:rPr>
          <w:rFonts w:eastAsia="Calibri" w:hint="cs"/>
          <w:b/>
          <w:bCs/>
          <w:rtl/>
        </w:rPr>
        <w:t xml:space="preserve"> ואנשים שגילם 75 ומעלה, וזאת על פי נוהג היסטורי לא כתוב. נוסף על כך, יש אוכלוסיות שלא קיבלו זכאות לתג לצמיתות, אך העלו צרכים בפורומים שונים בנוגע לזכאותן, כדוגמת חולי פיברוזיס ריאתי. אשר לתגים עם תוקף קצוב, כלל לא נקבעו קריטריונים בנוגע לתקופת הזכאות. במהלך השנים 2023 - 2024 הועלו הצעות חוק פרטיות שלא הבשילו לכדי תיקון לחוק חניה לנכים, ומשרד התחבורה לא קידם תקנות בנושא. עם תחילת עבודתו של הספק החדש לשירותי בדיקת בקשות לתג חניה בסוף מאי 2025 החליט משרד התחבורה כי לגבי בקשות חדשות הנבדקות על ידי רופאי אגף הרישוי לעת הזו לא יינתנו כלל תגים לצמיתות. כמו כן, גם בנוהל חדש שפרסם משרד התחבורה ביוני 2025, בנוגע לתהליך אישור זכאות לתג חניה (ראו פירוט להלן), לא ניתנה התייחסות לנושא תוקף התג.</w:t>
      </w:r>
    </w:p>
    <w:bookmarkEnd w:id="84"/>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eastAsia"/>
          <w:b/>
          <w:bCs/>
          <w:rtl/>
        </w:rPr>
        <w:t>משרד</w:t>
      </w:r>
      <w:r w:rsidRPr="00A210E9">
        <w:rPr>
          <w:rFonts w:eastAsia="Calibri"/>
          <w:b/>
          <w:bCs/>
          <w:rtl/>
        </w:rPr>
        <w:t xml:space="preserve"> מבקר המדינה ממליץ </w:t>
      </w:r>
      <w:r w:rsidRPr="00A210E9">
        <w:rPr>
          <w:rFonts w:eastAsia="Calibri" w:hint="eastAsia"/>
          <w:b/>
          <w:bCs/>
          <w:rtl/>
        </w:rPr>
        <w:t>למשרד</w:t>
      </w:r>
      <w:r w:rsidRPr="00A210E9">
        <w:rPr>
          <w:rFonts w:eastAsia="Calibri" w:hint="cs"/>
          <w:b/>
          <w:bCs/>
          <w:rtl/>
        </w:rPr>
        <w:t xml:space="preserve"> התחבורה להסדיר בנוהל או בתקנות קריטריונים ברורים הנוגעים לתוקף התג, ובין היתר להגדיר אילו מקרים מזכים בתג חניה לצמיתות. מומלץ למשרד התחבורה, הביטוח הלאומי, אגף השיקום ומשרד הרווחה לספק פתרון ביניים מיידי באמצעות מיפוי של רשימת מוגבלויות כרוניות קשות שלא ניתנות לריפוי ופוגעות ביכולת הניידות בדרכים (בכפוף לקריטריונים רפואיים מקובלים), ולפעול כדי להסדיר עבור אנשים אלה הנחיה ברורה למתן תג לצמיתות.</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ascii="David" w:eastAsia="Calibri" w:hAnsi="David"/>
          <w:sz w:val="24"/>
          <w:rtl/>
        </w:rPr>
      </w:pPr>
      <w:r w:rsidRPr="00A210E9">
        <w:rPr>
          <w:rFonts w:eastAsia="Calibri" w:hint="cs"/>
          <w:rtl/>
        </w:rPr>
        <w:t xml:space="preserve">הביטוח הלאומי כתב בתשובתו כי הוא סבור שעל משרד התחבורה </w:t>
      </w:r>
      <w:r w:rsidRPr="00A210E9">
        <w:rPr>
          <w:rFonts w:ascii="David" w:eastAsia="Calibri" w:hAnsi="David"/>
          <w:sz w:val="24"/>
          <w:rtl/>
        </w:rPr>
        <w:t>לעגן בתקנות או בנהלים ברורים ושקופים לציבור קריטריונים ברורים למתן תג לצמיתות, ו</w:t>
      </w:r>
      <w:r w:rsidRPr="00A210E9">
        <w:rPr>
          <w:rFonts w:ascii="David" w:eastAsia="Calibri" w:hAnsi="David" w:hint="cs"/>
          <w:sz w:val="24"/>
          <w:rtl/>
        </w:rPr>
        <w:t xml:space="preserve">כי </w:t>
      </w:r>
      <w:r w:rsidRPr="00A210E9">
        <w:rPr>
          <w:rFonts w:ascii="David" w:eastAsia="Calibri" w:hAnsi="David"/>
          <w:sz w:val="24"/>
          <w:rtl/>
        </w:rPr>
        <w:t xml:space="preserve">הוא יהיה מוכן לסייע בעניין ולהשתתף במיפוי הרשימות. </w:t>
      </w:r>
      <w:bookmarkStart w:id="86" w:name="_Hlk228360086"/>
      <w:r w:rsidRPr="00A210E9">
        <w:rPr>
          <w:rFonts w:ascii="David" w:eastAsia="Calibri" w:hAnsi="David" w:hint="cs"/>
          <w:sz w:val="24"/>
          <w:rtl/>
        </w:rPr>
        <w:t xml:space="preserve">משרד הרווחה כתב בתשובתו ממאי 2026 </w:t>
      </w:r>
      <w:r w:rsidRPr="00A210E9">
        <w:rPr>
          <w:rFonts w:ascii="David" w:eastAsia="Calibri" w:hAnsi="David"/>
          <w:sz w:val="24"/>
          <w:rtl/>
        </w:rPr>
        <w:t xml:space="preserve">(להלן </w:t>
      </w:r>
      <w:r w:rsidRPr="00A210E9">
        <w:rPr>
          <w:rFonts w:ascii="David" w:eastAsia="Calibri" w:hAnsi="David" w:hint="cs"/>
          <w:sz w:val="24"/>
          <w:rtl/>
        </w:rPr>
        <w:t>-</w:t>
      </w:r>
      <w:r w:rsidRPr="00A210E9">
        <w:rPr>
          <w:rFonts w:ascii="David" w:eastAsia="Calibri" w:hAnsi="David"/>
          <w:sz w:val="24"/>
          <w:rtl/>
        </w:rPr>
        <w:t xml:space="preserve"> תשובת משרד הרווחה)</w:t>
      </w:r>
      <w:r w:rsidRPr="00A210E9">
        <w:rPr>
          <w:rFonts w:ascii="David" w:eastAsia="Calibri" w:hAnsi="David" w:hint="cs"/>
          <w:sz w:val="24"/>
        </w:rPr>
        <w:t xml:space="preserve"> </w:t>
      </w:r>
      <w:r w:rsidRPr="00A210E9">
        <w:rPr>
          <w:rFonts w:ascii="David" w:eastAsia="Calibri" w:hAnsi="David" w:hint="cs"/>
          <w:sz w:val="24"/>
          <w:rtl/>
        </w:rPr>
        <w:t xml:space="preserve">כי </w:t>
      </w:r>
      <w:r w:rsidRPr="00A210E9">
        <w:rPr>
          <w:rFonts w:ascii="David" w:eastAsia="Calibri" w:hAnsi="David"/>
          <w:sz w:val="24"/>
          <w:rtl/>
        </w:rPr>
        <w:t xml:space="preserve">כיום </w:t>
      </w:r>
      <w:r w:rsidRPr="00A210E9">
        <w:rPr>
          <w:rFonts w:ascii="David" w:eastAsia="Calibri" w:hAnsi="David" w:hint="cs"/>
          <w:sz w:val="24"/>
          <w:rtl/>
        </w:rPr>
        <w:t xml:space="preserve">הוא </w:t>
      </w:r>
      <w:r w:rsidRPr="00A210E9">
        <w:rPr>
          <w:rFonts w:ascii="David" w:eastAsia="Calibri" w:hAnsi="David"/>
          <w:sz w:val="24"/>
          <w:rtl/>
        </w:rPr>
        <w:t>מדווח למשרד התחבורה על זכאי תעודת עיוור בלבד</w:t>
      </w:r>
      <w:r w:rsidRPr="00A210E9">
        <w:rPr>
          <w:rFonts w:ascii="David" w:eastAsia="Calibri" w:hAnsi="David" w:hint="cs"/>
          <w:sz w:val="24"/>
          <w:rtl/>
        </w:rPr>
        <w:t>, ו</w:t>
      </w:r>
      <w:r w:rsidRPr="00A210E9">
        <w:rPr>
          <w:rFonts w:ascii="David" w:eastAsia="Calibri" w:hAnsi="David"/>
          <w:sz w:val="24"/>
          <w:rtl/>
        </w:rPr>
        <w:t>במסגרת הדיווח</w:t>
      </w:r>
      <w:r w:rsidRPr="00A210E9">
        <w:rPr>
          <w:rFonts w:ascii="David" w:eastAsia="Calibri" w:hAnsi="David" w:hint="cs"/>
          <w:sz w:val="24"/>
          <w:rtl/>
        </w:rPr>
        <w:t xml:space="preserve"> הוא</w:t>
      </w:r>
      <w:r w:rsidRPr="00A210E9">
        <w:rPr>
          <w:rFonts w:ascii="David" w:eastAsia="Calibri" w:hAnsi="David"/>
          <w:sz w:val="24"/>
          <w:rtl/>
        </w:rPr>
        <w:t xml:space="preserve"> מצ</w:t>
      </w:r>
      <w:r w:rsidRPr="00A210E9">
        <w:rPr>
          <w:rFonts w:ascii="David" w:eastAsia="Calibri" w:hAnsi="David" w:hint="cs"/>
          <w:sz w:val="24"/>
          <w:rtl/>
        </w:rPr>
        <w:t>י</w:t>
      </w:r>
      <w:r w:rsidRPr="00A210E9">
        <w:rPr>
          <w:rFonts w:ascii="David" w:eastAsia="Calibri" w:hAnsi="David"/>
          <w:sz w:val="24"/>
          <w:rtl/>
        </w:rPr>
        <w:t>ין אם הזכאי הו</w:t>
      </w:r>
      <w:r w:rsidRPr="00A210E9">
        <w:rPr>
          <w:rFonts w:ascii="David" w:eastAsia="Calibri" w:hAnsi="David" w:hint="cs"/>
          <w:sz w:val="24"/>
          <w:rtl/>
        </w:rPr>
        <w:t>א</w:t>
      </w:r>
      <w:r w:rsidRPr="00A210E9">
        <w:rPr>
          <w:rFonts w:ascii="David" w:eastAsia="Calibri" w:hAnsi="David"/>
          <w:sz w:val="24"/>
          <w:rtl/>
        </w:rPr>
        <w:t xml:space="preserve"> בעל תעודת עיוור לצמיתות או תעודת עיוור זמנית </w:t>
      </w:r>
      <w:r w:rsidRPr="00A210E9">
        <w:rPr>
          <w:rFonts w:ascii="David" w:eastAsia="Calibri" w:hAnsi="David" w:hint="cs"/>
          <w:sz w:val="24"/>
          <w:rtl/>
        </w:rPr>
        <w:t>ואם</w:t>
      </w:r>
      <w:r w:rsidRPr="00A210E9">
        <w:rPr>
          <w:rFonts w:ascii="David" w:eastAsia="Calibri" w:hAnsi="David"/>
          <w:sz w:val="24"/>
          <w:rtl/>
        </w:rPr>
        <w:t xml:space="preserve"> </w:t>
      </w:r>
      <w:r w:rsidRPr="00A210E9">
        <w:rPr>
          <w:rFonts w:ascii="David" w:eastAsia="Calibri" w:hAnsi="David" w:hint="cs"/>
          <w:sz w:val="24"/>
          <w:rtl/>
        </w:rPr>
        <w:t>מדובר בתעודה זמנית - מתי י</w:t>
      </w:r>
      <w:r w:rsidRPr="00A210E9">
        <w:rPr>
          <w:rFonts w:ascii="David" w:eastAsia="Calibri" w:hAnsi="David"/>
          <w:sz w:val="24"/>
          <w:rtl/>
        </w:rPr>
        <w:t>פ</w:t>
      </w:r>
      <w:r w:rsidRPr="00A210E9">
        <w:rPr>
          <w:rFonts w:ascii="David" w:eastAsia="Calibri" w:hAnsi="David" w:hint="cs"/>
          <w:sz w:val="24"/>
          <w:rtl/>
        </w:rPr>
        <w:t>ו</w:t>
      </w:r>
      <w:r w:rsidRPr="00A210E9">
        <w:rPr>
          <w:rFonts w:ascii="David" w:eastAsia="Calibri" w:hAnsi="David"/>
          <w:sz w:val="24"/>
          <w:rtl/>
        </w:rPr>
        <w:t xml:space="preserve">ג תוקפה. </w:t>
      </w:r>
      <w:r w:rsidRPr="00A210E9">
        <w:rPr>
          <w:rFonts w:ascii="David" w:eastAsia="Calibri" w:hAnsi="David" w:hint="cs"/>
          <w:sz w:val="24"/>
          <w:rtl/>
        </w:rPr>
        <w:t xml:space="preserve">המשרד ציין כי אם יחליט </w:t>
      </w:r>
      <w:r w:rsidRPr="00A210E9">
        <w:rPr>
          <w:rFonts w:ascii="David" w:eastAsia="Calibri" w:hAnsi="David"/>
          <w:sz w:val="24"/>
          <w:rtl/>
        </w:rPr>
        <w:t>משרד התחבורה להגדיר מוגבלויות נוספות אשר מזכות</w:t>
      </w:r>
      <w:r w:rsidRPr="00A210E9">
        <w:rPr>
          <w:rFonts w:ascii="David" w:eastAsia="Calibri" w:hAnsi="David" w:hint="cs"/>
          <w:sz w:val="24"/>
          <w:rtl/>
        </w:rPr>
        <w:t xml:space="preserve"> </w:t>
      </w:r>
      <w:r w:rsidRPr="00A210E9">
        <w:rPr>
          <w:rFonts w:ascii="David" w:eastAsia="Calibri" w:hAnsi="David"/>
          <w:sz w:val="24"/>
          <w:rtl/>
        </w:rPr>
        <w:t>בת</w:t>
      </w:r>
      <w:r w:rsidRPr="00A210E9">
        <w:rPr>
          <w:rFonts w:ascii="David" w:eastAsia="Calibri" w:hAnsi="David" w:hint="cs"/>
          <w:sz w:val="24"/>
          <w:rtl/>
        </w:rPr>
        <w:t xml:space="preserve">ג לצמיתות, </w:t>
      </w:r>
      <w:r w:rsidRPr="00A210E9">
        <w:rPr>
          <w:rFonts w:ascii="David" w:eastAsia="Calibri" w:hAnsi="David"/>
          <w:sz w:val="24"/>
          <w:rtl/>
        </w:rPr>
        <w:t xml:space="preserve">משרד הרווחה יבצע עבודה מקצועית פנימית </w:t>
      </w:r>
      <w:r w:rsidRPr="00A210E9">
        <w:rPr>
          <w:rFonts w:ascii="David" w:eastAsia="Calibri" w:hAnsi="David" w:hint="cs"/>
          <w:sz w:val="24"/>
          <w:rtl/>
        </w:rPr>
        <w:t>ויגבש</w:t>
      </w:r>
      <w:r w:rsidRPr="00A210E9">
        <w:rPr>
          <w:rFonts w:ascii="David" w:eastAsia="Calibri" w:hAnsi="David"/>
          <w:sz w:val="24"/>
          <w:rtl/>
        </w:rPr>
        <w:t xml:space="preserve"> המלצות בנוגע</w:t>
      </w:r>
      <w:r w:rsidRPr="00A210E9">
        <w:rPr>
          <w:rFonts w:ascii="David" w:eastAsia="Calibri" w:hAnsi="David" w:hint="cs"/>
          <w:sz w:val="24"/>
          <w:rtl/>
        </w:rPr>
        <w:t xml:space="preserve"> ל</w:t>
      </w:r>
      <w:r w:rsidRPr="00A210E9">
        <w:rPr>
          <w:rFonts w:ascii="David" w:eastAsia="Calibri" w:hAnsi="David"/>
          <w:sz w:val="24"/>
          <w:rtl/>
        </w:rPr>
        <w:t>מוגבלויות נוספות הרלוונטיות בעיניו לעניין.</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משרד התחבורה כתב בתשובתו כי הוא </w:t>
      </w:r>
      <w:r w:rsidRPr="00A210E9">
        <w:rPr>
          <w:rFonts w:eastAsia="Calibri"/>
          <w:rtl/>
        </w:rPr>
        <w:t xml:space="preserve">מקבל </w:t>
      </w:r>
      <w:r w:rsidRPr="00A210E9">
        <w:rPr>
          <w:rFonts w:eastAsia="Calibri" w:hint="cs"/>
          <w:rtl/>
        </w:rPr>
        <w:t xml:space="preserve">את המלצת משרד מבקר המדינה ולפיה </w:t>
      </w:r>
      <w:r w:rsidRPr="00A210E9">
        <w:rPr>
          <w:rFonts w:eastAsia="Calibri"/>
          <w:rtl/>
        </w:rPr>
        <w:t xml:space="preserve">נדרש לעגן </w:t>
      </w:r>
      <w:r w:rsidRPr="00A210E9">
        <w:rPr>
          <w:rFonts w:eastAsia="Calibri" w:hint="cs"/>
          <w:rtl/>
        </w:rPr>
        <w:t>בדין</w:t>
      </w:r>
      <w:r w:rsidRPr="00A210E9">
        <w:rPr>
          <w:rFonts w:eastAsia="Calibri"/>
          <w:rtl/>
        </w:rPr>
        <w:t xml:space="preserve"> כללי</w:t>
      </w:r>
      <w:r w:rsidRPr="00A210E9">
        <w:rPr>
          <w:rFonts w:eastAsia="Calibri" w:hint="cs"/>
          <w:rtl/>
        </w:rPr>
        <w:t>ם ברורים לעניין</w:t>
      </w:r>
      <w:r w:rsidRPr="00A210E9">
        <w:rPr>
          <w:rFonts w:eastAsia="Calibri"/>
          <w:rtl/>
        </w:rPr>
        <w:t xml:space="preserve"> התוקף והצמיתות</w:t>
      </w:r>
      <w:r w:rsidRPr="00A210E9">
        <w:rPr>
          <w:rFonts w:eastAsia="Calibri" w:hint="cs"/>
          <w:rtl/>
        </w:rPr>
        <w:t xml:space="preserve"> של תגי חניה לאנשים עם מוגבלות, וכי ה</w:t>
      </w:r>
      <w:r w:rsidRPr="00A210E9">
        <w:rPr>
          <w:rFonts w:eastAsia="Calibri"/>
          <w:rtl/>
        </w:rPr>
        <w:t xml:space="preserve">צוות </w:t>
      </w:r>
      <w:r w:rsidRPr="00A210E9">
        <w:rPr>
          <w:rFonts w:eastAsia="Calibri" w:hint="cs"/>
          <w:rtl/>
        </w:rPr>
        <w:t>ה</w:t>
      </w:r>
      <w:r w:rsidRPr="00A210E9">
        <w:rPr>
          <w:rFonts w:eastAsia="Calibri"/>
          <w:rtl/>
        </w:rPr>
        <w:t>בין-משרדי 2025</w:t>
      </w:r>
      <w:r w:rsidRPr="00A210E9">
        <w:rPr>
          <w:rFonts w:eastAsia="Calibri" w:hint="cs"/>
          <w:rtl/>
        </w:rPr>
        <w:t xml:space="preserve"> פועל לקידום ה</w:t>
      </w:r>
      <w:r w:rsidRPr="00A210E9">
        <w:rPr>
          <w:rFonts w:eastAsia="Calibri"/>
          <w:rtl/>
        </w:rPr>
        <w:t xml:space="preserve">ביטול </w:t>
      </w:r>
      <w:r w:rsidRPr="00A210E9">
        <w:rPr>
          <w:rFonts w:eastAsia="Calibri" w:hint="cs"/>
          <w:rtl/>
        </w:rPr>
        <w:t xml:space="preserve">של </w:t>
      </w:r>
      <w:r w:rsidRPr="00A210E9">
        <w:rPr>
          <w:rFonts w:eastAsia="Calibri"/>
          <w:rtl/>
        </w:rPr>
        <w:t>פרקטיקות אוטומטיות שלא הוסדרו באופן פורמלי,</w:t>
      </w:r>
      <w:r w:rsidRPr="00A210E9">
        <w:rPr>
          <w:rFonts w:eastAsia="Calibri" w:hint="cs"/>
          <w:rtl/>
        </w:rPr>
        <w:t xml:space="preserve"> ובוחן אם לקבוע מחדש</w:t>
      </w:r>
      <w:r w:rsidRPr="00A210E9">
        <w:rPr>
          <w:rFonts w:eastAsia="Calibri"/>
          <w:rtl/>
        </w:rPr>
        <w:t xml:space="preserve"> קריטריונים ברורים ל</w:t>
      </w:r>
      <w:r w:rsidRPr="00A210E9">
        <w:rPr>
          <w:rFonts w:eastAsia="Calibri" w:hint="cs"/>
          <w:rtl/>
        </w:rPr>
        <w:t xml:space="preserve">מתן </w:t>
      </w:r>
      <w:r w:rsidRPr="00A210E9">
        <w:rPr>
          <w:rFonts w:eastAsia="Calibri"/>
          <w:rtl/>
        </w:rPr>
        <w:t xml:space="preserve">תג זמני ותג לצמיתות. </w:t>
      </w:r>
      <w:r w:rsidRPr="00A210E9">
        <w:rPr>
          <w:rFonts w:eastAsia="Calibri" w:hint="cs"/>
          <w:rtl/>
        </w:rPr>
        <w:t xml:space="preserve">המשרד הבהיר </w:t>
      </w:r>
      <w:r w:rsidRPr="00A210E9">
        <w:rPr>
          <w:rFonts w:eastAsia="Calibri"/>
          <w:rtl/>
        </w:rPr>
        <w:t>כי נוהל</w:t>
      </w:r>
      <w:r w:rsidRPr="00A210E9">
        <w:rPr>
          <w:rFonts w:eastAsia="Calibri" w:hint="cs"/>
          <w:rtl/>
        </w:rPr>
        <w:t xml:space="preserve"> שהוא פרסם ביוני </w:t>
      </w:r>
      <w:r w:rsidRPr="00A210E9">
        <w:rPr>
          <w:rFonts w:eastAsia="Calibri"/>
          <w:rtl/>
        </w:rPr>
        <w:t>2025 לא כלל הסדרה של מתן תגים לצמיתות, שכן באותה עת התקבלה החלטה כי בתקופת</w:t>
      </w:r>
      <w:r w:rsidRPr="00A210E9">
        <w:rPr>
          <w:rFonts w:eastAsia="Calibri" w:hint="cs"/>
          <w:rtl/>
        </w:rPr>
        <w:t xml:space="preserve"> </w:t>
      </w:r>
      <w:r w:rsidRPr="00A210E9">
        <w:rPr>
          <w:rFonts w:eastAsia="Calibri"/>
          <w:rtl/>
        </w:rPr>
        <w:t>הביניים, עד להשלמת עבודת ההסדרה הכוללת, לא יונפקו כלל תגים לצמיתות</w:t>
      </w:r>
      <w:r w:rsidRPr="00A210E9">
        <w:rPr>
          <w:rFonts w:eastAsia="Calibri" w:hint="cs"/>
          <w:rtl/>
        </w:rPr>
        <w:t xml:space="preserve"> (עבור מי שפונה בבקשה ישירה למשרד התחבורה). </w:t>
      </w:r>
    </w:p>
    <w:p w:rsidR="00A210E9" w:rsidRPr="00A210E9" w:rsidP="00A210E9">
      <w:pPr>
        <w:spacing w:line="269" w:lineRule="auto"/>
        <w:rPr>
          <w:rFonts w:eastAsia="Calibri"/>
          <w:rtl/>
        </w:rPr>
      </w:pPr>
    </w:p>
    <w:bookmarkEnd w:id="86"/>
    <w:p w:rsidR="00A210E9" w:rsidRPr="00A210E9" w:rsidP="00A210E9">
      <w:pPr>
        <w:keepNext/>
        <w:keepLines/>
        <w:spacing w:line="269" w:lineRule="auto"/>
        <w:outlineLvl w:val="3"/>
        <w:rPr>
          <w:rFonts w:eastAsia="Times New Roman"/>
          <w:bCs/>
          <w:szCs w:val="26"/>
          <w:rtl/>
        </w:rPr>
      </w:pPr>
      <w:r w:rsidRPr="00A210E9">
        <w:rPr>
          <w:rFonts w:eastAsia="Times New Roman" w:hint="cs"/>
          <w:bCs/>
          <w:szCs w:val="26"/>
          <w:rtl/>
        </w:rPr>
        <w:t>מגמות במספר כלי הרכב המשויכים לתגי חניה</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בתרשים שלהלן מוצגים נתונים בדבר מספר כלי הרכב (להלן גם - רכבים) המשויכים לתגי חניה ושיעורם מכלל כלי הרכב בישראל: </w:t>
      </w:r>
    </w:p>
    <w:p w:rsidR="00A210E9" w:rsidRPr="00A210E9" w:rsidP="00A210E9">
      <w:pPr>
        <w:keepNext/>
        <w:keepLines/>
        <w:spacing w:line="269" w:lineRule="auto"/>
        <w:jc w:val="center"/>
        <w:rPr>
          <w:rFonts w:eastAsia="Calibri"/>
          <w:b/>
          <w:bCs/>
          <w:rtl/>
        </w:rPr>
      </w:pPr>
      <w:r w:rsidRPr="00A210E9">
        <w:rPr>
          <w:rFonts w:eastAsia="Calibri" w:hint="eastAsia"/>
          <w:rtl/>
        </w:rPr>
        <w:t>תרשים</w:t>
      </w:r>
      <w:r w:rsidRPr="00A210E9">
        <w:rPr>
          <w:rFonts w:eastAsia="Calibri"/>
          <w:rtl/>
        </w:rPr>
        <w:t xml:space="preserve"> </w:t>
      </w:r>
      <w:r w:rsidRPr="00A210E9">
        <w:rPr>
          <w:rFonts w:eastAsia="Calibri" w:hint="cs"/>
          <w:rtl/>
        </w:rPr>
        <w:t>12</w:t>
      </w:r>
      <w:r w:rsidRPr="00A210E9">
        <w:rPr>
          <w:rFonts w:eastAsia="Calibri"/>
          <w:rtl/>
        </w:rPr>
        <w:t>:</w:t>
      </w:r>
      <w:r w:rsidRPr="00A210E9">
        <w:rPr>
          <w:rFonts w:eastAsia="Calibri" w:hint="cs"/>
          <w:b/>
          <w:bCs/>
        </w:rPr>
        <w:t xml:space="preserve"> </w:t>
      </w:r>
      <w:r w:rsidRPr="00A210E9">
        <w:rPr>
          <w:rFonts w:eastAsia="Calibri" w:hint="cs"/>
          <w:b/>
          <w:bCs/>
          <w:rtl/>
        </w:rPr>
        <w:t xml:space="preserve">מספר הרכבים המשויכים לתגי חניה ושיעורם מכלל כלי הרכב בישראל, </w:t>
      </w:r>
    </w:p>
    <w:p w:rsidR="00A210E9" w:rsidRPr="00A210E9" w:rsidP="00A210E9">
      <w:pPr>
        <w:keepNext/>
        <w:keepLines/>
        <w:spacing w:line="269" w:lineRule="auto"/>
        <w:jc w:val="center"/>
        <w:rPr>
          <w:rFonts w:eastAsia="Calibri"/>
          <w:b/>
          <w:bCs/>
        </w:rPr>
      </w:pPr>
      <w:r w:rsidRPr="00A210E9">
        <w:rPr>
          <w:rFonts w:eastAsia="Calibri" w:hint="cs"/>
          <w:b/>
          <w:bCs/>
          <w:rtl/>
        </w:rPr>
        <w:t>2014 - 2025</w:t>
      </w:r>
    </w:p>
    <w:p w:rsidR="00A210E9" w:rsidRPr="00A210E9" w:rsidP="00A210E9">
      <w:pPr>
        <w:spacing w:line="269" w:lineRule="auto"/>
        <w:rPr>
          <w:rFonts w:eastAsia="Calibri"/>
          <w:b/>
          <w:bCs/>
          <w:rtl/>
        </w:rPr>
      </w:pPr>
      <w:r w:rsidRPr="00A210E9">
        <w:rPr>
          <w:rFonts w:eastAsia="Calibri"/>
          <w:b/>
          <w:bCs/>
          <w:noProof/>
        </w:rPr>
        <w:drawing>
          <wp:inline distT="0" distB="0" distL="0" distR="0">
            <wp:extent cx="5250656" cy="3031490"/>
            <wp:effectExtent l="0" t="0" r="7620" b="0"/>
            <wp:docPr id="73" name="תמונה 73" descr="2014: 155,094, 6%&#10;2015: 177,161, 7%&#10;2016: 202,875, 7%&#10;2017: 228,599, 8%&#10;2018: 259,312, 8%&#10;2019: 298,081, 9%&#10;2020: 324,787, 10%&#10;2021: 399,858, 12%&#10;2022: 507,043, 14%&#10;2023: 588,174, 16%&#10;2024: 652,400, 18%&#10;יוני 2025: 668,961,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5"/>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64649" cy="3039569"/>
                    </a:xfrm>
                    <a:prstGeom prst="rect">
                      <a:avLst/>
                    </a:prstGeom>
                    <a:noFill/>
                  </pic:spPr>
                </pic:pic>
              </a:graphicData>
            </a:graphic>
          </wp:inline>
        </w:drawing>
      </w:r>
    </w:p>
    <w:p w:rsidR="00A210E9" w:rsidRPr="00A210E9" w:rsidP="00A210E9">
      <w:pPr>
        <w:spacing w:line="269" w:lineRule="auto"/>
        <w:rPr>
          <w:rFonts w:eastAsia="Calibri"/>
          <w:szCs w:val="20"/>
          <w:rtl/>
        </w:rPr>
      </w:pPr>
      <w:r w:rsidRPr="00A210E9">
        <w:rPr>
          <w:rFonts w:eastAsia="Calibri" w:hint="eastAsia"/>
          <w:szCs w:val="20"/>
          <w:rtl/>
        </w:rPr>
        <w:t>על</w:t>
      </w:r>
      <w:r w:rsidRPr="00A210E9">
        <w:rPr>
          <w:rFonts w:eastAsia="Calibri"/>
          <w:szCs w:val="20"/>
          <w:rtl/>
        </w:rPr>
        <w:t xml:space="preserve"> פי נתוני משרד התחבורה </w:t>
      </w:r>
      <w:r w:rsidRPr="00A210E9">
        <w:rPr>
          <w:rFonts w:eastAsia="Calibri" w:hint="eastAsia"/>
          <w:szCs w:val="20"/>
          <w:rtl/>
        </w:rPr>
        <w:t>ב</w:t>
      </w:r>
      <w:r w:rsidRPr="00A210E9">
        <w:rPr>
          <w:rFonts w:eastAsia="Calibri"/>
          <w:szCs w:val="20"/>
          <w:rtl/>
        </w:rPr>
        <w:t>-</w:t>
      </w:r>
      <w:r w:rsidRPr="00A210E9">
        <w:rPr>
          <w:rFonts w:eastAsia="Calibri"/>
          <w:szCs w:val="20"/>
        </w:rPr>
        <w:t>data.gov.il</w:t>
      </w:r>
      <w:r w:rsidRPr="00A210E9">
        <w:rPr>
          <w:rFonts w:eastAsia="Calibri"/>
          <w:szCs w:val="20"/>
          <w:rtl/>
        </w:rPr>
        <w:t>, בעיבוד משרד מבקר המדינה</w:t>
      </w:r>
      <w:r w:rsidRPr="00A210E9">
        <w:rPr>
          <w:rFonts w:eastAsia="Calibri" w:hint="cs"/>
          <w:szCs w:val="20"/>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bookmarkStart w:id="87" w:name="_Hlk223878925"/>
      <w:r w:rsidRPr="00A210E9">
        <w:rPr>
          <w:rFonts w:eastAsia="Calibri" w:hint="cs"/>
          <w:b/>
          <w:bCs/>
          <w:rtl/>
        </w:rPr>
        <w:t xml:space="preserve">מהתרשים עולה כי מספר הרכבים שמשויכים לתגי חניה עלה בעשר השנים האחרונות </w:t>
      </w:r>
      <w:r w:rsidR="008529F8">
        <w:rPr>
          <w:rFonts w:eastAsia="Calibri"/>
          <w:rtl/>
        </w:rPr>
        <w:br/>
      </w:r>
      <w:r w:rsidRPr="00A210E9">
        <w:rPr>
          <w:rFonts w:eastAsia="Calibri" w:hint="cs"/>
          <w:b/>
          <w:bCs/>
          <w:rtl/>
        </w:rPr>
        <w:t xml:space="preserve">מכ-155,000 בשנת 2014 לכ-669,000 במחצית הראשונה של 2025, דהיינו עלייה של יותר </w:t>
      </w:r>
      <w:r w:rsidR="008529F8">
        <w:rPr>
          <w:rFonts w:eastAsia="Calibri"/>
          <w:rtl/>
        </w:rPr>
        <w:br/>
      </w:r>
      <w:r w:rsidRPr="00A210E9">
        <w:rPr>
          <w:rFonts w:eastAsia="Calibri" w:hint="cs"/>
          <w:b/>
          <w:bCs/>
          <w:rtl/>
        </w:rPr>
        <w:t>מ-300% לעומת עלייה של כ-52% במספר כלי הרכב בישראל באותן השנים. כך, 17% מכלל כלי הרכב בישראל משויכים לתגי חניה במחצית הראשונה של 2025 לעומת 6% בשנת 2014.</w:t>
      </w:r>
      <w:r w:rsidRPr="00A210E9">
        <w:rPr>
          <w:rFonts w:eastAsia="Calibri" w:hint="cs"/>
          <w:rtl/>
        </w:rPr>
        <w:t xml:space="preserve"> </w:t>
      </w:r>
      <w:r w:rsidRPr="00A210E9">
        <w:rPr>
          <w:rFonts w:eastAsia="Calibri" w:hint="cs"/>
          <w:b/>
          <w:bCs/>
          <w:rtl/>
        </w:rPr>
        <w:t>המשמעות של עלייה זו היא מספר רב יותר של רכבים על כל חניית נכים פנויה, דבר המקשה על המתקשים בניידות למצות את זכויותיהם בהקשר זה.</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משרד התחבורה כתב בתשובתו כי הוא </w:t>
      </w:r>
      <w:r w:rsidRPr="00A210E9">
        <w:rPr>
          <w:rFonts w:eastAsia="Calibri"/>
          <w:rtl/>
        </w:rPr>
        <w:t>מכיר בכך שהגידול במספר</w:t>
      </w:r>
      <w:r w:rsidRPr="00A210E9">
        <w:rPr>
          <w:rFonts w:eastAsia="Calibri" w:hint="cs"/>
          <w:rtl/>
        </w:rPr>
        <w:t xml:space="preserve"> </w:t>
      </w:r>
      <w:r w:rsidRPr="00A210E9">
        <w:rPr>
          <w:rFonts w:eastAsia="Calibri"/>
          <w:rtl/>
        </w:rPr>
        <w:t xml:space="preserve">הרכבים המשויכים לתגים </w:t>
      </w:r>
      <w:r w:rsidRPr="00A210E9">
        <w:rPr>
          <w:rFonts w:eastAsia="Calibri" w:hint="cs"/>
          <w:rtl/>
        </w:rPr>
        <w:t>גורם</w:t>
      </w:r>
      <w:r w:rsidRPr="00A210E9">
        <w:rPr>
          <w:rFonts w:eastAsia="Calibri"/>
          <w:rtl/>
        </w:rPr>
        <w:t xml:space="preserve"> בפועל </w:t>
      </w:r>
      <w:r w:rsidRPr="00A210E9">
        <w:rPr>
          <w:rFonts w:eastAsia="Calibri" w:hint="cs"/>
          <w:rtl/>
        </w:rPr>
        <w:t xml:space="preserve">להגבלת </w:t>
      </w:r>
      <w:r w:rsidRPr="00A210E9">
        <w:rPr>
          <w:rFonts w:eastAsia="Calibri"/>
          <w:rtl/>
        </w:rPr>
        <w:t>זמינות החניה לאוכלוסייה הזכאית</w:t>
      </w:r>
      <w:r w:rsidRPr="00A210E9">
        <w:rPr>
          <w:rFonts w:eastAsia="Calibri" w:hint="cs"/>
          <w:rtl/>
        </w:rPr>
        <w:t xml:space="preserve"> לכך, ולכן הוא מטפל בסוגיה זו</w:t>
      </w:r>
      <w:r w:rsidRPr="00A210E9">
        <w:rPr>
          <w:rFonts w:eastAsia="Calibri"/>
          <w:rtl/>
        </w:rPr>
        <w:t xml:space="preserve"> הן </w:t>
      </w:r>
      <w:r w:rsidRPr="00A210E9">
        <w:rPr>
          <w:rFonts w:eastAsia="Calibri" w:hint="cs"/>
          <w:rtl/>
        </w:rPr>
        <w:t>במסגרת</w:t>
      </w:r>
      <w:r w:rsidRPr="00A210E9">
        <w:rPr>
          <w:rFonts w:eastAsia="Calibri"/>
          <w:rtl/>
        </w:rPr>
        <w:t xml:space="preserve"> האישור השוטף והן </w:t>
      </w:r>
      <w:r w:rsidRPr="00A210E9">
        <w:rPr>
          <w:rFonts w:eastAsia="Calibri" w:hint="cs"/>
          <w:rtl/>
        </w:rPr>
        <w:t>במסגרת</w:t>
      </w:r>
      <w:r w:rsidRPr="00A210E9">
        <w:rPr>
          <w:rFonts w:eastAsia="Calibri"/>
          <w:rtl/>
        </w:rPr>
        <w:t xml:space="preserve"> בחינת מלאי התגים והשיוכים</w:t>
      </w:r>
      <w:r w:rsidRPr="00A210E9">
        <w:rPr>
          <w:rFonts w:eastAsia="Calibri" w:hint="cs"/>
          <w:rtl/>
        </w:rPr>
        <w:t xml:space="preserve"> </w:t>
      </w:r>
      <w:r w:rsidRPr="00A210E9">
        <w:rPr>
          <w:rFonts w:eastAsia="Calibri"/>
          <w:rtl/>
        </w:rPr>
        <w:t>הקיימים</w:t>
      </w:r>
      <w:r w:rsidRPr="00A210E9">
        <w:rPr>
          <w:rFonts w:eastAsia="Calibri" w:hint="cs"/>
          <w:rtl/>
        </w:rPr>
        <w:t>.</w:t>
      </w:r>
    </w:p>
    <w:bookmarkEnd w:id="87"/>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 xml:space="preserve">בביקורת </w:t>
      </w:r>
      <w:bookmarkStart w:id="88" w:name="_Hlk223878979"/>
      <w:r w:rsidRPr="00A210E9">
        <w:rPr>
          <w:rFonts w:eastAsia="Calibri" w:hint="cs"/>
          <w:b/>
          <w:bCs/>
          <w:rtl/>
        </w:rPr>
        <w:t xml:space="preserve">עלה עוד כי אף לא גוף אחד - משרד התחבורה, משרד הפנים ונציבות שוויון זכויות - מרכז </w:t>
      </w:r>
      <w:r w:rsidRPr="00A210E9">
        <w:rPr>
          <w:rFonts w:eastAsia="Calibri"/>
          <w:b/>
          <w:bCs/>
          <w:rtl/>
        </w:rPr>
        <w:t xml:space="preserve">נתונים </w:t>
      </w:r>
      <w:r w:rsidRPr="00A210E9">
        <w:rPr>
          <w:rFonts w:eastAsia="Calibri" w:hint="cs"/>
          <w:b/>
          <w:bCs/>
          <w:rtl/>
        </w:rPr>
        <w:t>על</w:t>
      </w:r>
      <w:r w:rsidRPr="00A210E9">
        <w:rPr>
          <w:rFonts w:eastAsia="Calibri"/>
          <w:b/>
          <w:bCs/>
          <w:rtl/>
        </w:rPr>
        <w:t xml:space="preserve"> מספר החניות</w:t>
      </w:r>
      <w:r w:rsidRPr="00A210E9">
        <w:rPr>
          <w:rFonts w:eastAsia="Calibri" w:hint="cs"/>
          <w:b/>
          <w:bCs/>
          <w:rtl/>
        </w:rPr>
        <w:t xml:space="preserve"> המוקצות לאנשים עם מוגבלות בתחומי הרשויות המקומיות,</w:t>
      </w:r>
      <w:r w:rsidRPr="00A210E9">
        <w:rPr>
          <w:rFonts w:eastAsia="Calibri"/>
          <w:b/>
          <w:bCs/>
          <w:rtl/>
        </w:rPr>
        <w:t xml:space="preserve"> ולכן לא ניתן </w:t>
      </w:r>
      <w:r w:rsidRPr="00A210E9">
        <w:rPr>
          <w:rFonts w:eastAsia="Calibri" w:hint="cs"/>
          <w:b/>
          <w:bCs/>
          <w:rtl/>
        </w:rPr>
        <w:t>לדעת האם יש הלימה בין מספר תגי החניה המונפקים למספר חניות הנכים, ואם היחס בין חניות הנכים לבין מספר הרכבים המשויכים לתגי חניה נשמר על פני השנים. גם מרבית הרשויות המקומיות אינן מחזיקות בנתונים על מספר החניות המוקצות לבעלי תג חניה בתחומן</w:t>
      </w:r>
      <w:bookmarkEnd w:id="88"/>
      <w:r>
        <w:rPr>
          <w:rFonts w:eastAsia="Calibri"/>
          <w:b/>
          <w:bCs/>
          <w:vertAlign w:val="superscript"/>
          <w:rtl/>
        </w:rPr>
        <w:footnoteReference w:id="63"/>
      </w:r>
      <w:r w:rsidRPr="00A210E9">
        <w:rPr>
          <w:rFonts w:eastAsia="Calibri" w:hint="cs"/>
          <w:b/>
          <w:bCs/>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משרד הפנים כתב בתשובתו כי אינו מחזיק בנתונים על מספר החניות המוקצות לאנשים עם מוגבלות בתחומי שיפוטן של הרשויות המקומיות ואינו מרכז נתונים אלה משום שהמחוקק לא הפקיד בידיו את האחריות לאכיפת החוק וליישום האסדרה שנקבעה במסגרתו.</w:t>
      </w:r>
    </w:p>
    <w:p w:rsidR="00A210E9" w:rsidRPr="00A210E9" w:rsidP="00A210E9">
      <w:pPr>
        <w:keepNext/>
        <w:keepLines/>
        <w:spacing w:line="269" w:lineRule="auto"/>
        <w:ind w:left="-567"/>
        <w:rPr>
          <w:rFonts w:eastAsia="Calibri"/>
          <w:szCs w:val="20"/>
          <w:rtl/>
        </w:rPr>
      </w:pPr>
    </w:p>
    <w:p w:rsidR="00A210E9" w:rsidP="00A210E9">
      <w:pPr>
        <w:spacing w:line="269" w:lineRule="auto"/>
        <w:rPr>
          <w:rFonts w:eastAsia="Calibri"/>
          <w:b/>
          <w:bCs/>
          <w:rtl/>
        </w:rPr>
      </w:pPr>
      <w:r w:rsidRPr="00A210E9">
        <w:rPr>
          <w:rFonts w:eastAsia="Calibri" w:hint="cs"/>
          <w:rtl/>
        </w:rPr>
        <w:t>פורום צמיד כתב בתשובתו כי על פי נתוני הרשויות המקומיות היחס בין מספר החניות המיועדות לבעלי תג למספר הרכבים המשויכים לתגים הוא נמוך, וכי הדבר נובע מכך שאין תקנה המחייבת את הרשויות המקומיות להגדיל את מספר החניות הציבוריות לנכים בהתאם לגידול במספר הזכאים.</w:t>
      </w:r>
    </w:p>
    <w:p w:rsidR="00A157C9" w:rsidRPr="00A210E9" w:rsidP="00A210E9">
      <w:pPr>
        <w:spacing w:line="269" w:lineRule="auto"/>
        <w:rPr>
          <w:rFonts w:eastAsia="Calibri"/>
          <w:b/>
          <w:bCs/>
          <w:rtl/>
        </w:rPr>
      </w:pPr>
    </w:p>
    <w:p w:rsidR="00A210E9" w:rsidRPr="00A210E9" w:rsidP="00A210E9">
      <w:pPr>
        <w:spacing w:line="269" w:lineRule="auto"/>
        <w:rPr>
          <w:rFonts w:eastAsia="Calibri"/>
          <w:rtl/>
        </w:rPr>
      </w:pPr>
      <w:r w:rsidRPr="00A210E9">
        <w:rPr>
          <w:rFonts w:eastAsia="Calibri" w:hint="cs"/>
          <w:rtl/>
        </w:rPr>
        <w:t xml:space="preserve">עמותת הצעד הבא כתבה בתשובתה כי </w:t>
      </w:r>
      <w:r w:rsidRPr="00A210E9">
        <w:rPr>
          <w:rFonts w:eastAsia="Calibri"/>
          <w:rtl/>
        </w:rPr>
        <w:t xml:space="preserve">יש </w:t>
      </w:r>
      <w:r w:rsidRPr="00A210E9">
        <w:rPr>
          <w:rFonts w:eastAsia="Calibri" w:hint="cs"/>
          <w:rtl/>
        </w:rPr>
        <w:t>ליצור</w:t>
      </w:r>
      <w:r w:rsidRPr="00A210E9">
        <w:rPr>
          <w:rFonts w:eastAsia="Calibri"/>
          <w:rtl/>
        </w:rPr>
        <w:t xml:space="preserve"> יותר מקומות חניה לנכים</w:t>
      </w:r>
      <w:r w:rsidRPr="00A210E9">
        <w:rPr>
          <w:rFonts w:eastAsia="Calibri" w:hint="cs"/>
          <w:rtl/>
        </w:rPr>
        <w:t>,</w:t>
      </w:r>
      <w:r w:rsidRPr="00A210E9">
        <w:rPr>
          <w:rFonts w:eastAsia="Calibri"/>
          <w:rtl/>
        </w:rPr>
        <w:t xml:space="preserve"> בהתאם לתוואי השטח ומספר המבקרים ביום (התופעה נפוצה בעיקר במרכזי קניות ו</w:t>
      </w:r>
      <w:r w:rsidRPr="00A210E9">
        <w:rPr>
          <w:rFonts w:eastAsia="Calibri" w:hint="cs"/>
          <w:rtl/>
        </w:rPr>
        <w:t>ב</w:t>
      </w:r>
      <w:r w:rsidRPr="00A210E9">
        <w:rPr>
          <w:rFonts w:eastAsia="Calibri"/>
          <w:rtl/>
        </w:rPr>
        <w:t xml:space="preserve">מקומות משולבים המעניקים גם שירות רפואי), </w:t>
      </w:r>
      <w:r w:rsidRPr="00A210E9">
        <w:rPr>
          <w:rFonts w:eastAsia="Calibri" w:hint="cs"/>
          <w:rtl/>
        </w:rPr>
        <w:t xml:space="preserve">וכי </w:t>
      </w:r>
      <w:r w:rsidRPr="00A210E9">
        <w:rPr>
          <w:rFonts w:eastAsia="Calibri"/>
          <w:rtl/>
        </w:rPr>
        <w:t>מומלץ לבצע סקר חניה ותנועה.</w:t>
      </w:r>
    </w:p>
    <w:p w:rsidR="00A210E9" w:rsidRPr="00A210E9" w:rsidP="00A210E9">
      <w:pPr>
        <w:keepNext/>
        <w:keepLines/>
        <w:spacing w:line="269" w:lineRule="auto"/>
        <w:ind w:left="-567"/>
        <w:rPr>
          <w:rFonts w:eastAsia="Calibri"/>
          <w:szCs w:val="20"/>
          <w:rtl/>
        </w:rPr>
      </w:pPr>
      <w:bookmarkStart w:id="89" w:name="_Hlk231142187"/>
    </w:p>
    <w:p w:rsidR="00A210E9" w:rsidRPr="00A210E9" w:rsidP="00A210E9">
      <w:pPr>
        <w:spacing w:line="269" w:lineRule="auto"/>
        <w:rPr>
          <w:rFonts w:eastAsia="Calibri"/>
          <w:b/>
          <w:bCs/>
          <w:rtl/>
        </w:rPr>
      </w:pPr>
      <w:bookmarkStart w:id="90" w:name="_Hlk230525706"/>
      <w:r w:rsidRPr="00A210E9">
        <w:rPr>
          <w:rFonts w:eastAsia="Calibri" w:hint="cs"/>
          <w:b/>
          <w:bCs/>
          <w:rtl/>
        </w:rPr>
        <w:t>משרד מבקר המדינה ממליץ</w:t>
      </w:r>
      <w:r w:rsidRPr="00A210E9">
        <w:rPr>
          <w:rFonts w:eastAsia="Calibri"/>
          <w:b/>
          <w:bCs/>
          <w:rtl/>
        </w:rPr>
        <w:t xml:space="preserve"> </w:t>
      </w:r>
      <w:r w:rsidRPr="00A210E9">
        <w:rPr>
          <w:rFonts w:eastAsia="Calibri" w:hint="cs"/>
          <w:b/>
          <w:bCs/>
          <w:rtl/>
        </w:rPr>
        <w:t>למשרד התחבורה (</w:t>
      </w:r>
      <w:r w:rsidRPr="00A210E9">
        <w:rPr>
          <w:rFonts w:eastAsia="Calibri"/>
          <w:b/>
          <w:bCs/>
          <w:rtl/>
        </w:rPr>
        <w:t xml:space="preserve">מתוקף </w:t>
      </w:r>
      <w:r w:rsidRPr="00A210E9">
        <w:rPr>
          <w:rFonts w:eastAsia="Calibri" w:hint="cs"/>
          <w:b/>
          <w:bCs/>
          <w:rtl/>
        </w:rPr>
        <w:t xml:space="preserve">סמכויותיו לפי חוק חניה לנכים) ולמשרד הפנים </w:t>
      </w:r>
      <w:r w:rsidRPr="00A210E9">
        <w:rPr>
          <w:rFonts w:eastAsia="Calibri" w:hint="cs"/>
          <w:rtl/>
        </w:rPr>
        <w:t>(</w:t>
      </w:r>
      <w:r w:rsidRPr="00A210E9">
        <w:rPr>
          <w:rFonts w:eastAsia="Calibri"/>
          <w:b/>
          <w:bCs/>
          <w:rtl/>
        </w:rPr>
        <w:t xml:space="preserve">מתוקף היותו האחראי </w:t>
      </w:r>
      <w:r w:rsidRPr="00A210E9">
        <w:rPr>
          <w:rFonts w:eastAsia="Calibri" w:hint="cs"/>
          <w:b/>
          <w:bCs/>
          <w:rtl/>
        </w:rPr>
        <w:t>ל</w:t>
      </w:r>
      <w:r w:rsidRPr="00A210E9">
        <w:rPr>
          <w:rFonts w:eastAsia="Calibri"/>
          <w:b/>
          <w:bCs/>
          <w:rtl/>
        </w:rPr>
        <w:t>תכנון ו</w:t>
      </w:r>
      <w:r w:rsidRPr="00A210E9">
        <w:rPr>
          <w:rFonts w:eastAsia="Calibri" w:hint="cs"/>
          <w:b/>
          <w:bCs/>
          <w:rtl/>
        </w:rPr>
        <w:t>ל</w:t>
      </w:r>
      <w:r w:rsidRPr="00A210E9">
        <w:rPr>
          <w:rFonts w:eastAsia="Calibri"/>
          <w:b/>
          <w:bCs/>
          <w:rtl/>
        </w:rPr>
        <w:t>פיתוח המרחבי של המדינה</w:t>
      </w:r>
      <w:r w:rsidRPr="00A210E9">
        <w:rPr>
          <w:rFonts w:eastAsia="Calibri" w:hint="cs"/>
          <w:b/>
          <w:bCs/>
          <w:rtl/>
        </w:rPr>
        <w:t>), בהתייעצות עם נציבות שוויון זכויות</w:t>
      </w:r>
      <w:r>
        <w:rPr>
          <w:rFonts w:eastAsia="Calibri"/>
          <w:b/>
          <w:bCs/>
          <w:vertAlign w:val="superscript"/>
          <w:rtl/>
        </w:rPr>
        <w:footnoteReference w:id="64"/>
      </w:r>
      <w:r w:rsidRPr="00A210E9">
        <w:rPr>
          <w:rFonts w:eastAsia="Calibri" w:hint="cs"/>
          <w:b/>
          <w:bCs/>
          <w:rtl/>
        </w:rPr>
        <w:t xml:space="preserve"> ומש"ם, לרכז בשיתוף עם הרשויות המקומיות </w:t>
      </w:r>
      <w:r w:rsidRPr="00A210E9">
        <w:rPr>
          <w:rFonts w:eastAsia="Calibri"/>
          <w:b/>
          <w:bCs/>
          <w:rtl/>
        </w:rPr>
        <w:t xml:space="preserve">מידע </w:t>
      </w:r>
      <w:r w:rsidRPr="00A210E9">
        <w:rPr>
          <w:rFonts w:eastAsia="Calibri" w:hint="cs"/>
          <w:b/>
          <w:bCs/>
          <w:rtl/>
        </w:rPr>
        <w:t xml:space="preserve">על מספר החניות שמוקצות לאנשים עם מוגבלות, וזאת כדי לעקוב אחר מגמת הזמינות של החניות לאורך זמן ולהסיק תובנות הנוגעות ליכולתם של בעלי התג למצות את הזכויות שלהם במרחב הציבורי. </w:t>
      </w:r>
      <w:bookmarkEnd w:id="90"/>
    </w:p>
    <w:bookmarkEnd w:id="89"/>
    <w:p w:rsidR="00A210E9" w:rsidRPr="00A210E9" w:rsidP="00A210E9">
      <w:pPr>
        <w:spacing w:line="269" w:lineRule="auto"/>
        <w:rPr>
          <w:rFonts w:eastAsia="Calibri"/>
          <w:b/>
          <w:bCs/>
          <w:rtl/>
        </w:rPr>
      </w:pPr>
    </w:p>
    <w:p w:rsidR="00A210E9" w:rsidRPr="00A210E9" w:rsidP="00A210E9">
      <w:pPr>
        <w:keepNext/>
        <w:keepLines/>
        <w:spacing w:line="269" w:lineRule="auto"/>
        <w:outlineLvl w:val="4"/>
        <w:rPr>
          <w:rFonts w:eastAsia="Times New Roman"/>
          <w:bCs/>
          <w:spacing w:val="40"/>
          <w:rtl/>
        </w:rPr>
      </w:pPr>
      <w:r w:rsidRPr="00A210E9">
        <w:rPr>
          <w:rFonts w:eastAsia="Times New Roman" w:hint="cs"/>
          <w:bCs/>
          <w:spacing w:val="40"/>
          <w:rtl/>
        </w:rPr>
        <w:t xml:space="preserve">שיוך של עד </w:t>
      </w:r>
      <w:r w:rsidRPr="00A210E9">
        <w:rPr>
          <w:rFonts w:eastAsia="Times New Roman"/>
          <w:bCs/>
          <w:spacing w:val="40"/>
          <w:rtl/>
        </w:rPr>
        <w:t>שני רכבים</w:t>
      </w:r>
      <w:r w:rsidRPr="00A210E9">
        <w:rPr>
          <w:rFonts w:eastAsia="Times New Roman" w:hint="cs"/>
          <w:bCs/>
          <w:spacing w:val="40"/>
          <w:rtl/>
        </w:rPr>
        <w:t xml:space="preserve"> מזכים לכל תג</w:t>
      </w:r>
    </w:p>
    <w:p w:rsidR="00A210E9" w:rsidRPr="00A210E9" w:rsidP="00A210E9">
      <w:pPr>
        <w:keepNext/>
        <w:keepLines/>
        <w:spacing w:line="269" w:lineRule="auto"/>
        <w:ind w:left="-567"/>
        <w:rPr>
          <w:rFonts w:eastAsia="Calibri"/>
          <w:szCs w:val="20"/>
        </w:rPr>
      </w:pPr>
    </w:p>
    <w:p w:rsidR="00A210E9" w:rsidRPr="00A210E9" w:rsidP="00A210E9">
      <w:pPr>
        <w:spacing w:line="269" w:lineRule="auto"/>
        <w:rPr>
          <w:rFonts w:ascii="David" w:eastAsia="Times New Roman" w:hAnsi="David"/>
          <w:sz w:val="24"/>
        </w:rPr>
      </w:pPr>
      <w:r w:rsidRPr="00A210E9">
        <w:rPr>
          <w:rFonts w:ascii="David" w:eastAsia="Times New Roman" w:hAnsi="David" w:hint="cs"/>
          <w:sz w:val="24"/>
          <w:rtl/>
        </w:rPr>
        <w:t>סעיף 1(א) לחוק,</w:t>
      </w:r>
      <w:r w:rsidRPr="00A210E9">
        <w:rPr>
          <w:rFonts w:ascii="David" w:eastAsia="Times New Roman" w:hAnsi="David"/>
          <w:sz w:val="24"/>
          <w:rtl/>
        </w:rPr>
        <w:t xml:space="preserve"> </w:t>
      </w:r>
      <w:r w:rsidRPr="00A210E9">
        <w:rPr>
          <w:rFonts w:ascii="David" w:eastAsia="Times New Roman" w:hAnsi="David" w:hint="cs"/>
          <w:sz w:val="24"/>
          <w:rtl/>
        </w:rPr>
        <w:t xml:space="preserve">שנוסחו עודכן בשנת 2002, </w:t>
      </w:r>
      <w:r w:rsidRPr="00A210E9">
        <w:rPr>
          <w:rFonts w:ascii="David" w:eastAsia="Times New Roman" w:hAnsi="David"/>
          <w:sz w:val="24"/>
          <w:rtl/>
        </w:rPr>
        <w:t xml:space="preserve">מתיר לבעל תג חניה </w:t>
      </w:r>
      <w:r w:rsidRPr="00A210E9">
        <w:rPr>
          <w:rFonts w:ascii="David" w:eastAsia="Times New Roman" w:hAnsi="David" w:hint="cs"/>
          <w:sz w:val="24"/>
          <w:rtl/>
        </w:rPr>
        <w:t xml:space="preserve">לשייך לתג עד </w:t>
      </w:r>
      <w:r w:rsidRPr="00A210E9">
        <w:rPr>
          <w:rFonts w:ascii="David" w:eastAsia="Times New Roman" w:hAnsi="David"/>
          <w:sz w:val="24"/>
          <w:rtl/>
        </w:rPr>
        <w:t xml:space="preserve">שני רכבים </w:t>
      </w:r>
      <w:r w:rsidRPr="00A210E9">
        <w:rPr>
          <w:rFonts w:ascii="David" w:eastAsia="Times New Roman" w:hAnsi="David" w:hint="cs"/>
          <w:sz w:val="24"/>
          <w:rtl/>
        </w:rPr>
        <w:t>"מזכים". "רכב מזכה" הוגדר כ"</w:t>
      </w:r>
      <w:r w:rsidRPr="00A210E9">
        <w:rPr>
          <w:rFonts w:ascii="David" w:eastAsia="Times New Roman" w:hAnsi="David"/>
          <w:sz w:val="24"/>
          <w:rtl/>
        </w:rPr>
        <w:t>רכב שלגביו הוכיח הנכה, להנחת דעתה של רשות הרישוי, כי הוא עומד לשימושו האישי דרך קבע</w:t>
      </w:r>
      <w:r w:rsidRPr="00A210E9">
        <w:rPr>
          <w:rFonts w:ascii="David" w:eastAsia="Times New Roman" w:hAnsi="David" w:hint="cs"/>
          <w:sz w:val="24"/>
          <w:rtl/>
        </w:rPr>
        <w:t>". משתמע מכך</w:t>
      </w:r>
      <w:r w:rsidRPr="00A210E9">
        <w:rPr>
          <w:rFonts w:ascii="David" w:eastAsia="Times New Roman" w:hAnsi="David"/>
          <w:sz w:val="24"/>
          <w:rtl/>
        </w:rPr>
        <w:t xml:space="preserve"> כי </w:t>
      </w:r>
      <w:r w:rsidRPr="00A210E9">
        <w:rPr>
          <w:rFonts w:ascii="David" w:eastAsia="Times New Roman" w:hAnsi="David" w:hint="cs"/>
          <w:sz w:val="24"/>
          <w:rtl/>
        </w:rPr>
        <w:t>בעל תג רשאי</w:t>
      </w:r>
      <w:r w:rsidRPr="00A210E9">
        <w:rPr>
          <w:rFonts w:ascii="David" w:eastAsia="Times New Roman" w:hAnsi="David"/>
          <w:sz w:val="24"/>
          <w:rtl/>
        </w:rPr>
        <w:t xml:space="preserve"> להשתמש בתג החניה </w:t>
      </w:r>
      <w:r w:rsidRPr="00A210E9">
        <w:rPr>
          <w:rFonts w:ascii="David" w:eastAsia="Times New Roman" w:hAnsi="David" w:hint="cs"/>
          <w:sz w:val="24"/>
          <w:rtl/>
        </w:rPr>
        <w:t>ב</w:t>
      </w:r>
      <w:r w:rsidRPr="00A210E9">
        <w:rPr>
          <w:rFonts w:ascii="David" w:eastAsia="Times New Roman" w:hAnsi="David"/>
          <w:sz w:val="24"/>
          <w:rtl/>
        </w:rPr>
        <w:t>כל אחד מהרכבים שנרשמו</w:t>
      </w:r>
      <w:r w:rsidRPr="00A210E9">
        <w:rPr>
          <w:rFonts w:ascii="David" w:eastAsia="Times New Roman" w:hAnsi="David" w:hint="cs"/>
          <w:sz w:val="24"/>
          <w:rtl/>
        </w:rPr>
        <w:t xml:space="preserve"> עבורו</w:t>
      </w:r>
      <w:r w:rsidRPr="00A210E9">
        <w:rPr>
          <w:rFonts w:ascii="David" w:eastAsia="Times New Roman" w:hAnsi="David"/>
          <w:sz w:val="24"/>
          <w:rtl/>
        </w:rPr>
        <w:t xml:space="preserve">. </w:t>
      </w:r>
      <w:r w:rsidRPr="00A210E9">
        <w:rPr>
          <w:rFonts w:ascii="David" w:eastAsia="Times New Roman" w:hAnsi="David" w:hint="cs"/>
          <w:sz w:val="24"/>
          <w:rtl/>
        </w:rPr>
        <w:t>לדוגמה אם אדם עם מוגבלות</w:t>
      </w:r>
      <w:r w:rsidRPr="00A210E9">
        <w:rPr>
          <w:rFonts w:ascii="David" w:eastAsia="Times New Roman" w:hAnsi="David"/>
          <w:sz w:val="24"/>
          <w:rtl/>
        </w:rPr>
        <w:t xml:space="preserve"> </w:t>
      </w:r>
      <w:r w:rsidRPr="00A210E9">
        <w:rPr>
          <w:rFonts w:ascii="David" w:eastAsia="Times New Roman" w:hAnsi="David" w:hint="cs"/>
          <w:sz w:val="24"/>
          <w:rtl/>
        </w:rPr>
        <w:t>משתמש</w:t>
      </w:r>
      <w:r w:rsidRPr="00A210E9">
        <w:rPr>
          <w:rFonts w:ascii="David" w:eastAsia="Times New Roman" w:hAnsi="David"/>
          <w:sz w:val="24"/>
          <w:rtl/>
        </w:rPr>
        <w:t xml:space="preserve"> ברכב אחד אך נזקק ל</w:t>
      </w:r>
      <w:r w:rsidRPr="00A210E9">
        <w:rPr>
          <w:rFonts w:ascii="David" w:eastAsia="Times New Roman" w:hAnsi="David" w:hint="cs"/>
          <w:sz w:val="24"/>
          <w:rtl/>
        </w:rPr>
        <w:t xml:space="preserve">רכב </w:t>
      </w:r>
      <w:r w:rsidRPr="00A210E9">
        <w:rPr>
          <w:rFonts w:ascii="David" w:eastAsia="Times New Roman" w:hAnsi="David"/>
          <w:sz w:val="24"/>
          <w:rtl/>
        </w:rPr>
        <w:t>שני</w:t>
      </w:r>
      <w:r w:rsidRPr="00A210E9">
        <w:rPr>
          <w:rFonts w:ascii="David" w:eastAsia="Times New Roman" w:hAnsi="David" w:hint="cs"/>
          <w:sz w:val="24"/>
          <w:rtl/>
        </w:rPr>
        <w:t xml:space="preserve"> (למשל, כאשר יש ילד עם מוגבלות להורים בעלי שני רכבים או שני מלווים של אדם עם מוגבלות המסיעים אותו לטיפול לסירוגין ברכבים שונים),</w:t>
      </w:r>
      <w:r w:rsidRPr="00A210E9">
        <w:rPr>
          <w:rFonts w:ascii="David" w:eastAsia="Times New Roman" w:hAnsi="David"/>
          <w:sz w:val="24"/>
          <w:rtl/>
        </w:rPr>
        <w:t xml:space="preserve"> ניתן להחנות </w:t>
      </w:r>
      <w:r w:rsidRPr="00A210E9">
        <w:rPr>
          <w:rFonts w:ascii="David" w:eastAsia="Times New Roman" w:hAnsi="David" w:hint="cs"/>
          <w:sz w:val="24"/>
          <w:rtl/>
        </w:rPr>
        <w:t>כל אחד מהרכבים</w:t>
      </w:r>
      <w:r w:rsidRPr="00A210E9">
        <w:rPr>
          <w:rFonts w:ascii="David" w:eastAsia="Times New Roman" w:hAnsi="David"/>
          <w:sz w:val="24"/>
          <w:rtl/>
        </w:rPr>
        <w:t xml:space="preserve"> </w:t>
      </w:r>
      <w:r w:rsidRPr="00A210E9">
        <w:rPr>
          <w:rFonts w:ascii="David" w:eastAsia="Times New Roman" w:hAnsi="David" w:hint="cs"/>
          <w:sz w:val="24"/>
          <w:rtl/>
        </w:rPr>
        <w:t>בחניית נכים</w:t>
      </w:r>
      <w:r w:rsidRPr="00A210E9">
        <w:rPr>
          <w:rFonts w:ascii="David" w:eastAsia="Times New Roman" w:hAnsi="David"/>
          <w:sz w:val="24"/>
          <w:rtl/>
        </w:rPr>
        <w:t xml:space="preserve"> ללא צורך בהנפקת תג נוסף</w:t>
      </w:r>
      <w:r w:rsidRPr="00A210E9">
        <w:rPr>
          <w:rFonts w:ascii="David" w:eastAsia="Times New Roman" w:hAnsi="David"/>
          <w:sz w:val="24"/>
        </w:rPr>
        <w:t>.</w:t>
      </w:r>
      <w:r w:rsidRPr="00A210E9">
        <w:rPr>
          <w:rFonts w:ascii="David" w:eastAsia="Times New Roman" w:hAnsi="David" w:hint="cs"/>
          <w:sz w:val="24"/>
          <w:rtl/>
        </w:rPr>
        <w:t xml:space="preserve"> </w:t>
      </w:r>
    </w:p>
    <w:p w:rsidR="00A210E9" w:rsidRPr="00A210E9" w:rsidP="00A210E9">
      <w:pPr>
        <w:keepNext/>
        <w:keepLines/>
        <w:spacing w:line="269" w:lineRule="auto"/>
        <w:ind w:left="-567"/>
        <w:rPr>
          <w:rFonts w:eastAsia="Calibri"/>
          <w:b/>
          <w:bCs/>
          <w:szCs w:val="20"/>
          <w:rtl/>
        </w:rPr>
      </w:pPr>
    </w:p>
    <w:p w:rsidR="00A210E9" w:rsidRPr="00A210E9" w:rsidP="00A210E9">
      <w:pPr>
        <w:spacing w:line="269" w:lineRule="auto"/>
        <w:rPr>
          <w:rFonts w:eastAsia="Calibri"/>
          <w:rtl/>
        </w:rPr>
      </w:pPr>
      <w:r w:rsidRPr="00A210E9">
        <w:rPr>
          <w:rFonts w:eastAsia="Calibri"/>
          <w:rtl/>
        </w:rPr>
        <w:t>הוראת</w:t>
      </w:r>
      <w:r w:rsidRPr="00A210E9">
        <w:rPr>
          <w:rFonts w:eastAsia="Calibri" w:hint="cs"/>
          <w:rtl/>
        </w:rPr>
        <w:t xml:space="preserve"> נוהל של אגף הרישוי</w:t>
      </w:r>
      <w:r>
        <w:rPr>
          <w:rFonts w:eastAsia="Calibri"/>
          <w:vertAlign w:val="superscript"/>
          <w:rtl/>
        </w:rPr>
        <w:footnoteReference w:id="65"/>
      </w:r>
      <w:r w:rsidRPr="00A210E9">
        <w:rPr>
          <w:rFonts w:eastAsia="Calibri" w:hint="cs"/>
          <w:rtl/>
        </w:rPr>
        <w:t xml:space="preserve"> מפרטת את התנאים שבהם </w:t>
      </w:r>
      <w:r w:rsidRPr="00A210E9">
        <w:rPr>
          <w:rFonts w:eastAsia="Calibri"/>
          <w:rtl/>
        </w:rPr>
        <w:t xml:space="preserve">ניתן </w:t>
      </w:r>
      <w:r w:rsidRPr="00A210E9">
        <w:rPr>
          <w:rFonts w:eastAsia="Calibri" w:hint="cs"/>
          <w:rtl/>
        </w:rPr>
        <w:t>להנפיק</w:t>
      </w:r>
      <w:r w:rsidRPr="00A210E9">
        <w:rPr>
          <w:rFonts w:eastAsia="Calibri"/>
          <w:rtl/>
        </w:rPr>
        <w:t xml:space="preserve"> תג </w:t>
      </w:r>
      <w:r w:rsidRPr="00A210E9">
        <w:rPr>
          <w:rFonts w:eastAsia="Calibri" w:hint="cs"/>
          <w:rtl/>
        </w:rPr>
        <w:t xml:space="preserve">חניה </w:t>
      </w:r>
      <w:r w:rsidRPr="00A210E9">
        <w:rPr>
          <w:rFonts w:eastAsia="Calibri"/>
          <w:rtl/>
        </w:rPr>
        <w:t xml:space="preserve">לשני כלי </w:t>
      </w:r>
      <w:r w:rsidRPr="00A210E9">
        <w:rPr>
          <w:rFonts w:eastAsia="Calibri" w:hint="cs"/>
          <w:rtl/>
        </w:rPr>
        <w:t>ה</w:t>
      </w:r>
      <w:r w:rsidRPr="00A210E9">
        <w:rPr>
          <w:rFonts w:eastAsia="Calibri"/>
          <w:rtl/>
        </w:rPr>
        <w:t xml:space="preserve">רכב (כל רכב יכול לענות על תנאי אחר): </w:t>
      </w:r>
      <w:r w:rsidRPr="00A210E9">
        <w:rPr>
          <w:rFonts w:eastAsia="Calibri" w:hint="cs"/>
          <w:rtl/>
        </w:rPr>
        <w:t>(</w:t>
      </w:r>
      <w:r w:rsidRPr="00A210E9">
        <w:rPr>
          <w:rFonts w:eastAsia="Calibri"/>
          <w:rtl/>
        </w:rPr>
        <w:t>א</w:t>
      </w:r>
      <w:r w:rsidRPr="00A210E9">
        <w:rPr>
          <w:rFonts w:eastAsia="Calibri" w:hint="cs"/>
          <w:rtl/>
        </w:rPr>
        <w:t xml:space="preserve">) </w:t>
      </w:r>
      <w:r w:rsidRPr="00A210E9">
        <w:rPr>
          <w:rFonts w:eastAsia="Calibri"/>
          <w:rtl/>
        </w:rPr>
        <w:t xml:space="preserve">הרכב רשום על שם </w:t>
      </w:r>
      <w:r w:rsidRPr="00A210E9">
        <w:rPr>
          <w:rFonts w:eastAsia="Calibri" w:hint="cs"/>
          <w:rtl/>
        </w:rPr>
        <w:t>בעל התג</w:t>
      </w:r>
      <w:r w:rsidRPr="00A210E9">
        <w:rPr>
          <w:rFonts w:eastAsia="Calibri"/>
          <w:rtl/>
        </w:rPr>
        <w:t xml:space="preserve"> (וגם על שם אחרים).</w:t>
      </w:r>
      <w:r w:rsidRPr="00A210E9">
        <w:rPr>
          <w:rFonts w:eastAsia="Calibri" w:hint="cs"/>
          <w:rtl/>
        </w:rPr>
        <w:t xml:space="preserve"> (</w:t>
      </w:r>
      <w:r w:rsidRPr="00A210E9">
        <w:rPr>
          <w:rFonts w:eastAsia="Calibri"/>
          <w:rtl/>
        </w:rPr>
        <w:t>ב</w:t>
      </w:r>
      <w:r w:rsidRPr="00A210E9">
        <w:rPr>
          <w:rFonts w:eastAsia="Calibri" w:hint="cs"/>
          <w:rtl/>
        </w:rPr>
        <w:t xml:space="preserve">) </w:t>
      </w:r>
      <w:r w:rsidRPr="00A210E9">
        <w:rPr>
          <w:rFonts w:eastAsia="Calibri"/>
          <w:rtl/>
        </w:rPr>
        <w:t xml:space="preserve">הרכב רשום על שם בן משפחה של </w:t>
      </w:r>
      <w:r w:rsidRPr="00A210E9">
        <w:rPr>
          <w:rFonts w:eastAsia="Calibri" w:hint="cs"/>
          <w:rtl/>
        </w:rPr>
        <w:t xml:space="preserve">בעל התג </w:t>
      </w:r>
      <w:r w:rsidRPr="00A210E9">
        <w:rPr>
          <w:rFonts w:eastAsia="Calibri"/>
          <w:rtl/>
        </w:rPr>
        <w:t>(וגם על שם אחרים)</w:t>
      </w:r>
      <w:r>
        <w:rPr>
          <w:rFonts w:eastAsia="Calibri"/>
          <w:vertAlign w:val="superscript"/>
          <w:rtl/>
        </w:rPr>
        <w:footnoteReference w:id="66"/>
      </w:r>
      <w:r w:rsidRPr="00A210E9">
        <w:rPr>
          <w:rFonts w:eastAsia="Calibri" w:hint="cs"/>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rtl/>
        </w:rPr>
        <w:t xml:space="preserve">להלן </w:t>
      </w:r>
      <w:r w:rsidRPr="00A210E9">
        <w:rPr>
          <w:rFonts w:eastAsia="Calibri" w:hint="cs"/>
          <w:rtl/>
        </w:rPr>
        <w:t>בלוח</w:t>
      </w:r>
      <w:r w:rsidRPr="00A210E9">
        <w:rPr>
          <w:rFonts w:eastAsia="Calibri"/>
          <w:rtl/>
        </w:rPr>
        <w:t xml:space="preserve"> מספר בעלי תג </w:t>
      </w:r>
      <w:r w:rsidRPr="00A210E9">
        <w:rPr>
          <w:rFonts w:eastAsia="Calibri" w:hint="cs"/>
          <w:rtl/>
        </w:rPr>
        <w:t>חניה</w:t>
      </w:r>
      <w:r w:rsidRPr="00A210E9">
        <w:rPr>
          <w:rFonts w:eastAsia="Calibri"/>
          <w:rtl/>
        </w:rPr>
        <w:t xml:space="preserve"> ומספר כלי הרכב המשויכים לתג</w:t>
      </w:r>
      <w:r w:rsidRPr="00A210E9">
        <w:rPr>
          <w:rFonts w:eastAsia="Calibri" w:hint="cs"/>
          <w:rtl/>
        </w:rPr>
        <w:t xml:space="preserve">, </w:t>
      </w:r>
      <w:r w:rsidRPr="00A210E9">
        <w:rPr>
          <w:rFonts w:eastAsia="Calibri"/>
          <w:rtl/>
        </w:rPr>
        <w:t>בחלוקה לפי סוג התג (רגיל</w:t>
      </w:r>
      <w:r w:rsidRPr="00A210E9">
        <w:rPr>
          <w:rFonts w:eastAsia="Calibri" w:hint="cs"/>
          <w:rtl/>
        </w:rPr>
        <w:t xml:space="preserve"> או </w:t>
      </w:r>
      <w:r w:rsidRPr="00A210E9">
        <w:rPr>
          <w:rFonts w:eastAsia="Calibri"/>
          <w:rtl/>
        </w:rPr>
        <w:t>כיסא גלגלים</w:t>
      </w:r>
      <w:r w:rsidRPr="00A210E9">
        <w:rPr>
          <w:rFonts w:eastAsia="Calibri" w:hint="cs"/>
          <w:rtl/>
        </w:rPr>
        <w:t>):</w:t>
      </w:r>
    </w:p>
    <w:p w:rsidR="00A210E9" w:rsidRPr="00A210E9" w:rsidP="00A210E9">
      <w:pPr>
        <w:keepNext/>
        <w:keepLines/>
        <w:spacing w:line="269" w:lineRule="auto"/>
        <w:ind w:left="-567"/>
        <w:rPr>
          <w:rFonts w:eastAsia="Calibri"/>
          <w:szCs w:val="20"/>
          <w:rtl/>
        </w:rPr>
      </w:pPr>
    </w:p>
    <w:p w:rsidR="00A210E9" w:rsidRPr="00A210E9" w:rsidP="00A210E9">
      <w:pPr>
        <w:keepNext/>
        <w:keepLines/>
        <w:spacing w:line="269" w:lineRule="auto"/>
        <w:jc w:val="center"/>
        <w:rPr>
          <w:rFonts w:eastAsia="Calibri"/>
          <w:b/>
          <w:bCs/>
        </w:rPr>
      </w:pPr>
      <w:r w:rsidRPr="00A210E9">
        <w:rPr>
          <w:rFonts w:eastAsia="Calibri"/>
          <w:rtl/>
        </w:rPr>
        <w:t xml:space="preserve">לוח </w:t>
      </w:r>
      <w:r w:rsidRPr="00A210E9">
        <w:rPr>
          <w:rFonts w:eastAsia="Calibri" w:hint="cs"/>
          <w:rtl/>
        </w:rPr>
        <w:t>2</w:t>
      </w:r>
      <w:r w:rsidRPr="00A210E9">
        <w:rPr>
          <w:rFonts w:eastAsia="Calibri"/>
          <w:rtl/>
        </w:rPr>
        <w:t>:</w:t>
      </w:r>
      <w:r w:rsidRPr="00A210E9">
        <w:rPr>
          <w:rFonts w:eastAsia="Calibri"/>
          <w:b/>
          <w:bCs/>
          <w:rtl/>
        </w:rPr>
        <w:t xml:space="preserve"> </w:t>
      </w:r>
      <w:r w:rsidRPr="00A210E9">
        <w:rPr>
          <w:rFonts w:eastAsia="Calibri" w:hint="cs"/>
          <w:b/>
          <w:bCs/>
          <w:rtl/>
        </w:rPr>
        <w:t>מספר</w:t>
      </w:r>
      <w:r w:rsidRPr="00A210E9">
        <w:rPr>
          <w:rFonts w:eastAsia="Calibri"/>
          <w:b/>
          <w:bCs/>
          <w:rtl/>
        </w:rPr>
        <w:t xml:space="preserve"> </w:t>
      </w:r>
      <w:r w:rsidRPr="00A210E9">
        <w:rPr>
          <w:rFonts w:eastAsia="Calibri" w:hint="cs"/>
          <w:b/>
          <w:bCs/>
          <w:rtl/>
        </w:rPr>
        <w:t xml:space="preserve">בעלי </w:t>
      </w:r>
      <w:r w:rsidRPr="00A210E9">
        <w:rPr>
          <w:rFonts w:eastAsia="Calibri"/>
          <w:b/>
          <w:bCs/>
          <w:rtl/>
        </w:rPr>
        <w:t xml:space="preserve">תג </w:t>
      </w:r>
      <w:r w:rsidRPr="00A210E9">
        <w:rPr>
          <w:rFonts w:eastAsia="Calibri" w:hint="cs"/>
          <w:b/>
          <w:bCs/>
          <w:rtl/>
        </w:rPr>
        <w:t>חניה</w:t>
      </w:r>
      <w:r w:rsidRPr="00A210E9">
        <w:rPr>
          <w:rFonts w:eastAsia="Calibri"/>
          <w:b/>
          <w:bCs/>
          <w:rtl/>
        </w:rPr>
        <w:t xml:space="preserve"> </w:t>
      </w:r>
      <w:r w:rsidRPr="00A210E9">
        <w:rPr>
          <w:rFonts w:eastAsia="Calibri" w:hint="cs"/>
          <w:b/>
          <w:bCs/>
          <w:rtl/>
        </w:rPr>
        <w:t>ומספר</w:t>
      </w:r>
      <w:r w:rsidRPr="00A210E9">
        <w:rPr>
          <w:rFonts w:eastAsia="Calibri"/>
          <w:b/>
          <w:bCs/>
          <w:rtl/>
        </w:rPr>
        <w:t xml:space="preserve"> כלי רכב המשויכים לתג, לפי סוג תג</w:t>
      </w:r>
      <w:r w:rsidRPr="00A210E9">
        <w:rPr>
          <w:rFonts w:eastAsia="Calibri" w:hint="cs"/>
          <w:b/>
          <w:bCs/>
          <w:rtl/>
        </w:rPr>
        <w:t>, סוף 2024</w:t>
      </w:r>
    </w:p>
    <w:tbl>
      <w:tblPr>
        <w:bidiVisual/>
        <w:tblW w:w="8211" w:type="dxa"/>
        <w:jc w:val="center"/>
        <w:tblLook w:val="04A0"/>
      </w:tblPr>
      <w:tblGrid>
        <w:gridCol w:w="1146"/>
        <w:gridCol w:w="2204"/>
        <w:gridCol w:w="2646"/>
        <w:gridCol w:w="2215"/>
      </w:tblGrid>
      <w:tr w:rsidTr="00A157C9">
        <w:tblPrEx>
          <w:tblW w:w="8211" w:type="dxa"/>
          <w:jc w:val="center"/>
          <w:tblLook w:val="04A0"/>
        </w:tblPrEx>
        <w:trPr>
          <w:trHeight w:val="682"/>
          <w:jc w:val="center"/>
        </w:trPr>
        <w:tc>
          <w:tcPr>
            <w:tcW w:w="1146" w:type="dxa"/>
            <w:tcBorders>
              <w:top w:val="single" w:sz="4" w:space="0" w:color="auto"/>
              <w:left w:val="single" w:sz="4" w:space="0" w:color="auto"/>
              <w:bottom w:val="single" w:sz="4" w:space="0" w:color="auto"/>
              <w:right w:val="single" w:sz="4" w:space="0" w:color="auto"/>
            </w:tcBorders>
            <w:vAlign w:val="center"/>
            <w:hideMark/>
          </w:tcPr>
          <w:p w:rsidR="00A210E9" w:rsidRPr="00A210E9" w:rsidP="00A210E9">
            <w:pPr>
              <w:spacing w:line="269" w:lineRule="auto"/>
              <w:jc w:val="center"/>
              <w:rPr>
                <w:rFonts w:ascii="David" w:eastAsia="Times New Roman" w:hAnsi="David"/>
                <w:b/>
                <w:bCs/>
                <w:color w:val="000000"/>
                <w:sz w:val="22"/>
                <w:szCs w:val="22"/>
              </w:rPr>
            </w:pPr>
            <w:r w:rsidRPr="00A210E9">
              <w:rPr>
                <w:rFonts w:ascii="David" w:eastAsia="Times New Roman" w:hAnsi="David" w:hint="cs"/>
                <w:b/>
                <w:bCs/>
                <w:color w:val="000000"/>
                <w:sz w:val="22"/>
                <w:szCs w:val="22"/>
                <w:rtl/>
              </w:rPr>
              <w:t>סוג תג</w:t>
            </w:r>
          </w:p>
        </w:tc>
        <w:tc>
          <w:tcPr>
            <w:tcW w:w="2204" w:type="dxa"/>
            <w:tcBorders>
              <w:top w:val="single" w:sz="4" w:space="0" w:color="auto"/>
              <w:left w:val="single" w:sz="4" w:space="0" w:color="auto"/>
              <w:bottom w:val="single" w:sz="4" w:space="0" w:color="auto"/>
              <w:right w:val="single" w:sz="4" w:space="0" w:color="auto"/>
            </w:tcBorders>
            <w:vAlign w:val="center"/>
            <w:hideMark/>
          </w:tcPr>
          <w:p w:rsidR="00A210E9" w:rsidRPr="00A210E9" w:rsidP="00A210E9">
            <w:pPr>
              <w:spacing w:line="269" w:lineRule="auto"/>
              <w:jc w:val="center"/>
              <w:rPr>
                <w:rFonts w:ascii="David" w:eastAsia="Times New Roman" w:hAnsi="David"/>
                <w:b/>
                <w:bCs/>
                <w:color w:val="000000"/>
                <w:sz w:val="22"/>
                <w:szCs w:val="22"/>
                <w:rtl/>
              </w:rPr>
            </w:pPr>
            <w:r w:rsidRPr="00A210E9">
              <w:rPr>
                <w:rFonts w:ascii="David" w:eastAsia="Times New Roman" w:hAnsi="David"/>
                <w:b/>
                <w:bCs/>
                <w:color w:val="000000"/>
                <w:sz w:val="22"/>
                <w:szCs w:val="22"/>
                <w:rtl/>
              </w:rPr>
              <w:t xml:space="preserve">בעלי תג </w:t>
            </w:r>
            <w:r w:rsidRPr="00A210E9">
              <w:rPr>
                <w:rFonts w:ascii="David" w:eastAsia="Times New Roman" w:hAnsi="David" w:hint="cs"/>
                <w:b/>
                <w:bCs/>
                <w:color w:val="000000"/>
                <w:sz w:val="22"/>
                <w:szCs w:val="22"/>
                <w:rtl/>
              </w:rPr>
              <w:t>חניה</w:t>
            </w:r>
            <w:r w:rsidRPr="00A210E9">
              <w:rPr>
                <w:rFonts w:ascii="David" w:eastAsia="Times New Roman" w:hAnsi="David"/>
                <w:b/>
                <w:bCs/>
                <w:color w:val="000000"/>
                <w:sz w:val="22"/>
                <w:szCs w:val="22"/>
                <w:rtl/>
              </w:rPr>
              <w:t xml:space="preserve"> (נובמבר 2024)</w:t>
            </w:r>
          </w:p>
        </w:tc>
        <w:tc>
          <w:tcPr>
            <w:tcW w:w="2646" w:type="dxa"/>
            <w:tcBorders>
              <w:top w:val="single" w:sz="4" w:space="0" w:color="auto"/>
              <w:left w:val="single" w:sz="4" w:space="0" w:color="auto"/>
              <w:bottom w:val="single" w:sz="4" w:space="0" w:color="auto"/>
              <w:right w:val="single" w:sz="4" w:space="0" w:color="auto"/>
            </w:tcBorders>
            <w:vAlign w:val="center"/>
            <w:hideMark/>
          </w:tcPr>
          <w:p w:rsidR="00A210E9" w:rsidRPr="00A210E9" w:rsidP="00A210E9">
            <w:pPr>
              <w:spacing w:line="269" w:lineRule="auto"/>
              <w:jc w:val="center"/>
              <w:rPr>
                <w:rFonts w:ascii="David" w:eastAsia="Times New Roman" w:hAnsi="David"/>
                <w:b/>
                <w:bCs/>
                <w:color w:val="000000"/>
                <w:sz w:val="22"/>
                <w:szCs w:val="22"/>
                <w:rtl/>
              </w:rPr>
            </w:pPr>
            <w:r w:rsidRPr="00A210E9">
              <w:rPr>
                <w:rFonts w:ascii="David" w:eastAsia="Times New Roman" w:hAnsi="David"/>
                <w:b/>
                <w:bCs/>
                <w:color w:val="000000"/>
                <w:sz w:val="22"/>
                <w:szCs w:val="22"/>
                <w:rtl/>
              </w:rPr>
              <w:t xml:space="preserve">כלי רכב המשויכים לתג </w:t>
            </w:r>
            <w:r w:rsidRPr="00A210E9">
              <w:rPr>
                <w:rFonts w:ascii="David" w:eastAsia="Times New Roman" w:hAnsi="David" w:hint="cs"/>
                <w:b/>
                <w:bCs/>
                <w:color w:val="000000"/>
                <w:sz w:val="22"/>
                <w:szCs w:val="22"/>
                <w:rtl/>
              </w:rPr>
              <w:t>חניה (דצמבר 2024)</w:t>
            </w:r>
          </w:p>
        </w:tc>
        <w:tc>
          <w:tcPr>
            <w:tcW w:w="2215" w:type="dxa"/>
            <w:tcBorders>
              <w:top w:val="single" w:sz="4" w:space="0" w:color="auto"/>
              <w:left w:val="single" w:sz="4" w:space="0" w:color="auto"/>
              <w:bottom w:val="single" w:sz="4" w:space="0" w:color="auto"/>
              <w:right w:val="single" w:sz="4" w:space="0" w:color="auto"/>
            </w:tcBorders>
          </w:tcPr>
          <w:p w:rsidR="00A210E9" w:rsidRPr="00A210E9" w:rsidP="00A210E9">
            <w:pPr>
              <w:spacing w:line="269" w:lineRule="auto"/>
              <w:jc w:val="center"/>
              <w:rPr>
                <w:rFonts w:ascii="David" w:eastAsia="Times New Roman" w:hAnsi="David"/>
                <w:b/>
                <w:bCs/>
                <w:color w:val="000000"/>
                <w:sz w:val="22"/>
                <w:szCs w:val="22"/>
                <w:rtl/>
              </w:rPr>
            </w:pPr>
            <w:r w:rsidRPr="00A210E9">
              <w:rPr>
                <w:rFonts w:ascii="David" w:eastAsia="Times New Roman" w:hAnsi="David" w:hint="cs"/>
                <w:b/>
                <w:bCs/>
                <w:color w:val="000000"/>
                <w:sz w:val="22"/>
                <w:szCs w:val="22"/>
                <w:rtl/>
              </w:rPr>
              <w:t>היחס בין מספר כלי הרכב לתגי חניה</w:t>
            </w:r>
          </w:p>
        </w:tc>
      </w:tr>
      <w:tr w:rsidTr="00A157C9">
        <w:tblPrEx>
          <w:tblW w:w="8211" w:type="dxa"/>
          <w:jc w:val="center"/>
          <w:tblLook w:val="04A0"/>
        </w:tblPrEx>
        <w:trPr>
          <w:trHeight w:val="227"/>
          <w:jc w:val="center"/>
        </w:trPr>
        <w:tc>
          <w:tcPr>
            <w:tcW w:w="1146" w:type="dxa"/>
            <w:tcBorders>
              <w:top w:val="nil"/>
              <w:left w:val="single" w:sz="4" w:space="0" w:color="auto"/>
              <w:bottom w:val="single" w:sz="4" w:space="0" w:color="auto"/>
              <w:right w:val="single" w:sz="4" w:space="0" w:color="auto"/>
            </w:tcBorders>
            <w:vAlign w:val="center"/>
            <w:hideMark/>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hint="cs"/>
                <w:color w:val="000000"/>
                <w:sz w:val="22"/>
                <w:szCs w:val="22"/>
                <w:rtl/>
              </w:rPr>
              <w:t>רגיל</w:t>
            </w:r>
          </w:p>
        </w:tc>
        <w:tc>
          <w:tcPr>
            <w:tcW w:w="2204" w:type="dxa"/>
            <w:tcBorders>
              <w:top w:val="nil"/>
              <w:left w:val="single" w:sz="4" w:space="0" w:color="auto"/>
              <w:bottom w:val="single" w:sz="4" w:space="0" w:color="auto"/>
              <w:right w:val="single" w:sz="4" w:space="0" w:color="auto"/>
            </w:tcBorders>
            <w:vAlign w:val="center"/>
            <w:hideMark/>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color w:val="000000"/>
                <w:sz w:val="22"/>
                <w:szCs w:val="22"/>
                <w:rtl/>
              </w:rPr>
              <w:t>426,211</w:t>
            </w:r>
          </w:p>
        </w:tc>
        <w:tc>
          <w:tcPr>
            <w:tcW w:w="2646" w:type="dxa"/>
            <w:tcBorders>
              <w:top w:val="nil"/>
              <w:left w:val="single" w:sz="4" w:space="0" w:color="auto"/>
              <w:bottom w:val="single" w:sz="4" w:space="0" w:color="auto"/>
              <w:right w:val="single" w:sz="4" w:space="0" w:color="auto"/>
            </w:tcBorders>
            <w:vAlign w:val="center"/>
            <w:hideMark/>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color w:val="000000"/>
                <w:sz w:val="22"/>
                <w:szCs w:val="22"/>
                <w:rtl/>
              </w:rPr>
              <w:t>630,959</w:t>
            </w:r>
          </w:p>
        </w:tc>
        <w:tc>
          <w:tcPr>
            <w:tcW w:w="2215" w:type="dxa"/>
            <w:tcBorders>
              <w:top w:val="nil"/>
              <w:left w:val="single" w:sz="4" w:space="0" w:color="auto"/>
              <w:bottom w:val="single" w:sz="4" w:space="0" w:color="auto"/>
              <w:right w:val="single" w:sz="4" w:space="0" w:color="auto"/>
            </w:tcBorders>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hint="cs"/>
                <w:color w:val="000000"/>
                <w:sz w:val="22"/>
                <w:szCs w:val="22"/>
                <w:rtl/>
              </w:rPr>
              <w:t>1.5</w:t>
            </w:r>
          </w:p>
        </w:tc>
      </w:tr>
      <w:tr w:rsidTr="00A157C9">
        <w:tblPrEx>
          <w:tblW w:w="8211" w:type="dxa"/>
          <w:jc w:val="center"/>
          <w:tblLook w:val="04A0"/>
        </w:tblPrEx>
        <w:trPr>
          <w:trHeight w:val="227"/>
          <w:jc w:val="center"/>
        </w:trPr>
        <w:tc>
          <w:tcPr>
            <w:tcW w:w="1146" w:type="dxa"/>
            <w:tcBorders>
              <w:top w:val="nil"/>
              <w:left w:val="single" w:sz="4" w:space="0" w:color="auto"/>
              <w:bottom w:val="single" w:sz="4" w:space="0" w:color="auto"/>
              <w:right w:val="single" w:sz="4" w:space="0" w:color="auto"/>
            </w:tcBorders>
            <w:vAlign w:val="center"/>
            <w:hideMark/>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hint="cs"/>
                <w:color w:val="000000"/>
                <w:sz w:val="22"/>
                <w:szCs w:val="22"/>
                <w:rtl/>
              </w:rPr>
              <w:t>כיסא גלגלים</w:t>
            </w:r>
          </w:p>
        </w:tc>
        <w:tc>
          <w:tcPr>
            <w:tcW w:w="2204" w:type="dxa"/>
            <w:tcBorders>
              <w:top w:val="nil"/>
              <w:left w:val="single" w:sz="4" w:space="0" w:color="auto"/>
              <w:bottom w:val="single" w:sz="4" w:space="0" w:color="auto"/>
              <w:right w:val="single" w:sz="4" w:space="0" w:color="auto"/>
            </w:tcBorders>
            <w:vAlign w:val="center"/>
            <w:hideMark/>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color w:val="000000"/>
                <w:sz w:val="22"/>
                <w:szCs w:val="22"/>
                <w:rtl/>
              </w:rPr>
              <w:t>23,103</w:t>
            </w:r>
          </w:p>
        </w:tc>
        <w:tc>
          <w:tcPr>
            <w:tcW w:w="2646" w:type="dxa"/>
            <w:tcBorders>
              <w:top w:val="nil"/>
              <w:left w:val="single" w:sz="4" w:space="0" w:color="auto"/>
              <w:bottom w:val="single" w:sz="4" w:space="0" w:color="auto"/>
              <w:right w:val="single" w:sz="4" w:space="0" w:color="auto"/>
            </w:tcBorders>
            <w:vAlign w:val="center"/>
            <w:hideMark/>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color w:val="000000"/>
                <w:sz w:val="22"/>
                <w:szCs w:val="22"/>
                <w:rtl/>
              </w:rPr>
              <w:t>39,011</w:t>
            </w:r>
          </w:p>
        </w:tc>
        <w:tc>
          <w:tcPr>
            <w:tcW w:w="2215" w:type="dxa"/>
            <w:tcBorders>
              <w:top w:val="nil"/>
              <w:left w:val="single" w:sz="4" w:space="0" w:color="auto"/>
              <w:bottom w:val="single" w:sz="4" w:space="0" w:color="auto"/>
              <w:right w:val="single" w:sz="4" w:space="0" w:color="auto"/>
            </w:tcBorders>
            <w:vAlign w:val="center"/>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hint="cs"/>
                <w:color w:val="000000"/>
                <w:sz w:val="22"/>
                <w:szCs w:val="22"/>
                <w:rtl/>
              </w:rPr>
              <w:t>1.7</w:t>
            </w:r>
          </w:p>
        </w:tc>
      </w:tr>
      <w:tr w:rsidTr="00A157C9">
        <w:tblPrEx>
          <w:tblW w:w="8211" w:type="dxa"/>
          <w:jc w:val="center"/>
          <w:tblLook w:val="04A0"/>
        </w:tblPrEx>
        <w:trPr>
          <w:trHeight w:val="227"/>
          <w:jc w:val="center"/>
        </w:trPr>
        <w:tc>
          <w:tcPr>
            <w:tcW w:w="1146" w:type="dxa"/>
            <w:tcBorders>
              <w:top w:val="nil"/>
              <w:left w:val="single" w:sz="4" w:space="0" w:color="auto"/>
              <w:bottom w:val="single" w:sz="4" w:space="0" w:color="auto"/>
              <w:right w:val="single" w:sz="4" w:space="0" w:color="auto"/>
            </w:tcBorders>
            <w:vAlign w:val="center"/>
            <w:hideMark/>
          </w:tcPr>
          <w:p w:rsidR="00A210E9" w:rsidRPr="00A210E9" w:rsidP="00A210E9">
            <w:pPr>
              <w:spacing w:line="269" w:lineRule="auto"/>
              <w:jc w:val="left"/>
              <w:rPr>
                <w:rFonts w:ascii="David" w:eastAsia="Times New Roman" w:hAnsi="David"/>
                <w:b/>
                <w:bCs/>
                <w:color w:val="000000"/>
                <w:sz w:val="22"/>
                <w:szCs w:val="22"/>
                <w:rtl/>
              </w:rPr>
            </w:pPr>
            <w:r w:rsidRPr="00A210E9">
              <w:rPr>
                <w:rFonts w:ascii="David" w:eastAsia="Times New Roman" w:hAnsi="David" w:hint="cs"/>
                <w:b/>
                <w:bCs/>
                <w:color w:val="000000"/>
                <w:sz w:val="22"/>
                <w:szCs w:val="22"/>
                <w:rtl/>
              </w:rPr>
              <w:t>סה"כ</w:t>
            </w:r>
          </w:p>
        </w:tc>
        <w:tc>
          <w:tcPr>
            <w:tcW w:w="2204" w:type="dxa"/>
            <w:tcBorders>
              <w:top w:val="nil"/>
              <w:left w:val="single" w:sz="4" w:space="0" w:color="auto"/>
              <w:bottom w:val="single" w:sz="4" w:space="0" w:color="auto"/>
              <w:right w:val="single" w:sz="4" w:space="0" w:color="auto"/>
            </w:tcBorders>
            <w:vAlign w:val="center"/>
            <w:hideMark/>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color w:val="000000"/>
                <w:sz w:val="22"/>
                <w:szCs w:val="22"/>
                <w:rtl/>
              </w:rPr>
              <w:t>449,314</w:t>
            </w:r>
          </w:p>
        </w:tc>
        <w:tc>
          <w:tcPr>
            <w:tcW w:w="2646" w:type="dxa"/>
            <w:tcBorders>
              <w:top w:val="nil"/>
              <w:left w:val="single" w:sz="4" w:space="0" w:color="auto"/>
              <w:bottom w:val="single" w:sz="4" w:space="0" w:color="auto"/>
              <w:right w:val="single" w:sz="4" w:space="0" w:color="auto"/>
            </w:tcBorders>
            <w:vAlign w:val="center"/>
            <w:hideMark/>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color w:val="000000"/>
                <w:sz w:val="22"/>
                <w:szCs w:val="22"/>
                <w:rtl/>
              </w:rPr>
              <w:t>669,970</w:t>
            </w:r>
          </w:p>
        </w:tc>
        <w:tc>
          <w:tcPr>
            <w:tcW w:w="2215" w:type="dxa"/>
            <w:tcBorders>
              <w:top w:val="nil"/>
              <w:left w:val="single" w:sz="4" w:space="0" w:color="auto"/>
              <w:bottom w:val="single" w:sz="4" w:space="0" w:color="auto"/>
              <w:right w:val="single" w:sz="4" w:space="0" w:color="auto"/>
            </w:tcBorders>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hint="cs"/>
                <w:color w:val="000000"/>
                <w:sz w:val="22"/>
                <w:szCs w:val="22"/>
                <w:rtl/>
              </w:rPr>
              <w:t>1.5</w:t>
            </w:r>
          </w:p>
        </w:tc>
      </w:tr>
    </w:tbl>
    <w:p w:rsidR="00A210E9" w:rsidRPr="00A210E9" w:rsidP="00A210E9">
      <w:pPr>
        <w:keepNext/>
        <w:keepLines/>
        <w:spacing w:line="269" w:lineRule="auto"/>
        <w:ind w:left="-567" w:firstLine="567"/>
        <w:rPr>
          <w:rFonts w:eastAsia="Calibri"/>
          <w:szCs w:val="20"/>
          <w:rtl/>
        </w:rPr>
      </w:pPr>
      <w:r w:rsidRPr="00A210E9">
        <w:rPr>
          <w:rFonts w:eastAsia="Calibri" w:hint="eastAsia"/>
          <w:szCs w:val="20"/>
          <w:rtl/>
        </w:rPr>
        <w:t>על</w:t>
      </w:r>
      <w:r w:rsidRPr="00A210E9">
        <w:rPr>
          <w:rFonts w:eastAsia="Calibri"/>
          <w:szCs w:val="20"/>
          <w:rtl/>
        </w:rPr>
        <w:t xml:space="preserve"> פי נתוני משרד התחבורה, בעיבוד משרד מבקר המדינה</w:t>
      </w:r>
      <w:r w:rsidRPr="00A210E9">
        <w:rPr>
          <w:rFonts w:eastAsia="Calibri" w:hint="cs"/>
          <w:szCs w:val="20"/>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eastAsia"/>
          <w:b/>
          <w:bCs/>
          <w:rtl/>
        </w:rPr>
        <w:t>מהלוח</w:t>
      </w:r>
      <w:r w:rsidRPr="00A210E9">
        <w:rPr>
          <w:rFonts w:eastAsia="Calibri"/>
          <w:b/>
          <w:bCs/>
          <w:rtl/>
        </w:rPr>
        <w:t xml:space="preserve"> עולה כי </w:t>
      </w:r>
      <w:r w:rsidRPr="00A210E9">
        <w:rPr>
          <w:rFonts w:eastAsia="Calibri" w:hint="eastAsia"/>
          <w:b/>
          <w:bCs/>
          <w:rtl/>
        </w:rPr>
        <w:t>כ</w:t>
      </w:r>
      <w:r w:rsidRPr="00A210E9">
        <w:rPr>
          <w:rFonts w:eastAsia="Calibri"/>
          <w:b/>
          <w:bCs/>
          <w:rtl/>
        </w:rPr>
        <w:t xml:space="preserve">-50% מבעלי תג </w:t>
      </w:r>
      <w:r w:rsidRPr="00A210E9">
        <w:rPr>
          <w:rFonts w:eastAsia="Calibri" w:hint="eastAsia"/>
          <w:b/>
          <w:bCs/>
          <w:rtl/>
        </w:rPr>
        <w:t>חניה</w:t>
      </w:r>
      <w:r w:rsidRPr="00A210E9">
        <w:rPr>
          <w:rFonts w:eastAsia="Calibri"/>
          <w:b/>
          <w:bCs/>
          <w:rtl/>
        </w:rPr>
        <w:t xml:space="preserve"> רגיל </w:t>
      </w:r>
      <w:r w:rsidRPr="00A210E9">
        <w:rPr>
          <w:rFonts w:eastAsia="Calibri" w:hint="cs"/>
          <w:b/>
          <w:bCs/>
          <w:rtl/>
        </w:rPr>
        <w:t xml:space="preserve">(כ-205 אלפים) </w:t>
      </w:r>
      <w:r w:rsidRPr="00A210E9">
        <w:rPr>
          <w:rFonts w:eastAsia="Calibri"/>
          <w:b/>
          <w:bCs/>
          <w:rtl/>
        </w:rPr>
        <w:t xml:space="preserve">מממשים את זכותם לשיוך שני רכבים לתג שלהם </w:t>
      </w:r>
      <w:r w:rsidRPr="00A210E9">
        <w:rPr>
          <w:rFonts w:eastAsia="Calibri" w:hint="eastAsia"/>
          <w:b/>
          <w:bCs/>
          <w:rtl/>
        </w:rPr>
        <w:t>וכך</w:t>
      </w:r>
      <w:r w:rsidRPr="00A210E9">
        <w:rPr>
          <w:rFonts w:eastAsia="Calibri"/>
          <w:b/>
          <w:bCs/>
          <w:rtl/>
        </w:rPr>
        <w:t xml:space="preserve"> </w:t>
      </w:r>
      <w:r w:rsidRPr="00A210E9">
        <w:rPr>
          <w:rFonts w:eastAsia="Calibri" w:hint="eastAsia"/>
          <w:b/>
          <w:bCs/>
          <w:rtl/>
        </w:rPr>
        <w:t>גם</w:t>
      </w:r>
      <w:r w:rsidRPr="00A210E9">
        <w:rPr>
          <w:rFonts w:eastAsia="Calibri"/>
          <w:b/>
          <w:bCs/>
          <w:rtl/>
        </w:rPr>
        <w:t xml:space="preserve"> </w:t>
      </w:r>
      <w:r w:rsidRPr="00A210E9">
        <w:rPr>
          <w:rFonts w:eastAsia="Calibri" w:hint="eastAsia"/>
          <w:b/>
          <w:bCs/>
          <w:rtl/>
        </w:rPr>
        <w:t>כ</w:t>
      </w:r>
      <w:r w:rsidRPr="00A210E9">
        <w:rPr>
          <w:rFonts w:eastAsia="Calibri"/>
          <w:b/>
          <w:bCs/>
          <w:rtl/>
        </w:rPr>
        <w:t xml:space="preserve">-70% </w:t>
      </w:r>
      <w:r w:rsidRPr="00A210E9">
        <w:rPr>
          <w:rFonts w:eastAsia="Calibri" w:hint="eastAsia"/>
          <w:b/>
          <w:bCs/>
          <w:rtl/>
        </w:rPr>
        <w:t>מבעלי</w:t>
      </w:r>
      <w:r w:rsidRPr="00A210E9">
        <w:rPr>
          <w:rFonts w:eastAsia="Calibri"/>
          <w:b/>
          <w:bCs/>
          <w:rtl/>
        </w:rPr>
        <w:t xml:space="preserve"> </w:t>
      </w:r>
      <w:r w:rsidRPr="00A210E9">
        <w:rPr>
          <w:rFonts w:eastAsia="Calibri" w:hint="eastAsia"/>
          <w:b/>
          <w:bCs/>
          <w:rtl/>
        </w:rPr>
        <w:t>תג</w:t>
      </w:r>
      <w:r w:rsidRPr="00A210E9">
        <w:rPr>
          <w:rFonts w:eastAsia="Calibri"/>
          <w:b/>
          <w:bCs/>
          <w:rtl/>
        </w:rPr>
        <w:t xml:space="preserve"> </w:t>
      </w:r>
      <w:r w:rsidRPr="00A210E9">
        <w:rPr>
          <w:rFonts w:eastAsia="Calibri" w:hint="eastAsia"/>
          <w:b/>
          <w:bCs/>
          <w:rtl/>
        </w:rPr>
        <w:t>כיסא</w:t>
      </w:r>
      <w:r w:rsidRPr="00A210E9">
        <w:rPr>
          <w:rFonts w:eastAsia="Calibri"/>
          <w:b/>
          <w:bCs/>
          <w:rtl/>
        </w:rPr>
        <w:t xml:space="preserve"> </w:t>
      </w:r>
      <w:r w:rsidRPr="00A210E9">
        <w:rPr>
          <w:rFonts w:eastAsia="Calibri" w:hint="eastAsia"/>
          <w:b/>
          <w:bCs/>
          <w:rtl/>
        </w:rPr>
        <w:t>גלגלים</w:t>
      </w:r>
      <w:r w:rsidRPr="00A210E9">
        <w:rPr>
          <w:rFonts w:eastAsia="Calibri" w:hint="cs"/>
          <w:b/>
          <w:bCs/>
          <w:rtl/>
        </w:rPr>
        <w:t xml:space="preserve"> (כ-16,000)</w:t>
      </w:r>
      <w:r w:rsidRPr="00A210E9">
        <w:rPr>
          <w:rFonts w:eastAsia="Calibri"/>
          <w:b/>
          <w:bCs/>
          <w:rtl/>
        </w:rPr>
        <w:t>. שיוך של שני רכבים לאותו תג חניה מאפשר בפועל ל</w:t>
      </w:r>
      <w:r w:rsidRPr="00A210E9">
        <w:rPr>
          <w:rFonts w:eastAsia="Calibri" w:hint="eastAsia"/>
          <w:b/>
          <w:bCs/>
          <w:rtl/>
        </w:rPr>
        <w:t>החנות</w:t>
      </w:r>
      <w:r w:rsidRPr="00A210E9">
        <w:rPr>
          <w:rFonts w:eastAsia="Calibri"/>
          <w:b/>
          <w:bCs/>
          <w:rtl/>
        </w:rPr>
        <w:t xml:space="preserve"> את שני הרכבים בו-זמנית בחניות נכים או במקומות אסורים (ראו להלן בפרק "</w:t>
      </w:r>
      <w:r w:rsidRPr="00A210E9">
        <w:rPr>
          <w:rFonts w:eastAsia="Calibri" w:hint="eastAsia"/>
          <w:b/>
          <w:bCs/>
          <w:rtl/>
        </w:rPr>
        <w:t>אכיפת</w:t>
      </w:r>
      <w:r w:rsidRPr="00A210E9">
        <w:rPr>
          <w:rFonts w:eastAsia="Calibri"/>
          <w:b/>
          <w:bCs/>
          <w:rtl/>
        </w:rPr>
        <w:t xml:space="preserve"> </w:t>
      </w:r>
      <w:r w:rsidRPr="00A210E9">
        <w:rPr>
          <w:rFonts w:eastAsia="Calibri" w:hint="eastAsia"/>
          <w:b/>
          <w:bCs/>
          <w:rtl/>
        </w:rPr>
        <w:t>השימוש</w:t>
      </w:r>
      <w:r w:rsidRPr="00A210E9">
        <w:rPr>
          <w:rFonts w:eastAsia="Calibri"/>
          <w:b/>
          <w:bCs/>
          <w:rtl/>
        </w:rPr>
        <w:t xml:space="preserve"> </w:t>
      </w:r>
      <w:r w:rsidRPr="00A210E9">
        <w:rPr>
          <w:rFonts w:eastAsia="Calibri" w:hint="eastAsia"/>
          <w:b/>
          <w:bCs/>
          <w:rtl/>
        </w:rPr>
        <w:t>בתג</w:t>
      </w:r>
      <w:r w:rsidRPr="00A210E9">
        <w:rPr>
          <w:rFonts w:eastAsia="Calibri"/>
          <w:b/>
          <w:bCs/>
          <w:rtl/>
        </w:rPr>
        <w:t xml:space="preserve"> </w:t>
      </w:r>
      <w:r w:rsidRPr="00A210E9">
        <w:rPr>
          <w:rFonts w:eastAsia="Calibri" w:hint="eastAsia"/>
          <w:b/>
          <w:bCs/>
          <w:rtl/>
        </w:rPr>
        <w:t>חניה</w:t>
      </w:r>
      <w:r w:rsidRPr="00A210E9">
        <w:rPr>
          <w:rFonts w:eastAsia="Calibri"/>
          <w:b/>
          <w:bCs/>
          <w:rtl/>
        </w:rPr>
        <w:t xml:space="preserve"> </w:t>
      </w:r>
      <w:r w:rsidRPr="00A210E9">
        <w:rPr>
          <w:rFonts w:eastAsia="Calibri" w:hint="eastAsia"/>
          <w:b/>
          <w:bCs/>
          <w:rtl/>
        </w:rPr>
        <w:t>על</w:t>
      </w:r>
      <w:r w:rsidRPr="00A210E9">
        <w:rPr>
          <w:rFonts w:eastAsia="Calibri"/>
          <w:b/>
          <w:bCs/>
          <w:rtl/>
        </w:rPr>
        <w:t xml:space="preserve"> </w:t>
      </w:r>
      <w:r w:rsidRPr="00A210E9">
        <w:rPr>
          <w:rFonts w:eastAsia="Calibri" w:hint="eastAsia"/>
          <w:b/>
          <w:bCs/>
          <w:rtl/>
        </w:rPr>
        <w:t>ידי</w:t>
      </w:r>
      <w:r w:rsidRPr="00A210E9">
        <w:rPr>
          <w:rFonts w:eastAsia="Calibri"/>
          <w:b/>
          <w:bCs/>
          <w:rtl/>
        </w:rPr>
        <w:t xml:space="preserve"> </w:t>
      </w:r>
      <w:r w:rsidRPr="00A210E9">
        <w:rPr>
          <w:rFonts w:eastAsia="Calibri" w:hint="eastAsia"/>
          <w:b/>
          <w:bCs/>
          <w:rtl/>
        </w:rPr>
        <w:t>הרשויות</w:t>
      </w:r>
      <w:r w:rsidRPr="00A210E9">
        <w:rPr>
          <w:rFonts w:eastAsia="Calibri"/>
          <w:b/>
          <w:bCs/>
          <w:rtl/>
        </w:rPr>
        <w:t xml:space="preserve"> </w:t>
      </w:r>
      <w:r w:rsidRPr="00A210E9">
        <w:rPr>
          <w:rFonts w:eastAsia="Calibri" w:hint="eastAsia"/>
          <w:b/>
          <w:bCs/>
          <w:rtl/>
        </w:rPr>
        <w:t>המקומיות</w:t>
      </w:r>
      <w:r w:rsidRPr="00A210E9">
        <w:rPr>
          <w:rFonts w:eastAsia="Calibri"/>
          <w:b/>
          <w:bCs/>
          <w:rtl/>
        </w:rPr>
        <w:t xml:space="preserve"> </w:t>
      </w:r>
      <w:r w:rsidRPr="00A210E9">
        <w:rPr>
          <w:rFonts w:eastAsia="Calibri" w:hint="eastAsia"/>
          <w:b/>
          <w:bCs/>
          <w:rtl/>
        </w:rPr>
        <w:t>ומשטרת</w:t>
      </w:r>
      <w:r w:rsidRPr="00A210E9">
        <w:rPr>
          <w:rFonts w:eastAsia="Calibri"/>
          <w:b/>
          <w:bCs/>
          <w:rtl/>
        </w:rPr>
        <w:t xml:space="preserve"> </w:t>
      </w:r>
      <w:r w:rsidRPr="00A210E9">
        <w:rPr>
          <w:rFonts w:eastAsia="Calibri" w:hint="eastAsia"/>
          <w:b/>
          <w:bCs/>
          <w:rtl/>
        </w:rPr>
        <w:t>ישראל</w:t>
      </w:r>
      <w:r w:rsidRPr="00A210E9">
        <w:rPr>
          <w:rFonts w:eastAsia="Calibri"/>
          <w:b/>
          <w:bCs/>
          <w:rtl/>
        </w:rPr>
        <w:t>").</w:t>
      </w:r>
    </w:p>
    <w:p w:rsidR="00A210E9" w:rsidRPr="00A210E9" w:rsidP="00A210E9">
      <w:pPr>
        <w:keepNext/>
        <w:keepLines/>
        <w:spacing w:line="269" w:lineRule="auto"/>
        <w:ind w:left="-567"/>
        <w:rPr>
          <w:rFonts w:eastAsia="Calibri"/>
          <w:szCs w:val="20"/>
          <w:rtl/>
        </w:rPr>
      </w:pPr>
      <w:bookmarkStart w:id="91" w:name="_Hlk209025483"/>
    </w:p>
    <w:bookmarkEnd w:id="91"/>
    <w:p w:rsidR="00A210E9" w:rsidRPr="00A210E9" w:rsidP="00A210E9">
      <w:pPr>
        <w:spacing w:line="269" w:lineRule="auto"/>
        <w:rPr>
          <w:rFonts w:eastAsia="Calibri"/>
          <w:rtl/>
        </w:rPr>
      </w:pPr>
      <w:r w:rsidRPr="00A210E9">
        <w:rPr>
          <w:rFonts w:eastAsia="Calibri" w:hint="cs"/>
          <w:rtl/>
        </w:rPr>
        <w:t xml:space="preserve">כבר בשנת 2006 בחנה ועדת העבודה, הרווחה והבריאות של הכנסת את הנושא, ובמסמך שהוכן לקראת הדיון בוועדה צוין כי </w:t>
      </w:r>
      <w:r w:rsidRPr="00A210E9">
        <w:rPr>
          <w:rFonts w:eastAsia="Calibri"/>
          <w:rtl/>
        </w:rPr>
        <w:t>יש לבחון מחדש מתן ת</w:t>
      </w:r>
      <w:r w:rsidRPr="00A210E9">
        <w:rPr>
          <w:rFonts w:eastAsia="Calibri" w:hint="cs"/>
          <w:rtl/>
        </w:rPr>
        <w:t>ג</w:t>
      </w:r>
      <w:r w:rsidRPr="00A210E9">
        <w:rPr>
          <w:rFonts w:eastAsia="Calibri"/>
          <w:rtl/>
        </w:rPr>
        <w:t xml:space="preserve"> חניה לשני כלי רכב</w:t>
      </w:r>
      <w:r>
        <w:rPr>
          <w:rFonts w:eastAsia="Calibri"/>
          <w:vertAlign w:val="superscript"/>
          <w:rtl/>
        </w:rPr>
        <w:footnoteReference w:id="67"/>
      </w:r>
      <w:r w:rsidRPr="00A210E9">
        <w:rPr>
          <w:rFonts w:eastAsia="Calibri" w:hint="cs"/>
          <w:rtl/>
        </w:rPr>
        <w:t xml:space="preserve">. משרד התחבורה בחן </w:t>
      </w:r>
      <w:r w:rsidRPr="00A210E9">
        <w:rPr>
          <w:rFonts w:eastAsia="Calibri" w:hint="cs"/>
          <w:rtl/>
        </w:rPr>
        <w:t>את נושא שיוך שני הרכבים רק בשנת 2022 במסגרת עבודתו של צוות 2022</w:t>
      </w:r>
      <w:r>
        <w:rPr>
          <w:rFonts w:eastAsia="Calibri"/>
          <w:vertAlign w:val="superscript"/>
          <w:rtl/>
        </w:rPr>
        <w:footnoteReference w:id="68"/>
      </w:r>
      <w:r w:rsidRPr="00A210E9">
        <w:rPr>
          <w:rFonts w:eastAsia="Calibri" w:hint="cs"/>
          <w:rtl/>
        </w:rPr>
        <w:t xml:space="preserve"> שהציע כמה מרכיבים </w:t>
      </w:r>
      <w:r w:rsidRPr="00A210E9">
        <w:rPr>
          <w:rFonts w:eastAsia="Calibri"/>
          <w:rtl/>
        </w:rPr>
        <w:t xml:space="preserve">לטיוב </w:t>
      </w:r>
      <w:r w:rsidRPr="00A210E9">
        <w:rPr>
          <w:rFonts w:eastAsia="Calibri" w:hint="cs"/>
          <w:rtl/>
        </w:rPr>
        <w:t>ת</w:t>
      </w:r>
      <w:r w:rsidRPr="00A210E9">
        <w:rPr>
          <w:rFonts w:eastAsia="Calibri"/>
          <w:rtl/>
        </w:rPr>
        <w:t>הליך הנפקת התגים</w:t>
      </w:r>
      <w:r w:rsidRPr="00A210E9">
        <w:rPr>
          <w:rFonts w:eastAsia="Calibri" w:hint="cs"/>
          <w:rtl/>
        </w:rPr>
        <w:t xml:space="preserve">, ובהם צמצום מספר הרכבים </w:t>
      </w:r>
      <w:r w:rsidRPr="00A210E9">
        <w:rPr>
          <w:rFonts w:eastAsia="Calibri"/>
          <w:rtl/>
        </w:rPr>
        <w:t xml:space="preserve">המשויכים לכל תג </w:t>
      </w:r>
      <w:r w:rsidRPr="00A210E9">
        <w:rPr>
          <w:rFonts w:eastAsia="Calibri" w:hint="cs"/>
          <w:rtl/>
        </w:rPr>
        <w:t>חניה</w:t>
      </w:r>
      <w:r w:rsidRPr="00A210E9">
        <w:rPr>
          <w:rFonts w:eastAsia="Calibri"/>
          <w:rtl/>
        </w:rPr>
        <w:t xml:space="preserve"> </w:t>
      </w:r>
      <w:r w:rsidRPr="00A210E9">
        <w:rPr>
          <w:rFonts w:eastAsia="Calibri" w:hint="cs"/>
          <w:rtl/>
        </w:rPr>
        <w:t xml:space="preserve">משני רכבים </w:t>
      </w:r>
      <w:r w:rsidRPr="00A210E9">
        <w:rPr>
          <w:rFonts w:eastAsia="Calibri"/>
          <w:rtl/>
        </w:rPr>
        <w:t>ל</w:t>
      </w:r>
      <w:r w:rsidRPr="00A210E9">
        <w:rPr>
          <w:rFonts w:eastAsia="Calibri" w:hint="cs"/>
          <w:rtl/>
        </w:rPr>
        <w:t xml:space="preserve">רכב </w:t>
      </w:r>
      <w:r w:rsidRPr="00A210E9">
        <w:rPr>
          <w:rFonts w:eastAsia="Calibri"/>
          <w:rtl/>
        </w:rPr>
        <w:t>אחד</w:t>
      </w:r>
      <w:r w:rsidRPr="00A210E9">
        <w:rPr>
          <w:rFonts w:eastAsia="Calibri" w:hint="cs"/>
          <w:rtl/>
        </w:rPr>
        <w:t>,</w:t>
      </w:r>
      <w:r w:rsidRPr="00A210E9">
        <w:rPr>
          <w:rFonts w:eastAsia="Calibri"/>
          <w:rtl/>
        </w:rPr>
        <w:t xml:space="preserve"> מלבד עבור קטינים</w:t>
      </w:r>
      <w:r w:rsidRPr="00A210E9">
        <w:rPr>
          <w:rFonts w:eastAsia="Calibri" w:hint="cs"/>
          <w:rtl/>
        </w:rPr>
        <w:t xml:space="preserve">. בדיוני צוות 2024 שוב צוין כי יחול שינוי לגבי מספר הרכבים המשויכים לתג, אולם בנוגע לילדים עם מוגבלות תישאר המדיניות זהה והנושא ייבחן בעתיד.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עמותות איל"ן, נגישות ישראל, הצעד הבא ופורום צמיד כתבו בתשובותיהם כי יש לבטל את שיוך שני הרכבים לתג חניה. איל"ן הוסיפה כי שיוך שני רכבים לתג חניה </w:t>
      </w:r>
      <w:r w:rsidRPr="00A210E9">
        <w:rPr>
          <w:rFonts w:eastAsia="Calibri"/>
          <w:rtl/>
        </w:rPr>
        <w:t>הוא הכרחי להורים לילדים עם מוגבלות</w:t>
      </w:r>
      <w:r w:rsidRPr="00A210E9">
        <w:rPr>
          <w:rFonts w:eastAsia="Calibri" w:hint="cs"/>
          <w:rtl/>
        </w:rPr>
        <w:t xml:space="preserve">, וכי </w:t>
      </w:r>
      <w:r w:rsidRPr="00A210E9">
        <w:rPr>
          <w:rFonts w:eastAsia="Calibri"/>
          <w:rtl/>
        </w:rPr>
        <w:t>ביטול ת</w:t>
      </w:r>
      <w:r w:rsidRPr="00A210E9">
        <w:rPr>
          <w:rFonts w:eastAsia="Calibri" w:hint="cs"/>
          <w:rtl/>
        </w:rPr>
        <w:t>ג</w:t>
      </w:r>
      <w:r w:rsidRPr="00A210E9">
        <w:rPr>
          <w:rFonts w:eastAsia="Calibri"/>
          <w:rtl/>
        </w:rPr>
        <w:t xml:space="preserve"> אחד יכביד מאוד על </w:t>
      </w:r>
      <w:r w:rsidRPr="00A210E9">
        <w:rPr>
          <w:rFonts w:eastAsia="Calibri" w:hint="cs"/>
          <w:rtl/>
        </w:rPr>
        <w:t>תפקודם</w:t>
      </w:r>
      <w:r w:rsidRPr="00A210E9">
        <w:rPr>
          <w:rFonts w:eastAsia="Calibri"/>
          <w:rtl/>
        </w:rPr>
        <w:t xml:space="preserve"> היום</w:t>
      </w:r>
      <w:r w:rsidRPr="00A210E9">
        <w:rPr>
          <w:rFonts w:eastAsia="Calibri" w:hint="cs"/>
          <w:rtl/>
        </w:rPr>
        <w:t>-</w:t>
      </w:r>
      <w:r w:rsidRPr="00A210E9">
        <w:rPr>
          <w:rFonts w:eastAsia="Calibri"/>
          <w:rtl/>
        </w:rPr>
        <w:t xml:space="preserve">יומי. </w:t>
      </w:r>
      <w:r w:rsidRPr="00A210E9">
        <w:rPr>
          <w:rFonts w:eastAsia="Calibri" w:hint="cs"/>
          <w:rtl/>
        </w:rPr>
        <w:t xml:space="preserve">עם זאת, ציינה העמותה כי </w:t>
      </w:r>
      <w:r w:rsidRPr="00A210E9">
        <w:rPr>
          <w:rFonts w:eastAsia="Calibri"/>
          <w:rtl/>
        </w:rPr>
        <w:t>יש להגביר את האכיפה ולהחמיר את הסנקציות ו</w:t>
      </w:r>
      <w:r w:rsidRPr="00A210E9">
        <w:rPr>
          <w:rFonts w:eastAsia="Calibri" w:hint="cs"/>
          <w:rtl/>
        </w:rPr>
        <w:t xml:space="preserve">אם </w:t>
      </w:r>
      <w:r w:rsidRPr="00A210E9">
        <w:rPr>
          <w:rFonts w:eastAsia="Calibri"/>
          <w:rtl/>
        </w:rPr>
        <w:t>יש זילות של שימוש של הורים בתג</w:t>
      </w:r>
      <w:r w:rsidRPr="00A210E9">
        <w:rPr>
          <w:rFonts w:eastAsia="Calibri" w:hint="cs"/>
          <w:rtl/>
        </w:rPr>
        <w:t>. פורום צמיד כתב בתשובתו</w:t>
      </w:r>
      <w:r w:rsidRPr="00A210E9">
        <w:rPr>
          <w:rFonts w:eastAsia="Calibri"/>
          <w:rtl/>
        </w:rPr>
        <w:t xml:space="preserve"> </w:t>
      </w:r>
      <w:r w:rsidRPr="00A210E9">
        <w:rPr>
          <w:rFonts w:eastAsia="Calibri" w:hint="cs"/>
          <w:rtl/>
        </w:rPr>
        <w:t xml:space="preserve">כי </w:t>
      </w:r>
      <w:r w:rsidRPr="00A210E9">
        <w:rPr>
          <w:rFonts w:eastAsia="Calibri"/>
          <w:rtl/>
        </w:rPr>
        <w:t xml:space="preserve">הפתרון השורשי </w:t>
      </w:r>
      <w:r w:rsidRPr="00A210E9">
        <w:rPr>
          <w:rFonts w:eastAsia="Calibri" w:hint="cs"/>
          <w:rtl/>
        </w:rPr>
        <w:t>הוא</w:t>
      </w:r>
      <w:r w:rsidRPr="00A210E9">
        <w:rPr>
          <w:rFonts w:eastAsia="Calibri"/>
          <w:rtl/>
        </w:rPr>
        <w:t xml:space="preserve"> תג אישי התקף רק בנוכחות בעל הזכאות</w:t>
      </w:r>
      <w:r w:rsidRPr="00A210E9">
        <w:rPr>
          <w:rFonts w:eastAsia="Calibri" w:hint="cs"/>
          <w:rtl/>
        </w:rPr>
        <w:t>, תוך</w:t>
      </w:r>
      <w:r w:rsidRPr="00A210E9">
        <w:rPr>
          <w:rFonts w:eastAsia="Calibri"/>
          <w:rtl/>
        </w:rPr>
        <w:t xml:space="preserve"> אימות ביומטרי או דיגיטלי בזמן חניה</w:t>
      </w:r>
      <w:r w:rsidRPr="00A210E9">
        <w:rPr>
          <w:rFonts w:eastAsia="Calibri" w:hint="cs"/>
          <w:rtl/>
        </w:rPr>
        <w:t xml:space="preserve">, וכי יש לשלול את </w:t>
      </w:r>
      <w:r w:rsidRPr="00A210E9">
        <w:rPr>
          <w:rFonts w:eastAsia="Calibri"/>
          <w:rtl/>
        </w:rPr>
        <w:t xml:space="preserve">מודל שיוך שני </w:t>
      </w:r>
      <w:r w:rsidRPr="00A210E9">
        <w:rPr>
          <w:rFonts w:eastAsia="Calibri" w:hint="cs"/>
          <w:rtl/>
        </w:rPr>
        <w:t>ה</w:t>
      </w:r>
      <w:r w:rsidRPr="00A210E9">
        <w:rPr>
          <w:rFonts w:eastAsia="Calibri"/>
          <w:rtl/>
        </w:rPr>
        <w:t>רכבים לתג</w:t>
      </w:r>
      <w:r w:rsidRPr="00A210E9">
        <w:rPr>
          <w:rFonts w:eastAsia="Calibri" w:hint="cs"/>
          <w:rtl/>
        </w:rPr>
        <w:t>,</w:t>
      </w:r>
      <w:r w:rsidRPr="00A210E9">
        <w:rPr>
          <w:rFonts w:eastAsia="Calibri"/>
          <w:rtl/>
        </w:rPr>
        <w:t xml:space="preserve"> למעט </w:t>
      </w:r>
      <w:r w:rsidRPr="00A210E9">
        <w:rPr>
          <w:rFonts w:eastAsia="Calibri" w:hint="cs"/>
          <w:rtl/>
        </w:rPr>
        <w:t xml:space="preserve">בעניינם של הורים </w:t>
      </w:r>
      <w:r w:rsidRPr="00A210E9">
        <w:rPr>
          <w:rFonts w:eastAsia="Calibri"/>
          <w:rtl/>
        </w:rPr>
        <w:t>לילדים ו</w:t>
      </w:r>
      <w:r w:rsidRPr="00A210E9">
        <w:rPr>
          <w:rFonts w:eastAsia="Calibri" w:hint="cs"/>
          <w:rtl/>
        </w:rPr>
        <w:t>ב</w:t>
      </w:r>
      <w:r w:rsidRPr="00A210E9">
        <w:rPr>
          <w:rFonts w:eastAsia="Calibri"/>
          <w:rtl/>
        </w:rPr>
        <w:t xml:space="preserve">מקרים חריגים </w:t>
      </w:r>
      <w:r w:rsidRPr="00A210E9">
        <w:rPr>
          <w:rFonts w:eastAsia="Calibri" w:hint="cs"/>
          <w:rtl/>
        </w:rPr>
        <w:t>-</w:t>
      </w:r>
      <w:r w:rsidRPr="00A210E9">
        <w:rPr>
          <w:rFonts w:eastAsia="Calibri"/>
          <w:rtl/>
        </w:rPr>
        <w:t xml:space="preserve"> באישור </w:t>
      </w:r>
      <w:r w:rsidRPr="00A210E9">
        <w:rPr>
          <w:rFonts w:eastAsia="Calibri" w:hint="cs"/>
          <w:rtl/>
        </w:rPr>
        <w:t>של</w:t>
      </w:r>
      <w:r w:rsidRPr="00A210E9">
        <w:rPr>
          <w:rFonts w:eastAsia="Calibri"/>
          <w:rtl/>
        </w:rPr>
        <w:t xml:space="preserve"> מערך בחינה מתאים</w:t>
      </w:r>
      <w:r w:rsidRPr="00A210E9">
        <w:rPr>
          <w:rFonts w:eastAsia="Calibri" w:hint="cs"/>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bookmarkStart w:id="92" w:name="_Hlk223879469"/>
      <w:r w:rsidRPr="00A210E9">
        <w:rPr>
          <w:rFonts w:eastAsia="Calibri" w:hint="eastAsia"/>
          <w:b/>
          <w:bCs/>
          <w:rtl/>
        </w:rPr>
        <w:t>מהשוואה</w:t>
      </w:r>
      <w:r w:rsidRPr="00A210E9">
        <w:rPr>
          <w:rFonts w:eastAsia="Calibri"/>
          <w:b/>
          <w:bCs/>
          <w:rtl/>
        </w:rPr>
        <w:t xml:space="preserve"> </w:t>
      </w:r>
      <w:r w:rsidRPr="00A210E9">
        <w:rPr>
          <w:rFonts w:eastAsia="Calibri" w:hint="eastAsia"/>
          <w:b/>
          <w:bCs/>
          <w:rtl/>
        </w:rPr>
        <w:t>בין</w:t>
      </w:r>
      <w:r w:rsidRPr="00A210E9">
        <w:rPr>
          <w:rFonts w:eastAsia="Calibri"/>
          <w:b/>
          <w:bCs/>
          <w:rtl/>
        </w:rPr>
        <w:t xml:space="preserve">-לאומית שביצע משרד </w:t>
      </w:r>
      <w:r w:rsidRPr="00A210E9">
        <w:rPr>
          <w:rFonts w:eastAsia="Calibri" w:hint="eastAsia"/>
          <w:b/>
          <w:bCs/>
          <w:rtl/>
        </w:rPr>
        <w:t>מבקר</w:t>
      </w:r>
      <w:r w:rsidRPr="00A210E9">
        <w:rPr>
          <w:rFonts w:eastAsia="Calibri"/>
          <w:b/>
          <w:bCs/>
          <w:rtl/>
        </w:rPr>
        <w:t xml:space="preserve"> </w:t>
      </w:r>
      <w:r w:rsidRPr="00A210E9">
        <w:rPr>
          <w:rFonts w:eastAsia="Calibri" w:hint="eastAsia"/>
          <w:b/>
          <w:bCs/>
          <w:rtl/>
        </w:rPr>
        <w:t>המדינה</w:t>
      </w:r>
      <w:r w:rsidRPr="00A210E9">
        <w:rPr>
          <w:rFonts w:eastAsia="Calibri"/>
          <w:b/>
          <w:bCs/>
          <w:rtl/>
        </w:rPr>
        <w:t xml:space="preserve"> </w:t>
      </w:r>
      <w:r w:rsidRPr="00A210E9">
        <w:rPr>
          <w:rFonts w:eastAsia="Calibri" w:hint="eastAsia"/>
          <w:b/>
          <w:bCs/>
          <w:rtl/>
        </w:rPr>
        <w:t>בין</w:t>
      </w:r>
      <w:r w:rsidRPr="00A210E9">
        <w:rPr>
          <w:rFonts w:eastAsia="Calibri"/>
          <w:b/>
          <w:bCs/>
          <w:rtl/>
        </w:rPr>
        <w:t xml:space="preserve"> 15 </w:t>
      </w:r>
      <w:r w:rsidRPr="00A210E9">
        <w:rPr>
          <w:rFonts w:eastAsia="Calibri" w:hint="eastAsia"/>
          <w:b/>
          <w:bCs/>
          <w:rtl/>
        </w:rPr>
        <w:t>מדינות</w:t>
      </w:r>
      <w:r>
        <w:rPr>
          <w:rFonts w:eastAsia="Calibri"/>
          <w:b/>
          <w:bCs/>
          <w:vertAlign w:val="superscript"/>
          <w:rtl/>
        </w:rPr>
        <w:footnoteReference w:id="69"/>
      </w:r>
      <w:r w:rsidRPr="00A210E9">
        <w:rPr>
          <w:rFonts w:eastAsia="Calibri"/>
          <w:b/>
          <w:bCs/>
          <w:rtl/>
        </w:rPr>
        <w:t xml:space="preserve"> </w:t>
      </w:r>
      <w:r w:rsidRPr="00A210E9">
        <w:rPr>
          <w:rFonts w:eastAsia="Calibri" w:hint="cs"/>
          <w:b/>
          <w:bCs/>
          <w:rtl/>
        </w:rPr>
        <w:t xml:space="preserve">מתקדמות </w:t>
      </w:r>
      <w:r w:rsidRPr="00A210E9">
        <w:rPr>
          <w:rFonts w:eastAsia="Calibri" w:hint="eastAsia"/>
          <w:b/>
          <w:bCs/>
          <w:rtl/>
        </w:rPr>
        <w:t>נוספות</w:t>
      </w:r>
      <w:r w:rsidRPr="00A210E9">
        <w:rPr>
          <w:rFonts w:eastAsia="Calibri"/>
          <w:b/>
          <w:bCs/>
          <w:rtl/>
        </w:rPr>
        <w:t xml:space="preserve"> </w:t>
      </w:r>
      <w:r w:rsidRPr="00A210E9">
        <w:rPr>
          <w:rFonts w:eastAsia="Calibri" w:hint="eastAsia"/>
          <w:b/>
          <w:bCs/>
          <w:rtl/>
        </w:rPr>
        <w:t>עולה</w:t>
      </w:r>
      <w:r w:rsidRPr="00A210E9">
        <w:rPr>
          <w:rFonts w:eastAsia="Calibri"/>
          <w:b/>
          <w:bCs/>
          <w:rtl/>
        </w:rPr>
        <w:t xml:space="preserve"> </w:t>
      </w:r>
      <w:r w:rsidRPr="00A210E9">
        <w:rPr>
          <w:rFonts w:eastAsia="Calibri" w:hint="eastAsia"/>
          <w:b/>
          <w:bCs/>
          <w:rtl/>
        </w:rPr>
        <w:t>כי</w:t>
      </w:r>
      <w:r w:rsidRPr="00A210E9">
        <w:rPr>
          <w:rFonts w:eastAsia="Calibri"/>
          <w:b/>
          <w:bCs/>
          <w:rtl/>
        </w:rPr>
        <w:t xml:space="preserve"> </w:t>
      </w:r>
      <w:r w:rsidRPr="00A210E9">
        <w:rPr>
          <w:rFonts w:eastAsia="Calibri" w:hint="eastAsia"/>
          <w:b/>
          <w:bCs/>
          <w:rtl/>
        </w:rPr>
        <w:t>כל</w:t>
      </w:r>
      <w:r w:rsidRPr="00A210E9">
        <w:rPr>
          <w:rFonts w:eastAsia="Calibri"/>
          <w:b/>
          <w:bCs/>
          <w:rtl/>
        </w:rPr>
        <w:t xml:space="preserve"> 15 </w:t>
      </w:r>
      <w:r w:rsidRPr="00A210E9">
        <w:rPr>
          <w:rFonts w:eastAsia="Calibri" w:hint="eastAsia"/>
          <w:b/>
          <w:bCs/>
          <w:rtl/>
        </w:rPr>
        <w:t>המדינות</w:t>
      </w:r>
      <w:r w:rsidRPr="00A210E9">
        <w:rPr>
          <w:rFonts w:eastAsia="Calibri"/>
          <w:b/>
          <w:bCs/>
          <w:rtl/>
        </w:rPr>
        <w:t xml:space="preserve">, מלבד ישראל, מנפיקות תג חניה </w:t>
      </w:r>
      <w:r w:rsidRPr="00A210E9">
        <w:rPr>
          <w:rFonts w:eastAsia="Calibri" w:hint="eastAsia"/>
          <w:b/>
          <w:bCs/>
          <w:rtl/>
        </w:rPr>
        <w:t>אישי</w:t>
      </w:r>
      <w:r w:rsidRPr="00A210E9">
        <w:rPr>
          <w:rFonts w:eastAsia="Calibri"/>
          <w:b/>
          <w:bCs/>
          <w:rtl/>
        </w:rPr>
        <w:t xml:space="preserve"> </w:t>
      </w:r>
      <w:r w:rsidRPr="00A210E9">
        <w:rPr>
          <w:rFonts w:eastAsia="Calibri" w:hint="eastAsia"/>
          <w:b/>
          <w:bCs/>
          <w:rtl/>
        </w:rPr>
        <w:t>שניתן</w:t>
      </w:r>
      <w:r w:rsidRPr="00A210E9">
        <w:rPr>
          <w:rFonts w:eastAsia="Calibri"/>
          <w:b/>
          <w:bCs/>
          <w:rtl/>
        </w:rPr>
        <w:t xml:space="preserve"> להשתמש בו </w:t>
      </w:r>
      <w:r w:rsidRPr="00A210E9">
        <w:rPr>
          <w:rFonts w:eastAsia="Calibri" w:hint="eastAsia"/>
          <w:b/>
          <w:bCs/>
          <w:rtl/>
        </w:rPr>
        <w:t>לכל</w:t>
      </w:r>
      <w:r w:rsidRPr="00A210E9">
        <w:rPr>
          <w:rFonts w:eastAsia="Calibri"/>
          <w:b/>
          <w:bCs/>
          <w:rtl/>
        </w:rPr>
        <w:t xml:space="preserve"> רכב </w:t>
      </w:r>
      <w:r w:rsidRPr="00A210E9">
        <w:rPr>
          <w:rFonts w:eastAsia="Calibri" w:hint="eastAsia"/>
          <w:b/>
          <w:bCs/>
          <w:rtl/>
        </w:rPr>
        <w:t>שבו</w:t>
      </w:r>
      <w:r w:rsidRPr="00A210E9">
        <w:rPr>
          <w:rFonts w:eastAsia="Calibri"/>
          <w:b/>
          <w:bCs/>
          <w:rtl/>
        </w:rPr>
        <w:t xml:space="preserve"> </w:t>
      </w:r>
      <w:r w:rsidRPr="00A210E9">
        <w:rPr>
          <w:rFonts w:eastAsia="Calibri" w:hint="eastAsia"/>
          <w:b/>
          <w:bCs/>
          <w:rtl/>
        </w:rPr>
        <w:t>נוסע</w:t>
      </w:r>
      <w:r w:rsidRPr="00A210E9">
        <w:rPr>
          <w:rFonts w:eastAsia="Calibri"/>
          <w:b/>
          <w:bCs/>
          <w:rtl/>
        </w:rPr>
        <w:t xml:space="preserve"> </w:t>
      </w:r>
      <w:r w:rsidRPr="00A210E9">
        <w:rPr>
          <w:rFonts w:eastAsia="Calibri" w:hint="eastAsia"/>
          <w:b/>
          <w:bCs/>
          <w:rtl/>
        </w:rPr>
        <w:t>בעל</w:t>
      </w:r>
      <w:r w:rsidRPr="00A210E9">
        <w:rPr>
          <w:rFonts w:eastAsia="Calibri"/>
          <w:b/>
          <w:bCs/>
          <w:rtl/>
        </w:rPr>
        <w:t xml:space="preserve"> </w:t>
      </w:r>
      <w:r w:rsidRPr="00A210E9">
        <w:rPr>
          <w:rFonts w:eastAsia="Calibri" w:hint="eastAsia"/>
          <w:b/>
          <w:bCs/>
          <w:rtl/>
        </w:rPr>
        <w:t>התג</w:t>
      </w:r>
      <w:r w:rsidRPr="00A210E9">
        <w:rPr>
          <w:rFonts w:eastAsia="Calibri"/>
          <w:b/>
          <w:bCs/>
          <w:rtl/>
        </w:rPr>
        <w:t xml:space="preserve">. ישראל היא המדינה היחידה המאפשרת לשייך שני רכבים לתג חניה. </w:t>
      </w:r>
    </w:p>
    <w:bookmarkEnd w:id="92"/>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bookmarkStart w:id="93" w:name="_Hlk223879690"/>
      <w:r w:rsidRPr="00A210E9">
        <w:rPr>
          <w:rFonts w:eastAsia="Calibri" w:hint="cs"/>
          <w:b/>
          <w:bCs/>
          <w:rtl/>
        </w:rPr>
        <w:t xml:space="preserve">אף על פי שבשנים 2022 ו-2024 המליצו צוותי עבודה שהקים משרד התחבורה לשייך רק רכב אחד לכל תג חניה (למעט עבור קטינים), נכון למועד סיום הביקורת באוקטובר 2025 משרד התחבורה עדיין מאפשר לשייך שני רכבים לכל תג חניה. מציאות זו מכבידה בפועל על מערך החניה ואף יוצרת תמריץ נוסף לבקשת תג. </w:t>
      </w:r>
    </w:p>
    <w:bookmarkEnd w:id="93"/>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משרד מבקר המדינה ממליץ למשרד התחבורה לקדם את יישום המלצות הוועדות המקצועיות בנוגע לשינוי המדיניות של שיוך שני רכבים לכל תג, כדי לצמצם את מספר הרכבים הפעילים המשויכים לתגים ולפנות יותר חניות נכים לאנשים עם מוגבלות שזקוקים לחניות אלה. לצד זאת, מומלץ שמשרד התחבורה, בהתייעצות עם הנציבות לשוויון זכויות ותוך שמיעת ארגונים המייצגים אנשים עם מוגבלות, יגבש קריטריונים נפרדים המזכים אוכלוסיות בעלות צורך גבוה יותר בשיוך שני רכבים, למשל ילדים עם מוגבלות, ולהסדיר קריטריונים אלה בנוהל או בתקנות.</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rtl/>
        </w:rPr>
        <w:t xml:space="preserve">משרד </w:t>
      </w:r>
      <w:r w:rsidRPr="00A210E9">
        <w:rPr>
          <w:rFonts w:eastAsia="Calibri" w:hint="eastAsia"/>
          <w:rtl/>
        </w:rPr>
        <w:t>התחבורה</w:t>
      </w:r>
      <w:r w:rsidRPr="00A210E9">
        <w:rPr>
          <w:rFonts w:eastAsia="Calibri"/>
          <w:rtl/>
        </w:rPr>
        <w:t xml:space="preserve"> </w:t>
      </w:r>
      <w:r w:rsidRPr="00A210E9">
        <w:rPr>
          <w:rFonts w:eastAsia="Calibri" w:hint="eastAsia"/>
          <w:rtl/>
        </w:rPr>
        <w:t>ו</w:t>
      </w:r>
      <w:r w:rsidRPr="00A210E9">
        <w:rPr>
          <w:rFonts w:eastAsia="Calibri" w:hint="cs"/>
          <w:rtl/>
        </w:rPr>
        <w:t xml:space="preserve">אגף </w:t>
      </w:r>
      <w:r w:rsidRPr="00A210E9">
        <w:rPr>
          <w:rFonts w:eastAsia="Calibri" w:hint="eastAsia"/>
          <w:rtl/>
        </w:rPr>
        <w:t>החשכ</w:t>
      </w:r>
      <w:r w:rsidRPr="00A210E9">
        <w:rPr>
          <w:rFonts w:eastAsia="Calibri"/>
          <w:rtl/>
        </w:rPr>
        <w:t xml:space="preserve">"ל כתבו בתשובותיהם כי </w:t>
      </w:r>
      <w:r w:rsidRPr="00A210E9">
        <w:rPr>
          <w:rFonts w:eastAsia="Calibri" w:hint="eastAsia"/>
          <w:rtl/>
        </w:rPr>
        <w:t>אכן</w:t>
      </w:r>
      <w:r w:rsidRPr="00A210E9">
        <w:rPr>
          <w:rFonts w:eastAsia="Calibri"/>
          <w:rtl/>
        </w:rPr>
        <w:t xml:space="preserve"> המצב הקיים מחייב שינוי, וכי במסגרת עבודת </w:t>
      </w:r>
      <w:r w:rsidRPr="00A210E9">
        <w:rPr>
          <w:rFonts w:eastAsia="Calibri" w:hint="cs"/>
          <w:rtl/>
        </w:rPr>
        <w:t>ה</w:t>
      </w:r>
      <w:r w:rsidRPr="00A210E9">
        <w:rPr>
          <w:rFonts w:eastAsia="Calibri"/>
          <w:rtl/>
        </w:rPr>
        <w:t xml:space="preserve">צוות </w:t>
      </w:r>
      <w:r w:rsidRPr="00A210E9">
        <w:rPr>
          <w:rFonts w:eastAsia="Calibri" w:hint="cs"/>
          <w:rtl/>
        </w:rPr>
        <w:t>ה</w:t>
      </w:r>
      <w:r w:rsidRPr="00A210E9">
        <w:rPr>
          <w:rFonts w:eastAsia="Calibri"/>
          <w:rtl/>
        </w:rPr>
        <w:t xml:space="preserve">בין-משרדי 2025 גובשה המלצה לצמצם </w:t>
      </w:r>
      <w:r w:rsidRPr="00A210E9">
        <w:rPr>
          <w:rFonts w:eastAsia="Calibri" w:hint="cs"/>
          <w:rtl/>
        </w:rPr>
        <w:t>במידה ניכרת</w:t>
      </w:r>
      <w:r w:rsidRPr="00A210E9">
        <w:rPr>
          <w:rFonts w:eastAsia="Calibri"/>
          <w:rtl/>
        </w:rPr>
        <w:t xml:space="preserve"> את האפשרות ל</w:t>
      </w:r>
      <w:r w:rsidRPr="00A210E9">
        <w:rPr>
          <w:rFonts w:eastAsia="Calibri" w:hint="cs"/>
          <w:rtl/>
        </w:rPr>
        <w:t>שייך תג חניה אחד ל</w:t>
      </w:r>
      <w:r w:rsidRPr="00A210E9">
        <w:rPr>
          <w:rFonts w:eastAsia="Calibri"/>
          <w:rtl/>
        </w:rPr>
        <w:t xml:space="preserve">שני רכבים, ולהותירה רק </w:t>
      </w:r>
      <w:r w:rsidRPr="00A210E9">
        <w:rPr>
          <w:rFonts w:eastAsia="Calibri" w:hint="cs"/>
          <w:rtl/>
        </w:rPr>
        <w:t>ב</w:t>
      </w:r>
      <w:r w:rsidRPr="00A210E9">
        <w:rPr>
          <w:rFonts w:eastAsia="Calibri"/>
          <w:rtl/>
        </w:rPr>
        <w:t xml:space="preserve">מקרים חריגים ומוגדרים </w:t>
      </w:r>
      <w:r w:rsidRPr="00A210E9">
        <w:rPr>
          <w:rFonts w:eastAsia="Calibri" w:hint="cs"/>
          <w:rtl/>
        </w:rPr>
        <w:t>-</w:t>
      </w:r>
      <w:r w:rsidRPr="00A210E9">
        <w:rPr>
          <w:rFonts w:eastAsia="Calibri"/>
          <w:rtl/>
        </w:rPr>
        <w:t xml:space="preserve"> </w:t>
      </w:r>
      <w:r w:rsidRPr="00A210E9">
        <w:rPr>
          <w:rFonts w:eastAsia="Calibri" w:hint="cs"/>
          <w:rtl/>
        </w:rPr>
        <w:t>למשל כשמדובר ב</w:t>
      </w:r>
      <w:r w:rsidRPr="00A210E9">
        <w:rPr>
          <w:rFonts w:eastAsia="Calibri"/>
          <w:rtl/>
        </w:rPr>
        <w:t xml:space="preserve">הורים גרושים לילד </w:t>
      </w:r>
      <w:r w:rsidRPr="00A210E9">
        <w:rPr>
          <w:rFonts w:eastAsia="Calibri" w:hint="eastAsia"/>
          <w:rtl/>
        </w:rPr>
        <w:t>עם</w:t>
      </w:r>
      <w:r w:rsidRPr="00A210E9">
        <w:rPr>
          <w:rFonts w:eastAsia="Calibri"/>
          <w:rtl/>
        </w:rPr>
        <w:t xml:space="preserve"> </w:t>
      </w:r>
      <w:r w:rsidRPr="00A210E9">
        <w:rPr>
          <w:rFonts w:eastAsia="Calibri" w:hint="eastAsia"/>
          <w:rtl/>
        </w:rPr>
        <w:t>מוגבלות</w:t>
      </w:r>
      <w:r w:rsidRPr="00A210E9">
        <w:rPr>
          <w:rFonts w:eastAsia="Calibri"/>
          <w:rtl/>
        </w:rPr>
        <w:t>.</w:t>
      </w:r>
    </w:p>
    <w:p w:rsidR="00A210E9" w:rsidRPr="00A210E9" w:rsidP="00A210E9">
      <w:pPr>
        <w:spacing w:line="269" w:lineRule="auto"/>
        <w:rPr>
          <w:rFonts w:eastAsia="Calibri"/>
          <w:b/>
          <w:bCs/>
          <w:rtl/>
        </w:rPr>
      </w:pPr>
    </w:p>
    <w:p w:rsidR="00A210E9" w:rsidRPr="00A210E9" w:rsidP="00A210E9">
      <w:pPr>
        <w:keepNext/>
        <w:keepLines/>
        <w:spacing w:line="269" w:lineRule="auto"/>
        <w:outlineLvl w:val="2"/>
        <w:rPr>
          <w:rFonts w:eastAsia="Times New Roman"/>
          <w:bCs/>
          <w:szCs w:val="28"/>
          <w:u w:val="single"/>
          <w:rtl/>
        </w:rPr>
      </w:pPr>
      <w:r w:rsidRPr="00A210E9">
        <w:rPr>
          <w:rFonts w:eastAsia="Times New Roman" w:hint="cs"/>
          <w:bCs/>
          <w:szCs w:val="28"/>
          <w:u w:val="single"/>
          <w:rtl/>
        </w:rPr>
        <w:t>הזכויות וההטבות הנלוות לתגי חניה</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rtl/>
        </w:rPr>
        <w:t xml:space="preserve">תג חניה </w:t>
      </w:r>
      <w:r w:rsidRPr="00A210E9">
        <w:rPr>
          <w:rFonts w:eastAsia="Calibri" w:hint="cs"/>
          <w:rtl/>
        </w:rPr>
        <w:t>הוא</w:t>
      </w:r>
      <w:r w:rsidRPr="00A210E9">
        <w:rPr>
          <w:rFonts w:eastAsia="Calibri"/>
          <w:rtl/>
        </w:rPr>
        <w:t xml:space="preserve"> אמצעי מרכזי להקניית </w:t>
      </w:r>
      <w:r w:rsidRPr="00A210E9">
        <w:rPr>
          <w:rFonts w:eastAsia="Calibri" w:hint="cs"/>
          <w:rtl/>
        </w:rPr>
        <w:t>זכויות ו</w:t>
      </w:r>
      <w:r w:rsidRPr="00A210E9">
        <w:rPr>
          <w:rFonts w:eastAsia="Calibri"/>
          <w:rtl/>
        </w:rPr>
        <w:t xml:space="preserve">הטבות תעבורתיות לאנשים עם מוגבלות בניידות, במטרה להקל </w:t>
      </w:r>
      <w:r w:rsidRPr="00A210E9">
        <w:rPr>
          <w:rFonts w:eastAsia="Calibri" w:hint="cs"/>
          <w:rtl/>
        </w:rPr>
        <w:t xml:space="preserve">את </w:t>
      </w:r>
      <w:r w:rsidRPr="00A210E9">
        <w:rPr>
          <w:rFonts w:eastAsia="Calibri"/>
          <w:rtl/>
        </w:rPr>
        <w:t>השתלבותם במרחב הציבורי</w:t>
      </w:r>
      <w:r w:rsidRPr="00A210E9">
        <w:rPr>
          <w:rFonts w:eastAsia="Calibri" w:hint="cs"/>
          <w:rtl/>
        </w:rPr>
        <w:t>,</w:t>
      </w:r>
      <w:r w:rsidRPr="00A210E9">
        <w:rPr>
          <w:rFonts w:eastAsia="Calibri"/>
          <w:rtl/>
        </w:rPr>
        <w:t xml:space="preserve"> ולאפשר נגישות מיטבית לשירותים, </w:t>
      </w:r>
      <w:r w:rsidRPr="00A210E9">
        <w:rPr>
          <w:rFonts w:eastAsia="Calibri" w:hint="cs"/>
          <w:rtl/>
        </w:rPr>
        <w:t>ל</w:t>
      </w:r>
      <w:r w:rsidRPr="00A210E9">
        <w:rPr>
          <w:rFonts w:eastAsia="Calibri"/>
          <w:rtl/>
        </w:rPr>
        <w:t xml:space="preserve">מוסדות, </w:t>
      </w:r>
      <w:r w:rsidRPr="00A210E9">
        <w:rPr>
          <w:rFonts w:eastAsia="Calibri" w:hint="cs"/>
          <w:rtl/>
        </w:rPr>
        <w:t>ל</w:t>
      </w:r>
      <w:r w:rsidRPr="00A210E9">
        <w:rPr>
          <w:rFonts w:eastAsia="Calibri"/>
          <w:rtl/>
        </w:rPr>
        <w:t>מקומות עבודה ו</w:t>
      </w:r>
      <w:r w:rsidRPr="00A210E9">
        <w:rPr>
          <w:rFonts w:eastAsia="Calibri" w:hint="cs"/>
          <w:rtl/>
        </w:rPr>
        <w:t xml:space="preserve">למקומות </w:t>
      </w:r>
      <w:r w:rsidRPr="00A210E9">
        <w:rPr>
          <w:rFonts w:eastAsia="Calibri"/>
          <w:rtl/>
        </w:rPr>
        <w:t xml:space="preserve">פנאי. </w:t>
      </w:r>
      <w:r w:rsidRPr="00A210E9">
        <w:rPr>
          <w:rFonts w:eastAsia="Calibri" w:hint="cs"/>
          <w:rtl/>
        </w:rPr>
        <w:t>ה</w:t>
      </w:r>
      <w:r w:rsidRPr="00A210E9">
        <w:rPr>
          <w:rFonts w:eastAsia="Calibri"/>
          <w:rtl/>
        </w:rPr>
        <w:t xml:space="preserve">הטבות </w:t>
      </w:r>
      <w:r w:rsidRPr="00A210E9">
        <w:rPr>
          <w:rFonts w:eastAsia="Calibri" w:hint="cs"/>
          <w:rtl/>
        </w:rPr>
        <w:t xml:space="preserve">אמורות </w:t>
      </w:r>
      <w:r w:rsidRPr="00A210E9">
        <w:rPr>
          <w:rFonts w:eastAsia="Calibri"/>
          <w:rtl/>
        </w:rPr>
        <w:t>לאזן את הפערים התפקודיים של אנשים עם מוגבלו</w:t>
      </w:r>
      <w:r w:rsidRPr="00A210E9">
        <w:rPr>
          <w:rFonts w:eastAsia="Calibri" w:hint="cs"/>
          <w:rtl/>
        </w:rPr>
        <w:t>ת</w:t>
      </w:r>
      <w:r w:rsidRPr="00A210E9">
        <w:rPr>
          <w:rFonts w:eastAsia="Calibri"/>
          <w:rtl/>
        </w:rPr>
        <w:t xml:space="preserve">, ולהעניק להם תנאים מיוחדים שיאפשרו ניידות </w:t>
      </w:r>
      <w:r w:rsidRPr="00A210E9">
        <w:rPr>
          <w:rFonts w:eastAsia="Calibri" w:hint="cs"/>
          <w:rtl/>
        </w:rPr>
        <w:t>דומה ככל האפשר</w:t>
      </w:r>
      <w:r w:rsidRPr="00A210E9">
        <w:rPr>
          <w:rFonts w:eastAsia="Calibri"/>
          <w:rtl/>
        </w:rPr>
        <w:t xml:space="preserve"> ל</w:t>
      </w:r>
      <w:r w:rsidRPr="00A210E9">
        <w:rPr>
          <w:rFonts w:eastAsia="Calibri" w:hint="cs"/>
          <w:rtl/>
        </w:rPr>
        <w:t>ניידות</w:t>
      </w:r>
      <w:r w:rsidRPr="00A210E9">
        <w:rPr>
          <w:rFonts w:eastAsia="Calibri"/>
          <w:rtl/>
        </w:rPr>
        <w:t xml:space="preserve"> של האוכלוסייה</w:t>
      </w:r>
      <w:r w:rsidRPr="00A210E9">
        <w:rPr>
          <w:rFonts w:eastAsia="Calibri" w:hint="cs"/>
          <w:rtl/>
        </w:rPr>
        <w:t xml:space="preserve"> הכללית</w:t>
      </w:r>
      <w:r w:rsidRPr="00A210E9">
        <w:rPr>
          <w:rFonts w:eastAsia="Calibri"/>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rtl/>
        </w:rPr>
        <w:t xml:space="preserve">בעלי </w:t>
      </w:r>
      <w:r w:rsidRPr="00A210E9">
        <w:rPr>
          <w:rFonts w:eastAsia="Calibri" w:hint="cs"/>
          <w:rtl/>
        </w:rPr>
        <w:t>ה</w:t>
      </w:r>
      <w:r w:rsidRPr="00A210E9">
        <w:rPr>
          <w:rFonts w:eastAsia="Calibri"/>
          <w:rtl/>
        </w:rPr>
        <w:t>תג זכאים לשורה של הקלות</w:t>
      </w:r>
      <w:r w:rsidRPr="00A210E9">
        <w:rPr>
          <w:rFonts w:eastAsia="Calibri" w:hint="cs"/>
          <w:rtl/>
        </w:rPr>
        <w:t>: (א) הטבות בתחום החניה; (ב) נסיעה בנתיב לתחבורה ציבורית (עבור מחזיקים בתג כיסא גלגלים); (ג) הטבות כלכליות שונות.</w:t>
      </w:r>
    </w:p>
    <w:p w:rsidR="00A210E9" w:rsidRPr="00A210E9" w:rsidP="00A210E9">
      <w:pPr>
        <w:keepNext/>
        <w:keepLines/>
        <w:spacing w:line="269" w:lineRule="auto"/>
        <w:outlineLvl w:val="3"/>
        <w:rPr>
          <w:rFonts w:eastAsia="Times New Roman"/>
          <w:bCs/>
          <w:szCs w:val="26"/>
          <w:rtl/>
        </w:rPr>
      </w:pPr>
      <w:r w:rsidRPr="00A210E9">
        <w:rPr>
          <w:rFonts w:eastAsia="Times New Roman"/>
          <w:bCs/>
          <w:szCs w:val="26"/>
          <w:rtl/>
        </w:rPr>
        <w:t>הטבות בתחום החניה</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rtl/>
        </w:rPr>
        <w:t>הטבות</w:t>
      </w:r>
      <w:r w:rsidRPr="00A210E9">
        <w:rPr>
          <w:rFonts w:eastAsia="Calibri" w:hint="cs"/>
          <w:rtl/>
        </w:rPr>
        <w:t xml:space="preserve"> </w:t>
      </w:r>
      <w:r w:rsidRPr="00A210E9">
        <w:rPr>
          <w:rFonts w:eastAsia="Calibri"/>
          <w:rtl/>
        </w:rPr>
        <w:t>בתחום החניה</w:t>
      </w:r>
      <w:r w:rsidRPr="00A210E9">
        <w:rPr>
          <w:rFonts w:eastAsia="Calibri" w:hint="cs"/>
          <w:rtl/>
        </w:rPr>
        <w:t xml:space="preserve"> </w:t>
      </w:r>
      <w:r w:rsidRPr="00A210E9">
        <w:rPr>
          <w:rFonts w:eastAsia="Calibri"/>
          <w:rtl/>
        </w:rPr>
        <w:t xml:space="preserve">כוללות את הזכות לחנות במקומות ייעודיים </w:t>
      </w:r>
      <w:r w:rsidRPr="00A210E9">
        <w:rPr>
          <w:rFonts w:eastAsia="Calibri" w:hint="cs"/>
          <w:rtl/>
        </w:rPr>
        <w:t xml:space="preserve">לאנשים עם מוגבלות ובאזורים האסורים לחניה (בכפוף למגבלות שמוגדרות בחוק) וכן </w:t>
      </w:r>
      <w:r w:rsidRPr="00A210E9">
        <w:rPr>
          <w:rFonts w:eastAsia="Calibri"/>
          <w:rtl/>
        </w:rPr>
        <w:t>את האפשרות ל</w:t>
      </w:r>
      <w:r w:rsidRPr="00A210E9">
        <w:rPr>
          <w:rFonts w:eastAsia="Calibri" w:hint="cs"/>
          <w:rtl/>
        </w:rPr>
        <w:t xml:space="preserve">הקצאת </w:t>
      </w:r>
      <w:r w:rsidRPr="00A210E9">
        <w:rPr>
          <w:rFonts w:eastAsia="Calibri"/>
          <w:rtl/>
        </w:rPr>
        <w:t xml:space="preserve">חניה אישית ליד הבית או </w:t>
      </w:r>
      <w:r w:rsidRPr="00A210E9">
        <w:rPr>
          <w:rFonts w:eastAsia="Calibri" w:hint="cs"/>
          <w:rtl/>
        </w:rPr>
        <w:t xml:space="preserve">מקום </w:t>
      </w:r>
      <w:r w:rsidRPr="00A210E9">
        <w:rPr>
          <w:rFonts w:eastAsia="Calibri"/>
          <w:rtl/>
        </w:rPr>
        <w:t>העבודה</w:t>
      </w:r>
      <w:r w:rsidRPr="00A210E9">
        <w:rPr>
          <w:rFonts w:eastAsia="Calibri" w:hint="cs"/>
          <w:rtl/>
        </w:rPr>
        <w:t>.</w:t>
      </w:r>
    </w:p>
    <w:p w:rsidR="00A210E9" w:rsidRPr="00A210E9" w:rsidP="00A210E9">
      <w:pPr>
        <w:keepNext/>
        <w:keepLines/>
        <w:spacing w:line="269" w:lineRule="auto"/>
        <w:ind w:left="-567"/>
        <w:rPr>
          <w:rFonts w:eastAsia="Calibri"/>
          <w:szCs w:val="20"/>
          <w:rtl/>
        </w:rPr>
      </w:pPr>
    </w:p>
    <w:p w:rsidR="00A210E9" w:rsidRPr="00A210E9" w:rsidP="00A210E9">
      <w:pPr>
        <w:keepNext/>
        <w:keepLines/>
        <w:spacing w:line="269" w:lineRule="auto"/>
        <w:outlineLvl w:val="4"/>
        <w:rPr>
          <w:rFonts w:eastAsia="Times New Roman"/>
          <w:bCs/>
          <w:spacing w:val="40"/>
        </w:rPr>
      </w:pPr>
      <w:r w:rsidRPr="00A210E9">
        <w:rPr>
          <w:rFonts w:eastAsia="Times New Roman"/>
          <w:bCs/>
          <w:spacing w:val="40"/>
          <w:rtl/>
        </w:rPr>
        <w:t>חניה במרחב הציבורי</w:t>
      </w:r>
    </w:p>
    <w:p w:rsidR="00A210E9" w:rsidRPr="00A210E9" w:rsidP="00A210E9">
      <w:pPr>
        <w:keepNext/>
        <w:keepLines/>
        <w:spacing w:line="269" w:lineRule="auto"/>
        <w:ind w:left="-567"/>
        <w:rPr>
          <w:rFonts w:eastAsia="Calibri"/>
          <w:szCs w:val="20"/>
          <w:rtl/>
        </w:rPr>
      </w:pPr>
    </w:p>
    <w:p w:rsidR="00A210E9" w:rsidP="00A210E9">
      <w:pPr>
        <w:spacing w:line="269" w:lineRule="auto"/>
        <w:rPr>
          <w:rFonts w:ascii="David" w:eastAsia="Times New Roman" w:hAnsi="David"/>
          <w:sz w:val="24"/>
          <w:rtl/>
        </w:rPr>
      </w:pPr>
      <w:r w:rsidRPr="00A210E9">
        <w:rPr>
          <w:rFonts w:ascii="David" w:eastAsia="Times New Roman" w:hAnsi="David"/>
          <w:sz w:val="24"/>
          <w:rtl/>
        </w:rPr>
        <w:t>תג חניה מקנה למחזיקים בו את הזכות לחנות במקומות שונים במרחב הציבורי,</w:t>
      </w:r>
      <w:r w:rsidRPr="00A210E9">
        <w:rPr>
          <w:rFonts w:ascii="David" w:eastAsia="Times New Roman" w:hAnsi="David" w:hint="cs"/>
          <w:sz w:val="24"/>
          <w:rtl/>
        </w:rPr>
        <w:t xml:space="preserve"> אך יש הגבלה חוקית במקרים מסוימים על גרירת רכב שנושא תג חניה. חניות אלה</w:t>
      </w:r>
      <w:r w:rsidRPr="00A210E9">
        <w:rPr>
          <w:rFonts w:ascii="David" w:eastAsia="Times New Roman" w:hAnsi="David"/>
          <w:sz w:val="24"/>
          <w:rtl/>
        </w:rPr>
        <w:t xml:space="preserve"> </w:t>
      </w:r>
      <w:r w:rsidRPr="00A210E9">
        <w:rPr>
          <w:rFonts w:ascii="David" w:eastAsia="Times New Roman" w:hAnsi="David" w:hint="cs"/>
          <w:sz w:val="24"/>
          <w:rtl/>
        </w:rPr>
        <w:t>כוללות</w:t>
      </w:r>
      <w:r w:rsidRPr="00A210E9">
        <w:rPr>
          <w:rFonts w:ascii="David" w:eastAsia="Times New Roman" w:hAnsi="David"/>
          <w:sz w:val="24"/>
        </w:rPr>
        <w:t>:</w:t>
      </w:r>
    </w:p>
    <w:p w:rsidR="00903778" w:rsidRPr="00A210E9" w:rsidP="00A210E9">
      <w:pPr>
        <w:spacing w:line="269" w:lineRule="auto"/>
        <w:rPr>
          <w:rFonts w:ascii="David" w:eastAsia="Times New Roman" w:hAnsi="David"/>
          <w:sz w:val="24"/>
          <w:rtl/>
        </w:rPr>
      </w:pPr>
    </w:p>
    <w:p w:rsidR="00A210E9" w:rsidP="00A210E9">
      <w:pPr>
        <w:spacing w:line="269" w:lineRule="auto"/>
        <w:rPr>
          <w:rFonts w:ascii="David" w:eastAsia="Times New Roman" w:hAnsi="David" w:cs="Times New Roman"/>
          <w:b/>
          <w:bCs/>
          <w:sz w:val="24"/>
          <w:rtl/>
        </w:rPr>
      </w:pPr>
      <w:r w:rsidRPr="00A210E9">
        <w:rPr>
          <w:rFonts w:ascii="David" w:eastAsia="Times New Roman" w:hAnsi="David"/>
          <w:b/>
          <w:bCs/>
          <w:rtl/>
        </w:rPr>
        <w:t>חניה במקום שהוקצה לחניית נכים</w:t>
      </w:r>
      <w:r>
        <w:rPr>
          <w:rFonts w:ascii="David" w:eastAsia="Calibri" w:hAnsi="David"/>
          <w:vertAlign w:val="superscript"/>
          <w:rtl/>
        </w:rPr>
        <w:footnoteReference w:id="70"/>
      </w:r>
      <w:r w:rsidRPr="00A210E9">
        <w:rPr>
          <w:rFonts w:ascii="David" w:eastAsia="Calibri" w:hAnsi="David"/>
          <w:rtl/>
        </w:rPr>
        <w:t xml:space="preserve">: חניה במקומות המיועדים באופן ייחודי לאנשים עם מוגבלות, כגון חניות מונגשות באזורי קניות </w:t>
      </w:r>
      <w:r w:rsidRPr="00A210E9">
        <w:rPr>
          <w:rFonts w:ascii="David" w:eastAsia="Calibri" w:hAnsi="David" w:hint="cs"/>
          <w:rtl/>
        </w:rPr>
        <w:t>וב</w:t>
      </w:r>
      <w:r w:rsidRPr="00A210E9">
        <w:rPr>
          <w:rFonts w:ascii="David" w:eastAsia="Calibri" w:hAnsi="David"/>
          <w:rtl/>
        </w:rPr>
        <w:t xml:space="preserve">מוסדות ציבוריים </w:t>
      </w:r>
      <w:r w:rsidRPr="00A210E9">
        <w:rPr>
          <w:rFonts w:ascii="David" w:eastAsia="Calibri" w:hAnsi="David" w:hint="cs"/>
          <w:rtl/>
        </w:rPr>
        <w:t>ו</w:t>
      </w:r>
      <w:r w:rsidRPr="00A210E9">
        <w:rPr>
          <w:rFonts w:ascii="David" w:eastAsia="Calibri" w:hAnsi="David" w:hint="eastAsia"/>
          <w:rtl/>
        </w:rPr>
        <w:t>לאורך</w:t>
      </w:r>
      <w:r w:rsidRPr="00A210E9">
        <w:rPr>
          <w:rFonts w:ascii="David" w:eastAsia="Calibri" w:hAnsi="David"/>
          <w:rtl/>
        </w:rPr>
        <w:t xml:space="preserve"> מדרכות</w:t>
      </w:r>
      <w:r w:rsidRPr="00A210E9">
        <w:rPr>
          <w:rFonts w:ascii="David" w:eastAsia="Calibri" w:hAnsi="David" w:hint="cs"/>
          <w:rtl/>
        </w:rPr>
        <w:t>.</w:t>
      </w:r>
      <w:r w:rsidRPr="00A210E9">
        <w:rPr>
          <w:rFonts w:eastAsia="Calibri" w:hint="cs"/>
          <w:rtl/>
        </w:rPr>
        <w:t xml:space="preserve"> </w:t>
      </w:r>
    </w:p>
    <w:p w:rsidR="00903778" w:rsidRPr="00A210E9" w:rsidP="00A210E9">
      <w:pPr>
        <w:spacing w:line="269" w:lineRule="auto"/>
        <w:rPr>
          <w:rFonts w:ascii="David" w:eastAsia="Times New Roman" w:hAnsi="David" w:cs="Times New Roman"/>
          <w:b/>
          <w:bCs/>
          <w:sz w:val="24"/>
          <w:rtl/>
        </w:rPr>
      </w:pPr>
    </w:p>
    <w:p w:rsidR="00A210E9" w:rsidRPr="00A210E9" w:rsidP="00A210E9">
      <w:pPr>
        <w:spacing w:line="269" w:lineRule="auto"/>
        <w:rPr>
          <w:rFonts w:ascii="David" w:eastAsia="Times New Roman" w:hAnsi="David"/>
          <w:sz w:val="24"/>
          <w:rtl/>
        </w:rPr>
      </w:pPr>
      <w:r w:rsidRPr="00A210E9">
        <w:rPr>
          <w:rFonts w:ascii="David" w:eastAsia="Times New Roman" w:hAnsi="David"/>
          <w:b/>
          <w:bCs/>
          <w:rtl/>
        </w:rPr>
        <w:t xml:space="preserve">חניה </w:t>
      </w:r>
      <w:r w:rsidRPr="00A210E9">
        <w:rPr>
          <w:rFonts w:ascii="David" w:eastAsia="Times New Roman" w:hAnsi="David" w:hint="cs"/>
          <w:b/>
          <w:bCs/>
          <w:rtl/>
        </w:rPr>
        <w:t>במקום שאין החניה מותרת בו</w:t>
      </w:r>
      <w:r>
        <w:rPr>
          <w:rFonts w:ascii="David" w:eastAsia="Calibri" w:hAnsi="David"/>
          <w:vertAlign w:val="superscript"/>
          <w:rtl/>
        </w:rPr>
        <w:footnoteReference w:id="71"/>
      </w:r>
      <w:r w:rsidRPr="00A210E9">
        <w:rPr>
          <w:rFonts w:ascii="David" w:eastAsia="Calibri" w:hAnsi="David"/>
          <w:rtl/>
        </w:rPr>
        <w:t xml:space="preserve">: בעלי תג חניה יכולים בדרך כלל לחנות גם במקומות אסורים, לרבות </w:t>
      </w:r>
      <w:r w:rsidRPr="00A210E9">
        <w:rPr>
          <w:rFonts w:ascii="David" w:eastAsia="Calibri" w:hAnsi="David" w:hint="cs"/>
          <w:rtl/>
        </w:rPr>
        <w:t xml:space="preserve">על </w:t>
      </w:r>
      <w:r w:rsidRPr="00A210E9">
        <w:rPr>
          <w:rFonts w:ascii="David" w:eastAsia="Calibri" w:hAnsi="David"/>
          <w:rtl/>
        </w:rPr>
        <w:t>מדרכות ו</w:t>
      </w:r>
      <w:r w:rsidRPr="00A210E9">
        <w:rPr>
          <w:rFonts w:ascii="David" w:eastAsia="Calibri" w:hAnsi="David" w:hint="cs"/>
          <w:rtl/>
        </w:rPr>
        <w:t>ב</w:t>
      </w:r>
      <w:r w:rsidRPr="00A210E9">
        <w:rPr>
          <w:rFonts w:ascii="David" w:eastAsia="Calibri" w:hAnsi="David"/>
          <w:rtl/>
        </w:rPr>
        <w:t xml:space="preserve">אזורים שמוגבלים לפי חוקי העזר העירוניים, בתנאים מסוימים, </w:t>
      </w:r>
      <w:r w:rsidRPr="00A210E9">
        <w:rPr>
          <w:rFonts w:ascii="David" w:eastAsia="Calibri" w:hAnsi="David" w:hint="cs"/>
          <w:rtl/>
        </w:rPr>
        <w:t xml:space="preserve">ובין היתר </w:t>
      </w:r>
      <w:r w:rsidRPr="00A210E9">
        <w:rPr>
          <w:rFonts w:ascii="David" w:eastAsia="Calibri" w:hAnsi="David"/>
          <w:rtl/>
        </w:rPr>
        <w:t xml:space="preserve">בתנאי שלא היה בסמוך מקום חניה מוסדר פנוי, וכל עוד החניה אינה מפריעה לתנועת </w:t>
      </w:r>
      <w:r w:rsidRPr="00A210E9">
        <w:rPr>
          <w:rFonts w:ascii="David" w:eastAsia="Calibri" w:hAnsi="David" w:hint="cs"/>
          <w:rtl/>
        </w:rPr>
        <w:t>כלי רכב</w:t>
      </w:r>
      <w:r w:rsidRPr="00A210E9">
        <w:rPr>
          <w:rFonts w:ascii="David" w:eastAsia="Calibri" w:hAnsi="David"/>
          <w:rtl/>
        </w:rPr>
        <w:t xml:space="preserve"> או להולכי רגל ואינה מסכנת עוברי דרך</w:t>
      </w:r>
      <w:r w:rsidRPr="00A210E9">
        <w:rPr>
          <w:rFonts w:ascii="David" w:eastAsia="Calibri" w:hAnsi="David"/>
        </w:rPr>
        <w:t>.</w:t>
      </w:r>
    </w:p>
    <w:p w:rsidR="00A210E9" w:rsidRPr="00A210E9" w:rsidP="00A210E9">
      <w:pPr>
        <w:keepNext/>
        <w:keepLines/>
        <w:spacing w:line="269" w:lineRule="auto"/>
        <w:ind w:left="-567"/>
        <w:rPr>
          <w:rFonts w:ascii="David" w:eastAsia="Calibri" w:hAnsi="David"/>
          <w:szCs w:val="20"/>
          <w:rtl/>
        </w:rPr>
      </w:pPr>
    </w:p>
    <w:p w:rsidR="00A210E9" w:rsidRPr="00A210E9" w:rsidP="00A210E9">
      <w:pPr>
        <w:spacing w:line="269" w:lineRule="auto"/>
        <w:rPr>
          <w:rFonts w:eastAsia="Calibri"/>
          <w:rtl/>
        </w:rPr>
      </w:pPr>
      <w:r w:rsidRPr="00A210E9">
        <w:rPr>
          <w:rFonts w:eastAsia="Calibri"/>
          <w:rtl/>
        </w:rPr>
        <w:t xml:space="preserve">בשנת 2023 </w:t>
      </w:r>
      <w:r w:rsidRPr="00A210E9">
        <w:rPr>
          <w:rFonts w:eastAsia="Calibri" w:hint="cs"/>
          <w:rtl/>
        </w:rPr>
        <w:t xml:space="preserve">השווה </w:t>
      </w:r>
      <w:r w:rsidRPr="00A210E9">
        <w:rPr>
          <w:rFonts w:eastAsia="Calibri"/>
          <w:rtl/>
        </w:rPr>
        <w:t xml:space="preserve">משרד התחבורה </w:t>
      </w:r>
      <w:r w:rsidRPr="00A210E9">
        <w:rPr>
          <w:rFonts w:eastAsia="Calibri" w:hint="cs"/>
          <w:rtl/>
        </w:rPr>
        <w:t xml:space="preserve">בין </w:t>
      </w:r>
      <w:r w:rsidRPr="00A210E9">
        <w:rPr>
          <w:rFonts w:eastAsia="Calibri"/>
          <w:rtl/>
        </w:rPr>
        <w:t xml:space="preserve">מדינות שונות </w:t>
      </w:r>
      <w:r w:rsidRPr="00A210E9">
        <w:rPr>
          <w:rFonts w:eastAsia="Calibri" w:hint="cs"/>
          <w:rtl/>
        </w:rPr>
        <w:t xml:space="preserve">בעולם </w:t>
      </w:r>
      <w:r w:rsidRPr="00A210E9">
        <w:rPr>
          <w:rFonts w:eastAsia="Calibri"/>
          <w:rtl/>
        </w:rPr>
        <w:t xml:space="preserve">המגדירות </w:t>
      </w:r>
      <w:r w:rsidRPr="00A210E9">
        <w:rPr>
          <w:rFonts w:eastAsia="Calibri" w:hint="cs"/>
          <w:rtl/>
        </w:rPr>
        <w:t>את ה</w:t>
      </w:r>
      <w:r w:rsidRPr="00A210E9">
        <w:rPr>
          <w:rFonts w:eastAsia="Calibri"/>
          <w:rtl/>
        </w:rPr>
        <w:t xml:space="preserve">זכויות שנוגעות למקומות </w:t>
      </w:r>
      <w:r w:rsidRPr="00A210E9">
        <w:rPr>
          <w:rFonts w:eastAsia="Calibri" w:hint="cs"/>
          <w:rtl/>
        </w:rPr>
        <w:t>ש</w:t>
      </w:r>
      <w:r w:rsidRPr="00A210E9">
        <w:rPr>
          <w:rFonts w:eastAsia="Calibri"/>
          <w:rtl/>
        </w:rPr>
        <w:t>בה</w:t>
      </w:r>
      <w:r w:rsidRPr="00A210E9">
        <w:rPr>
          <w:rFonts w:eastAsia="Calibri" w:hint="cs"/>
          <w:rtl/>
        </w:rPr>
        <w:t>ם</w:t>
      </w:r>
      <w:r w:rsidRPr="00A210E9">
        <w:rPr>
          <w:rFonts w:eastAsia="Calibri"/>
          <w:rtl/>
        </w:rPr>
        <w:t xml:space="preserve"> החניה ל</w:t>
      </w:r>
      <w:r w:rsidRPr="00A210E9">
        <w:rPr>
          <w:rFonts w:eastAsia="Calibri" w:hint="cs"/>
          <w:rtl/>
        </w:rPr>
        <w:t>אנשים עם מוגבלות</w:t>
      </w:r>
      <w:r w:rsidRPr="00A210E9">
        <w:rPr>
          <w:rFonts w:eastAsia="Calibri"/>
          <w:rtl/>
        </w:rPr>
        <w:t xml:space="preserve"> מותרת,</w:t>
      </w:r>
      <w:r w:rsidRPr="00A210E9">
        <w:rPr>
          <w:rFonts w:eastAsia="Calibri" w:hint="cs"/>
          <w:rtl/>
        </w:rPr>
        <w:t xml:space="preserve"> את</w:t>
      </w:r>
      <w:r w:rsidRPr="00A210E9">
        <w:rPr>
          <w:rFonts w:eastAsia="Calibri"/>
          <w:rtl/>
        </w:rPr>
        <w:t xml:space="preserve"> משך החניה המותרת ו</w:t>
      </w:r>
      <w:r w:rsidRPr="00A210E9">
        <w:rPr>
          <w:rFonts w:eastAsia="Calibri" w:hint="cs"/>
          <w:rtl/>
        </w:rPr>
        <w:t xml:space="preserve">את </w:t>
      </w:r>
      <w:r w:rsidRPr="00A210E9">
        <w:rPr>
          <w:rFonts w:eastAsia="Calibri"/>
          <w:rtl/>
        </w:rPr>
        <w:t>מחירה</w:t>
      </w:r>
      <w:r w:rsidRPr="00A210E9">
        <w:rPr>
          <w:rFonts w:eastAsia="Calibri" w:hint="cs"/>
          <w:rtl/>
        </w:rPr>
        <w:t>. הלוח שלהלן מציג את סיכום קווי המדיניות במדינות אלה בנוגע לאיסור חניה במקומות אסורים (ארה"ב, אוסטרליה וקנדה כוללות תת-מדינות ולכן מוצגות 27 מדינות בסך הכול):</w:t>
      </w:r>
    </w:p>
    <w:p w:rsidR="00A210E9" w:rsidRPr="00A210E9" w:rsidP="00A210E9">
      <w:pPr>
        <w:keepNext/>
        <w:keepLines/>
        <w:spacing w:line="269" w:lineRule="auto"/>
        <w:ind w:left="-567"/>
        <w:rPr>
          <w:rFonts w:eastAsia="Calibri"/>
          <w:szCs w:val="20"/>
          <w:rtl/>
        </w:rPr>
      </w:pPr>
    </w:p>
    <w:p w:rsidR="00A210E9" w:rsidRPr="00A210E9" w:rsidP="00A210E9">
      <w:pPr>
        <w:keepNext/>
        <w:keepLines/>
        <w:spacing w:line="269" w:lineRule="auto"/>
        <w:jc w:val="center"/>
        <w:rPr>
          <w:rFonts w:ascii="David" w:eastAsia="Times New Roman" w:hAnsi="David"/>
          <w:b/>
          <w:bCs/>
          <w:sz w:val="24"/>
        </w:rPr>
      </w:pPr>
      <w:r w:rsidRPr="00A210E9">
        <w:rPr>
          <w:rFonts w:ascii="David" w:eastAsia="Times New Roman" w:hAnsi="David"/>
          <w:sz w:val="24"/>
          <w:rtl/>
        </w:rPr>
        <w:t>לוח 3:</w:t>
      </w:r>
      <w:r w:rsidRPr="00A210E9">
        <w:rPr>
          <w:rFonts w:ascii="David" w:eastAsia="Times New Roman" w:hAnsi="David"/>
          <w:b/>
          <w:bCs/>
          <w:sz w:val="24"/>
          <w:rtl/>
        </w:rPr>
        <w:t xml:space="preserve"> מדיניות </w:t>
      </w:r>
      <w:r w:rsidRPr="00A210E9">
        <w:rPr>
          <w:rFonts w:ascii="David" w:eastAsia="Times New Roman" w:hAnsi="David" w:hint="cs"/>
          <w:b/>
          <w:bCs/>
          <w:sz w:val="24"/>
          <w:rtl/>
        </w:rPr>
        <w:t>ה</w:t>
      </w:r>
      <w:r w:rsidRPr="00A210E9">
        <w:rPr>
          <w:rFonts w:ascii="David" w:eastAsia="Times New Roman" w:hAnsi="David"/>
          <w:b/>
          <w:bCs/>
          <w:sz w:val="24"/>
          <w:rtl/>
        </w:rPr>
        <w:t>חניה</w:t>
      </w:r>
      <w:r w:rsidRPr="00A210E9">
        <w:rPr>
          <w:rFonts w:ascii="David" w:eastAsia="Times New Roman" w:hAnsi="David" w:hint="cs"/>
          <w:b/>
          <w:bCs/>
          <w:sz w:val="24"/>
          <w:rtl/>
        </w:rPr>
        <w:t xml:space="preserve"> של מדינות שונות</w:t>
      </w:r>
      <w:r w:rsidRPr="00A210E9">
        <w:rPr>
          <w:rFonts w:ascii="David" w:eastAsia="Times New Roman" w:hAnsi="David"/>
          <w:b/>
          <w:bCs/>
          <w:sz w:val="24"/>
          <w:rtl/>
        </w:rPr>
        <w:t xml:space="preserve"> </w:t>
      </w:r>
      <w:r w:rsidRPr="00A210E9">
        <w:rPr>
          <w:rFonts w:ascii="David" w:eastAsia="Times New Roman" w:hAnsi="David" w:hint="cs"/>
          <w:b/>
          <w:bCs/>
          <w:sz w:val="24"/>
          <w:rtl/>
        </w:rPr>
        <w:t xml:space="preserve">בנוגע לחניית </w:t>
      </w:r>
      <w:r w:rsidRPr="00A210E9">
        <w:rPr>
          <w:rFonts w:ascii="David" w:eastAsia="Times New Roman" w:hAnsi="David"/>
          <w:b/>
          <w:bCs/>
          <w:sz w:val="24"/>
          <w:rtl/>
        </w:rPr>
        <w:t xml:space="preserve">בעלי תג חניה </w:t>
      </w:r>
      <w:r w:rsidRPr="00A210E9">
        <w:rPr>
          <w:rFonts w:ascii="David" w:eastAsia="Times New Roman" w:hAnsi="David" w:hint="cs"/>
          <w:b/>
          <w:bCs/>
          <w:sz w:val="24"/>
          <w:rtl/>
        </w:rPr>
        <w:t xml:space="preserve">במקום אסור, </w:t>
      </w:r>
      <w:r w:rsidRPr="00A210E9">
        <w:rPr>
          <w:rFonts w:ascii="David" w:eastAsia="Times New Roman" w:hAnsi="David"/>
          <w:b/>
          <w:bCs/>
          <w:sz w:val="24"/>
          <w:rtl/>
        </w:rPr>
        <w:t>2023</w:t>
      </w:r>
    </w:p>
    <w:tbl>
      <w:tblPr>
        <w:tblStyle w:val="114"/>
        <w:bidiVisual/>
        <w:tblW w:w="7512" w:type="dxa"/>
        <w:jc w:val="center"/>
        <w:tblLook w:val="04A0"/>
      </w:tblPr>
      <w:tblGrid>
        <w:gridCol w:w="1419"/>
        <w:gridCol w:w="2127"/>
        <w:gridCol w:w="2611"/>
        <w:gridCol w:w="1355"/>
      </w:tblGrid>
      <w:tr w:rsidTr="00A157C9">
        <w:tblPrEx>
          <w:tblW w:w="7512" w:type="dxa"/>
          <w:jc w:val="center"/>
          <w:tblLook w:val="04A0"/>
        </w:tblPrEx>
        <w:trPr>
          <w:trHeight w:val="247"/>
          <w:jc w:val="center"/>
        </w:trPr>
        <w:tc>
          <w:tcPr>
            <w:tcW w:w="1419" w:type="dxa"/>
            <w:noWrap/>
            <w:hideMark/>
          </w:tcPr>
          <w:p w:rsidR="00A210E9" w:rsidRPr="00A210E9" w:rsidP="00A210E9">
            <w:pPr>
              <w:spacing w:line="269" w:lineRule="auto"/>
              <w:jc w:val="center"/>
              <w:rPr>
                <w:rFonts w:ascii="David" w:eastAsia="Times New Roman" w:hAnsi="David"/>
                <w:color w:val="000000"/>
                <w:sz w:val="22"/>
                <w:szCs w:val="22"/>
              </w:rPr>
            </w:pPr>
            <w:r w:rsidRPr="00A210E9">
              <w:rPr>
                <w:rFonts w:ascii="David" w:eastAsia="Times New Roman" w:hAnsi="David" w:hint="cs"/>
                <w:color w:val="000000"/>
                <w:sz w:val="22"/>
                <w:szCs w:val="22"/>
                <w:rtl/>
              </w:rPr>
              <w:t>ה</w:t>
            </w:r>
            <w:r w:rsidRPr="00A210E9">
              <w:rPr>
                <w:rFonts w:ascii="David" w:eastAsia="Times New Roman" w:hAnsi="David"/>
                <w:color w:val="000000"/>
                <w:sz w:val="22"/>
                <w:szCs w:val="22"/>
                <w:rtl/>
              </w:rPr>
              <w:t>מדינה</w:t>
            </w:r>
          </w:p>
        </w:tc>
        <w:tc>
          <w:tcPr>
            <w:tcW w:w="2127" w:type="dxa"/>
            <w:noWrap/>
            <w:hideMark/>
          </w:tcPr>
          <w:p w:rsidR="00A210E9" w:rsidRPr="00A210E9" w:rsidP="00A210E9">
            <w:pPr>
              <w:spacing w:line="269" w:lineRule="auto"/>
              <w:jc w:val="center"/>
              <w:rPr>
                <w:rFonts w:ascii="David" w:eastAsia="Times New Roman" w:hAnsi="David"/>
                <w:color w:val="000000"/>
                <w:sz w:val="22"/>
                <w:szCs w:val="22"/>
                <w:rtl/>
              </w:rPr>
            </w:pPr>
            <w:r w:rsidRPr="00A210E9">
              <w:rPr>
                <w:rFonts w:ascii="David" w:eastAsia="Times New Roman" w:hAnsi="David"/>
                <w:color w:val="000000"/>
                <w:sz w:val="22"/>
                <w:szCs w:val="22"/>
                <w:rtl/>
              </w:rPr>
              <w:t xml:space="preserve">חניה במקום אסור </w:t>
            </w:r>
            <w:r w:rsidRPr="00A210E9">
              <w:rPr>
                <w:rFonts w:ascii="David" w:eastAsia="Times New Roman" w:hAnsi="David"/>
                <w:color w:val="000000"/>
                <w:sz w:val="22"/>
                <w:szCs w:val="22"/>
              </w:rPr>
              <w:t>-</w:t>
            </w:r>
            <w:r w:rsidRPr="00A210E9">
              <w:rPr>
                <w:rFonts w:ascii="David" w:eastAsia="Times New Roman" w:hAnsi="David"/>
                <w:color w:val="000000"/>
                <w:sz w:val="22"/>
                <w:szCs w:val="22"/>
                <w:rtl/>
              </w:rPr>
              <w:t xml:space="preserve"> אסורה</w:t>
            </w:r>
          </w:p>
        </w:tc>
        <w:tc>
          <w:tcPr>
            <w:tcW w:w="2611" w:type="dxa"/>
            <w:noWrap/>
            <w:hideMark/>
          </w:tcPr>
          <w:p w:rsidR="00A210E9" w:rsidRPr="00A210E9" w:rsidP="00A210E9">
            <w:pPr>
              <w:spacing w:line="269" w:lineRule="auto"/>
              <w:jc w:val="center"/>
              <w:rPr>
                <w:rFonts w:ascii="David" w:eastAsia="Times New Roman" w:hAnsi="David"/>
                <w:color w:val="000000"/>
                <w:sz w:val="22"/>
                <w:szCs w:val="22"/>
                <w:rtl/>
              </w:rPr>
            </w:pPr>
            <w:r w:rsidRPr="00A210E9">
              <w:rPr>
                <w:rFonts w:ascii="David" w:eastAsia="Times New Roman" w:hAnsi="David"/>
                <w:color w:val="000000"/>
                <w:sz w:val="22"/>
                <w:szCs w:val="22"/>
                <w:rtl/>
              </w:rPr>
              <w:t xml:space="preserve">חניה במקום אסור </w:t>
            </w:r>
            <w:r w:rsidRPr="00A210E9">
              <w:rPr>
                <w:rFonts w:ascii="David" w:eastAsia="Times New Roman" w:hAnsi="David"/>
                <w:color w:val="000000"/>
                <w:sz w:val="22"/>
                <w:szCs w:val="22"/>
              </w:rPr>
              <w:t>-</w:t>
            </w:r>
          </w:p>
          <w:p w:rsidR="00A210E9" w:rsidRPr="00A210E9" w:rsidP="00A210E9">
            <w:pPr>
              <w:spacing w:line="269" w:lineRule="auto"/>
              <w:jc w:val="center"/>
              <w:rPr>
                <w:rFonts w:ascii="David" w:eastAsia="Times New Roman" w:hAnsi="David"/>
                <w:color w:val="000000"/>
                <w:sz w:val="22"/>
                <w:szCs w:val="22"/>
                <w:rtl/>
              </w:rPr>
            </w:pPr>
            <w:r w:rsidRPr="00A210E9">
              <w:rPr>
                <w:rFonts w:ascii="David" w:eastAsia="Times New Roman" w:hAnsi="David"/>
                <w:color w:val="000000"/>
                <w:sz w:val="22"/>
                <w:szCs w:val="22"/>
                <w:rtl/>
              </w:rPr>
              <w:t xml:space="preserve">מותרת </w:t>
            </w:r>
            <w:r w:rsidRPr="00A210E9">
              <w:rPr>
                <w:rFonts w:ascii="David" w:eastAsia="Times New Roman" w:hAnsi="David" w:hint="cs"/>
                <w:color w:val="000000"/>
                <w:sz w:val="22"/>
                <w:szCs w:val="22"/>
                <w:rtl/>
              </w:rPr>
              <w:t>ב</w:t>
            </w:r>
            <w:r w:rsidRPr="00A210E9">
              <w:rPr>
                <w:rFonts w:ascii="David" w:eastAsia="Times New Roman" w:hAnsi="David"/>
                <w:color w:val="000000"/>
                <w:sz w:val="22"/>
                <w:szCs w:val="22"/>
                <w:rtl/>
              </w:rPr>
              <w:t>תנאים שונים</w:t>
            </w:r>
          </w:p>
        </w:tc>
        <w:tc>
          <w:tcPr>
            <w:tcW w:w="1355" w:type="dxa"/>
            <w:noWrap/>
            <w:hideMark/>
          </w:tcPr>
          <w:p w:rsidR="00A210E9" w:rsidRPr="00A210E9" w:rsidP="00A210E9">
            <w:pPr>
              <w:spacing w:line="269" w:lineRule="auto"/>
              <w:jc w:val="center"/>
              <w:rPr>
                <w:rFonts w:ascii="David" w:eastAsia="Times New Roman" w:hAnsi="David"/>
                <w:color w:val="000000"/>
                <w:sz w:val="22"/>
                <w:szCs w:val="22"/>
                <w:rtl/>
              </w:rPr>
            </w:pPr>
            <w:r w:rsidRPr="00A210E9">
              <w:rPr>
                <w:rFonts w:ascii="David" w:eastAsia="Times New Roman" w:hAnsi="David" w:hint="cs"/>
                <w:color w:val="000000"/>
                <w:sz w:val="22"/>
                <w:szCs w:val="22"/>
                <w:rtl/>
              </w:rPr>
              <w:t>מספר</w:t>
            </w:r>
            <w:r w:rsidRPr="00A210E9">
              <w:rPr>
                <w:rFonts w:ascii="David" w:eastAsia="Times New Roman" w:hAnsi="David"/>
                <w:color w:val="000000"/>
                <w:sz w:val="22"/>
                <w:szCs w:val="22"/>
                <w:rtl/>
              </w:rPr>
              <w:t xml:space="preserve"> </w:t>
            </w:r>
            <w:r w:rsidRPr="00A210E9">
              <w:rPr>
                <w:rFonts w:ascii="David" w:eastAsia="Times New Roman" w:hAnsi="David" w:hint="cs"/>
                <w:color w:val="000000"/>
                <w:sz w:val="22"/>
                <w:szCs w:val="22"/>
                <w:rtl/>
              </w:rPr>
              <w:t>ה</w:t>
            </w:r>
            <w:r w:rsidRPr="00A210E9">
              <w:rPr>
                <w:rFonts w:ascii="David" w:eastAsia="Times New Roman" w:hAnsi="David"/>
                <w:color w:val="000000"/>
                <w:sz w:val="22"/>
                <w:szCs w:val="22"/>
                <w:rtl/>
              </w:rPr>
              <w:t>מדינות</w:t>
            </w:r>
          </w:p>
        </w:tc>
      </w:tr>
      <w:tr w:rsidTr="00A210E9">
        <w:tblPrEx>
          <w:tblW w:w="7512" w:type="dxa"/>
          <w:jc w:val="center"/>
          <w:tblLook w:val="04A0"/>
        </w:tblPrEx>
        <w:trPr>
          <w:trHeight w:val="247"/>
          <w:jc w:val="center"/>
        </w:trPr>
        <w:tc>
          <w:tcPr>
            <w:tcW w:w="1419" w:type="dxa"/>
            <w:noWrap/>
            <w:hideMark/>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color w:val="000000"/>
                <w:sz w:val="22"/>
                <w:szCs w:val="22"/>
                <w:rtl/>
              </w:rPr>
              <w:t>אוסטרי</w:t>
            </w:r>
            <w:r w:rsidRPr="00A210E9">
              <w:rPr>
                <w:rFonts w:ascii="David" w:eastAsia="Times New Roman" w:hAnsi="David" w:hint="cs"/>
                <w:color w:val="000000"/>
                <w:sz w:val="22"/>
                <w:szCs w:val="22"/>
                <w:rtl/>
              </w:rPr>
              <w:t>י</w:t>
            </w:r>
            <w:r w:rsidRPr="00A210E9">
              <w:rPr>
                <w:rFonts w:ascii="David" w:eastAsia="Times New Roman" w:hAnsi="David"/>
                <w:color w:val="000000"/>
                <w:sz w:val="22"/>
                <w:szCs w:val="22"/>
                <w:rtl/>
              </w:rPr>
              <w:t>ה</w:t>
            </w:r>
          </w:p>
        </w:tc>
        <w:tc>
          <w:tcPr>
            <w:tcW w:w="2127" w:type="dxa"/>
            <w:noWrap/>
            <w:hideMark/>
          </w:tcPr>
          <w:p w:rsidR="00A210E9" w:rsidRPr="00A210E9" w:rsidP="00A210E9">
            <w:pPr>
              <w:bidi w:val="0"/>
              <w:spacing w:line="269" w:lineRule="auto"/>
              <w:jc w:val="right"/>
              <w:rPr>
                <w:rFonts w:ascii="David" w:eastAsia="Times New Roman" w:hAnsi="David"/>
                <w:color w:val="000000"/>
                <w:sz w:val="22"/>
                <w:szCs w:val="22"/>
                <w:rtl/>
              </w:rPr>
            </w:pPr>
            <w:r w:rsidRPr="00A210E9">
              <w:rPr>
                <w:rFonts w:ascii="David" w:eastAsia="Times New Roman" w:hAnsi="David"/>
                <w:color w:val="000000"/>
                <w:sz w:val="22"/>
                <w:szCs w:val="22"/>
              </w:rPr>
              <w:t>1</w:t>
            </w:r>
          </w:p>
        </w:tc>
        <w:tc>
          <w:tcPr>
            <w:tcW w:w="2611" w:type="dxa"/>
            <w:noWrap/>
            <w:hideMark/>
          </w:tcPr>
          <w:p w:rsidR="00A210E9" w:rsidRPr="00A210E9" w:rsidP="00A210E9">
            <w:pPr>
              <w:bidi w:val="0"/>
              <w:spacing w:line="269" w:lineRule="auto"/>
              <w:jc w:val="right"/>
              <w:rPr>
                <w:rFonts w:ascii="David" w:eastAsia="Times New Roman" w:hAnsi="David"/>
                <w:color w:val="000000"/>
                <w:sz w:val="22"/>
                <w:szCs w:val="22"/>
              </w:rPr>
            </w:pPr>
          </w:p>
        </w:tc>
        <w:tc>
          <w:tcPr>
            <w:tcW w:w="1355" w:type="dxa"/>
            <w:noWrap/>
            <w:hideMark/>
          </w:tcPr>
          <w:p w:rsidR="00A210E9" w:rsidRPr="00A210E9" w:rsidP="00A210E9">
            <w:pPr>
              <w:bidi w:val="0"/>
              <w:spacing w:line="269" w:lineRule="auto"/>
              <w:jc w:val="right"/>
              <w:rPr>
                <w:rFonts w:ascii="David" w:eastAsia="Times New Roman" w:hAnsi="David"/>
                <w:color w:val="000000"/>
                <w:sz w:val="22"/>
                <w:szCs w:val="22"/>
              </w:rPr>
            </w:pPr>
            <w:r w:rsidRPr="00A210E9">
              <w:rPr>
                <w:rFonts w:ascii="David" w:eastAsia="Times New Roman" w:hAnsi="David"/>
                <w:color w:val="000000"/>
                <w:sz w:val="22"/>
                <w:szCs w:val="22"/>
              </w:rPr>
              <w:t>1</w:t>
            </w:r>
          </w:p>
        </w:tc>
      </w:tr>
      <w:tr w:rsidTr="00A157C9">
        <w:tblPrEx>
          <w:tblW w:w="7512" w:type="dxa"/>
          <w:jc w:val="center"/>
          <w:tblLook w:val="04A0"/>
        </w:tblPrEx>
        <w:trPr>
          <w:trHeight w:val="247"/>
          <w:jc w:val="center"/>
        </w:trPr>
        <w:tc>
          <w:tcPr>
            <w:tcW w:w="1419" w:type="dxa"/>
            <w:noWrap/>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tl/>
              </w:rPr>
              <w:t>אוסטרליה</w:t>
            </w:r>
          </w:p>
        </w:tc>
        <w:tc>
          <w:tcPr>
            <w:tcW w:w="2127" w:type="dxa"/>
            <w:noWrap/>
            <w:hideMark/>
          </w:tcPr>
          <w:p w:rsidR="00A210E9" w:rsidRPr="00A210E9" w:rsidP="00A210E9">
            <w:pPr>
              <w:bidi w:val="0"/>
              <w:spacing w:line="269" w:lineRule="auto"/>
              <w:jc w:val="right"/>
              <w:rPr>
                <w:rFonts w:ascii="David" w:eastAsia="Times New Roman" w:hAnsi="David"/>
                <w:color w:val="000000"/>
                <w:sz w:val="22"/>
                <w:szCs w:val="22"/>
                <w:rtl/>
              </w:rPr>
            </w:pPr>
            <w:r w:rsidRPr="00A210E9">
              <w:rPr>
                <w:rFonts w:ascii="David" w:eastAsia="Times New Roman" w:hAnsi="David"/>
                <w:color w:val="000000"/>
                <w:sz w:val="22"/>
                <w:szCs w:val="22"/>
              </w:rPr>
              <w:t>3</w:t>
            </w:r>
          </w:p>
        </w:tc>
        <w:tc>
          <w:tcPr>
            <w:tcW w:w="2611" w:type="dxa"/>
            <w:noWrap/>
            <w:hideMark/>
          </w:tcPr>
          <w:p w:rsidR="00A210E9" w:rsidRPr="00A210E9" w:rsidP="00A210E9">
            <w:pPr>
              <w:bidi w:val="0"/>
              <w:spacing w:line="269" w:lineRule="auto"/>
              <w:jc w:val="right"/>
              <w:rPr>
                <w:rFonts w:ascii="David" w:eastAsia="Times New Roman" w:hAnsi="David"/>
                <w:color w:val="000000"/>
                <w:sz w:val="22"/>
                <w:szCs w:val="22"/>
              </w:rPr>
            </w:pPr>
          </w:p>
        </w:tc>
        <w:tc>
          <w:tcPr>
            <w:tcW w:w="1355" w:type="dxa"/>
            <w:noWrap/>
            <w:hideMark/>
          </w:tcPr>
          <w:p w:rsidR="00A210E9" w:rsidRPr="00A210E9" w:rsidP="00A210E9">
            <w:pPr>
              <w:bidi w:val="0"/>
              <w:spacing w:line="269" w:lineRule="auto"/>
              <w:jc w:val="right"/>
              <w:rPr>
                <w:rFonts w:ascii="David" w:eastAsia="Times New Roman" w:hAnsi="David"/>
                <w:color w:val="000000"/>
                <w:sz w:val="22"/>
                <w:szCs w:val="22"/>
              </w:rPr>
            </w:pPr>
            <w:r w:rsidRPr="00A210E9">
              <w:rPr>
                <w:rFonts w:ascii="David" w:eastAsia="Times New Roman" w:hAnsi="David"/>
                <w:color w:val="000000"/>
                <w:sz w:val="22"/>
                <w:szCs w:val="22"/>
              </w:rPr>
              <w:t>3</w:t>
            </w:r>
          </w:p>
        </w:tc>
      </w:tr>
      <w:tr w:rsidTr="00A210E9">
        <w:tblPrEx>
          <w:tblW w:w="7512" w:type="dxa"/>
          <w:jc w:val="center"/>
          <w:tblLook w:val="04A0"/>
        </w:tblPrEx>
        <w:trPr>
          <w:trHeight w:val="247"/>
          <w:jc w:val="center"/>
        </w:trPr>
        <w:tc>
          <w:tcPr>
            <w:tcW w:w="1419" w:type="dxa"/>
            <w:noWrap/>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tl/>
              </w:rPr>
              <w:t>אנגל</w:t>
            </w:r>
            <w:r w:rsidRPr="00A210E9">
              <w:rPr>
                <w:rFonts w:ascii="David" w:eastAsia="Times New Roman" w:hAnsi="David" w:hint="cs"/>
                <w:color w:val="000000"/>
                <w:sz w:val="22"/>
                <w:szCs w:val="22"/>
                <w:rtl/>
              </w:rPr>
              <w:t>י</w:t>
            </w:r>
            <w:r w:rsidRPr="00A210E9">
              <w:rPr>
                <w:rFonts w:ascii="David" w:eastAsia="Times New Roman" w:hAnsi="David"/>
                <w:color w:val="000000"/>
                <w:sz w:val="22"/>
                <w:szCs w:val="22"/>
                <w:rtl/>
              </w:rPr>
              <w:t>יה</w:t>
            </w:r>
          </w:p>
        </w:tc>
        <w:tc>
          <w:tcPr>
            <w:tcW w:w="2127" w:type="dxa"/>
            <w:noWrap/>
            <w:hideMark/>
          </w:tcPr>
          <w:p w:rsidR="00A210E9" w:rsidRPr="00A210E9" w:rsidP="00A210E9">
            <w:pPr>
              <w:spacing w:line="269" w:lineRule="auto"/>
              <w:jc w:val="left"/>
              <w:rPr>
                <w:rFonts w:ascii="David" w:eastAsia="Times New Roman" w:hAnsi="David"/>
                <w:color w:val="000000"/>
                <w:sz w:val="22"/>
                <w:szCs w:val="22"/>
                <w:rtl/>
              </w:rPr>
            </w:pPr>
          </w:p>
        </w:tc>
        <w:tc>
          <w:tcPr>
            <w:tcW w:w="2611" w:type="dxa"/>
            <w:noWrap/>
            <w:hideMark/>
          </w:tcPr>
          <w:p w:rsidR="00A210E9" w:rsidRPr="00A210E9" w:rsidP="00A210E9">
            <w:pPr>
              <w:bidi w:val="0"/>
              <w:spacing w:line="269" w:lineRule="auto"/>
              <w:jc w:val="right"/>
              <w:rPr>
                <w:rFonts w:ascii="David" w:eastAsia="Times New Roman" w:hAnsi="David"/>
                <w:color w:val="000000"/>
                <w:sz w:val="22"/>
                <w:szCs w:val="22"/>
              </w:rPr>
            </w:pPr>
            <w:r w:rsidRPr="00A210E9">
              <w:rPr>
                <w:rFonts w:ascii="David" w:eastAsia="Times New Roman" w:hAnsi="David"/>
                <w:color w:val="000000"/>
                <w:sz w:val="22"/>
                <w:szCs w:val="22"/>
              </w:rPr>
              <w:t>1</w:t>
            </w:r>
          </w:p>
        </w:tc>
        <w:tc>
          <w:tcPr>
            <w:tcW w:w="1355" w:type="dxa"/>
            <w:noWrap/>
            <w:hideMark/>
          </w:tcPr>
          <w:p w:rsidR="00A210E9" w:rsidRPr="00A210E9" w:rsidP="00A210E9">
            <w:pPr>
              <w:bidi w:val="0"/>
              <w:spacing w:line="269" w:lineRule="auto"/>
              <w:jc w:val="right"/>
              <w:rPr>
                <w:rFonts w:ascii="David" w:eastAsia="Times New Roman" w:hAnsi="David"/>
                <w:color w:val="000000"/>
                <w:sz w:val="22"/>
                <w:szCs w:val="22"/>
              </w:rPr>
            </w:pPr>
            <w:r w:rsidRPr="00A210E9">
              <w:rPr>
                <w:rFonts w:ascii="David" w:eastAsia="Times New Roman" w:hAnsi="David"/>
                <w:color w:val="000000"/>
                <w:sz w:val="22"/>
                <w:szCs w:val="22"/>
              </w:rPr>
              <w:t>1</w:t>
            </w:r>
          </w:p>
        </w:tc>
      </w:tr>
      <w:tr w:rsidTr="00A157C9">
        <w:tblPrEx>
          <w:tblW w:w="7512" w:type="dxa"/>
          <w:jc w:val="center"/>
          <w:tblLook w:val="04A0"/>
        </w:tblPrEx>
        <w:trPr>
          <w:trHeight w:val="247"/>
          <w:jc w:val="center"/>
        </w:trPr>
        <w:tc>
          <w:tcPr>
            <w:tcW w:w="1419" w:type="dxa"/>
            <w:noWrap/>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tl/>
              </w:rPr>
              <w:t>ארה"ב</w:t>
            </w:r>
          </w:p>
        </w:tc>
        <w:tc>
          <w:tcPr>
            <w:tcW w:w="2127" w:type="dxa"/>
            <w:noWrap/>
            <w:hideMark/>
          </w:tcPr>
          <w:p w:rsidR="00A210E9" w:rsidRPr="00A210E9" w:rsidP="00A210E9">
            <w:pPr>
              <w:bidi w:val="0"/>
              <w:spacing w:line="269" w:lineRule="auto"/>
              <w:jc w:val="right"/>
              <w:rPr>
                <w:rFonts w:ascii="David" w:eastAsia="Times New Roman" w:hAnsi="David"/>
                <w:color w:val="000000"/>
                <w:sz w:val="22"/>
                <w:szCs w:val="22"/>
                <w:rtl/>
              </w:rPr>
            </w:pPr>
            <w:r w:rsidRPr="00A210E9">
              <w:rPr>
                <w:rFonts w:ascii="David" w:eastAsia="Times New Roman" w:hAnsi="David"/>
                <w:color w:val="000000"/>
                <w:sz w:val="22"/>
                <w:szCs w:val="22"/>
              </w:rPr>
              <w:t>9</w:t>
            </w:r>
          </w:p>
        </w:tc>
        <w:tc>
          <w:tcPr>
            <w:tcW w:w="2611" w:type="dxa"/>
            <w:noWrap/>
            <w:hideMark/>
          </w:tcPr>
          <w:p w:rsidR="00A210E9" w:rsidRPr="00A210E9" w:rsidP="00A210E9">
            <w:pPr>
              <w:bidi w:val="0"/>
              <w:spacing w:line="269" w:lineRule="auto"/>
              <w:jc w:val="right"/>
              <w:rPr>
                <w:rFonts w:ascii="David" w:eastAsia="Times New Roman" w:hAnsi="David"/>
                <w:color w:val="000000"/>
                <w:sz w:val="22"/>
                <w:szCs w:val="22"/>
              </w:rPr>
            </w:pPr>
          </w:p>
        </w:tc>
        <w:tc>
          <w:tcPr>
            <w:tcW w:w="1355" w:type="dxa"/>
            <w:noWrap/>
            <w:hideMark/>
          </w:tcPr>
          <w:p w:rsidR="00A210E9" w:rsidRPr="00A210E9" w:rsidP="00A210E9">
            <w:pPr>
              <w:bidi w:val="0"/>
              <w:spacing w:line="269" w:lineRule="auto"/>
              <w:jc w:val="right"/>
              <w:rPr>
                <w:rFonts w:ascii="David" w:eastAsia="Times New Roman" w:hAnsi="David"/>
                <w:color w:val="000000"/>
                <w:sz w:val="22"/>
                <w:szCs w:val="22"/>
              </w:rPr>
            </w:pPr>
            <w:r w:rsidRPr="00A210E9">
              <w:rPr>
                <w:rFonts w:ascii="David" w:eastAsia="Times New Roman" w:hAnsi="David"/>
                <w:color w:val="000000"/>
                <w:sz w:val="22"/>
                <w:szCs w:val="22"/>
              </w:rPr>
              <w:t>9</w:t>
            </w:r>
          </w:p>
        </w:tc>
      </w:tr>
      <w:tr w:rsidTr="00A210E9">
        <w:tblPrEx>
          <w:tblW w:w="7512" w:type="dxa"/>
          <w:jc w:val="center"/>
          <w:tblLook w:val="04A0"/>
        </w:tblPrEx>
        <w:trPr>
          <w:trHeight w:val="247"/>
          <w:jc w:val="center"/>
        </w:trPr>
        <w:tc>
          <w:tcPr>
            <w:tcW w:w="1419" w:type="dxa"/>
            <w:noWrap/>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tl/>
              </w:rPr>
              <w:t>בלג</w:t>
            </w:r>
            <w:r w:rsidRPr="00A210E9">
              <w:rPr>
                <w:rFonts w:ascii="David" w:eastAsia="Times New Roman" w:hAnsi="David" w:hint="cs"/>
                <w:color w:val="000000"/>
                <w:sz w:val="22"/>
                <w:szCs w:val="22"/>
                <w:rtl/>
              </w:rPr>
              <w:t>י</w:t>
            </w:r>
            <w:r w:rsidRPr="00A210E9">
              <w:rPr>
                <w:rFonts w:ascii="David" w:eastAsia="Times New Roman" w:hAnsi="David"/>
                <w:color w:val="000000"/>
                <w:sz w:val="22"/>
                <w:szCs w:val="22"/>
                <w:rtl/>
              </w:rPr>
              <w:t>יה</w:t>
            </w:r>
          </w:p>
        </w:tc>
        <w:tc>
          <w:tcPr>
            <w:tcW w:w="2127" w:type="dxa"/>
            <w:noWrap/>
            <w:hideMark/>
          </w:tcPr>
          <w:p w:rsidR="00A210E9" w:rsidRPr="00A210E9" w:rsidP="00A210E9">
            <w:pPr>
              <w:bidi w:val="0"/>
              <w:spacing w:line="269" w:lineRule="auto"/>
              <w:jc w:val="right"/>
              <w:rPr>
                <w:rFonts w:ascii="David" w:eastAsia="Times New Roman" w:hAnsi="David"/>
                <w:color w:val="000000"/>
                <w:sz w:val="22"/>
                <w:szCs w:val="22"/>
                <w:rtl/>
              </w:rPr>
            </w:pPr>
            <w:r w:rsidRPr="00A210E9">
              <w:rPr>
                <w:rFonts w:ascii="David" w:eastAsia="Times New Roman" w:hAnsi="David"/>
                <w:color w:val="000000"/>
                <w:sz w:val="22"/>
                <w:szCs w:val="22"/>
              </w:rPr>
              <w:t>1</w:t>
            </w:r>
          </w:p>
        </w:tc>
        <w:tc>
          <w:tcPr>
            <w:tcW w:w="2611" w:type="dxa"/>
            <w:noWrap/>
            <w:hideMark/>
          </w:tcPr>
          <w:p w:rsidR="00A210E9" w:rsidRPr="00A210E9" w:rsidP="00A210E9">
            <w:pPr>
              <w:bidi w:val="0"/>
              <w:spacing w:line="269" w:lineRule="auto"/>
              <w:jc w:val="right"/>
              <w:rPr>
                <w:rFonts w:ascii="David" w:eastAsia="Times New Roman" w:hAnsi="David"/>
                <w:color w:val="000000"/>
                <w:sz w:val="22"/>
                <w:szCs w:val="22"/>
              </w:rPr>
            </w:pPr>
          </w:p>
        </w:tc>
        <w:tc>
          <w:tcPr>
            <w:tcW w:w="1355" w:type="dxa"/>
            <w:noWrap/>
            <w:hideMark/>
          </w:tcPr>
          <w:p w:rsidR="00A210E9" w:rsidRPr="00A210E9" w:rsidP="00A210E9">
            <w:pPr>
              <w:bidi w:val="0"/>
              <w:spacing w:line="269" w:lineRule="auto"/>
              <w:jc w:val="right"/>
              <w:rPr>
                <w:rFonts w:ascii="David" w:eastAsia="Times New Roman" w:hAnsi="David"/>
                <w:color w:val="000000"/>
                <w:sz w:val="22"/>
                <w:szCs w:val="22"/>
              </w:rPr>
            </w:pPr>
            <w:r w:rsidRPr="00A210E9">
              <w:rPr>
                <w:rFonts w:ascii="David" w:eastAsia="Times New Roman" w:hAnsi="David"/>
                <w:color w:val="000000"/>
                <w:sz w:val="22"/>
                <w:szCs w:val="22"/>
              </w:rPr>
              <w:t>1</w:t>
            </w:r>
          </w:p>
        </w:tc>
      </w:tr>
      <w:tr w:rsidTr="00A157C9">
        <w:tblPrEx>
          <w:tblW w:w="7512" w:type="dxa"/>
          <w:jc w:val="center"/>
          <w:tblLook w:val="04A0"/>
        </w:tblPrEx>
        <w:trPr>
          <w:trHeight w:val="247"/>
          <w:jc w:val="center"/>
        </w:trPr>
        <w:tc>
          <w:tcPr>
            <w:tcW w:w="1419" w:type="dxa"/>
            <w:noWrap/>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tl/>
              </w:rPr>
              <w:t>גרמניה</w:t>
            </w:r>
          </w:p>
        </w:tc>
        <w:tc>
          <w:tcPr>
            <w:tcW w:w="2127" w:type="dxa"/>
            <w:noWrap/>
            <w:hideMark/>
          </w:tcPr>
          <w:p w:rsidR="00A210E9" w:rsidRPr="00A210E9" w:rsidP="00A210E9">
            <w:pPr>
              <w:spacing w:line="269" w:lineRule="auto"/>
              <w:jc w:val="left"/>
              <w:rPr>
                <w:rFonts w:ascii="David" w:eastAsia="Times New Roman" w:hAnsi="David"/>
                <w:color w:val="000000"/>
                <w:sz w:val="22"/>
                <w:szCs w:val="22"/>
                <w:rtl/>
              </w:rPr>
            </w:pPr>
          </w:p>
        </w:tc>
        <w:tc>
          <w:tcPr>
            <w:tcW w:w="2611" w:type="dxa"/>
            <w:noWrap/>
            <w:hideMark/>
          </w:tcPr>
          <w:p w:rsidR="00A210E9" w:rsidRPr="00A210E9" w:rsidP="00A210E9">
            <w:pPr>
              <w:bidi w:val="0"/>
              <w:spacing w:line="269" w:lineRule="auto"/>
              <w:jc w:val="right"/>
              <w:rPr>
                <w:rFonts w:ascii="David" w:eastAsia="Times New Roman" w:hAnsi="David"/>
                <w:color w:val="000000"/>
                <w:sz w:val="22"/>
                <w:szCs w:val="22"/>
              </w:rPr>
            </w:pPr>
            <w:r w:rsidRPr="00A210E9">
              <w:rPr>
                <w:rFonts w:ascii="David" w:eastAsia="Times New Roman" w:hAnsi="David"/>
                <w:color w:val="000000"/>
                <w:sz w:val="22"/>
                <w:szCs w:val="22"/>
              </w:rPr>
              <w:t>1</w:t>
            </w:r>
          </w:p>
        </w:tc>
        <w:tc>
          <w:tcPr>
            <w:tcW w:w="1355" w:type="dxa"/>
            <w:noWrap/>
            <w:hideMark/>
          </w:tcPr>
          <w:p w:rsidR="00A210E9" w:rsidRPr="00A210E9" w:rsidP="00A210E9">
            <w:pPr>
              <w:bidi w:val="0"/>
              <w:spacing w:line="269" w:lineRule="auto"/>
              <w:jc w:val="right"/>
              <w:rPr>
                <w:rFonts w:ascii="David" w:eastAsia="Times New Roman" w:hAnsi="David"/>
                <w:color w:val="000000"/>
                <w:sz w:val="22"/>
                <w:szCs w:val="22"/>
              </w:rPr>
            </w:pPr>
            <w:r w:rsidRPr="00A210E9">
              <w:rPr>
                <w:rFonts w:ascii="David" w:eastAsia="Times New Roman" w:hAnsi="David"/>
                <w:color w:val="000000"/>
                <w:sz w:val="22"/>
                <w:szCs w:val="22"/>
              </w:rPr>
              <w:t>1</w:t>
            </w:r>
          </w:p>
        </w:tc>
      </w:tr>
      <w:tr w:rsidTr="00A210E9">
        <w:tblPrEx>
          <w:tblW w:w="7512" w:type="dxa"/>
          <w:jc w:val="center"/>
          <w:tblLook w:val="04A0"/>
        </w:tblPrEx>
        <w:trPr>
          <w:trHeight w:val="247"/>
          <w:jc w:val="center"/>
        </w:trPr>
        <w:tc>
          <w:tcPr>
            <w:tcW w:w="1419" w:type="dxa"/>
            <w:noWrap/>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tl/>
              </w:rPr>
              <w:t>דנמרק</w:t>
            </w:r>
          </w:p>
        </w:tc>
        <w:tc>
          <w:tcPr>
            <w:tcW w:w="2127" w:type="dxa"/>
            <w:noWrap/>
            <w:hideMark/>
          </w:tcPr>
          <w:p w:rsidR="00A210E9" w:rsidRPr="00A210E9" w:rsidP="00A210E9">
            <w:pPr>
              <w:spacing w:line="269" w:lineRule="auto"/>
              <w:jc w:val="left"/>
              <w:rPr>
                <w:rFonts w:ascii="David" w:eastAsia="Times New Roman" w:hAnsi="David"/>
                <w:color w:val="000000"/>
                <w:sz w:val="22"/>
                <w:szCs w:val="22"/>
                <w:rtl/>
              </w:rPr>
            </w:pPr>
          </w:p>
        </w:tc>
        <w:tc>
          <w:tcPr>
            <w:tcW w:w="2611" w:type="dxa"/>
            <w:noWrap/>
            <w:hideMark/>
          </w:tcPr>
          <w:p w:rsidR="00A210E9" w:rsidRPr="00A210E9" w:rsidP="00A210E9">
            <w:pPr>
              <w:bidi w:val="0"/>
              <w:spacing w:line="269" w:lineRule="auto"/>
              <w:jc w:val="right"/>
              <w:rPr>
                <w:rFonts w:ascii="David" w:eastAsia="Times New Roman" w:hAnsi="David"/>
                <w:color w:val="000000"/>
                <w:sz w:val="22"/>
                <w:szCs w:val="22"/>
              </w:rPr>
            </w:pPr>
            <w:r w:rsidRPr="00A210E9">
              <w:rPr>
                <w:rFonts w:ascii="David" w:eastAsia="Times New Roman" w:hAnsi="David"/>
                <w:color w:val="000000"/>
                <w:sz w:val="22"/>
                <w:szCs w:val="22"/>
              </w:rPr>
              <w:t>1</w:t>
            </w:r>
          </w:p>
        </w:tc>
        <w:tc>
          <w:tcPr>
            <w:tcW w:w="1355" w:type="dxa"/>
            <w:noWrap/>
            <w:hideMark/>
          </w:tcPr>
          <w:p w:rsidR="00A210E9" w:rsidRPr="00A210E9" w:rsidP="00A210E9">
            <w:pPr>
              <w:bidi w:val="0"/>
              <w:spacing w:line="269" w:lineRule="auto"/>
              <w:jc w:val="right"/>
              <w:rPr>
                <w:rFonts w:ascii="David" w:eastAsia="Times New Roman" w:hAnsi="David"/>
                <w:color w:val="000000"/>
                <w:sz w:val="22"/>
                <w:szCs w:val="22"/>
              </w:rPr>
            </w:pPr>
            <w:r w:rsidRPr="00A210E9">
              <w:rPr>
                <w:rFonts w:ascii="David" w:eastAsia="Times New Roman" w:hAnsi="David"/>
                <w:color w:val="000000"/>
                <w:sz w:val="22"/>
                <w:szCs w:val="22"/>
              </w:rPr>
              <w:t>1</w:t>
            </w:r>
          </w:p>
        </w:tc>
      </w:tr>
      <w:tr w:rsidTr="00A157C9">
        <w:tblPrEx>
          <w:tblW w:w="7512" w:type="dxa"/>
          <w:jc w:val="center"/>
          <w:tblLook w:val="04A0"/>
        </w:tblPrEx>
        <w:trPr>
          <w:trHeight w:val="247"/>
          <w:jc w:val="center"/>
        </w:trPr>
        <w:tc>
          <w:tcPr>
            <w:tcW w:w="1419" w:type="dxa"/>
            <w:noWrap/>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tl/>
              </w:rPr>
              <w:t>הולנד</w:t>
            </w:r>
          </w:p>
        </w:tc>
        <w:tc>
          <w:tcPr>
            <w:tcW w:w="2127" w:type="dxa"/>
            <w:noWrap/>
            <w:hideMark/>
          </w:tcPr>
          <w:p w:rsidR="00A210E9" w:rsidRPr="00A210E9" w:rsidP="00A210E9">
            <w:pPr>
              <w:spacing w:line="269" w:lineRule="auto"/>
              <w:jc w:val="left"/>
              <w:rPr>
                <w:rFonts w:ascii="David" w:eastAsia="Times New Roman" w:hAnsi="David"/>
                <w:color w:val="000000"/>
                <w:sz w:val="22"/>
                <w:szCs w:val="22"/>
                <w:rtl/>
              </w:rPr>
            </w:pPr>
          </w:p>
        </w:tc>
        <w:tc>
          <w:tcPr>
            <w:tcW w:w="2611" w:type="dxa"/>
            <w:noWrap/>
            <w:hideMark/>
          </w:tcPr>
          <w:p w:rsidR="00A210E9" w:rsidRPr="00A210E9" w:rsidP="00A210E9">
            <w:pPr>
              <w:bidi w:val="0"/>
              <w:spacing w:line="269" w:lineRule="auto"/>
              <w:jc w:val="right"/>
              <w:rPr>
                <w:rFonts w:ascii="David" w:eastAsia="Times New Roman" w:hAnsi="David"/>
                <w:color w:val="000000"/>
                <w:sz w:val="22"/>
                <w:szCs w:val="22"/>
              </w:rPr>
            </w:pPr>
            <w:r w:rsidRPr="00A210E9">
              <w:rPr>
                <w:rFonts w:ascii="David" w:eastAsia="Times New Roman" w:hAnsi="David"/>
                <w:color w:val="000000"/>
                <w:sz w:val="22"/>
                <w:szCs w:val="22"/>
              </w:rPr>
              <w:t>1</w:t>
            </w:r>
          </w:p>
        </w:tc>
        <w:tc>
          <w:tcPr>
            <w:tcW w:w="1355" w:type="dxa"/>
            <w:noWrap/>
            <w:hideMark/>
          </w:tcPr>
          <w:p w:rsidR="00A210E9" w:rsidRPr="00A210E9" w:rsidP="00A210E9">
            <w:pPr>
              <w:bidi w:val="0"/>
              <w:spacing w:line="269" w:lineRule="auto"/>
              <w:jc w:val="right"/>
              <w:rPr>
                <w:rFonts w:ascii="David" w:eastAsia="Times New Roman" w:hAnsi="David"/>
                <w:color w:val="000000"/>
                <w:sz w:val="22"/>
                <w:szCs w:val="22"/>
              </w:rPr>
            </w:pPr>
            <w:r w:rsidRPr="00A210E9">
              <w:rPr>
                <w:rFonts w:ascii="David" w:eastAsia="Times New Roman" w:hAnsi="David"/>
                <w:color w:val="000000"/>
                <w:sz w:val="22"/>
                <w:szCs w:val="22"/>
              </w:rPr>
              <w:t>1</w:t>
            </w:r>
          </w:p>
        </w:tc>
      </w:tr>
      <w:tr w:rsidTr="00A210E9">
        <w:tblPrEx>
          <w:tblW w:w="7512" w:type="dxa"/>
          <w:jc w:val="center"/>
          <w:tblLook w:val="04A0"/>
        </w:tblPrEx>
        <w:trPr>
          <w:trHeight w:val="247"/>
          <w:jc w:val="center"/>
        </w:trPr>
        <w:tc>
          <w:tcPr>
            <w:tcW w:w="1419" w:type="dxa"/>
            <w:noWrap/>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tl/>
              </w:rPr>
              <w:t>נור</w:t>
            </w:r>
            <w:r w:rsidRPr="00A210E9">
              <w:rPr>
                <w:rFonts w:ascii="David" w:eastAsia="Times New Roman" w:hAnsi="David" w:hint="cs"/>
                <w:color w:val="000000"/>
                <w:sz w:val="22"/>
                <w:szCs w:val="22"/>
                <w:rtl/>
              </w:rPr>
              <w:t>וו</w:t>
            </w:r>
            <w:r w:rsidRPr="00A210E9">
              <w:rPr>
                <w:rFonts w:ascii="David" w:eastAsia="Times New Roman" w:hAnsi="David"/>
                <w:color w:val="000000"/>
                <w:sz w:val="22"/>
                <w:szCs w:val="22"/>
                <w:rtl/>
              </w:rPr>
              <w:t>גיה</w:t>
            </w:r>
          </w:p>
        </w:tc>
        <w:tc>
          <w:tcPr>
            <w:tcW w:w="2127" w:type="dxa"/>
            <w:noWrap/>
            <w:hideMark/>
          </w:tcPr>
          <w:p w:rsidR="00A210E9" w:rsidRPr="00A210E9" w:rsidP="00A210E9">
            <w:pPr>
              <w:bidi w:val="0"/>
              <w:spacing w:line="269" w:lineRule="auto"/>
              <w:jc w:val="right"/>
              <w:rPr>
                <w:rFonts w:ascii="David" w:eastAsia="Times New Roman" w:hAnsi="David"/>
                <w:color w:val="000000"/>
                <w:sz w:val="22"/>
                <w:szCs w:val="22"/>
                <w:rtl/>
              </w:rPr>
            </w:pPr>
            <w:r w:rsidRPr="00A210E9">
              <w:rPr>
                <w:rFonts w:ascii="David" w:eastAsia="Times New Roman" w:hAnsi="David"/>
                <w:color w:val="000000"/>
                <w:sz w:val="22"/>
                <w:szCs w:val="22"/>
              </w:rPr>
              <w:t>1</w:t>
            </w:r>
          </w:p>
        </w:tc>
        <w:tc>
          <w:tcPr>
            <w:tcW w:w="2611" w:type="dxa"/>
            <w:noWrap/>
            <w:hideMark/>
          </w:tcPr>
          <w:p w:rsidR="00A210E9" w:rsidRPr="00A210E9" w:rsidP="00A210E9">
            <w:pPr>
              <w:bidi w:val="0"/>
              <w:spacing w:line="269" w:lineRule="auto"/>
              <w:jc w:val="right"/>
              <w:rPr>
                <w:rFonts w:ascii="David" w:eastAsia="Times New Roman" w:hAnsi="David"/>
                <w:color w:val="000000"/>
                <w:sz w:val="22"/>
                <w:szCs w:val="22"/>
              </w:rPr>
            </w:pPr>
          </w:p>
        </w:tc>
        <w:tc>
          <w:tcPr>
            <w:tcW w:w="1355" w:type="dxa"/>
            <w:noWrap/>
            <w:hideMark/>
          </w:tcPr>
          <w:p w:rsidR="00A210E9" w:rsidRPr="00A210E9" w:rsidP="00A210E9">
            <w:pPr>
              <w:bidi w:val="0"/>
              <w:spacing w:line="269" w:lineRule="auto"/>
              <w:jc w:val="right"/>
              <w:rPr>
                <w:rFonts w:ascii="David" w:eastAsia="Times New Roman" w:hAnsi="David"/>
                <w:color w:val="000000"/>
                <w:sz w:val="22"/>
                <w:szCs w:val="22"/>
              </w:rPr>
            </w:pPr>
            <w:r w:rsidRPr="00A210E9">
              <w:rPr>
                <w:rFonts w:ascii="David" w:eastAsia="Times New Roman" w:hAnsi="David"/>
                <w:color w:val="000000"/>
                <w:sz w:val="22"/>
                <w:szCs w:val="22"/>
              </w:rPr>
              <w:t>1</w:t>
            </w:r>
          </w:p>
        </w:tc>
      </w:tr>
      <w:tr w:rsidTr="00A157C9">
        <w:tblPrEx>
          <w:tblW w:w="7512" w:type="dxa"/>
          <w:jc w:val="center"/>
          <w:tblLook w:val="04A0"/>
        </w:tblPrEx>
        <w:trPr>
          <w:trHeight w:val="247"/>
          <w:jc w:val="center"/>
        </w:trPr>
        <w:tc>
          <w:tcPr>
            <w:tcW w:w="1419" w:type="dxa"/>
            <w:noWrap/>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tl/>
              </w:rPr>
              <w:t>ספרד</w:t>
            </w:r>
          </w:p>
        </w:tc>
        <w:tc>
          <w:tcPr>
            <w:tcW w:w="2127" w:type="dxa"/>
            <w:noWrap/>
            <w:hideMark/>
          </w:tcPr>
          <w:p w:rsidR="00A210E9" w:rsidRPr="00A210E9" w:rsidP="00A210E9">
            <w:pPr>
              <w:bidi w:val="0"/>
              <w:spacing w:line="269" w:lineRule="auto"/>
              <w:jc w:val="right"/>
              <w:rPr>
                <w:rFonts w:ascii="David" w:eastAsia="Times New Roman" w:hAnsi="David"/>
                <w:color w:val="000000"/>
                <w:sz w:val="22"/>
                <w:szCs w:val="22"/>
                <w:rtl/>
              </w:rPr>
            </w:pPr>
            <w:r w:rsidRPr="00A210E9">
              <w:rPr>
                <w:rFonts w:ascii="David" w:eastAsia="Times New Roman" w:hAnsi="David"/>
                <w:color w:val="000000"/>
                <w:sz w:val="22"/>
                <w:szCs w:val="22"/>
              </w:rPr>
              <w:t>1</w:t>
            </w:r>
          </w:p>
        </w:tc>
        <w:tc>
          <w:tcPr>
            <w:tcW w:w="2611" w:type="dxa"/>
            <w:noWrap/>
            <w:hideMark/>
          </w:tcPr>
          <w:p w:rsidR="00A210E9" w:rsidRPr="00A210E9" w:rsidP="00A210E9">
            <w:pPr>
              <w:bidi w:val="0"/>
              <w:spacing w:line="269" w:lineRule="auto"/>
              <w:jc w:val="right"/>
              <w:rPr>
                <w:rFonts w:ascii="David" w:eastAsia="Times New Roman" w:hAnsi="David"/>
                <w:color w:val="000000"/>
                <w:sz w:val="22"/>
                <w:szCs w:val="22"/>
              </w:rPr>
            </w:pPr>
          </w:p>
        </w:tc>
        <w:tc>
          <w:tcPr>
            <w:tcW w:w="1355" w:type="dxa"/>
            <w:noWrap/>
            <w:hideMark/>
          </w:tcPr>
          <w:p w:rsidR="00A210E9" w:rsidRPr="00A210E9" w:rsidP="00A210E9">
            <w:pPr>
              <w:bidi w:val="0"/>
              <w:spacing w:line="269" w:lineRule="auto"/>
              <w:jc w:val="right"/>
              <w:rPr>
                <w:rFonts w:ascii="David" w:eastAsia="Times New Roman" w:hAnsi="David"/>
                <w:color w:val="000000"/>
                <w:sz w:val="22"/>
                <w:szCs w:val="22"/>
              </w:rPr>
            </w:pPr>
            <w:r w:rsidRPr="00A210E9">
              <w:rPr>
                <w:rFonts w:ascii="David" w:eastAsia="Times New Roman" w:hAnsi="David"/>
                <w:color w:val="000000"/>
                <w:sz w:val="22"/>
                <w:szCs w:val="22"/>
              </w:rPr>
              <w:t>1</w:t>
            </w:r>
          </w:p>
        </w:tc>
      </w:tr>
      <w:tr w:rsidTr="00A210E9">
        <w:tblPrEx>
          <w:tblW w:w="7512" w:type="dxa"/>
          <w:jc w:val="center"/>
          <w:tblLook w:val="04A0"/>
        </w:tblPrEx>
        <w:trPr>
          <w:trHeight w:val="247"/>
          <w:jc w:val="center"/>
        </w:trPr>
        <w:tc>
          <w:tcPr>
            <w:tcW w:w="1419" w:type="dxa"/>
            <w:noWrap/>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tl/>
              </w:rPr>
              <w:t>סקוטלנד</w:t>
            </w:r>
          </w:p>
        </w:tc>
        <w:tc>
          <w:tcPr>
            <w:tcW w:w="2127" w:type="dxa"/>
            <w:noWrap/>
            <w:hideMark/>
          </w:tcPr>
          <w:p w:rsidR="00A210E9" w:rsidRPr="00A210E9" w:rsidP="00A210E9">
            <w:pPr>
              <w:bidi w:val="0"/>
              <w:spacing w:line="269" w:lineRule="auto"/>
              <w:jc w:val="right"/>
              <w:rPr>
                <w:rFonts w:ascii="David" w:eastAsia="Times New Roman" w:hAnsi="David"/>
                <w:color w:val="000000"/>
                <w:sz w:val="22"/>
                <w:szCs w:val="22"/>
                <w:rtl/>
              </w:rPr>
            </w:pPr>
            <w:r w:rsidRPr="00A210E9">
              <w:rPr>
                <w:rFonts w:ascii="David" w:eastAsia="Times New Roman" w:hAnsi="David"/>
                <w:color w:val="000000"/>
                <w:sz w:val="22"/>
                <w:szCs w:val="22"/>
              </w:rPr>
              <w:t>1</w:t>
            </w:r>
          </w:p>
        </w:tc>
        <w:tc>
          <w:tcPr>
            <w:tcW w:w="2611" w:type="dxa"/>
            <w:noWrap/>
            <w:hideMark/>
          </w:tcPr>
          <w:p w:rsidR="00A210E9" w:rsidRPr="00A210E9" w:rsidP="00A210E9">
            <w:pPr>
              <w:bidi w:val="0"/>
              <w:spacing w:line="269" w:lineRule="auto"/>
              <w:jc w:val="right"/>
              <w:rPr>
                <w:rFonts w:ascii="David" w:eastAsia="Times New Roman" w:hAnsi="David"/>
                <w:color w:val="000000"/>
                <w:sz w:val="22"/>
                <w:szCs w:val="22"/>
              </w:rPr>
            </w:pPr>
          </w:p>
        </w:tc>
        <w:tc>
          <w:tcPr>
            <w:tcW w:w="1355" w:type="dxa"/>
            <w:noWrap/>
            <w:hideMark/>
          </w:tcPr>
          <w:p w:rsidR="00A210E9" w:rsidRPr="00A210E9" w:rsidP="00A210E9">
            <w:pPr>
              <w:bidi w:val="0"/>
              <w:spacing w:line="269" w:lineRule="auto"/>
              <w:jc w:val="right"/>
              <w:rPr>
                <w:rFonts w:ascii="David" w:eastAsia="Times New Roman" w:hAnsi="David"/>
                <w:color w:val="000000"/>
                <w:sz w:val="22"/>
                <w:szCs w:val="22"/>
              </w:rPr>
            </w:pPr>
            <w:r w:rsidRPr="00A210E9">
              <w:rPr>
                <w:rFonts w:ascii="David" w:eastAsia="Times New Roman" w:hAnsi="David"/>
                <w:color w:val="000000"/>
                <w:sz w:val="22"/>
                <w:szCs w:val="22"/>
              </w:rPr>
              <w:t>1</w:t>
            </w:r>
          </w:p>
        </w:tc>
      </w:tr>
      <w:tr w:rsidTr="00A157C9">
        <w:tblPrEx>
          <w:tblW w:w="7512" w:type="dxa"/>
          <w:jc w:val="center"/>
          <w:tblLook w:val="04A0"/>
        </w:tblPrEx>
        <w:trPr>
          <w:trHeight w:val="247"/>
          <w:jc w:val="center"/>
        </w:trPr>
        <w:tc>
          <w:tcPr>
            <w:tcW w:w="1419" w:type="dxa"/>
            <w:noWrap/>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tl/>
              </w:rPr>
              <w:t>פורטוגל</w:t>
            </w:r>
          </w:p>
        </w:tc>
        <w:tc>
          <w:tcPr>
            <w:tcW w:w="2127" w:type="dxa"/>
            <w:noWrap/>
            <w:hideMark/>
          </w:tcPr>
          <w:p w:rsidR="00A210E9" w:rsidRPr="00A210E9" w:rsidP="00A210E9">
            <w:pPr>
              <w:bidi w:val="0"/>
              <w:spacing w:line="269" w:lineRule="auto"/>
              <w:jc w:val="right"/>
              <w:rPr>
                <w:rFonts w:ascii="David" w:eastAsia="Times New Roman" w:hAnsi="David"/>
                <w:color w:val="000000"/>
                <w:sz w:val="22"/>
                <w:szCs w:val="22"/>
                <w:rtl/>
              </w:rPr>
            </w:pPr>
            <w:r w:rsidRPr="00A210E9">
              <w:rPr>
                <w:rFonts w:ascii="David" w:eastAsia="Times New Roman" w:hAnsi="David"/>
                <w:color w:val="000000"/>
                <w:sz w:val="22"/>
                <w:szCs w:val="22"/>
              </w:rPr>
              <w:t>1</w:t>
            </w:r>
          </w:p>
        </w:tc>
        <w:tc>
          <w:tcPr>
            <w:tcW w:w="2611" w:type="dxa"/>
            <w:noWrap/>
            <w:hideMark/>
          </w:tcPr>
          <w:p w:rsidR="00A210E9" w:rsidRPr="00A210E9" w:rsidP="00A210E9">
            <w:pPr>
              <w:bidi w:val="0"/>
              <w:spacing w:line="269" w:lineRule="auto"/>
              <w:jc w:val="right"/>
              <w:rPr>
                <w:rFonts w:ascii="David" w:eastAsia="Times New Roman" w:hAnsi="David"/>
                <w:color w:val="000000"/>
                <w:sz w:val="22"/>
                <w:szCs w:val="22"/>
              </w:rPr>
            </w:pPr>
          </w:p>
        </w:tc>
        <w:tc>
          <w:tcPr>
            <w:tcW w:w="1355" w:type="dxa"/>
            <w:noWrap/>
            <w:hideMark/>
          </w:tcPr>
          <w:p w:rsidR="00A210E9" w:rsidRPr="00A210E9" w:rsidP="00A210E9">
            <w:pPr>
              <w:bidi w:val="0"/>
              <w:spacing w:line="269" w:lineRule="auto"/>
              <w:jc w:val="right"/>
              <w:rPr>
                <w:rFonts w:ascii="David" w:eastAsia="Times New Roman" w:hAnsi="David"/>
                <w:color w:val="000000"/>
                <w:sz w:val="22"/>
                <w:szCs w:val="22"/>
              </w:rPr>
            </w:pPr>
            <w:r w:rsidRPr="00A210E9">
              <w:rPr>
                <w:rFonts w:ascii="David" w:eastAsia="Times New Roman" w:hAnsi="David"/>
                <w:color w:val="000000"/>
                <w:sz w:val="22"/>
                <w:szCs w:val="22"/>
              </w:rPr>
              <w:t>1</w:t>
            </w:r>
          </w:p>
        </w:tc>
      </w:tr>
      <w:tr w:rsidTr="00A210E9">
        <w:tblPrEx>
          <w:tblW w:w="7512" w:type="dxa"/>
          <w:jc w:val="center"/>
          <w:tblLook w:val="04A0"/>
        </w:tblPrEx>
        <w:trPr>
          <w:trHeight w:val="247"/>
          <w:jc w:val="center"/>
        </w:trPr>
        <w:tc>
          <w:tcPr>
            <w:tcW w:w="1419" w:type="dxa"/>
            <w:noWrap/>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tl/>
              </w:rPr>
              <w:t>צרפת</w:t>
            </w:r>
          </w:p>
        </w:tc>
        <w:tc>
          <w:tcPr>
            <w:tcW w:w="2127" w:type="dxa"/>
            <w:noWrap/>
            <w:hideMark/>
          </w:tcPr>
          <w:p w:rsidR="00A210E9" w:rsidRPr="00A210E9" w:rsidP="00A210E9">
            <w:pPr>
              <w:bidi w:val="0"/>
              <w:spacing w:line="269" w:lineRule="auto"/>
              <w:jc w:val="right"/>
              <w:rPr>
                <w:rFonts w:ascii="David" w:eastAsia="Times New Roman" w:hAnsi="David"/>
                <w:color w:val="000000"/>
                <w:sz w:val="22"/>
                <w:szCs w:val="22"/>
                <w:rtl/>
              </w:rPr>
            </w:pPr>
            <w:r w:rsidRPr="00A210E9">
              <w:rPr>
                <w:rFonts w:ascii="David" w:eastAsia="Times New Roman" w:hAnsi="David"/>
                <w:color w:val="000000"/>
                <w:sz w:val="22"/>
                <w:szCs w:val="22"/>
              </w:rPr>
              <w:t>1</w:t>
            </w:r>
          </w:p>
        </w:tc>
        <w:tc>
          <w:tcPr>
            <w:tcW w:w="2611" w:type="dxa"/>
            <w:noWrap/>
            <w:hideMark/>
          </w:tcPr>
          <w:p w:rsidR="00A210E9" w:rsidRPr="00A210E9" w:rsidP="00A210E9">
            <w:pPr>
              <w:bidi w:val="0"/>
              <w:spacing w:line="269" w:lineRule="auto"/>
              <w:jc w:val="right"/>
              <w:rPr>
                <w:rFonts w:ascii="David" w:eastAsia="Times New Roman" w:hAnsi="David"/>
                <w:color w:val="000000"/>
                <w:sz w:val="22"/>
                <w:szCs w:val="22"/>
              </w:rPr>
            </w:pPr>
          </w:p>
        </w:tc>
        <w:tc>
          <w:tcPr>
            <w:tcW w:w="1355" w:type="dxa"/>
            <w:noWrap/>
            <w:hideMark/>
          </w:tcPr>
          <w:p w:rsidR="00A210E9" w:rsidRPr="00A210E9" w:rsidP="00A210E9">
            <w:pPr>
              <w:bidi w:val="0"/>
              <w:spacing w:line="269" w:lineRule="auto"/>
              <w:jc w:val="right"/>
              <w:rPr>
                <w:rFonts w:ascii="David" w:eastAsia="Times New Roman" w:hAnsi="David"/>
                <w:color w:val="000000"/>
                <w:sz w:val="22"/>
                <w:szCs w:val="22"/>
              </w:rPr>
            </w:pPr>
            <w:r w:rsidRPr="00A210E9">
              <w:rPr>
                <w:rFonts w:ascii="David" w:eastAsia="Times New Roman" w:hAnsi="David"/>
                <w:color w:val="000000"/>
                <w:sz w:val="22"/>
                <w:szCs w:val="22"/>
              </w:rPr>
              <w:t>1</w:t>
            </w:r>
          </w:p>
        </w:tc>
      </w:tr>
      <w:tr w:rsidTr="00A157C9">
        <w:tblPrEx>
          <w:tblW w:w="7512" w:type="dxa"/>
          <w:jc w:val="center"/>
          <w:tblLook w:val="04A0"/>
        </w:tblPrEx>
        <w:trPr>
          <w:trHeight w:val="247"/>
          <w:jc w:val="center"/>
        </w:trPr>
        <w:tc>
          <w:tcPr>
            <w:tcW w:w="1419" w:type="dxa"/>
            <w:noWrap/>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tl/>
              </w:rPr>
              <w:t>קנדה</w:t>
            </w:r>
          </w:p>
        </w:tc>
        <w:tc>
          <w:tcPr>
            <w:tcW w:w="2127" w:type="dxa"/>
            <w:noWrap/>
            <w:hideMark/>
          </w:tcPr>
          <w:p w:rsidR="00A210E9" w:rsidRPr="00A210E9" w:rsidP="00A210E9">
            <w:pPr>
              <w:bidi w:val="0"/>
              <w:spacing w:line="269" w:lineRule="auto"/>
              <w:jc w:val="right"/>
              <w:rPr>
                <w:rFonts w:ascii="David" w:eastAsia="Times New Roman" w:hAnsi="David"/>
                <w:color w:val="000000"/>
                <w:sz w:val="22"/>
                <w:szCs w:val="22"/>
                <w:rtl/>
              </w:rPr>
            </w:pPr>
            <w:r w:rsidRPr="00A210E9">
              <w:rPr>
                <w:rFonts w:ascii="David" w:eastAsia="Times New Roman" w:hAnsi="David"/>
                <w:color w:val="000000"/>
                <w:sz w:val="22"/>
                <w:szCs w:val="22"/>
              </w:rPr>
              <w:t>3</w:t>
            </w:r>
          </w:p>
        </w:tc>
        <w:tc>
          <w:tcPr>
            <w:tcW w:w="2611" w:type="dxa"/>
            <w:noWrap/>
            <w:hideMark/>
          </w:tcPr>
          <w:p w:rsidR="00A210E9" w:rsidRPr="00A210E9" w:rsidP="00A210E9">
            <w:pPr>
              <w:bidi w:val="0"/>
              <w:spacing w:line="269" w:lineRule="auto"/>
              <w:jc w:val="right"/>
              <w:rPr>
                <w:rFonts w:ascii="David" w:eastAsia="Times New Roman" w:hAnsi="David"/>
                <w:color w:val="000000"/>
                <w:sz w:val="22"/>
                <w:szCs w:val="22"/>
              </w:rPr>
            </w:pPr>
          </w:p>
        </w:tc>
        <w:tc>
          <w:tcPr>
            <w:tcW w:w="1355" w:type="dxa"/>
            <w:noWrap/>
            <w:hideMark/>
          </w:tcPr>
          <w:p w:rsidR="00A210E9" w:rsidRPr="00A210E9" w:rsidP="00A210E9">
            <w:pPr>
              <w:bidi w:val="0"/>
              <w:spacing w:line="269" w:lineRule="auto"/>
              <w:jc w:val="right"/>
              <w:rPr>
                <w:rFonts w:ascii="David" w:eastAsia="Times New Roman" w:hAnsi="David"/>
                <w:color w:val="000000"/>
                <w:sz w:val="22"/>
                <w:szCs w:val="22"/>
              </w:rPr>
            </w:pPr>
            <w:r w:rsidRPr="00A210E9">
              <w:rPr>
                <w:rFonts w:ascii="David" w:eastAsia="Times New Roman" w:hAnsi="David"/>
                <w:color w:val="000000"/>
                <w:sz w:val="22"/>
                <w:szCs w:val="22"/>
              </w:rPr>
              <w:t>3</w:t>
            </w:r>
          </w:p>
        </w:tc>
      </w:tr>
      <w:tr w:rsidTr="00A210E9">
        <w:tblPrEx>
          <w:tblW w:w="7512" w:type="dxa"/>
          <w:jc w:val="center"/>
          <w:tblLook w:val="04A0"/>
        </w:tblPrEx>
        <w:trPr>
          <w:trHeight w:val="247"/>
          <w:jc w:val="center"/>
        </w:trPr>
        <w:tc>
          <w:tcPr>
            <w:tcW w:w="1419" w:type="dxa"/>
            <w:noWrap/>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tl/>
              </w:rPr>
              <w:t>שוו</w:t>
            </w:r>
            <w:r w:rsidRPr="00A210E9">
              <w:rPr>
                <w:rFonts w:ascii="David" w:eastAsia="Times New Roman" w:hAnsi="David" w:hint="cs"/>
                <w:color w:val="000000"/>
                <w:sz w:val="22"/>
                <w:szCs w:val="22"/>
                <w:rtl/>
              </w:rPr>
              <w:t>י</w:t>
            </w:r>
            <w:r w:rsidRPr="00A210E9">
              <w:rPr>
                <w:rFonts w:ascii="David" w:eastAsia="Times New Roman" w:hAnsi="David"/>
                <w:color w:val="000000"/>
                <w:sz w:val="22"/>
                <w:szCs w:val="22"/>
                <w:rtl/>
              </w:rPr>
              <w:t>יץ</w:t>
            </w:r>
          </w:p>
        </w:tc>
        <w:tc>
          <w:tcPr>
            <w:tcW w:w="2127" w:type="dxa"/>
            <w:noWrap/>
            <w:hideMark/>
          </w:tcPr>
          <w:p w:rsidR="00A210E9" w:rsidRPr="00A210E9" w:rsidP="00A210E9">
            <w:pPr>
              <w:spacing w:line="269" w:lineRule="auto"/>
              <w:jc w:val="left"/>
              <w:rPr>
                <w:rFonts w:ascii="David" w:eastAsia="Times New Roman" w:hAnsi="David"/>
                <w:color w:val="000000"/>
                <w:sz w:val="22"/>
                <w:szCs w:val="22"/>
                <w:rtl/>
              </w:rPr>
            </w:pPr>
          </w:p>
        </w:tc>
        <w:tc>
          <w:tcPr>
            <w:tcW w:w="2611" w:type="dxa"/>
            <w:noWrap/>
            <w:hideMark/>
          </w:tcPr>
          <w:p w:rsidR="00A210E9" w:rsidRPr="00A210E9" w:rsidP="00A210E9">
            <w:pPr>
              <w:bidi w:val="0"/>
              <w:spacing w:line="269" w:lineRule="auto"/>
              <w:jc w:val="right"/>
              <w:rPr>
                <w:rFonts w:ascii="David" w:eastAsia="Times New Roman" w:hAnsi="David"/>
                <w:color w:val="000000"/>
                <w:sz w:val="22"/>
                <w:szCs w:val="22"/>
              </w:rPr>
            </w:pPr>
            <w:r w:rsidRPr="00A210E9">
              <w:rPr>
                <w:rFonts w:ascii="David" w:eastAsia="Times New Roman" w:hAnsi="David"/>
                <w:color w:val="000000"/>
                <w:sz w:val="22"/>
                <w:szCs w:val="22"/>
              </w:rPr>
              <w:t>1</w:t>
            </w:r>
          </w:p>
        </w:tc>
        <w:tc>
          <w:tcPr>
            <w:tcW w:w="1355" w:type="dxa"/>
            <w:noWrap/>
            <w:hideMark/>
          </w:tcPr>
          <w:p w:rsidR="00A210E9" w:rsidRPr="00A210E9" w:rsidP="00A210E9">
            <w:pPr>
              <w:bidi w:val="0"/>
              <w:spacing w:line="269" w:lineRule="auto"/>
              <w:jc w:val="right"/>
              <w:rPr>
                <w:rFonts w:ascii="David" w:eastAsia="Times New Roman" w:hAnsi="David"/>
                <w:color w:val="000000"/>
                <w:sz w:val="22"/>
                <w:szCs w:val="22"/>
              </w:rPr>
            </w:pPr>
            <w:r w:rsidRPr="00A210E9">
              <w:rPr>
                <w:rFonts w:ascii="David" w:eastAsia="Times New Roman" w:hAnsi="David"/>
                <w:color w:val="000000"/>
                <w:sz w:val="22"/>
                <w:szCs w:val="22"/>
              </w:rPr>
              <w:t>1</w:t>
            </w:r>
          </w:p>
        </w:tc>
      </w:tr>
      <w:tr w:rsidTr="00A157C9">
        <w:tblPrEx>
          <w:tblW w:w="7512" w:type="dxa"/>
          <w:jc w:val="center"/>
          <w:tblLook w:val="04A0"/>
        </w:tblPrEx>
        <w:trPr>
          <w:trHeight w:val="247"/>
          <w:jc w:val="center"/>
        </w:trPr>
        <w:tc>
          <w:tcPr>
            <w:tcW w:w="1419" w:type="dxa"/>
            <w:noWrap/>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hint="cs"/>
                <w:color w:val="000000"/>
                <w:sz w:val="22"/>
                <w:szCs w:val="22"/>
                <w:rtl/>
              </w:rPr>
              <w:t>מספר</w:t>
            </w:r>
            <w:r w:rsidRPr="00A210E9">
              <w:rPr>
                <w:rFonts w:ascii="David" w:eastAsia="Times New Roman" w:hAnsi="David"/>
                <w:color w:val="000000"/>
                <w:sz w:val="22"/>
                <w:szCs w:val="22"/>
                <w:rtl/>
              </w:rPr>
              <w:t xml:space="preserve"> המדינות</w:t>
            </w:r>
          </w:p>
        </w:tc>
        <w:tc>
          <w:tcPr>
            <w:tcW w:w="2127" w:type="dxa"/>
            <w:noWrap/>
            <w:hideMark/>
          </w:tcPr>
          <w:p w:rsidR="00A210E9" w:rsidRPr="00A210E9" w:rsidP="00A210E9">
            <w:pPr>
              <w:bidi w:val="0"/>
              <w:spacing w:line="269" w:lineRule="auto"/>
              <w:jc w:val="right"/>
              <w:rPr>
                <w:rFonts w:ascii="David" w:eastAsia="Times New Roman" w:hAnsi="David"/>
                <w:color w:val="000000"/>
                <w:sz w:val="22"/>
                <w:szCs w:val="22"/>
                <w:rtl/>
              </w:rPr>
            </w:pPr>
            <w:r w:rsidRPr="00A210E9">
              <w:rPr>
                <w:rFonts w:ascii="David" w:eastAsia="Times New Roman" w:hAnsi="David"/>
                <w:color w:val="000000"/>
                <w:sz w:val="22"/>
                <w:szCs w:val="22"/>
              </w:rPr>
              <w:t>22</w:t>
            </w:r>
          </w:p>
        </w:tc>
        <w:tc>
          <w:tcPr>
            <w:tcW w:w="2611" w:type="dxa"/>
            <w:noWrap/>
            <w:hideMark/>
          </w:tcPr>
          <w:p w:rsidR="00A210E9" w:rsidRPr="00A210E9" w:rsidP="00A210E9">
            <w:pPr>
              <w:bidi w:val="0"/>
              <w:spacing w:line="269" w:lineRule="auto"/>
              <w:jc w:val="right"/>
              <w:rPr>
                <w:rFonts w:ascii="David" w:eastAsia="Times New Roman" w:hAnsi="David"/>
                <w:color w:val="000000"/>
                <w:sz w:val="22"/>
                <w:szCs w:val="22"/>
              </w:rPr>
            </w:pPr>
            <w:r w:rsidRPr="00A210E9">
              <w:rPr>
                <w:rFonts w:ascii="David" w:eastAsia="Times New Roman" w:hAnsi="David"/>
                <w:color w:val="000000"/>
                <w:sz w:val="22"/>
                <w:szCs w:val="22"/>
              </w:rPr>
              <w:t>5</w:t>
            </w:r>
          </w:p>
        </w:tc>
        <w:tc>
          <w:tcPr>
            <w:tcW w:w="1355" w:type="dxa"/>
            <w:noWrap/>
            <w:hideMark/>
          </w:tcPr>
          <w:p w:rsidR="00A210E9" w:rsidRPr="00A210E9" w:rsidP="00A210E9">
            <w:pPr>
              <w:bidi w:val="0"/>
              <w:spacing w:line="269" w:lineRule="auto"/>
              <w:jc w:val="right"/>
              <w:rPr>
                <w:rFonts w:ascii="David" w:eastAsia="Times New Roman" w:hAnsi="David"/>
                <w:color w:val="000000"/>
                <w:sz w:val="22"/>
                <w:szCs w:val="22"/>
              </w:rPr>
            </w:pPr>
            <w:r w:rsidRPr="00A210E9">
              <w:rPr>
                <w:rFonts w:ascii="David" w:eastAsia="Times New Roman" w:hAnsi="David"/>
                <w:color w:val="000000"/>
                <w:sz w:val="22"/>
                <w:szCs w:val="22"/>
              </w:rPr>
              <w:t>27</w:t>
            </w:r>
          </w:p>
        </w:tc>
      </w:tr>
    </w:tbl>
    <w:p w:rsidR="00A210E9" w:rsidRPr="00A210E9" w:rsidP="00A210E9">
      <w:pPr>
        <w:spacing w:line="269" w:lineRule="auto"/>
        <w:rPr>
          <w:rFonts w:ascii="David" w:eastAsia="Times New Roman" w:hAnsi="David"/>
          <w:szCs w:val="20"/>
          <w:rtl/>
        </w:rPr>
      </w:pPr>
      <w:r w:rsidRPr="00A210E9">
        <w:rPr>
          <w:rFonts w:ascii="David" w:eastAsia="Times New Roman" w:hAnsi="David" w:hint="eastAsia"/>
          <w:szCs w:val="20"/>
          <w:rtl/>
        </w:rPr>
        <w:t>על</w:t>
      </w:r>
      <w:r w:rsidRPr="00A210E9">
        <w:rPr>
          <w:rFonts w:ascii="David" w:eastAsia="Times New Roman" w:hAnsi="David"/>
          <w:szCs w:val="20"/>
          <w:rtl/>
        </w:rPr>
        <w:t xml:space="preserve"> פי משרד התחבורה והבטיחות בדרכים, מינהל תכנון ופיתוח תשתיות, </w:t>
      </w:r>
      <w:r w:rsidRPr="00A210E9">
        <w:rPr>
          <w:rFonts w:ascii="David" w:eastAsia="Times New Roman" w:hAnsi="David"/>
          <w:b/>
          <w:bCs/>
          <w:szCs w:val="20"/>
          <w:rtl/>
        </w:rPr>
        <w:t>"התוכנית הלאומית לחניה"</w:t>
      </w:r>
      <w:r w:rsidRPr="00A210E9">
        <w:rPr>
          <w:rFonts w:ascii="David" w:eastAsia="Times New Roman" w:hAnsi="David"/>
          <w:szCs w:val="20"/>
          <w:rtl/>
        </w:rPr>
        <w:t>, מרץ 2023, בעיבוד משרד מבקר המדינה.</w:t>
      </w:r>
    </w:p>
    <w:p w:rsidR="00A210E9" w:rsidRPr="00A210E9" w:rsidP="00A210E9">
      <w:pPr>
        <w:keepNext/>
        <w:keepLines/>
        <w:spacing w:line="269" w:lineRule="auto"/>
        <w:ind w:left="-567"/>
        <w:rPr>
          <w:rFonts w:eastAsia="Calibri"/>
          <w:szCs w:val="20"/>
        </w:rPr>
      </w:pPr>
    </w:p>
    <w:p w:rsidR="00A210E9" w:rsidRPr="00A210E9" w:rsidP="00A210E9">
      <w:pPr>
        <w:spacing w:line="269" w:lineRule="auto"/>
        <w:rPr>
          <w:rFonts w:eastAsia="Calibri"/>
          <w:b/>
          <w:bCs/>
          <w:rtl/>
        </w:rPr>
      </w:pPr>
      <w:bookmarkStart w:id="94" w:name="_Hlk223010372"/>
      <w:r w:rsidRPr="00A210E9">
        <w:rPr>
          <w:rFonts w:eastAsia="Calibri" w:hint="cs"/>
          <w:b/>
          <w:bCs/>
          <w:rtl/>
        </w:rPr>
        <w:t xml:space="preserve">מההשוואה </w:t>
      </w:r>
      <w:r w:rsidRPr="00A210E9">
        <w:rPr>
          <w:rFonts w:eastAsia="Calibri"/>
          <w:b/>
          <w:bCs/>
          <w:rtl/>
        </w:rPr>
        <w:t>הבין-לאומית</w:t>
      </w:r>
      <w:r w:rsidRPr="00A210E9">
        <w:rPr>
          <w:rFonts w:eastAsia="Calibri" w:hint="cs"/>
          <w:b/>
          <w:bCs/>
          <w:rtl/>
        </w:rPr>
        <w:t xml:space="preserve"> בתחום מדיניות החניה במרחב הציבורי עולה כי ב-22 מהמדינות שבדק משרד התחבורה חל איסור על חניה במקומות אסורים גם לרכב עם תג חניה, וב-5 מדינות החניה במקומות אסורים מותרת בתנאים שונים (לדוגמה, החניה היא על ה</w:t>
      </w:r>
      <w:r w:rsidRPr="00A210E9">
        <w:rPr>
          <w:rFonts w:eastAsia="Calibri"/>
          <w:b/>
          <w:bCs/>
          <w:rtl/>
        </w:rPr>
        <w:t>מיסעה</w:t>
      </w:r>
      <w:r w:rsidRPr="00A210E9">
        <w:rPr>
          <w:rFonts w:eastAsia="Calibri" w:hint="cs"/>
          <w:b/>
          <w:bCs/>
          <w:rtl/>
        </w:rPr>
        <w:t xml:space="preserve">, כלומר לא </w:t>
      </w:r>
      <w:r w:rsidRPr="00A210E9">
        <w:rPr>
          <w:rFonts w:eastAsia="Calibri" w:hint="cs"/>
          <w:b/>
          <w:bCs/>
          <w:rtl/>
        </w:rPr>
        <w:t xml:space="preserve">על המדרכה, והיא מוגבלת בזמן). </w:t>
      </w:r>
      <w:r w:rsidRPr="00A210E9">
        <w:rPr>
          <w:rFonts w:eastAsia="Calibri" w:hint="eastAsia"/>
          <w:b/>
          <w:bCs/>
          <w:rtl/>
        </w:rPr>
        <w:t>ואילו</w:t>
      </w:r>
      <w:r w:rsidRPr="00A210E9">
        <w:rPr>
          <w:rFonts w:eastAsia="Calibri" w:hint="cs"/>
          <w:b/>
          <w:bCs/>
          <w:rtl/>
        </w:rPr>
        <w:t xml:space="preserve"> בישראל החניה במקומות אסורים מותרת (גם על מדרכה) </w:t>
      </w:r>
      <w:r w:rsidRPr="00A210E9">
        <w:rPr>
          <w:rFonts w:eastAsia="Calibri"/>
          <w:b/>
          <w:bCs/>
          <w:rtl/>
        </w:rPr>
        <w:t>בתנאי שלא היה בסמוך מקום חניה מוסדר פנוי, וכל עוד החניה אינה מפריעה לתנועת רכבים או להולכי רגל ואינה מסכנת עוברי דרך.</w:t>
      </w:r>
      <w:r w:rsidRPr="00A210E9">
        <w:rPr>
          <w:rFonts w:eastAsia="Calibri" w:hint="cs"/>
          <w:b/>
          <w:bCs/>
          <w:rtl/>
        </w:rPr>
        <w:t xml:space="preserve"> בנוסף לכך, החניה בישראל אינה מוגבלת בזמן.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eastAsia"/>
          <w:rtl/>
        </w:rPr>
        <w:t>החשכ</w:t>
      </w:r>
      <w:r w:rsidRPr="00A210E9">
        <w:rPr>
          <w:rFonts w:eastAsia="Calibri"/>
          <w:rtl/>
        </w:rPr>
        <w:t xml:space="preserve">"ל מסר בתשובתו </w:t>
      </w:r>
      <w:r w:rsidRPr="00A210E9">
        <w:rPr>
          <w:rFonts w:eastAsia="Calibri" w:hint="eastAsia"/>
          <w:rtl/>
        </w:rPr>
        <w:t>ממאי</w:t>
      </w:r>
      <w:r w:rsidRPr="00A210E9">
        <w:rPr>
          <w:rFonts w:eastAsia="Calibri"/>
          <w:rtl/>
        </w:rPr>
        <w:t xml:space="preserve"> 2026 כי </w:t>
      </w:r>
      <w:r w:rsidRPr="00A210E9">
        <w:rPr>
          <w:rFonts w:eastAsia="Calibri" w:hint="cs"/>
          <w:rtl/>
        </w:rPr>
        <w:t>ה</w:t>
      </w:r>
      <w:r w:rsidRPr="00A210E9">
        <w:rPr>
          <w:rFonts w:eastAsia="Calibri" w:hint="eastAsia"/>
          <w:rtl/>
        </w:rPr>
        <w:t xml:space="preserve">צוות </w:t>
      </w:r>
      <w:r w:rsidRPr="00A210E9">
        <w:rPr>
          <w:rFonts w:eastAsia="Calibri" w:hint="cs"/>
          <w:rtl/>
        </w:rPr>
        <w:t>ה</w:t>
      </w:r>
      <w:r w:rsidRPr="00A210E9">
        <w:rPr>
          <w:rFonts w:eastAsia="Calibri" w:hint="eastAsia"/>
          <w:rtl/>
        </w:rPr>
        <w:t>בין-משרדי 2025</w:t>
      </w:r>
      <w:r w:rsidRPr="00A210E9">
        <w:rPr>
          <w:rFonts w:eastAsia="Calibri"/>
          <w:rtl/>
        </w:rPr>
        <w:t xml:space="preserve"> </w:t>
      </w:r>
      <w:r w:rsidRPr="00A210E9">
        <w:rPr>
          <w:rFonts w:eastAsia="Calibri" w:hint="cs"/>
          <w:rtl/>
        </w:rPr>
        <w:t>מתכוון להמליץ ש</w:t>
      </w:r>
      <w:r w:rsidRPr="00A210E9">
        <w:rPr>
          <w:rFonts w:eastAsia="Calibri"/>
          <w:rtl/>
        </w:rPr>
        <w:t xml:space="preserve">החניה במקומות אסורים תוגבל לרבע שעה בלבד וכי </w:t>
      </w:r>
      <w:r w:rsidRPr="00A210E9">
        <w:rPr>
          <w:rFonts w:eastAsia="Calibri" w:hint="eastAsia"/>
          <w:rtl/>
        </w:rPr>
        <w:t>הצוות</w:t>
      </w:r>
      <w:r w:rsidRPr="00A210E9">
        <w:rPr>
          <w:rFonts w:eastAsia="Calibri"/>
          <w:rtl/>
        </w:rPr>
        <w:t xml:space="preserve"> </w:t>
      </w:r>
      <w:r w:rsidRPr="00A210E9">
        <w:rPr>
          <w:rFonts w:eastAsia="Calibri" w:hint="cs"/>
          <w:rtl/>
        </w:rPr>
        <w:t>מתכוון להציע</w:t>
      </w:r>
      <w:r w:rsidRPr="00A210E9">
        <w:rPr>
          <w:rFonts w:eastAsia="Calibri"/>
          <w:rtl/>
        </w:rPr>
        <w:t xml:space="preserve"> </w:t>
      </w:r>
      <w:r w:rsidRPr="00A210E9">
        <w:rPr>
          <w:rFonts w:eastAsia="Calibri" w:hint="cs"/>
          <w:rtl/>
        </w:rPr>
        <w:t>גם שימוש ב</w:t>
      </w:r>
      <w:r w:rsidRPr="00A210E9">
        <w:rPr>
          <w:rFonts w:eastAsia="Calibri"/>
          <w:rtl/>
        </w:rPr>
        <w:t>מנגנון דיגיטלי שיאפשר להגביל בפועל את משך השימוש</w:t>
      </w:r>
      <w:r w:rsidRPr="00A210E9">
        <w:rPr>
          <w:rFonts w:eastAsia="Calibri" w:hint="cs"/>
          <w:rtl/>
        </w:rPr>
        <w:t xml:space="preserve"> בחניה במקומות אלה</w:t>
      </w:r>
      <w:r w:rsidRPr="00A210E9">
        <w:rPr>
          <w:rFonts w:eastAsia="Calibri"/>
          <w:rtl/>
        </w:rPr>
        <w:t>.</w:t>
      </w:r>
    </w:p>
    <w:bookmarkEnd w:id="94"/>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נוכח המגמות של ריבוי תגי חניה, ולאור המצב בתחומי הרשויות המקומיות</w:t>
      </w:r>
      <w:r>
        <w:rPr>
          <w:rFonts w:eastAsia="Calibri"/>
          <w:b/>
          <w:bCs/>
          <w:vertAlign w:val="superscript"/>
          <w:rtl/>
        </w:rPr>
        <w:footnoteReference w:id="72"/>
      </w:r>
      <w:r w:rsidRPr="00A210E9">
        <w:rPr>
          <w:rFonts w:eastAsia="Calibri" w:hint="cs"/>
          <w:b/>
          <w:bCs/>
          <w:rtl/>
        </w:rPr>
        <w:t xml:space="preserve">, משרד מבקר המדינה ממליץ למשרד </w:t>
      </w:r>
      <w:r w:rsidRPr="00A210E9">
        <w:rPr>
          <w:rFonts w:eastAsia="Calibri" w:hint="eastAsia"/>
          <w:b/>
          <w:bCs/>
          <w:rtl/>
        </w:rPr>
        <w:t>התחבורה</w:t>
      </w:r>
      <w:r>
        <w:rPr>
          <w:rFonts w:eastAsia="Calibri"/>
          <w:b/>
          <w:bCs/>
          <w:vertAlign w:val="superscript"/>
          <w:rtl/>
        </w:rPr>
        <w:footnoteReference w:id="73"/>
      </w:r>
      <w:r w:rsidRPr="00A210E9">
        <w:rPr>
          <w:rFonts w:eastAsia="Calibri" w:hint="cs"/>
          <w:b/>
          <w:bCs/>
          <w:rtl/>
        </w:rPr>
        <w:t xml:space="preserve">, החבר בצוות הבין-משרדי 2025, בשיתוף עם נציבות שוויון זכויות ובהתייעצות עם מש"ם, תוך שמיעת רשויות מקומיות וארגונים המייצגים אנשים עם מוגבלות, לבחון את המדיניות המאפשרת לבעלי תג חניה לחנות במקומות אסורים, </w:t>
      </w:r>
      <w:r w:rsidRPr="00A210E9">
        <w:rPr>
          <w:rFonts w:eastAsia="Calibri"/>
          <w:b/>
          <w:bCs/>
          <w:rtl/>
        </w:rPr>
        <w:t xml:space="preserve">לגבש מודל </w:t>
      </w:r>
      <w:r w:rsidRPr="00A210E9">
        <w:rPr>
          <w:rFonts w:eastAsia="Calibri" w:hint="cs"/>
          <w:b/>
          <w:bCs/>
          <w:rtl/>
        </w:rPr>
        <w:t>מתאים</w:t>
      </w:r>
      <w:r w:rsidRPr="00A210E9">
        <w:rPr>
          <w:rFonts w:eastAsia="Calibri"/>
          <w:b/>
          <w:bCs/>
          <w:rtl/>
        </w:rPr>
        <w:t xml:space="preserve"> </w:t>
      </w:r>
      <w:r w:rsidRPr="00A210E9">
        <w:rPr>
          <w:rFonts w:eastAsia="Calibri" w:hint="cs"/>
          <w:b/>
          <w:bCs/>
          <w:rtl/>
        </w:rPr>
        <w:t>תוך בחינת</w:t>
      </w:r>
      <w:r w:rsidRPr="00A210E9">
        <w:rPr>
          <w:rFonts w:eastAsia="Calibri"/>
          <w:b/>
          <w:bCs/>
          <w:rtl/>
        </w:rPr>
        <w:t xml:space="preserve"> </w:t>
      </w:r>
      <w:r w:rsidRPr="00A210E9">
        <w:rPr>
          <w:rFonts w:eastAsia="Calibri" w:hint="cs"/>
          <w:b/>
          <w:bCs/>
          <w:rtl/>
        </w:rPr>
        <w:t>ה</w:t>
      </w:r>
      <w:r w:rsidRPr="00A210E9">
        <w:rPr>
          <w:rFonts w:eastAsia="Calibri"/>
          <w:b/>
          <w:bCs/>
          <w:rtl/>
        </w:rPr>
        <w:t>פרקטיקות הנהוגות במדינות מפותחות בעולם</w:t>
      </w:r>
      <w:r w:rsidRPr="00A210E9">
        <w:rPr>
          <w:rFonts w:eastAsia="Calibri" w:hint="cs"/>
          <w:b/>
          <w:bCs/>
          <w:rtl/>
        </w:rPr>
        <w:t>, ובמידת הצורך על משרד התחבורה ליזום שינויי חקיקה מתאימים.</w:t>
      </w:r>
    </w:p>
    <w:p w:rsidR="00A210E9" w:rsidRPr="00A210E9" w:rsidP="00A210E9">
      <w:pPr>
        <w:keepNext/>
        <w:keepLines/>
        <w:spacing w:line="269" w:lineRule="auto"/>
        <w:ind w:left="-567"/>
        <w:rPr>
          <w:rFonts w:eastAsia="Calibri"/>
          <w:szCs w:val="20"/>
          <w:rtl/>
        </w:rPr>
      </w:pPr>
    </w:p>
    <w:p w:rsidR="00A210E9" w:rsidRPr="00A210E9" w:rsidP="00A210E9">
      <w:pPr>
        <w:keepNext/>
        <w:keepLines/>
        <w:spacing w:line="269" w:lineRule="auto"/>
        <w:outlineLvl w:val="4"/>
        <w:rPr>
          <w:rFonts w:eastAsia="Times New Roman"/>
          <w:bCs/>
          <w:spacing w:val="40"/>
          <w:rtl/>
        </w:rPr>
      </w:pPr>
      <w:r w:rsidRPr="00A210E9">
        <w:rPr>
          <w:rFonts w:eastAsia="Times New Roman"/>
          <w:bCs/>
          <w:spacing w:val="40"/>
          <w:rtl/>
        </w:rPr>
        <w:t>חניה אישית</w:t>
      </w:r>
    </w:p>
    <w:p w:rsidR="00A210E9" w:rsidRPr="00A210E9" w:rsidP="00A210E9">
      <w:pPr>
        <w:keepNext/>
        <w:keepLines/>
        <w:spacing w:line="269" w:lineRule="auto"/>
        <w:ind w:left="-567"/>
        <w:rPr>
          <w:rFonts w:eastAsia="Calibri"/>
          <w:szCs w:val="20"/>
        </w:rPr>
      </w:pPr>
    </w:p>
    <w:p w:rsidR="00A210E9" w:rsidRPr="00A210E9" w:rsidP="00A210E9">
      <w:pPr>
        <w:spacing w:line="269" w:lineRule="auto"/>
        <w:rPr>
          <w:rFonts w:ascii="David" w:eastAsia="Times New Roman" w:hAnsi="David"/>
          <w:sz w:val="24"/>
          <w:rtl/>
        </w:rPr>
      </w:pPr>
      <w:r w:rsidRPr="00A210E9">
        <w:rPr>
          <w:rFonts w:ascii="David" w:eastAsia="Times New Roman" w:hAnsi="David" w:hint="cs"/>
          <w:sz w:val="24"/>
          <w:rtl/>
        </w:rPr>
        <w:t xml:space="preserve">חוק חניה לנכים קובע קריטריונים להקצאת </w:t>
      </w:r>
      <w:r w:rsidRPr="00A210E9">
        <w:rPr>
          <w:rFonts w:ascii="David" w:eastAsia="Times New Roman" w:hAnsi="David"/>
          <w:sz w:val="24"/>
          <w:rtl/>
        </w:rPr>
        <w:t>חניה איש</w:t>
      </w:r>
      <w:r w:rsidRPr="00A210E9">
        <w:rPr>
          <w:rFonts w:ascii="David" w:eastAsia="Times New Roman" w:hAnsi="David" w:hint="cs"/>
          <w:sz w:val="24"/>
          <w:rtl/>
        </w:rPr>
        <w:t>י</w:t>
      </w:r>
      <w:r w:rsidRPr="00A210E9">
        <w:rPr>
          <w:rFonts w:ascii="David" w:eastAsia="Times New Roman" w:hAnsi="David"/>
          <w:sz w:val="24"/>
          <w:rtl/>
        </w:rPr>
        <w:t>ת</w:t>
      </w:r>
      <w:r w:rsidRPr="00A210E9">
        <w:rPr>
          <w:rFonts w:ascii="David" w:eastAsia="Times New Roman" w:hAnsi="David" w:hint="cs"/>
          <w:sz w:val="24"/>
          <w:rtl/>
        </w:rPr>
        <w:t xml:space="preserve"> אחת המתאימה לצרכיו של בעל התג בסמוך לביתו, ומקנה לרשות המקומית שיקול דעת לגבי מקרים שאינם עומדים בקריטריונים. במקרים מסוימים הרשות המקומית אף מקצה מקום חניה אישי לבעל תג בסמוך למקום עבודתו. </w:t>
      </w:r>
    </w:p>
    <w:p w:rsidR="00A210E9" w:rsidRPr="00A210E9" w:rsidP="00A210E9">
      <w:pPr>
        <w:spacing w:line="269" w:lineRule="auto"/>
        <w:rPr>
          <w:rFonts w:ascii="David" w:eastAsia="Times New Roman" w:hAnsi="David"/>
          <w:sz w:val="24"/>
          <w:rtl/>
        </w:rPr>
      </w:pPr>
    </w:p>
    <w:p w:rsidR="00A210E9" w:rsidRPr="00A210E9" w:rsidP="00A210E9">
      <w:pPr>
        <w:keepNext/>
        <w:keepLines/>
        <w:spacing w:line="269" w:lineRule="auto"/>
        <w:outlineLvl w:val="3"/>
        <w:rPr>
          <w:rFonts w:eastAsia="Times New Roman"/>
          <w:bCs/>
          <w:szCs w:val="26"/>
          <w:rtl/>
        </w:rPr>
      </w:pPr>
      <w:r w:rsidRPr="00A210E9">
        <w:rPr>
          <w:rFonts w:eastAsia="Times New Roman"/>
          <w:bCs/>
          <w:szCs w:val="26"/>
          <w:rtl/>
        </w:rPr>
        <w:t>נסיעה בנת</w:t>
      </w:r>
      <w:r w:rsidRPr="00A210E9">
        <w:rPr>
          <w:rFonts w:eastAsia="Times New Roman" w:hint="cs"/>
          <w:bCs/>
          <w:szCs w:val="26"/>
          <w:rtl/>
        </w:rPr>
        <w:t>יב שמיועד לתחבורה ציבורית</w:t>
      </w:r>
    </w:p>
    <w:p w:rsidR="00A210E9" w:rsidRPr="00A210E9" w:rsidP="00A210E9">
      <w:pPr>
        <w:keepNext/>
        <w:keepLines/>
        <w:spacing w:line="269" w:lineRule="auto"/>
        <w:ind w:left="-567"/>
        <w:rPr>
          <w:rFonts w:eastAsia="Calibri"/>
          <w:szCs w:val="20"/>
        </w:rPr>
      </w:pPr>
    </w:p>
    <w:p w:rsidR="00A210E9" w:rsidRPr="00A210E9" w:rsidP="00A210E9">
      <w:pPr>
        <w:spacing w:line="269" w:lineRule="auto"/>
        <w:rPr>
          <w:rFonts w:ascii="David" w:eastAsia="Times New Roman" w:hAnsi="David"/>
          <w:sz w:val="24"/>
          <w:rtl/>
        </w:rPr>
      </w:pPr>
      <w:r w:rsidRPr="00A210E9">
        <w:rPr>
          <w:rFonts w:ascii="David" w:eastAsia="Times New Roman" w:hAnsi="David"/>
          <w:sz w:val="24"/>
          <w:rtl/>
        </w:rPr>
        <w:t xml:space="preserve">בעלי תג </w:t>
      </w:r>
      <w:r w:rsidRPr="00A210E9">
        <w:rPr>
          <w:rFonts w:ascii="David" w:eastAsia="Times New Roman" w:hAnsi="David" w:hint="cs"/>
          <w:sz w:val="24"/>
          <w:rtl/>
        </w:rPr>
        <w:t>כיסא גלגלים</w:t>
      </w:r>
      <w:r w:rsidRPr="00A210E9">
        <w:rPr>
          <w:rFonts w:ascii="David" w:eastAsia="Times New Roman" w:hAnsi="David"/>
          <w:sz w:val="24"/>
          <w:rtl/>
        </w:rPr>
        <w:t xml:space="preserve"> </w:t>
      </w:r>
      <w:r w:rsidRPr="00A210E9">
        <w:rPr>
          <w:rFonts w:ascii="David" w:eastAsia="Times New Roman" w:hAnsi="David" w:hint="cs"/>
          <w:sz w:val="24"/>
          <w:rtl/>
        </w:rPr>
        <w:t>זכאים</w:t>
      </w:r>
      <w:r w:rsidRPr="00A210E9">
        <w:rPr>
          <w:rFonts w:ascii="David" w:eastAsia="Times New Roman" w:hAnsi="David"/>
          <w:sz w:val="24"/>
          <w:rtl/>
        </w:rPr>
        <w:t xml:space="preserve"> לנסוע בנתיבי תחבורה ציבורית, כלומר נתיבים המיועדים לתחבורה ציבורית בלבד</w:t>
      </w:r>
      <w:r>
        <w:rPr>
          <w:rFonts w:ascii="David" w:eastAsia="Times New Roman" w:hAnsi="David"/>
          <w:sz w:val="24"/>
          <w:vertAlign w:val="superscript"/>
          <w:rtl/>
        </w:rPr>
        <w:footnoteReference w:id="74"/>
      </w:r>
      <w:r w:rsidRPr="00A210E9">
        <w:rPr>
          <w:rFonts w:ascii="David" w:eastAsia="Times New Roman" w:hAnsi="David"/>
          <w:sz w:val="24"/>
          <w:rtl/>
        </w:rPr>
        <w:t>. ההיתר לנסיעה בנת"צ</w:t>
      </w:r>
      <w:r w:rsidRPr="00A210E9">
        <w:rPr>
          <w:rFonts w:ascii="David" w:eastAsia="Times New Roman" w:hAnsi="David" w:hint="cs"/>
          <w:sz w:val="24"/>
          <w:rtl/>
        </w:rPr>
        <w:t>ים</w:t>
      </w:r>
      <w:r w:rsidRPr="00A210E9">
        <w:rPr>
          <w:rFonts w:ascii="David" w:eastAsia="Times New Roman" w:hAnsi="David"/>
          <w:sz w:val="24"/>
          <w:rtl/>
        </w:rPr>
        <w:t xml:space="preserve"> מאפשר </w:t>
      </w:r>
      <w:r w:rsidRPr="00A210E9">
        <w:rPr>
          <w:rFonts w:ascii="David" w:eastAsia="Times New Roman" w:hAnsi="David" w:hint="cs"/>
          <w:sz w:val="24"/>
          <w:rtl/>
        </w:rPr>
        <w:t>לאנשים עם מוגבלות</w:t>
      </w:r>
      <w:r w:rsidRPr="00A210E9">
        <w:rPr>
          <w:rFonts w:ascii="David" w:eastAsia="Times New Roman" w:hAnsi="David"/>
          <w:sz w:val="24"/>
          <w:rtl/>
        </w:rPr>
        <w:t xml:space="preserve"> להימנע מעיכובים בתנועה ולחסוך בזמן הנסיעה</w:t>
      </w:r>
      <w:r w:rsidRPr="00A210E9">
        <w:rPr>
          <w:rFonts w:ascii="David" w:eastAsia="Times New Roman" w:hAnsi="David"/>
          <w:sz w:val="24"/>
        </w:rPr>
        <w:t>.</w:t>
      </w:r>
    </w:p>
    <w:p w:rsidR="00A210E9" w:rsidRPr="00A210E9" w:rsidP="00A210E9">
      <w:pPr>
        <w:spacing w:line="269" w:lineRule="auto"/>
        <w:rPr>
          <w:rFonts w:ascii="David" w:eastAsia="Times New Roman" w:hAnsi="David"/>
          <w:sz w:val="24"/>
          <w:rtl/>
        </w:rPr>
      </w:pPr>
    </w:p>
    <w:p w:rsidR="00A210E9" w:rsidRPr="00A210E9" w:rsidP="00A210E9">
      <w:pPr>
        <w:keepNext/>
        <w:keepLines/>
        <w:spacing w:line="269" w:lineRule="auto"/>
        <w:outlineLvl w:val="3"/>
        <w:rPr>
          <w:rFonts w:eastAsia="Times New Roman"/>
          <w:bCs/>
          <w:szCs w:val="26"/>
          <w:rtl/>
        </w:rPr>
      </w:pPr>
      <w:r w:rsidRPr="00A210E9">
        <w:rPr>
          <w:rFonts w:eastAsia="Times New Roman"/>
          <w:bCs/>
          <w:szCs w:val="26"/>
          <w:rtl/>
        </w:rPr>
        <w:t xml:space="preserve">הטבות כלכליות </w:t>
      </w:r>
    </w:p>
    <w:p w:rsidR="00A210E9" w:rsidRPr="00A210E9" w:rsidP="00A210E9">
      <w:pPr>
        <w:keepNext/>
        <w:keepLines/>
        <w:spacing w:line="269" w:lineRule="auto"/>
        <w:ind w:left="-567"/>
        <w:rPr>
          <w:rFonts w:ascii="David" w:eastAsia="Times New Roman" w:hAnsi="David"/>
          <w:rtl/>
        </w:rPr>
      </w:pPr>
    </w:p>
    <w:p w:rsidR="00A210E9" w:rsidRPr="00A210E9" w:rsidP="00A210E9">
      <w:pPr>
        <w:spacing w:line="269" w:lineRule="auto"/>
        <w:rPr>
          <w:rFonts w:ascii="David" w:eastAsia="Times New Roman" w:hAnsi="David"/>
          <w:rtl/>
        </w:rPr>
      </w:pPr>
      <w:r w:rsidRPr="00A210E9">
        <w:rPr>
          <w:rFonts w:ascii="David" w:eastAsia="Times New Roman" w:hAnsi="David" w:hint="cs"/>
          <w:rtl/>
        </w:rPr>
        <w:t>מלבד ההטבות בתחום התעבורה, תג חניה מקנה גם שורה של הטבות כלכליות, כמפורט להלן:</w:t>
      </w:r>
    </w:p>
    <w:p w:rsidR="00A210E9" w:rsidRPr="00A210E9" w:rsidP="00A210E9">
      <w:pPr>
        <w:keepNext/>
        <w:keepLines/>
        <w:spacing w:line="269" w:lineRule="auto"/>
        <w:ind w:left="-567"/>
        <w:rPr>
          <w:rFonts w:ascii="David" w:eastAsia="Times New Roman" w:hAnsi="David"/>
          <w:rtl/>
        </w:rPr>
      </w:pPr>
    </w:p>
    <w:p w:rsidR="00A210E9" w:rsidRPr="00A210E9" w:rsidP="00A210E9">
      <w:pPr>
        <w:keepNext/>
        <w:keepLines/>
        <w:spacing w:line="269" w:lineRule="auto"/>
        <w:outlineLvl w:val="4"/>
        <w:rPr>
          <w:rFonts w:eastAsia="Times New Roman"/>
          <w:bCs/>
          <w:spacing w:val="40"/>
        </w:rPr>
      </w:pPr>
      <w:r w:rsidRPr="00A210E9">
        <w:rPr>
          <w:rFonts w:eastAsia="Times New Roman" w:hint="cs"/>
          <w:bCs/>
          <w:spacing w:val="40"/>
          <w:rtl/>
        </w:rPr>
        <w:t>פטור מתשלום ב</w:t>
      </w:r>
      <w:r w:rsidRPr="00A210E9">
        <w:rPr>
          <w:rFonts w:eastAsia="Times New Roman"/>
          <w:bCs/>
          <w:spacing w:val="40"/>
          <w:rtl/>
        </w:rPr>
        <w:t>חניה בכחול</w:t>
      </w:r>
      <w:r w:rsidRPr="00A210E9">
        <w:rPr>
          <w:rFonts w:eastAsia="Times New Roman" w:hint="cs"/>
          <w:bCs/>
          <w:spacing w:val="40"/>
          <w:rtl/>
        </w:rPr>
        <w:t xml:space="preserve"> </w:t>
      </w:r>
      <w:r w:rsidRPr="00A210E9">
        <w:rPr>
          <w:rFonts w:eastAsia="Times New Roman"/>
          <w:bCs/>
          <w:spacing w:val="40"/>
          <w:rtl/>
        </w:rPr>
        <w:t>לבן</w:t>
      </w:r>
      <w:r w:rsidRPr="00A210E9">
        <w:rPr>
          <w:rFonts w:eastAsia="Times New Roman" w:hint="cs"/>
          <w:bCs/>
          <w:spacing w:val="40"/>
          <w:rtl/>
        </w:rPr>
        <w:t xml:space="preserve"> ובחניונים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contextualSpacing/>
        <w:rPr>
          <w:rFonts w:ascii="David" w:eastAsia="Calibri" w:hAnsi="David"/>
          <w:rtl/>
        </w:rPr>
      </w:pPr>
      <w:r w:rsidRPr="00A210E9">
        <w:rPr>
          <w:rFonts w:eastAsia="Calibri" w:hint="cs"/>
          <w:rtl/>
        </w:rPr>
        <w:t>סעיף 4ב לחוק חניה לנכים קובע כי אם הגישה הנגישה היחידה של אדם עם מוגבלות למקום ציבורי מסוים היא דרך חניה במקום ציבורי הכרוכה בתשלום, הרי שהתשלום יחול על המחזיק במקום החניה או על המפעיל שלה</w:t>
      </w:r>
      <w:r w:rsidRPr="00A210E9">
        <w:rPr>
          <w:rFonts w:ascii="David" w:eastAsia="Times New Roman" w:hAnsi="David" w:hint="cs"/>
          <w:sz w:val="24"/>
          <w:rtl/>
        </w:rPr>
        <w:t>.</w:t>
      </w:r>
      <w:r w:rsidRPr="00A210E9">
        <w:rPr>
          <w:rFonts w:ascii="David" w:eastAsia="Times New Roman" w:hAnsi="David"/>
          <w:sz w:val="24"/>
          <w:rtl/>
        </w:rPr>
        <w:t xml:space="preserve"> חלק מהרשויות המקומיות </w:t>
      </w:r>
      <w:r w:rsidRPr="00A210E9">
        <w:rPr>
          <w:rFonts w:ascii="David" w:eastAsia="Times New Roman" w:hAnsi="David" w:hint="cs"/>
          <w:sz w:val="24"/>
          <w:rtl/>
        </w:rPr>
        <w:t xml:space="preserve">מקיימות את הנחיות סעיף זה בכך שהן </w:t>
      </w:r>
      <w:r w:rsidRPr="00A210E9">
        <w:rPr>
          <w:rFonts w:ascii="David" w:eastAsia="Times New Roman" w:hAnsi="David"/>
          <w:sz w:val="24"/>
          <w:rtl/>
        </w:rPr>
        <w:t xml:space="preserve">מעניקות לבעלי תג חניה פטור מתשלום בחניונים עירוניים או </w:t>
      </w:r>
      <w:r w:rsidRPr="00A210E9">
        <w:rPr>
          <w:rFonts w:ascii="David" w:eastAsia="Times New Roman" w:hAnsi="David" w:hint="cs"/>
          <w:sz w:val="24"/>
          <w:rtl/>
        </w:rPr>
        <w:t xml:space="preserve">בחניות המסומנות </w:t>
      </w:r>
      <w:r w:rsidRPr="00A210E9">
        <w:rPr>
          <w:rFonts w:ascii="David" w:eastAsia="Times New Roman" w:hAnsi="David"/>
          <w:sz w:val="24"/>
          <w:rtl/>
        </w:rPr>
        <w:t>בכחול</w:t>
      </w:r>
      <w:r w:rsidRPr="00A210E9">
        <w:rPr>
          <w:rFonts w:ascii="David" w:eastAsia="Times New Roman" w:hAnsi="David" w:hint="cs"/>
          <w:sz w:val="24"/>
          <w:rtl/>
        </w:rPr>
        <w:t xml:space="preserve"> </w:t>
      </w:r>
      <w:r w:rsidRPr="00A210E9">
        <w:rPr>
          <w:rFonts w:ascii="David" w:eastAsia="Times New Roman" w:hAnsi="David"/>
          <w:sz w:val="24"/>
          <w:rtl/>
        </w:rPr>
        <w:t>לבן</w:t>
      </w:r>
      <w:r w:rsidRPr="00A210E9">
        <w:rPr>
          <w:rFonts w:ascii="David" w:eastAsia="Times New Roman" w:hAnsi="David" w:hint="cs"/>
          <w:sz w:val="24"/>
          <w:rtl/>
        </w:rPr>
        <w:t>, וחלק מהרשויות אינן מעניקות פטור זה</w:t>
      </w:r>
      <w:r w:rsidRPr="00A210E9">
        <w:rPr>
          <w:rFonts w:ascii="David" w:eastAsia="Times New Roman" w:hAnsi="David"/>
          <w:sz w:val="24"/>
          <w:rtl/>
        </w:rPr>
        <w:t xml:space="preserve">, דבר שיוצר </w:t>
      </w:r>
      <w:r w:rsidRPr="00A210E9">
        <w:rPr>
          <w:rFonts w:ascii="David" w:eastAsia="Times New Roman" w:hAnsi="David" w:hint="cs"/>
          <w:sz w:val="24"/>
          <w:rtl/>
        </w:rPr>
        <w:t xml:space="preserve">חוסר </w:t>
      </w:r>
      <w:r w:rsidRPr="00A210E9">
        <w:rPr>
          <w:rFonts w:ascii="David" w:eastAsia="Times New Roman" w:hAnsi="David"/>
          <w:sz w:val="24"/>
          <w:rtl/>
        </w:rPr>
        <w:t>אחידות בזכויות המוענקות בפועל לאנשים עם מוגבלות</w:t>
      </w:r>
      <w:r>
        <w:rPr>
          <w:rFonts w:ascii="David" w:eastAsia="Times New Roman" w:hAnsi="David"/>
          <w:sz w:val="24"/>
          <w:vertAlign w:val="superscript"/>
          <w:rtl/>
        </w:rPr>
        <w:footnoteReference w:id="75"/>
      </w:r>
      <w:r w:rsidRPr="00A210E9">
        <w:rPr>
          <w:rFonts w:ascii="David" w:eastAsia="Calibri" w:hAnsi="David" w:hint="cs"/>
          <w:rtl/>
        </w:rPr>
        <w:t xml:space="preserve">. הטבה זו כרוכה באובדן הכנסות לרשויות המקומיות. </w:t>
      </w:r>
      <w:r w:rsidRPr="00A210E9">
        <w:rPr>
          <w:rFonts w:ascii="David" w:eastAsia="Calibri" w:hAnsi="David"/>
          <w:rtl/>
        </w:rPr>
        <w:t>חלק מהחניונים הציבוריים</w:t>
      </w:r>
      <w:r w:rsidRPr="00A210E9">
        <w:rPr>
          <w:rFonts w:ascii="David" w:eastAsia="Calibri" w:hAnsi="David" w:hint="cs"/>
          <w:rtl/>
        </w:rPr>
        <w:t>, ובכלל זה חניונים שאינם שייכים לרשויות מקומיות,</w:t>
      </w:r>
      <w:r w:rsidRPr="00A210E9">
        <w:rPr>
          <w:rFonts w:ascii="David" w:eastAsia="Calibri" w:hAnsi="David"/>
          <w:rtl/>
        </w:rPr>
        <w:t xml:space="preserve"> מאפשרים חניה חינם לבעלי תג חניה</w:t>
      </w:r>
      <w:r w:rsidRPr="00A210E9">
        <w:rPr>
          <w:rFonts w:ascii="David" w:eastAsia="Calibri" w:hAnsi="David" w:hint="cs"/>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contextualSpacing/>
        <w:rPr>
          <w:rFonts w:eastAsia="Calibri"/>
          <w:rtl/>
        </w:rPr>
      </w:pPr>
      <w:r w:rsidRPr="00A210E9">
        <w:rPr>
          <w:rFonts w:eastAsia="Calibri" w:hint="eastAsia"/>
          <w:rtl/>
        </w:rPr>
        <w:t>פורום</w:t>
      </w:r>
      <w:r w:rsidRPr="00A210E9">
        <w:rPr>
          <w:rFonts w:eastAsia="Calibri" w:hint="cs"/>
          <w:rtl/>
        </w:rPr>
        <w:t xml:space="preserve"> צמיד כתב בתשובתו כי מדובר ב</w:t>
      </w:r>
      <w:r w:rsidRPr="00A210E9">
        <w:rPr>
          <w:rFonts w:eastAsia="Calibri"/>
          <w:rtl/>
        </w:rPr>
        <w:t xml:space="preserve">עיגון חוקי של עיקרון יסוד: </w:t>
      </w:r>
      <w:r w:rsidRPr="00A210E9">
        <w:rPr>
          <w:rFonts w:eastAsia="Calibri" w:hint="cs"/>
          <w:rtl/>
        </w:rPr>
        <w:t xml:space="preserve">אם </w:t>
      </w:r>
      <w:r w:rsidRPr="00A210E9">
        <w:rPr>
          <w:rFonts w:eastAsia="Calibri"/>
          <w:rtl/>
        </w:rPr>
        <w:t>אדם מגיע לבית חולים, לסניף הביטוח הלאומי</w:t>
      </w:r>
      <w:r w:rsidRPr="00A210E9">
        <w:rPr>
          <w:rFonts w:eastAsia="Calibri" w:hint="cs"/>
          <w:rtl/>
        </w:rPr>
        <w:t xml:space="preserve"> או</w:t>
      </w:r>
      <w:r w:rsidRPr="00A210E9">
        <w:rPr>
          <w:rFonts w:eastAsia="Calibri"/>
          <w:rtl/>
        </w:rPr>
        <w:t xml:space="preserve"> לבית משפט - ואינו יכול להשתמש בתחבורה ציבורית בשל מוגבלותו</w:t>
      </w:r>
      <w:r w:rsidRPr="00A210E9">
        <w:rPr>
          <w:rFonts w:eastAsia="Calibri" w:hint="cs"/>
          <w:rtl/>
        </w:rPr>
        <w:t xml:space="preserve">, הוא </w:t>
      </w:r>
      <w:r w:rsidRPr="00A210E9">
        <w:rPr>
          <w:rFonts w:eastAsia="Calibri"/>
          <w:rtl/>
        </w:rPr>
        <w:t>אינו אמור לשלם בעד עצם הזכות להגיע</w:t>
      </w:r>
      <w:r w:rsidRPr="00A210E9">
        <w:rPr>
          <w:rFonts w:eastAsia="Calibri" w:hint="cs"/>
          <w:rtl/>
        </w:rPr>
        <w:t xml:space="preserve"> למקום. עוד טען פורום צמיד כי </w:t>
      </w:r>
      <w:r w:rsidRPr="00A210E9">
        <w:rPr>
          <w:rFonts w:eastAsia="Calibri"/>
          <w:rtl/>
        </w:rPr>
        <w:t>כיום, עשרים שנה לאחר חקיקת</w:t>
      </w:r>
      <w:r w:rsidRPr="00A210E9">
        <w:rPr>
          <w:rFonts w:eastAsia="Calibri" w:hint="cs"/>
          <w:rtl/>
        </w:rPr>
        <w:t xml:space="preserve"> החוק</w:t>
      </w:r>
      <w:r w:rsidRPr="00A210E9">
        <w:rPr>
          <w:rFonts w:eastAsia="Calibri"/>
          <w:rtl/>
        </w:rPr>
        <w:t>, סעיף 4ב אינו נאכף באופן עקבי, ו</w:t>
      </w:r>
      <w:r w:rsidRPr="00A210E9">
        <w:rPr>
          <w:rFonts w:eastAsia="Calibri" w:hint="cs"/>
          <w:rtl/>
        </w:rPr>
        <w:t xml:space="preserve">לכן </w:t>
      </w:r>
      <w:r w:rsidRPr="00A210E9">
        <w:rPr>
          <w:rFonts w:eastAsia="Calibri"/>
          <w:rtl/>
        </w:rPr>
        <w:t>בתי חולים, קניונים ומוסדות ציבור רבים גובים תשלום מ</w:t>
      </w:r>
      <w:r w:rsidRPr="00A210E9">
        <w:rPr>
          <w:rFonts w:eastAsia="Calibri" w:hint="cs"/>
          <w:rtl/>
        </w:rPr>
        <w:t xml:space="preserve">אנשים עם מוגבלות </w:t>
      </w:r>
      <w:r w:rsidRPr="00A210E9">
        <w:rPr>
          <w:rFonts w:eastAsia="Calibri"/>
          <w:rtl/>
        </w:rPr>
        <w:t>בניגוד לחוק</w:t>
      </w:r>
      <w:r w:rsidRPr="00A210E9">
        <w:rPr>
          <w:rFonts w:eastAsia="Calibri" w:hint="cs"/>
          <w:rtl/>
        </w:rPr>
        <w:t>, והדבר</w:t>
      </w:r>
      <w:r w:rsidRPr="00A210E9">
        <w:rPr>
          <w:rFonts w:eastAsia="Calibri"/>
          <w:rtl/>
        </w:rPr>
        <w:t xml:space="preserve"> מאלץ </w:t>
      </w:r>
      <w:r w:rsidRPr="00A210E9">
        <w:rPr>
          <w:rFonts w:eastAsia="Calibri" w:hint="cs"/>
          <w:rtl/>
        </w:rPr>
        <w:t xml:space="preserve">אותם </w:t>
      </w:r>
      <w:r w:rsidRPr="00A210E9">
        <w:rPr>
          <w:rFonts w:eastAsia="Calibri"/>
          <w:rtl/>
        </w:rPr>
        <w:t>לפנות לתובענות ייצוגיות כדי לממש זכות בסיסית</w:t>
      </w:r>
      <w:r w:rsidRPr="00A210E9">
        <w:rPr>
          <w:rFonts w:eastAsia="Calibri" w:hint="cs"/>
          <w:rtl/>
        </w:rPr>
        <w:t>.</w:t>
      </w:r>
    </w:p>
    <w:p w:rsidR="00A210E9" w:rsidRPr="00A210E9" w:rsidP="00A210E9">
      <w:pPr>
        <w:spacing w:line="269" w:lineRule="auto"/>
        <w:rPr>
          <w:rFonts w:eastAsia="Calibri"/>
          <w:rtl/>
        </w:rPr>
      </w:pPr>
      <w:r w:rsidRPr="00A210E9">
        <w:rPr>
          <w:rFonts w:eastAsia="Calibri" w:hint="cs"/>
          <w:rtl/>
        </w:rPr>
        <w:t xml:space="preserve">בהשוואה הבין-לאומית שביצע </w:t>
      </w:r>
      <w:r w:rsidRPr="00A210E9">
        <w:rPr>
          <w:rFonts w:eastAsia="Calibri"/>
          <w:rtl/>
        </w:rPr>
        <w:t>משרד התחבורה בשנת</w:t>
      </w:r>
      <w:r w:rsidRPr="00A210E9">
        <w:rPr>
          <w:rFonts w:eastAsia="Calibri" w:hint="cs"/>
          <w:rtl/>
        </w:rPr>
        <w:t xml:space="preserve"> </w:t>
      </w:r>
      <w:r w:rsidRPr="00A210E9">
        <w:rPr>
          <w:rFonts w:eastAsia="Calibri"/>
          <w:rtl/>
        </w:rPr>
        <w:t xml:space="preserve">2023 </w:t>
      </w:r>
      <w:r w:rsidRPr="00A210E9">
        <w:rPr>
          <w:rFonts w:eastAsia="Calibri" w:hint="cs"/>
          <w:rtl/>
        </w:rPr>
        <w:t xml:space="preserve">בנוגע למדיניות חניה הוא ציין כי </w:t>
      </w:r>
      <w:r w:rsidRPr="00A210E9">
        <w:rPr>
          <w:rFonts w:eastAsia="Calibri"/>
          <w:rtl/>
        </w:rPr>
        <w:t>הניסיון הבי</w:t>
      </w:r>
      <w:r w:rsidRPr="00A210E9">
        <w:rPr>
          <w:rFonts w:eastAsia="Calibri" w:hint="cs"/>
          <w:rtl/>
        </w:rPr>
        <w:t>ן-</w:t>
      </w:r>
      <w:r w:rsidRPr="00A210E9">
        <w:rPr>
          <w:rFonts w:eastAsia="Calibri"/>
          <w:rtl/>
        </w:rPr>
        <w:t>לאומי</w:t>
      </w:r>
      <w:r w:rsidRPr="00A210E9">
        <w:rPr>
          <w:rFonts w:eastAsia="Calibri" w:hint="cs"/>
          <w:rtl/>
        </w:rPr>
        <w:t xml:space="preserve"> מלמד</w:t>
      </w:r>
      <w:r w:rsidRPr="00A210E9">
        <w:rPr>
          <w:rFonts w:eastAsia="Calibri"/>
          <w:rtl/>
        </w:rPr>
        <w:t xml:space="preserve"> </w:t>
      </w:r>
      <w:r w:rsidRPr="00A210E9">
        <w:rPr>
          <w:rFonts w:eastAsia="Calibri" w:hint="cs"/>
          <w:rtl/>
        </w:rPr>
        <w:t>שאחד ממרכיבי ה</w:t>
      </w:r>
      <w:r w:rsidRPr="00A210E9">
        <w:rPr>
          <w:rFonts w:eastAsia="Calibri"/>
          <w:rtl/>
        </w:rPr>
        <w:t xml:space="preserve">מדיניות </w:t>
      </w:r>
      <w:r w:rsidRPr="00A210E9">
        <w:rPr>
          <w:rFonts w:eastAsia="Calibri" w:hint="cs"/>
          <w:rtl/>
        </w:rPr>
        <w:t>ה</w:t>
      </w:r>
      <w:r w:rsidRPr="00A210E9">
        <w:rPr>
          <w:rFonts w:eastAsia="Calibri"/>
          <w:rtl/>
        </w:rPr>
        <w:t xml:space="preserve">מיטבית להבטחת נגישות לאנשים עם מוגבלות </w:t>
      </w:r>
      <w:r w:rsidRPr="00A210E9">
        <w:rPr>
          <w:rFonts w:eastAsia="Calibri" w:hint="cs"/>
          <w:rtl/>
        </w:rPr>
        <w:t xml:space="preserve">באופן שמונע ניצול </w:t>
      </w:r>
      <w:r w:rsidRPr="00A210E9">
        <w:rPr>
          <w:rFonts w:eastAsia="Calibri"/>
          <w:rtl/>
        </w:rPr>
        <w:t xml:space="preserve">לרעה </w:t>
      </w:r>
      <w:r w:rsidRPr="00A210E9">
        <w:rPr>
          <w:rFonts w:eastAsia="Calibri" w:hint="cs"/>
          <w:rtl/>
        </w:rPr>
        <w:t xml:space="preserve">של התג הוא </w:t>
      </w:r>
      <w:r w:rsidRPr="00A210E9">
        <w:rPr>
          <w:rFonts w:eastAsia="Calibri"/>
          <w:rtl/>
        </w:rPr>
        <w:t>ביטול הפטור מתשלום</w:t>
      </w:r>
      <w:r w:rsidRPr="00A210E9">
        <w:rPr>
          <w:rFonts w:eastAsia="Calibri" w:hint="cs"/>
          <w:rtl/>
        </w:rPr>
        <w:t xml:space="preserve">. </w:t>
      </w:r>
      <w:r w:rsidRPr="00A210E9">
        <w:rPr>
          <w:rFonts w:eastAsia="Calibri"/>
          <w:rtl/>
        </w:rPr>
        <w:t xml:space="preserve">צעד זה יהיה </w:t>
      </w:r>
      <w:r w:rsidRPr="00A210E9">
        <w:rPr>
          <w:rFonts w:eastAsia="Calibri" w:hint="cs"/>
          <w:rtl/>
        </w:rPr>
        <w:t>מועיל אם</w:t>
      </w:r>
      <w:r w:rsidRPr="00A210E9">
        <w:rPr>
          <w:rFonts w:eastAsia="Calibri"/>
          <w:rtl/>
        </w:rPr>
        <w:t xml:space="preserve"> ניתן </w:t>
      </w:r>
      <w:r w:rsidRPr="00A210E9">
        <w:rPr>
          <w:rFonts w:eastAsia="Calibri" w:hint="cs"/>
          <w:rtl/>
        </w:rPr>
        <w:t xml:space="preserve">יהיה </w:t>
      </w:r>
      <w:r w:rsidRPr="00A210E9">
        <w:rPr>
          <w:rFonts w:eastAsia="Calibri"/>
          <w:rtl/>
        </w:rPr>
        <w:t xml:space="preserve">לגבות תשלום גם במקומות שמורים </w:t>
      </w:r>
      <w:r w:rsidRPr="00A210E9">
        <w:rPr>
          <w:rFonts w:eastAsia="Calibri" w:hint="cs"/>
          <w:rtl/>
        </w:rPr>
        <w:t>לאנשים עם מוגבלות</w:t>
      </w:r>
      <w:r w:rsidRPr="00A210E9">
        <w:rPr>
          <w:rFonts w:eastAsia="Calibri"/>
          <w:rtl/>
        </w:rPr>
        <w:t xml:space="preserve">, בתעריף זהה לחניה רגילה ברחוב, כפי שנהוג </w:t>
      </w:r>
      <w:r w:rsidRPr="00A210E9">
        <w:rPr>
          <w:rFonts w:eastAsia="Calibri" w:hint="cs"/>
          <w:rtl/>
        </w:rPr>
        <w:t>בכמה</w:t>
      </w:r>
      <w:r w:rsidRPr="00A210E9">
        <w:rPr>
          <w:rFonts w:eastAsia="Calibri"/>
          <w:rtl/>
        </w:rPr>
        <w:t xml:space="preserve"> מדינות בארה"ב.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contextualSpacing/>
        <w:rPr>
          <w:rFonts w:eastAsia="Calibri"/>
          <w:rtl/>
        </w:rPr>
      </w:pPr>
      <w:r w:rsidRPr="00A210E9">
        <w:rPr>
          <w:rFonts w:eastAsia="Calibri" w:hint="cs"/>
          <w:rtl/>
        </w:rPr>
        <w:t>ה</w:t>
      </w:r>
      <w:r w:rsidRPr="00A210E9">
        <w:rPr>
          <w:rFonts w:eastAsia="Calibri"/>
          <w:rtl/>
        </w:rPr>
        <w:t>לוח</w:t>
      </w:r>
      <w:r w:rsidRPr="00A210E9">
        <w:rPr>
          <w:rFonts w:eastAsia="Calibri" w:hint="cs"/>
          <w:rtl/>
        </w:rPr>
        <w:t xml:space="preserve"> שלהלן</w:t>
      </w:r>
      <w:r w:rsidRPr="00A210E9">
        <w:rPr>
          <w:rFonts w:eastAsia="Calibri"/>
          <w:rtl/>
        </w:rPr>
        <w:t xml:space="preserve"> מציג סיכום של קווי המדיניות ב-</w:t>
      </w:r>
      <w:r w:rsidRPr="00A210E9">
        <w:rPr>
          <w:rFonts w:eastAsia="Calibri" w:hint="cs"/>
          <w:rtl/>
        </w:rPr>
        <w:t>15</w:t>
      </w:r>
      <w:r w:rsidRPr="00A210E9">
        <w:rPr>
          <w:rFonts w:eastAsia="Calibri"/>
          <w:rtl/>
        </w:rPr>
        <w:t xml:space="preserve"> </w:t>
      </w:r>
      <w:r w:rsidRPr="00A210E9">
        <w:rPr>
          <w:rFonts w:eastAsia="Calibri" w:hint="cs"/>
          <w:rtl/>
        </w:rPr>
        <w:t>ה</w:t>
      </w:r>
      <w:r w:rsidRPr="00A210E9">
        <w:rPr>
          <w:rFonts w:eastAsia="Calibri"/>
          <w:rtl/>
        </w:rPr>
        <w:t>מדינות</w:t>
      </w:r>
      <w:r w:rsidRPr="00A210E9">
        <w:rPr>
          <w:rFonts w:eastAsia="Calibri" w:hint="cs"/>
          <w:rtl/>
        </w:rPr>
        <w:t xml:space="preserve"> בנוגע לחובת תשלום ולפטור מתשלום (ארה"ב, אוסטרליה וקנדה כוללות תת-מדינות ולכן מוצגות 27 מדינות בסך בכול):</w:t>
      </w:r>
    </w:p>
    <w:p w:rsidR="00A210E9" w:rsidRPr="00A210E9" w:rsidP="00A210E9">
      <w:pPr>
        <w:keepNext/>
        <w:keepLines/>
        <w:spacing w:line="269" w:lineRule="auto"/>
        <w:ind w:left="-567"/>
        <w:rPr>
          <w:rFonts w:eastAsia="Calibri"/>
          <w:szCs w:val="20"/>
          <w:rtl/>
        </w:rPr>
      </w:pPr>
    </w:p>
    <w:p w:rsidR="00A210E9" w:rsidRPr="00A210E9" w:rsidP="00A210E9">
      <w:pPr>
        <w:keepNext/>
        <w:keepLines/>
        <w:spacing w:line="269" w:lineRule="auto"/>
        <w:jc w:val="center"/>
        <w:rPr>
          <w:rFonts w:ascii="David" w:eastAsia="Times New Roman" w:hAnsi="David"/>
          <w:b/>
          <w:bCs/>
          <w:sz w:val="24"/>
        </w:rPr>
      </w:pPr>
      <w:r w:rsidRPr="00A210E9">
        <w:rPr>
          <w:rFonts w:ascii="David" w:eastAsia="Times New Roman" w:hAnsi="David"/>
          <w:sz w:val="24"/>
          <w:rtl/>
        </w:rPr>
        <w:t xml:space="preserve">לוח </w:t>
      </w:r>
      <w:r w:rsidRPr="00A210E9">
        <w:rPr>
          <w:rFonts w:ascii="David" w:eastAsia="Times New Roman" w:hAnsi="David" w:hint="cs"/>
          <w:sz w:val="24"/>
          <w:rtl/>
        </w:rPr>
        <w:t>4</w:t>
      </w:r>
      <w:r w:rsidRPr="00A210E9">
        <w:rPr>
          <w:rFonts w:ascii="David" w:eastAsia="Times New Roman" w:hAnsi="David"/>
          <w:sz w:val="24"/>
          <w:rtl/>
        </w:rPr>
        <w:t>:</w:t>
      </w:r>
      <w:r w:rsidRPr="00A210E9">
        <w:rPr>
          <w:rFonts w:ascii="David" w:eastAsia="Times New Roman" w:hAnsi="David"/>
          <w:b/>
          <w:bCs/>
          <w:sz w:val="24"/>
          <w:rtl/>
        </w:rPr>
        <w:t xml:space="preserve"> מדיניות </w:t>
      </w:r>
      <w:r w:rsidRPr="00A210E9">
        <w:rPr>
          <w:rFonts w:ascii="David" w:eastAsia="Times New Roman" w:hAnsi="David" w:hint="cs"/>
          <w:b/>
          <w:bCs/>
          <w:sz w:val="24"/>
          <w:rtl/>
        </w:rPr>
        <w:t>ה</w:t>
      </w:r>
      <w:r w:rsidRPr="00A210E9">
        <w:rPr>
          <w:rFonts w:ascii="David" w:eastAsia="Times New Roman" w:hAnsi="David"/>
          <w:b/>
          <w:bCs/>
          <w:sz w:val="24"/>
          <w:rtl/>
        </w:rPr>
        <w:t>חניה</w:t>
      </w:r>
      <w:r w:rsidRPr="00A210E9">
        <w:rPr>
          <w:rFonts w:ascii="David" w:eastAsia="Times New Roman" w:hAnsi="David" w:hint="cs"/>
          <w:b/>
          <w:bCs/>
          <w:sz w:val="24"/>
          <w:rtl/>
        </w:rPr>
        <w:t xml:space="preserve"> של מדינות שונות</w:t>
      </w:r>
      <w:r w:rsidRPr="00A210E9">
        <w:rPr>
          <w:rFonts w:ascii="David" w:eastAsia="Times New Roman" w:hAnsi="David"/>
          <w:b/>
          <w:bCs/>
          <w:sz w:val="24"/>
          <w:rtl/>
        </w:rPr>
        <w:t xml:space="preserve"> בנוגע לחוב</w:t>
      </w:r>
      <w:r w:rsidRPr="00A210E9">
        <w:rPr>
          <w:rFonts w:ascii="David" w:eastAsia="Times New Roman" w:hAnsi="David" w:hint="cs"/>
          <w:b/>
          <w:bCs/>
          <w:sz w:val="24"/>
          <w:rtl/>
        </w:rPr>
        <w:t>ת תשלום</w:t>
      </w:r>
      <w:r w:rsidRPr="00A210E9">
        <w:rPr>
          <w:rFonts w:ascii="David" w:eastAsia="Times New Roman" w:hAnsi="David"/>
          <w:b/>
          <w:bCs/>
          <w:sz w:val="24"/>
          <w:rtl/>
        </w:rPr>
        <w:t xml:space="preserve"> ופטור מתשלום</w:t>
      </w:r>
      <w:r w:rsidRPr="00A210E9">
        <w:rPr>
          <w:rFonts w:ascii="David" w:eastAsia="Times New Roman" w:hAnsi="David" w:hint="cs"/>
          <w:b/>
          <w:bCs/>
          <w:sz w:val="24"/>
          <w:rtl/>
        </w:rPr>
        <w:t xml:space="preserve"> </w:t>
      </w:r>
      <w:r w:rsidRPr="00A210E9">
        <w:rPr>
          <w:rFonts w:ascii="David" w:eastAsia="Times New Roman" w:hAnsi="David"/>
          <w:b/>
          <w:bCs/>
          <w:sz w:val="24"/>
          <w:rtl/>
        </w:rPr>
        <w:t xml:space="preserve">עבור בעלי תגי חניה, </w:t>
      </w:r>
      <w:r w:rsidRPr="00A210E9">
        <w:rPr>
          <w:rFonts w:ascii="David" w:eastAsia="Times New Roman" w:hAnsi="David" w:hint="cs"/>
          <w:b/>
          <w:bCs/>
          <w:sz w:val="24"/>
          <w:rtl/>
        </w:rPr>
        <w:t>2</w:t>
      </w:r>
      <w:r w:rsidRPr="00A210E9">
        <w:rPr>
          <w:rFonts w:ascii="David" w:eastAsia="Times New Roman" w:hAnsi="David"/>
          <w:b/>
          <w:bCs/>
          <w:sz w:val="24"/>
          <w:rtl/>
        </w:rPr>
        <w:t>023</w:t>
      </w:r>
    </w:p>
    <w:tbl>
      <w:tblPr>
        <w:tblStyle w:val="114"/>
        <w:bidiVisual/>
        <w:tblW w:w="7445" w:type="dxa"/>
        <w:jc w:val="center"/>
        <w:tblLook w:val="04A0"/>
      </w:tblPr>
      <w:tblGrid>
        <w:gridCol w:w="1655"/>
        <w:gridCol w:w="1246"/>
        <w:gridCol w:w="1377"/>
        <w:gridCol w:w="1826"/>
        <w:gridCol w:w="1341"/>
      </w:tblGrid>
      <w:tr w:rsidTr="00A157C9">
        <w:tblPrEx>
          <w:tblW w:w="7445" w:type="dxa"/>
          <w:jc w:val="center"/>
          <w:tblLook w:val="04A0"/>
        </w:tblPrEx>
        <w:trPr>
          <w:trHeight w:val="393"/>
          <w:jc w:val="center"/>
        </w:trPr>
        <w:tc>
          <w:tcPr>
            <w:tcW w:w="1655" w:type="dxa"/>
            <w:hideMark/>
          </w:tcPr>
          <w:p w:rsidR="00A210E9" w:rsidRPr="00A210E9" w:rsidP="00A210E9">
            <w:pPr>
              <w:spacing w:line="269" w:lineRule="auto"/>
              <w:jc w:val="center"/>
              <w:rPr>
                <w:rFonts w:ascii="David" w:eastAsia="Times New Roman" w:hAnsi="David"/>
                <w:color w:val="000000"/>
                <w:sz w:val="22"/>
                <w:szCs w:val="22"/>
              </w:rPr>
            </w:pPr>
            <w:r w:rsidRPr="00A210E9">
              <w:rPr>
                <w:rFonts w:ascii="David" w:eastAsia="Times New Roman" w:hAnsi="David" w:hint="cs"/>
                <w:color w:val="000000"/>
                <w:sz w:val="22"/>
                <w:szCs w:val="22"/>
                <w:rtl/>
              </w:rPr>
              <w:t>ה</w:t>
            </w:r>
            <w:r w:rsidRPr="00A210E9">
              <w:rPr>
                <w:rFonts w:ascii="David" w:eastAsia="Times New Roman" w:hAnsi="David"/>
                <w:color w:val="000000"/>
                <w:sz w:val="22"/>
                <w:szCs w:val="22"/>
                <w:rtl/>
              </w:rPr>
              <w:t>מדינה</w:t>
            </w:r>
          </w:p>
        </w:tc>
        <w:tc>
          <w:tcPr>
            <w:tcW w:w="1246" w:type="dxa"/>
            <w:hideMark/>
          </w:tcPr>
          <w:p w:rsidR="00A210E9" w:rsidRPr="00A210E9" w:rsidP="00A210E9">
            <w:pPr>
              <w:spacing w:line="269" w:lineRule="auto"/>
              <w:jc w:val="center"/>
              <w:rPr>
                <w:rFonts w:ascii="David" w:eastAsia="Times New Roman" w:hAnsi="David"/>
                <w:color w:val="000000"/>
                <w:sz w:val="22"/>
                <w:szCs w:val="22"/>
                <w:rtl/>
              </w:rPr>
            </w:pPr>
            <w:r w:rsidRPr="00A210E9">
              <w:rPr>
                <w:rFonts w:ascii="David" w:eastAsia="Times New Roman" w:hAnsi="David"/>
                <w:color w:val="000000"/>
                <w:sz w:val="22"/>
                <w:szCs w:val="22"/>
                <w:rtl/>
              </w:rPr>
              <w:t>חובת תשלום</w:t>
            </w:r>
          </w:p>
        </w:tc>
        <w:tc>
          <w:tcPr>
            <w:tcW w:w="1377" w:type="dxa"/>
            <w:hideMark/>
          </w:tcPr>
          <w:p w:rsidR="00A210E9" w:rsidRPr="00A210E9" w:rsidP="00A210E9">
            <w:pPr>
              <w:spacing w:line="269" w:lineRule="auto"/>
              <w:jc w:val="center"/>
              <w:rPr>
                <w:rFonts w:ascii="David" w:eastAsia="Times New Roman" w:hAnsi="David"/>
                <w:color w:val="000000"/>
                <w:sz w:val="22"/>
                <w:szCs w:val="22"/>
                <w:rtl/>
              </w:rPr>
            </w:pPr>
            <w:r w:rsidRPr="00A210E9">
              <w:rPr>
                <w:rFonts w:ascii="David" w:eastAsia="Times New Roman" w:hAnsi="David"/>
                <w:color w:val="000000"/>
                <w:sz w:val="22"/>
                <w:szCs w:val="22"/>
                <w:rtl/>
              </w:rPr>
              <w:t>פטור מתשלום</w:t>
            </w:r>
          </w:p>
        </w:tc>
        <w:tc>
          <w:tcPr>
            <w:tcW w:w="1826" w:type="dxa"/>
            <w:hideMark/>
          </w:tcPr>
          <w:p w:rsidR="00A210E9" w:rsidRPr="00A210E9" w:rsidP="00A210E9">
            <w:pPr>
              <w:spacing w:line="269" w:lineRule="auto"/>
              <w:jc w:val="center"/>
              <w:rPr>
                <w:rFonts w:ascii="David" w:eastAsia="Times New Roman" w:hAnsi="David"/>
                <w:color w:val="000000"/>
                <w:sz w:val="22"/>
                <w:szCs w:val="22"/>
                <w:rtl/>
              </w:rPr>
            </w:pPr>
            <w:r w:rsidRPr="00A210E9">
              <w:rPr>
                <w:rFonts w:ascii="David" w:eastAsia="Times New Roman" w:hAnsi="David"/>
                <w:color w:val="000000"/>
                <w:sz w:val="22"/>
                <w:szCs w:val="22"/>
                <w:rtl/>
              </w:rPr>
              <w:t>פטור מתשלום בחלק מהרשויות</w:t>
            </w:r>
          </w:p>
        </w:tc>
        <w:tc>
          <w:tcPr>
            <w:tcW w:w="1341" w:type="dxa"/>
            <w:hideMark/>
          </w:tcPr>
          <w:p w:rsidR="00A210E9" w:rsidRPr="00A210E9" w:rsidP="00A210E9">
            <w:pPr>
              <w:spacing w:line="269" w:lineRule="auto"/>
              <w:jc w:val="center"/>
              <w:rPr>
                <w:rFonts w:ascii="David" w:eastAsia="Times New Roman" w:hAnsi="David"/>
                <w:color w:val="000000"/>
                <w:sz w:val="22"/>
                <w:szCs w:val="22"/>
                <w:rtl/>
              </w:rPr>
            </w:pPr>
            <w:r w:rsidRPr="00A210E9">
              <w:rPr>
                <w:rFonts w:ascii="David" w:eastAsia="Times New Roman" w:hAnsi="David" w:hint="cs"/>
                <w:color w:val="000000"/>
                <w:sz w:val="22"/>
                <w:szCs w:val="22"/>
                <w:rtl/>
              </w:rPr>
              <w:t xml:space="preserve">מספר </w:t>
            </w:r>
            <w:r w:rsidRPr="00A210E9">
              <w:rPr>
                <w:rFonts w:ascii="David" w:eastAsia="Times New Roman" w:hAnsi="David"/>
                <w:color w:val="000000"/>
                <w:sz w:val="22"/>
                <w:szCs w:val="22"/>
                <w:rtl/>
              </w:rPr>
              <w:t>המדינות</w:t>
            </w:r>
          </w:p>
        </w:tc>
      </w:tr>
      <w:tr w:rsidTr="00A210E9">
        <w:tblPrEx>
          <w:tblW w:w="7445" w:type="dxa"/>
          <w:jc w:val="center"/>
          <w:tblLook w:val="04A0"/>
        </w:tblPrEx>
        <w:trPr>
          <w:trHeight w:val="193"/>
          <w:jc w:val="center"/>
        </w:trPr>
        <w:tc>
          <w:tcPr>
            <w:tcW w:w="1655" w:type="dxa"/>
            <w:noWrap/>
            <w:hideMark/>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color w:val="000000"/>
                <w:sz w:val="22"/>
                <w:szCs w:val="22"/>
                <w:rtl/>
              </w:rPr>
              <w:t>אוסטר</w:t>
            </w:r>
            <w:r w:rsidRPr="00A210E9">
              <w:rPr>
                <w:rFonts w:ascii="David" w:eastAsia="Times New Roman" w:hAnsi="David" w:hint="cs"/>
                <w:color w:val="000000"/>
                <w:sz w:val="22"/>
                <w:szCs w:val="22"/>
                <w:rtl/>
              </w:rPr>
              <w:t>י</w:t>
            </w:r>
            <w:r w:rsidRPr="00A210E9">
              <w:rPr>
                <w:rFonts w:ascii="David" w:eastAsia="Times New Roman" w:hAnsi="David"/>
                <w:color w:val="000000"/>
                <w:sz w:val="22"/>
                <w:szCs w:val="22"/>
                <w:rtl/>
              </w:rPr>
              <w:t>יה</w:t>
            </w:r>
          </w:p>
        </w:tc>
        <w:tc>
          <w:tcPr>
            <w:tcW w:w="1246" w:type="dxa"/>
            <w:noWrap/>
            <w:hideMark/>
          </w:tcPr>
          <w:p w:rsidR="00A210E9" w:rsidRPr="00A210E9" w:rsidP="00A210E9">
            <w:pPr>
              <w:spacing w:line="269" w:lineRule="auto"/>
              <w:jc w:val="left"/>
              <w:rPr>
                <w:rFonts w:ascii="David" w:eastAsia="Times New Roman" w:hAnsi="David"/>
                <w:color w:val="000000"/>
                <w:sz w:val="22"/>
                <w:szCs w:val="22"/>
                <w:rtl/>
              </w:rPr>
            </w:pPr>
          </w:p>
        </w:tc>
        <w:tc>
          <w:tcPr>
            <w:tcW w:w="1377" w:type="dxa"/>
            <w:noWrap/>
            <w:hideMark/>
          </w:tcPr>
          <w:p w:rsidR="00A210E9" w:rsidRPr="00A210E9" w:rsidP="00A210E9">
            <w:pPr>
              <w:spacing w:line="269" w:lineRule="auto"/>
              <w:jc w:val="left"/>
              <w:rPr>
                <w:rFonts w:ascii="David" w:eastAsia="Times New Roman" w:hAnsi="David"/>
                <w:sz w:val="22"/>
                <w:szCs w:val="22"/>
              </w:rPr>
            </w:pPr>
          </w:p>
        </w:tc>
        <w:tc>
          <w:tcPr>
            <w:tcW w:w="1826" w:type="dxa"/>
            <w:noWrap/>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tl/>
              </w:rPr>
              <w:t>1</w:t>
            </w:r>
          </w:p>
        </w:tc>
        <w:tc>
          <w:tcPr>
            <w:tcW w:w="1341" w:type="dxa"/>
            <w:noWrap/>
            <w:hideMark/>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color w:val="000000"/>
                <w:sz w:val="22"/>
                <w:szCs w:val="22"/>
                <w:rtl/>
              </w:rPr>
              <w:t>1</w:t>
            </w:r>
          </w:p>
        </w:tc>
      </w:tr>
      <w:tr w:rsidTr="00A157C9">
        <w:tblPrEx>
          <w:tblW w:w="7445" w:type="dxa"/>
          <w:jc w:val="center"/>
          <w:tblLook w:val="04A0"/>
        </w:tblPrEx>
        <w:trPr>
          <w:trHeight w:val="193"/>
          <w:jc w:val="center"/>
        </w:trPr>
        <w:tc>
          <w:tcPr>
            <w:tcW w:w="1655" w:type="dxa"/>
            <w:noWrap/>
            <w:hideMark/>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color w:val="000000"/>
                <w:sz w:val="22"/>
                <w:szCs w:val="22"/>
                <w:rtl/>
              </w:rPr>
              <w:t>אוסטרליה</w:t>
            </w:r>
          </w:p>
        </w:tc>
        <w:tc>
          <w:tcPr>
            <w:tcW w:w="1246" w:type="dxa"/>
            <w:noWrap/>
            <w:hideMark/>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color w:val="000000"/>
                <w:sz w:val="22"/>
                <w:szCs w:val="22"/>
                <w:rtl/>
              </w:rPr>
              <w:t>1</w:t>
            </w:r>
          </w:p>
        </w:tc>
        <w:tc>
          <w:tcPr>
            <w:tcW w:w="1377" w:type="dxa"/>
            <w:noWrap/>
            <w:hideMark/>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color w:val="000000"/>
                <w:sz w:val="22"/>
                <w:szCs w:val="22"/>
                <w:rtl/>
              </w:rPr>
              <w:t>2</w:t>
            </w:r>
          </w:p>
        </w:tc>
        <w:tc>
          <w:tcPr>
            <w:tcW w:w="1826" w:type="dxa"/>
            <w:noWrap/>
            <w:hideMark/>
          </w:tcPr>
          <w:p w:rsidR="00A210E9" w:rsidRPr="00A210E9" w:rsidP="00A210E9">
            <w:pPr>
              <w:spacing w:line="269" w:lineRule="auto"/>
              <w:jc w:val="left"/>
              <w:rPr>
                <w:rFonts w:ascii="David" w:eastAsia="Times New Roman" w:hAnsi="David"/>
                <w:color w:val="000000"/>
                <w:sz w:val="22"/>
                <w:szCs w:val="22"/>
                <w:rtl/>
              </w:rPr>
            </w:pPr>
          </w:p>
        </w:tc>
        <w:tc>
          <w:tcPr>
            <w:tcW w:w="1341" w:type="dxa"/>
            <w:noWrap/>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tl/>
              </w:rPr>
              <w:t>3</w:t>
            </w:r>
          </w:p>
        </w:tc>
      </w:tr>
      <w:tr w:rsidTr="00A210E9">
        <w:tblPrEx>
          <w:tblW w:w="7445" w:type="dxa"/>
          <w:jc w:val="center"/>
          <w:tblLook w:val="04A0"/>
        </w:tblPrEx>
        <w:trPr>
          <w:trHeight w:val="193"/>
          <w:jc w:val="center"/>
        </w:trPr>
        <w:tc>
          <w:tcPr>
            <w:tcW w:w="1655" w:type="dxa"/>
            <w:noWrap/>
            <w:hideMark/>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color w:val="000000"/>
                <w:sz w:val="22"/>
                <w:szCs w:val="22"/>
                <w:rtl/>
              </w:rPr>
              <w:t>אנגל</w:t>
            </w:r>
            <w:r w:rsidRPr="00A210E9">
              <w:rPr>
                <w:rFonts w:ascii="David" w:eastAsia="Times New Roman" w:hAnsi="David" w:hint="cs"/>
                <w:color w:val="000000"/>
                <w:sz w:val="22"/>
                <w:szCs w:val="22"/>
                <w:rtl/>
              </w:rPr>
              <w:t>י</w:t>
            </w:r>
            <w:r w:rsidRPr="00A210E9">
              <w:rPr>
                <w:rFonts w:ascii="David" w:eastAsia="Times New Roman" w:hAnsi="David"/>
                <w:color w:val="000000"/>
                <w:sz w:val="22"/>
                <w:szCs w:val="22"/>
                <w:rtl/>
              </w:rPr>
              <w:t>יה</w:t>
            </w:r>
          </w:p>
        </w:tc>
        <w:tc>
          <w:tcPr>
            <w:tcW w:w="1246" w:type="dxa"/>
            <w:noWrap/>
            <w:hideMark/>
          </w:tcPr>
          <w:p w:rsidR="00A210E9" w:rsidRPr="00A210E9" w:rsidP="00A210E9">
            <w:pPr>
              <w:spacing w:line="269" w:lineRule="auto"/>
              <w:jc w:val="left"/>
              <w:rPr>
                <w:rFonts w:ascii="David" w:eastAsia="Times New Roman" w:hAnsi="David"/>
                <w:color w:val="000000"/>
                <w:sz w:val="22"/>
                <w:szCs w:val="22"/>
                <w:rtl/>
              </w:rPr>
            </w:pPr>
          </w:p>
        </w:tc>
        <w:tc>
          <w:tcPr>
            <w:tcW w:w="1377" w:type="dxa"/>
            <w:noWrap/>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tl/>
              </w:rPr>
              <w:t>1</w:t>
            </w:r>
          </w:p>
        </w:tc>
        <w:tc>
          <w:tcPr>
            <w:tcW w:w="1826" w:type="dxa"/>
            <w:noWrap/>
            <w:hideMark/>
          </w:tcPr>
          <w:p w:rsidR="00A210E9" w:rsidRPr="00A210E9" w:rsidP="00A210E9">
            <w:pPr>
              <w:spacing w:line="269" w:lineRule="auto"/>
              <w:jc w:val="left"/>
              <w:rPr>
                <w:rFonts w:ascii="David" w:eastAsia="Times New Roman" w:hAnsi="David"/>
                <w:color w:val="000000"/>
                <w:sz w:val="22"/>
                <w:szCs w:val="22"/>
                <w:rtl/>
              </w:rPr>
            </w:pPr>
          </w:p>
        </w:tc>
        <w:tc>
          <w:tcPr>
            <w:tcW w:w="1341" w:type="dxa"/>
            <w:noWrap/>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tl/>
              </w:rPr>
              <w:t>1</w:t>
            </w:r>
          </w:p>
        </w:tc>
      </w:tr>
      <w:tr w:rsidTr="00A157C9">
        <w:tblPrEx>
          <w:tblW w:w="7445" w:type="dxa"/>
          <w:jc w:val="center"/>
          <w:tblLook w:val="04A0"/>
        </w:tblPrEx>
        <w:trPr>
          <w:trHeight w:val="193"/>
          <w:jc w:val="center"/>
        </w:trPr>
        <w:tc>
          <w:tcPr>
            <w:tcW w:w="1655" w:type="dxa"/>
            <w:noWrap/>
            <w:hideMark/>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color w:val="000000"/>
                <w:sz w:val="22"/>
                <w:szCs w:val="22"/>
                <w:rtl/>
              </w:rPr>
              <w:t>ארה"ב</w:t>
            </w:r>
          </w:p>
        </w:tc>
        <w:tc>
          <w:tcPr>
            <w:tcW w:w="1246" w:type="dxa"/>
            <w:noWrap/>
            <w:hideMark/>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color w:val="000000"/>
                <w:sz w:val="22"/>
                <w:szCs w:val="22"/>
                <w:rtl/>
              </w:rPr>
              <w:t>6</w:t>
            </w:r>
          </w:p>
        </w:tc>
        <w:tc>
          <w:tcPr>
            <w:tcW w:w="1377" w:type="dxa"/>
            <w:noWrap/>
            <w:hideMark/>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color w:val="000000"/>
                <w:sz w:val="22"/>
                <w:szCs w:val="22"/>
                <w:rtl/>
              </w:rPr>
              <w:t>3</w:t>
            </w:r>
          </w:p>
        </w:tc>
        <w:tc>
          <w:tcPr>
            <w:tcW w:w="1826" w:type="dxa"/>
            <w:noWrap/>
            <w:hideMark/>
          </w:tcPr>
          <w:p w:rsidR="00A210E9" w:rsidRPr="00A210E9" w:rsidP="00A210E9">
            <w:pPr>
              <w:spacing w:line="269" w:lineRule="auto"/>
              <w:jc w:val="left"/>
              <w:rPr>
                <w:rFonts w:ascii="David" w:eastAsia="Times New Roman" w:hAnsi="David"/>
                <w:color w:val="000000"/>
                <w:sz w:val="22"/>
                <w:szCs w:val="22"/>
                <w:rtl/>
              </w:rPr>
            </w:pPr>
          </w:p>
        </w:tc>
        <w:tc>
          <w:tcPr>
            <w:tcW w:w="1341" w:type="dxa"/>
            <w:noWrap/>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tl/>
              </w:rPr>
              <w:t>9</w:t>
            </w:r>
          </w:p>
        </w:tc>
      </w:tr>
      <w:tr w:rsidTr="00A210E9">
        <w:tblPrEx>
          <w:tblW w:w="7445" w:type="dxa"/>
          <w:jc w:val="center"/>
          <w:tblLook w:val="04A0"/>
        </w:tblPrEx>
        <w:trPr>
          <w:trHeight w:val="193"/>
          <w:jc w:val="center"/>
        </w:trPr>
        <w:tc>
          <w:tcPr>
            <w:tcW w:w="1655" w:type="dxa"/>
            <w:noWrap/>
            <w:hideMark/>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color w:val="000000"/>
                <w:sz w:val="22"/>
                <w:szCs w:val="22"/>
                <w:rtl/>
              </w:rPr>
              <w:t>בלג</w:t>
            </w:r>
            <w:r w:rsidRPr="00A210E9">
              <w:rPr>
                <w:rFonts w:ascii="David" w:eastAsia="Times New Roman" w:hAnsi="David" w:hint="cs"/>
                <w:color w:val="000000"/>
                <w:sz w:val="22"/>
                <w:szCs w:val="22"/>
                <w:rtl/>
              </w:rPr>
              <w:t>י</w:t>
            </w:r>
            <w:r w:rsidRPr="00A210E9">
              <w:rPr>
                <w:rFonts w:ascii="David" w:eastAsia="Times New Roman" w:hAnsi="David"/>
                <w:color w:val="000000"/>
                <w:sz w:val="22"/>
                <w:szCs w:val="22"/>
                <w:rtl/>
              </w:rPr>
              <w:t>יה</w:t>
            </w:r>
          </w:p>
        </w:tc>
        <w:tc>
          <w:tcPr>
            <w:tcW w:w="1246" w:type="dxa"/>
            <w:noWrap/>
            <w:hideMark/>
          </w:tcPr>
          <w:p w:rsidR="00A210E9" w:rsidRPr="00A210E9" w:rsidP="00A210E9">
            <w:pPr>
              <w:spacing w:line="269" w:lineRule="auto"/>
              <w:jc w:val="left"/>
              <w:rPr>
                <w:rFonts w:ascii="David" w:eastAsia="Times New Roman" w:hAnsi="David"/>
                <w:color w:val="000000"/>
                <w:sz w:val="22"/>
                <w:szCs w:val="22"/>
                <w:rtl/>
              </w:rPr>
            </w:pPr>
          </w:p>
        </w:tc>
        <w:tc>
          <w:tcPr>
            <w:tcW w:w="1377" w:type="dxa"/>
            <w:noWrap/>
            <w:hideMark/>
          </w:tcPr>
          <w:p w:rsidR="00A210E9" w:rsidRPr="00A210E9" w:rsidP="00A210E9">
            <w:pPr>
              <w:spacing w:line="269" w:lineRule="auto"/>
              <w:jc w:val="left"/>
              <w:rPr>
                <w:rFonts w:ascii="David" w:eastAsia="Times New Roman" w:hAnsi="David"/>
                <w:sz w:val="22"/>
                <w:szCs w:val="22"/>
              </w:rPr>
            </w:pPr>
          </w:p>
        </w:tc>
        <w:tc>
          <w:tcPr>
            <w:tcW w:w="1826" w:type="dxa"/>
            <w:noWrap/>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tl/>
              </w:rPr>
              <w:t>1</w:t>
            </w:r>
          </w:p>
        </w:tc>
        <w:tc>
          <w:tcPr>
            <w:tcW w:w="1341" w:type="dxa"/>
            <w:noWrap/>
            <w:hideMark/>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color w:val="000000"/>
                <w:sz w:val="22"/>
                <w:szCs w:val="22"/>
                <w:rtl/>
              </w:rPr>
              <w:t>1</w:t>
            </w:r>
          </w:p>
        </w:tc>
      </w:tr>
      <w:tr w:rsidTr="00A157C9">
        <w:tblPrEx>
          <w:tblW w:w="7445" w:type="dxa"/>
          <w:jc w:val="center"/>
          <w:tblLook w:val="04A0"/>
        </w:tblPrEx>
        <w:trPr>
          <w:trHeight w:val="193"/>
          <w:jc w:val="center"/>
        </w:trPr>
        <w:tc>
          <w:tcPr>
            <w:tcW w:w="1655" w:type="dxa"/>
            <w:noWrap/>
            <w:hideMark/>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color w:val="000000"/>
                <w:sz w:val="22"/>
                <w:szCs w:val="22"/>
                <w:rtl/>
              </w:rPr>
              <w:t>גרמניה</w:t>
            </w:r>
          </w:p>
        </w:tc>
        <w:tc>
          <w:tcPr>
            <w:tcW w:w="1246" w:type="dxa"/>
            <w:noWrap/>
            <w:hideMark/>
          </w:tcPr>
          <w:p w:rsidR="00A210E9" w:rsidRPr="00A210E9" w:rsidP="00A210E9">
            <w:pPr>
              <w:spacing w:line="269" w:lineRule="auto"/>
              <w:jc w:val="left"/>
              <w:rPr>
                <w:rFonts w:ascii="David" w:eastAsia="Times New Roman" w:hAnsi="David"/>
                <w:color w:val="000000"/>
                <w:sz w:val="22"/>
                <w:szCs w:val="22"/>
                <w:rtl/>
              </w:rPr>
            </w:pPr>
          </w:p>
        </w:tc>
        <w:tc>
          <w:tcPr>
            <w:tcW w:w="1377" w:type="dxa"/>
            <w:noWrap/>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tl/>
              </w:rPr>
              <w:t>1</w:t>
            </w:r>
          </w:p>
        </w:tc>
        <w:tc>
          <w:tcPr>
            <w:tcW w:w="1826" w:type="dxa"/>
            <w:noWrap/>
            <w:hideMark/>
          </w:tcPr>
          <w:p w:rsidR="00A210E9" w:rsidRPr="00A210E9" w:rsidP="00A210E9">
            <w:pPr>
              <w:spacing w:line="269" w:lineRule="auto"/>
              <w:jc w:val="left"/>
              <w:rPr>
                <w:rFonts w:ascii="David" w:eastAsia="Times New Roman" w:hAnsi="David"/>
                <w:color w:val="000000"/>
                <w:sz w:val="22"/>
                <w:szCs w:val="22"/>
                <w:rtl/>
              </w:rPr>
            </w:pPr>
          </w:p>
        </w:tc>
        <w:tc>
          <w:tcPr>
            <w:tcW w:w="1341" w:type="dxa"/>
            <w:noWrap/>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tl/>
              </w:rPr>
              <w:t>1</w:t>
            </w:r>
          </w:p>
        </w:tc>
      </w:tr>
      <w:tr w:rsidTr="00A210E9">
        <w:tblPrEx>
          <w:tblW w:w="7445" w:type="dxa"/>
          <w:jc w:val="center"/>
          <w:tblLook w:val="04A0"/>
        </w:tblPrEx>
        <w:trPr>
          <w:trHeight w:val="193"/>
          <w:jc w:val="center"/>
        </w:trPr>
        <w:tc>
          <w:tcPr>
            <w:tcW w:w="1655" w:type="dxa"/>
            <w:noWrap/>
            <w:hideMark/>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color w:val="000000"/>
                <w:sz w:val="22"/>
                <w:szCs w:val="22"/>
                <w:rtl/>
              </w:rPr>
              <w:t>דנמרק</w:t>
            </w:r>
          </w:p>
        </w:tc>
        <w:tc>
          <w:tcPr>
            <w:tcW w:w="1246" w:type="dxa"/>
            <w:noWrap/>
            <w:hideMark/>
          </w:tcPr>
          <w:p w:rsidR="00A210E9" w:rsidRPr="00A210E9" w:rsidP="00A210E9">
            <w:pPr>
              <w:spacing w:line="269" w:lineRule="auto"/>
              <w:jc w:val="left"/>
              <w:rPr>
                <w:rFonts w:ascii="David" w:eastAsia="Times New Roman" w:hAnsi="David"/>
                <w:color w:val="000000"/>
                <w:sz w:val="22"/>
                <w:szCs w:val="22"/>
                <w:rtl/>
              </w:rPr>
            </w:pPr>
          </w:p>
        </w:tc>
        <w:tc>
          <w:tcPr>
            <w:tcW w:w="1377" w:type="dxa"/>
            <w:noWrap/>
            <w:hideMark/>
          </w:tcPr>
          <w:p w:rsidR="00A210E9" w:rsidRPr="00A210E9" w:rsidP="00A210E9">
            <w:pPr>
              <w:spacing w:line="269" w:lineRule="auto"/>
              <w:jc w:val="left"/>
              <w:rPr>
                <w:rFonts w:ascii="David" w:eastAsia="Times New Roman" w:hAnsi="David"/>
                <w:sz w:val="22"/>
                <w:szCs w:val="22"/>
              </w:rPr>
            </w:pPr>
          </w:p>
        </w:tc>
        <w:tc>
          <w:tcPr>
            <w:tcW w:w="1826" w:type="dxa"/>
            <w:noWrap/>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tl/>
              </w:rPr>
              <w:t>1</w:t>
            </w:r>
          </w:p>
        </w:tc>
        <w:tc>
          <w:tcPr>
            <w:tcW w:w="1341" w:type="dxa"/>
            <w:noWrap/>
            <w:hideMark/>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color w:val="000000"/>
                <w:sz w:val="22"/>
                <w:szCs w:val="22"/>
                <w:rtl/>
              </w:rPr>
              <w:t>1</w:t>
            </w:r>
          </w:p>
        </w:tc>
      </w:tr>
      <w:tr w:rsidTr="00A157C9">
        <w:tblPrEx>
          <w:tblW w:w="7445" w:type="dxa"/>
          <w:jc w:val="center"/>
          <w:tblLook w:val="04A0"/>
        </w:tblPrEx>
        <w:trPr>
          <w:trHeight w:val="193"/>
          <w:jc w:val="center"/>
        </w:trPr>
        <w:tc>
          <w:tcPr>
            <w:tcW w:w="1655" w:type="dxa"/>
            <w:noWrap/>
            <w:hideMark/>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color w:val="000000"/>
                <w:sz w:val="22"/>
                <w:szCs w:val="22"/>
                <w:rtl/>
              </w:rPr>
              <w:t>הולנד</w:t>
            </w:r>
          </w:p>
        </w:tc>
        <w:tc>
          <w:tcPr>
            <w:tcW w:w="1246" w:type="dxa"/>
            <w:noWrap/>
            <w:hideMark/>
          </w:tcPr>
          <w:p w:rsidR="00A210E9" w:rsidRPr="00A210E9" w:rsidP="00A210E9">
            <w:pPr>
              <w:spacing w:line="269" w:lineRule="auto"/>
              <w:jc w:val="left"/>
              <w:rPr>
                <w:rFonts w:ascii="David" w:eastAsia="Times New Roman" w:hAnsi="David"/>
                <w:color w:val="000000"/>
                <w:sz w:val="22"/>
                <w:szCs w:val="22"/>
                <w:rtl/>
              </w:rPr>
            </w:pPr>
          </w:p>
        </w:tc>
        <w:tc>
          <w:tcPr>
            <w:tcW w:w="1377" w:type="dxa"/>
            <w:noWrap/>
            <w:hideMark/>
          </w:tcPr>
          <w:p w:rsidR="00A210E9" w:rsidRPr="00A210E9" w:rsidP="00A210E9">
            <w:pPr>
              <w:spacing w:line="269" w:lineRule="auto"/>
              <w:jc w:val="left"/>
              <w:rPr>
                <w:rFonts w:ascii="David" w:eastAsia="Times New Roman" w:hAnsi="David"/>
                <w:sz w:val="22"/>
                <w:szCs w:val="22"/>
              </w:rPr>
            </w:pPr>
          </w:p>
        </w:tc>
        <w:tc>
          <w:tcPr>
            <w:tcW w:w="1826" w:type="dxa"/>
            <w:noWrap/>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tl/>
              </w:rPr>
              <w:t>1</w:t>
            </w:r>
          </w:p>
        </w:tc>
        <w:tc>
          <w:tcPr>
            <w:tcW w:w="1341" w:type="dxa"/>
            <w:noWrap/>
            <w:hideMark/>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color w:val="000000"/>
                <w:sz w:val="22"/>
                <w:szCs w:val="22"/>
                <w:rtl/>
              </w:rPr>
              <w:t>1</w:t>
            </w:r>
          </w:p>
        </w:tc>
      </w:tr>
      <w:tr w:rsidTr="00A210E9">
        <w:tblPrEx>
          <w:tblW w:w="7445" w:type="dxa"/>
          <w:jc w:val="center"/>
          <w:tblLook w:val="04A0"/>
        </w:tblPrEx>
        <w:trPr>
          <w:trHeight w:val="193"/>
          <w:jc w:val="center"/>
        </w:trPr>
        <w:tc>
          <w:tcPr>
            <w:tcW w:w="1655" w:type="dxa"/>
            <w:noWrap/>
            <w:hideMark/>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color w:val="000000"/>
                <w:sz w:val="22"/>
                <w:szCs w:val="22"/>
                <w:rtl/>
              </w:rPr>
              <w:t>נור</w:t>
            </w:r>
            <w:r w:rsidRPr="00A210E9">
              <w:rPr>
                <w:rFonts w:ascii="David" w:eastAsia="Times New Roman" w:hAnsi="David" w:hint="cs"/>
                <w:color w:val="000000"/>
                <w:sz w:val="22"/>
                <w:szCs w:val="22"/>
                <w:rtl/>
              </w:rPr>
              <w:t>וו</w:t>
            </w:r>
            <w:r w:rsidRPr="00A210E9">
              <w:rPr>
                <w:rFonts w:ascii="David" w:eastAsia="Times New Roman" w:hAnsi="David"/>
                <w:color w:val="000000"/>
                <w:sz w:val="22"/>
                <w:szCs w:val="22"/>
                <w:rtl/>
              </w:rPr>
              <w:t>גיה</w:t>
            </w:r>
          </w:p>
        </w:tc>
        <w:tc>
          <w:tcPr>
            <w:tcW w:w="1246" w:type="dxa"/>
            <w:noWrap/>
            <w:hideMark/>
          </w:tcPr>
          <w:p w:rsidR="00A210E9" w:rsidRPr="00A210E9" w:rsidP="00A210E9">
            <w:pPr>
              <w:spacing w:line="269" w:lineRule="auto"/>
              <w:jc w:val="left"/>
              <w:rPr>
                <w:rFonts w:ascii="David" w:eastAsia="Times New Roman" w:hAnsi="David"/>
                <w:color w:val="000000"/>
                <w:sz w:val="22"/>
                <w:szCs w:val="22"/>
                <w:rtl/>
              </w:rPr>
            </w:pPr>
          </w:p>
        </w:tc>
        <w:tc>
          <w:tcPr>
            <w:tcW w:w="1377" w:type="dxa"/>
            <w:noWrap/>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tl/>
              </w:rPr>
              <w:t>1</w:t>
            </w:r>
          </w:p>
        </w:tc>
        <w:tc>
          <w:tcPr>
            <w:tcW w:w="1826" w:type="dxa"/>
            <w:noWrap/>
            <w:hideMark/>
          </w:tcPr>
          <w:p w:rsidR="00A210E9" w:rsidRPr="00A210E9" w:rsidP="00A210E9">
            <w:pPr>
              <w:spacing w:line="269" w:lineRule="auto"/>
              <w:jc w:val="left"/>
              <w:rPr>
                <w:rFonts w:ascii="David" w:eastAsia="Times New Roman" w:hAnsi="David"/>
                <w:color w:val="000000"/>
                <w:sz w:val="22"/>
                <w:szCs w:val="22"/>
                <w:rtl/>
              </w:rPr>
            </w:pPr>
          </w:p>
        </w:tc>
        <w:tc>
          <w:tcPr>
            <w:tcW w:w="1341" w:type="dxa"/>
            <w:noWrap/>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tl/>
              </w:rPr>
              <w:t>1</w:t>
            </w:r>
          </w:p>
        </w:tc>
      </w:tr>
      <w:tr w:rsidTr="00A157C9">
        <w:tblPrEx>
          <w:tblW w:w="7445" w:type="dxa"/>
          <w:jc w:val="center"/>
          <w:tblLook w:val="04A0"/>
        </w:tblPrEx>
        <w:trPr>
          <w:trHeight w:val="193"/>
          <w:jc w:val="center"/>
        </w:trPr>
        <w:tc>
          <w:tcPr>
            <w:tcW w:w="1655" w:type="dxa"/>
            <w:noWrap/>
            <w:hideMark/>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color w:val="000000"/>
                <w:sz w:val="22"/>
                <w:szCs w:val="22"/>
                <w:rtl/>
              </w:rPr>
              <w:t>ספרד</w:t>
            </w:r>
          </w:p>
        </w:tc>
        <w:tc>
          <w:tcPr>
            <w:tcW w:w="1246" w:type="dxa"/>
            <w:noWrap/>
            <w:hideMark/>
          </w:tcPr>
          <w:p w:rsidR="00A210E9" w:rsidRPr="00A210E9" w:rsidP="00A210E9">
            <w:pPr>
              <w:spacing w:line="269" w:lineRule="auto"/>
              <w:jc w:val="left"/>
              <w:rPr>
                <w:rFonts w:ascii="David" w:eastAsia="Times New Roman" w:hAnsi="David"/>
                <w:color w:val="000000"/>
                <w:sz w:val="22"/>
                <w:szCs w:val="22"/>
                <w:rtl/>
              </w:rPr>
            </w:pPr>
          </w:p>
        </w:tc>
        <w:tc>
          <w:tcPr>
            <w:tcW w:w="1377" w:type="dxa"/>
            <w:noWrap/>
            <w:hideMark/>
          </w:tcPr>
          <w:p w:rsidR="00A210E9" w:rsidRPr="00A210E9" w:rsidP="00A210E9">
            <w:pPr>
              <w:spacing w:line="269" w:lineRule="auto"/>
              <w:jc w:val="left"/>
              <w:rPr>
                <w:rFonts w:ascii="David" w:eastAsia="Times New Roman" w:hAnsi="David"/>
                <w:sz w:val="22"/>
                <w:szCs w:val="22"/>
              </w:rPr>
            </w:pPr>
          </w:p>
        </w:tc>
        <w:tc>
          <w:tcPr>
            <w:tcW w:w="1826" w:type="dxa"/>
            <w:noWrap/>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tl/>
              </w:rPr>
              <w:t>1</w:t>
            </w:r>
          </w:p>
        </w:tc>
        <w:tc>
          <w:tcPr>
            <w:tcW w:w="1341" w:type="dxa"/>
            <w:noWrap/>
            <w:hideMark/>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color w:val="000000"/>
                <w:sz w:val="22"/>
                <w:szCs w:val="22"/>
                <w:rtl/>
              </w:rPr>
              <w:t>1</w:t>
            </w:r>
          </w:p>
        </w:tc>
      </w:tr>
      <w:tr w:rsidTr="00A210E9">
        <w:tblPrEx>
          <w:tblW w:w="7445" w:type="dxa"/>
          <w:jc w:val="center"/>
          <w:tblLook w:val="04A0"/>
        </w:tblPrEx>
        <w:trPr>
          <w:trHeight w:val="193"/>
          <w:jc w:val="center"/>
        </w:trPr>
        <w:tc>
          <w:tcPr>
            <w:tcW w:w="1655" w:type="dxa"/>
            <w:noWrap/>
            <w:hideMark/>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color w:val="000000"/>
                <w:sz w:val="22"/>
                <w:szCs w:val="22"/>
                <w:rtl/>
              </w:rPr>
              <w:t>סקוטלנד</w:t>
            </w:r>
          </w:p>
        </w:tc>
        <w:tc>
          <w:tcPr>
            <w:tcW w:w="1246" w:type="dxa"/>
            <w:noWrap/>
            <w:hideMark/>
          </w:tcPr>
          <w:p w:rsidR="00A210E9" w:rsidRPr="00A210E9" w:rsidP="00A210E9">
            <w:pPr>
              <w:spacing w:line="269" w:lineRule="auto"/>
              <w:jc w:val="left"/>
              <w:rPr>
                <w:rFonts w:ascii="David" w:eastAsia="Times New Roman" w:hAnsi="David"/>
                <w:color w:val="000000"/>
                <w:sz w:val="22"/>
                <w:szCs w:val="22"/>
                <w:rtl/>
              </w:rPr>
            </w:pPr>
          </w:p>
        </w:tc>
        <w:tc>
          <w:tcPr>
            <w:tcW w:w="1377" w:type="dxa"/>
            <w:noWrap/>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tl/>
              </w:rPr>
              <w:t>1</w:t>
            </w:r>
          </w:p>
        </w:tc>
        <w:tc>
          <w:tcPr>
            <w:tcW w:w="1826" w:type="dxa"/>
            <w:noWrap/>
            <w:hideMark/>
          </w:tcPr>
          <w:p w:rsidR="00A210E9" w:rsidRPr="00A210E9" w:rsidP="00A210E9">
            <w:pPr>
              <w:spacing w:line="269" w:lineRule="auto"/>
              <w:jc w:val="left"/>
              <w:rPr>
                <w:rFonts w:ascii="David" w:eastAsia="Times New Roman" w:hAnsi="David"/>
                <w:color w:val="000000"/>
                <w:sz w:val="22"/>
                <w:szCs w:val="22"/>
                <w:rtl/>
              </w:rPr>
            </w:pPr>
          </w:p>
        </w:tc>
        <w:tc>
          <w:tcPr>
            <w:tcW w:w="1341" w:type="dxa"/>
            <w:noWrap/>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tl/>
              </w:rPr>
              <w:t>1</w:t>
            </w:r>
          </w:p>
        </w:tc>
      </w:tr>
      <w:tr w:rsidTr="00A157C9">
        <w:tblPrEx>
          <w:tblW w:w="7445" w:type="dxa"/>
          <w:jc w:val="center"/>
          <w:tblLook w:val="04A0"/>
        </w:tblPrEx>
        <w:trPr>
          <w:trHeight w:val="193"/>
          <w:jc w:val="center"/>
        </w:trPr>
        <w:tc>
          <w:tcPr>
            <w:tcW w:w="1655" w:type="dxa"/>
            <w:noWrap/>
            <w:hideMark/>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color w:val="000000"/>
                <w:sz w:val="22"/>
                <w:szCs w:val="22"/>
                <w:rtl/>
              </w:rPr>
              <w:t>פורטוגל</w:t>
            </w:r>
          </w:p>
        </w:tc>
        <w:tc>
          <w:tcPr>
            <w:tcW w:w="1246" w:type="dxa"/>
            <w:noWrap/>
            <w:hideMark/>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color w:val="000000"/>
                <w:sz w:val="22"/>
                <w:szCs w:val="22"/>
                <w:rtl/>
              </w:rPr>
              <w:t>1</w:t>
            </w:r>
          </w:p>
        </w:tc>
        <w:tc>
          <w:tcPr>
            <w:tcW w:w="1377" w:type="dxa"/>
            <w:noWrap/>
            <w:hideMark/>
          </w:tcPr>
          <w:p w:rsidR="00A210E9" w:rsidRPr="00A210E9" w:rsidP="00A210E9">
            <w:pPr>
              <w:spacing w:line="269" w:lineRule="auto"/>
              <w:jc w:val="left"/>
              <w:rPr>
                <w:rFonts w:ascii="David" w:eastAsia="Times New Roman" w:hAnsi="David"/>
                <w:color w:val="000000"/>
                <w:sz w:val="22"/>
                <w:szCs w:val="22"/>
                <w:rtl/>
              </w:rPr>
            </w:pPr>
          </w:p>
        </w:tc>
        <w:tc>
          <w:tcPr>
            <w:tcW w:w="1826" w:type="dxa"/>
            <w:noWrap/>
            <w:hideMark/>
          </w:tcPr>
          <w:p w:rsidR="00A210E9" w:rsidRPr="00A210E9" w:rsidP="00A210E9">
            <w:pPr>
              <w:spacing w:line="269" w:lineRule="auto"/>
              <w:jc w:val="left"/>
              <w:rPr>
                <w:rFonts w:ascii="David" w:eastAsia="Times New Roman" w:hAnsi="David"/>
                <w:sz w:val="22"/>
                <w:szCs w:val="22"/>
              </w:rPr>
            </w:pPr>
          </w:p>
        </w:tc>
        <w:tc>
          <w:tcPr>
            <w:tcW w:w="1341" w:type="dxa"/>
            <w:noWrap/>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tl/>
              </w:rPr>
              <w:t>1</w:t>
            </w:r>
          </w:p>
        </w:tc>
      </w:tr>
      <w:tr w:rsidTr="00A210E9">
        <w:tblPrEx>
          <w:tblW w:w="7445" w:type="dxa"/>
          <w:jc w:val="center"/>
          <w:tblLook w:val="04A0"/>
        </w:tblPrEx>
        <w:trPr>
          <w:trHeight w:val="193"/>
          <w:jc w:val="center"/>
        </w:trPr>
        <w:tc>
          <w:tcPr>
            <w:tcW w:w="1655" w:type="dxa"/>
            <w:noWrap/>
            <w:hideMark/>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color w:val="000000"/>
                <w:sz w:val="22"/>
                <w:szCs w:val="22"/>
                <w:rtl/>
              </w:rPr>
              <w:t>צרפת</w:t>
            </w:r>
          </w:p>
        </w:tc>
        <w:tc>
          <w:tcPr>
            <w:tcW w:w="1246" w:type="dxa"/>
            <w:noWrap/>
            <w:hideMark/>
          </w:tcPr>
          <w:p w:rsidR="00A210E9" w:rsidRPr="00A210E9" w:rsidP="00A210E9">
            <w:pPr>
              <w:spacing w:line="269" w:lineRule="auto"/>
              <w:jc w:val="left"/>
              <w:rPr>
                <w:rFonts w:ascii="David" w:eastAsia="Times New Roman" w:hAnsi="David"/>
                <w:color w:val="000000"/>
                <w:sz w:val="22"/>
                <w:szCs w:val="22"/>
                <w:rtl/>
              </w:rPr>
            </w:pPr>
          </w:p>
        </w:tc>
        <w:tc>
          <w:tcPr>
            <w:tcW w:w="1377" w:type="dxa"/>
            <w:noWrap/>
            <w:hideMark/>
          </w:tcPr>
          <w:p w:rsidR="00A210E9" w:rsidRPr="00A210E9" w:rsidP="00A210E9">
            <w:pPr>
              <w:spacing w:line="269" w:lineRule="auto"/>
              <w:jc w:val="left"/>
              <w:rPr>
                <w:rFonts w:ascii="David" w:eastAsia="Times New Roman" w:hAnsi="David"/>
                <w:sz w:val="22"/>
                <w:szCs w:val="22"/>
              </w:rPr>
            </w:pPr>
          </w:p>
        </w:tc>
        <w:tc>
          <w:tcPr>
            <w:tcW w:w="1826" w:type="dxa"/>
            <w:noWrap/>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tl/>
              </w:rPr>
              <w:t>1</w:t>
            </w:r>
          </w:p>
        </w:tc>
        <w:tc>
          <w:tcPr>
            <w:tcW w:w="1341" w:type="dxa"/>
            <w:noWrap/>
            <w:hideMark/>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color w:val="000000"/>
                <w:sz w:val="22"/>
                <w:szCs w:val="22"/>
                <w:rtl/>
              </w:rPr>
              <w:t>1</w:t>
            </w:r>
          </w:p>
        </w:tc>
      </w:tr>
      <w:tr w:rsidTr="00A157C9">
        <w:tblPrEx>
          <w:tblW w:w="7445" w:type="dxa"/>
          <w:jc w:val="center"/>
          <w:tblLook w:val="04A0"/>
        </w:tblPrEx>
        <w:trPr>
          <w:trHeight w:val="193"/>
          <w:jc w:val="center"/>
        </w:trPr>
        <w:tc>
          <w:tcPr>
            <w:tcW w:w="1655" w:type="dxa"/>
            <w:noWrap/>
            <w:hideMark/>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color w:val="000000"/>
                <w:sz w:val="22"/>
                <w:szCs w:val="22"/>
                <w:rtl/>
              </w:rPr>
              <w:t>קנדה</w:t>
            </w:r>
          </w:p>
        </w:tc>
        <w:tc>
          <w:tcPr>
            <w:tcW w:w="1246" w:type="dxa"/>
            <w:noWrap/>
            <w:hideMark/>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color w:val="000000"/>
                <w:sz w:val="22"/>
                <w:szCs w:val="22"/>
                <w:rtl/>
              </w:rPr>
              <w:t>2</w:t>
            </w:r>
          </w:p>
        </w:tc>
        <w:tc>
          <w:tcPr>
            <w:tcW w:w="1377" w:type="dxa"/>
            <w:noWrap/>
            <w:hideMark/>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color w:val="000000"/>
                <w:sz w:val="22"/>
                <w:szCs w:val="22"/>
                <w:rtl/>
              </w:rPr>
              <w:t>1</w:t>
            </w:r>
          </w:p>
        </w:tc>
        <w:tc>
          <w:tcPr>
            <w:tcW w:w="1826" w:type="dxa"/>
            <w:noWrap/>
            <w:hideMark/>
          </w:tcPr>
          <w:p w:rsidR="00A210E9" w:rsidRPr="00A210E9" w:rsidP="00A210E9">
            <w:pPr>
              <w:spacing w:line="269" w:lineRule="auto"/>
              <w:jc w:val="left"/>
              <w:rPr>
                <w:rFonts w:ascii="David" w:eastAsia="Times New Roman" w:hAnsi="David"/>
                <w:color w:val="000000"/>
                <w:sz w:val="22"/>
                <w:szCs w:val="22"/>
                <w:rtl/>
              </w:rPr>
            </w:pPr>
          </w:p>
        </w:tc>
        <w:tc>
          <w:tcPr>
            <w:tcW w:w="1341" w:type="dxa"/>
            <w:noWrap/>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tl/>
              </w:rPr>
              <w:t>3</w:t>
            </w:r>
          </w:p>
        </w:tc>
      </w:tr>
      <w:tr w:rsidTr="00A210E9">
        <w:tblPrEx>
          <w:tblW w:w="7445" w:type="dxa"/>
          <w:jc w:val="center"/>
          <w:tblLook w:val="04A0"/>
        </w:tblPrEx>
        <w:trPr>
          <w:trHeight w:val="193"/>
          <w:jc w:val="center"/>
        </w:trPr>
        <w:tc>
          <w:tcPr>
            <w:tcW w:w="1655" w:type="dxa"/>
            <w:noWrap/>
            <w:hideMark/>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color w:val="000000"/>
                <w:sz w:val="22"/>
                <w:szCs w:val="22"/>
                <w:rtl/>
              </w:rPr>
              <w:t>שווי</w:t>
            </w:r>
            <w:r w:rsidRPr="00A210E9">
              <w:rPr>
                <w:rFonts w:ascii="David" w:eastAsia="Times New Roman" w:hAnsi="David" w:hint="cs"/>
                <w:color w:val="000000"/>
                <w:sz w:val="22"/>
                <w:szCs w:val="22"/>
                <w:rtl/>
              </w:rPr>
              <w:t>י</w:t>
            </w:r>
            <w:r w:rsidRPr="00A210E9">
              <w:rPr>
                <w:rFonts w:ascii="David" w:eastAsia="Times New Roman" w:hAnsi="David"/>
                <w:color w:val="000000"/>
                <w:sz w:val="22"/>
                <w:szCs w:val="22"/>
                <w:rtl/>
              </w:rPr>
              <w:t>ץ</w:t>
            </w:r>
          </w:p>
        </w:tc>
        <w:tc>
          <w:tcPr>
            <w:tcW w:w="1246" w:type="dxa"/>
            <w:noWrap/>
            <w:hideMark/>
          </w:tcPr>
          <w:p w:rsidR="00A210E9" w:rsidRPr="00A210E9" w:rsidP="00A210E9">
            <w:pPr>
              <w:spacing w:line="269" w:lineRule="auto"/>
              <w:jc w:val="left"/>
              <w:rPr>
                <w:rFonts w:ascii="David" w:eastAsia="Times New Roman" w:hAnsi="David"/>
                <w:color w:val="000000"/>
                <w:sz w:val="22"/>
                <w:szCs w:val="22"/>
                <w:rtl/>
              </w:rPr>
            </w:pPr>
          </w:p>
        </w:tc>
        <w:tc>
          <w:tcPr>
            <w:tcW w:w="1377" w:type="dxa"/>
            <w:noWrap/>
            <w:hideMark/>
          </w:tcPr>
          <w:p w:rsidR="00A210E9" w:rsidRPr="00A210E9" w:rsidP="00A210E9">
            <w:pPr>
              <w:spacing w:line="269" w:lineRule="auto"/>
              <w:jc w:val="left"/>
              <w:rPr>
                <w:rFonts w:ascii="David" w:eastAsia="Times New Roman" w:hAnsi="David"/>
                <w:sz w:val="22"/>
                <w:szCs w:val="22"/>
              </w:rPr>
            </w:pPr>
          </w:p>
        </w:tc>
        <w:tc>
          <w:tcPr>
            <w:tcW w:w="1826" w:type="dxa"/>
            <w:noWrap/>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tl/>
              </w:rPr>
              <w:t>1</w:t>
            </w:r>
          </w:p>
        </w:tc>
        <w:tc>
          <w:tcPr>
            <w:tcW w:w="1341" w:type="dxa"/>
            <w:noWrap/>
            <w:hideMark/>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color w:val="000000"/>
                <w:sz w:val="22"/>
                <w:szCs w:val="22"/>
                <w:rtl/>
              </w:rPr>
              <w:t>1</w:t>
            </w:r>
          </w:p>
        </w:tc>
      </w:tr>
      <w:tr w:rsidTr="00A157C9">
        <w:tblPrEx>
          <w:tblW w:w="7445" w:type="dxa"/>
          <w:jc w:val="center"/>
          <w:tblLook w:val="04A0"/>
        </w:tblPrEx>
        <w:trPr>
          <w:trHeight w:val="193"/>
          <w:jc w:val="center"/>
        </w:trPr>
        <w:tc>
          <w:tcPr>
            <w:tcW w:w="1655" w:type="dxa"/>
            <w:noWrap/>
            <w:hideMark/>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hint="cs"/>
                <w:color w:val="000000"/>
                <w:sz w:val="22"/>
                <w:szCs w:val="22"/>
                <w:rtl/>
              </w:rPr>
              <w:t>מספר</w:t>
            </w:r>
            <w:r w:rsidRPr="00A210E9">
              <w:rPr>
                <w:rFonts w:ascii="David" w:eastAsia="Times New Roman" w:hAnsi="David"/>
                <w:color w:val="000000"/>
                <w:sz w:val="22"/>
                <w:szCs w:val="22"/>
                <w:rtl/>
              </w:rPr>
              <w:t xml:space="preserve"> המדינות</w:t>
            </w:r>
          </w:p>
        </w:tc>
        <w:tc>
          <w:tcPr>
            <w:tcW w:w="1246" w:type="dxa"/>
            <w:noWrap/>
            <w:hideMark/>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color w:val="000000"/>
                <w:sz w:val="22"/>
                <w:szCs w:val="22"/>
                <w:rtl/>
              </w:rPr>
              <w:t>10</w:t>
            </w:r>
          </w:p>
        </w:tc>
        <w:tc>
          <w:tcPr>
            <w:tcW w:w="1377" w:type="dxa"/>
            <w:noWrap/>
            <w:hideMark/>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color w:val="000000"/>
                <w:sz w:val="22"/>
                <w:szCs w:val="22"/>
                <w:rtl/>
              </w:rPr>
              <w:t>10</w:t>
            </w:r>
          </w:p>
        </w:tc>
        <w:tc>
          <w:tcPr>
            <w:tcW w:w="1826" w:type="dxa"/>
            <w:noWrap/>
            <w:hideMark/>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color w:val="000000"/>
                <w:sz w:val="22"/>
                <w:szCs w:val="22"/>
                <w:rtl/>
              </w:rPr>
              <w:t>7</w:t>
            </w:r>
          </w:p>
        </w:tc>
        <w:tc>
          <w:tcPr>
            <w:tcW w:w="1341" w:type="dxa"/>
            <w:noWrap/>
            <w:hideMark/>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color w:val="000000"/>
                <w:sz w:val="22"/>
                <w:szCs w:val="22"/>
                <w:rtl/>
              </w:rPr>
              <w:t>27</w:t>
            </w:r>
          </w:p>
        </w:tc>
      </w:tr>
    </w:tbl>
    <w:p w:rsidR="00A210E9" w:rsidRPr="00A210E9" w:rsidP="00A210E9">
      <w:pPr>
        <w:spacing w:line="269" w:lineRule="auto"/>
        <w:rPr>
          <w:rFonts w:ascii="David" w:eastAsia="Calibri" w:hAnsi="David"/>
          <w:szCs w:val="20"/>
          <w:rtl/>
        </w:rPr>
      </w:pPr>
      <w:r w:rsidRPr="00A210E9">
        <w:rPr>
          <w:rFonts w:ascii="David" w:eastAsia="Calibri" w:hAnsi="David" w:hint="eastAsia"/>
          <w:szCs w:val="20"/>
          <w:rtl/>
        </w:rPr>
        <w:t>על</w:t>
      </w:r>
      <w:r w:rsidRPr="00A210E9">
        <w:rPr>
          <w:rFonts w:ascii="David" w:eastAsia="Calibri" w:hAnsi="David"/>
          <w:szCs w:val="20"/>
          <w:rtl/>
        </w:rPr>
        <w:t xml:space="preserve"> פי משרד התחבורה, </w:t>
      </w:r>
      <w:r w:rsidRPr="00A210E9">
        <w:rPr>
          <w:rFonts w:ascii="David" w:eastAsia="Calibri" w:hAnsi="David" w:hint="eastAsia"/>
          <w:szCs w:val="20"/>
          <w:rtl/>
        </w:rPr>
        <w:t>התוכנית</w:t>
      </w:r>
      <w:r w:rsidRPr="00A210E9">
        <w:rPr>
          <w:rFonts w:ascii="David" w:eastAsia="Calibri" w:hAnsi="David"/>
          <w:szCs w:val="20"/>
          <w:rtl/>
        </w:rPr>
        <w:t xml:space="preserve"> הלאומית לחניה, בעיבוד משרד מבקר המדינה</w:t>
      </w:r>
      <w:r w:rsidRPr="00A210E9">
        <w:rPr>
          <w:rFonts w:ascii="David" w:eastAsia="Calibri" w:hAnsi="David" w:hint="cs"/>
          <w:szCs w:val="20"/>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 xml:space="preserve">מההשוואה </w:t>
      </w:r>
      <w:r w:rsidRPr="00A210E9">
        <w:rPr>
          <w:rFonts w:eastAsia="Calibri"/>
          <w:b/>
          <w:bCs/>
          <w:rtl/>
        </w:rPr>
        <w:t>הבין-לאומית</w:t>
      </w:r>
      <w:r w:rsidRPr="00A210E9">
        <w:rPr>
          <w:rFonts w:eastAsia="Calibri" w:hint="cs"/>
          <w:b/>
          <w:bCs/>
          <w:rtl/>
        </w:rPr>
        <w:t xml:space="preserve"> בתחום החניה במרחב הציבורי עולה כי מתוך 27 מדינות שבדק משרד התחבורה בנושא פטור מתשלום, ב-10 מדינות יש פטור מתשלום על חניה כמו גם בישראל, </w:t>
      </w:r>
      <w:r w:rsidRPr="00A210E9">
        <w:rPr>
          <w:rFonts w:eastAsia="Calibri"/>
          <w:b/>
          <w:bCs/>
          <w:rtl/>
        </w:rPr>
        <w:br/>
      </w:r>
      <w:r w:rsidRPr="00A210E9">
        <w:rPr>
          <w:rFonts w:eastAsia="Calibri" w:hint="cs"/>
          <w:b/>
          <w:bCs/>
          <w:rtl/>
        </w:rPr>
        <w:t xml:space="preserve">ב-10 מדינות חלה חובת תשלום וב-7 מדינות רק חלק מהרשויות פוטרות מתשלום על החניה.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הנוהג של רשויות מקומיות בישראל לתת פטור גורף מתשלום על חניה</w:t>
      </w:r>
      <w:r w:rsidRPr="00A210E9">
        <w:rPr>
          <w:rFonts w:eastAsia="Calibri"/>
          <w:b/>
          <w:bCs/>
          <w:rtl/>
        </w:rPr>
        <w:t xml:space="preserve"> </w:t>
      </w:r>
      <w:r w:rsidRPr="00A210E9">
        <w:rPr>
          <w:rFonts w:eastAsia="Calibri" w:hint="cs"/>
          <w:b/>
          <w:bCs/>
          <w:rtl/>
        </w:rPr>
        <w:t>בחניות המסומנות בכחול לבן (במרבית הרשויות המקומיות)</w:t>
      </w:r>
      <w:r w:rsidRPr="00A210E9">
        <w:rPr>
          <w:rFonts w:eastAsia="Calibri" w:hint="cs"/>
          <w:b/>
          <w:bCs/>
        </w:rPr>
        <w:t xml:space="preserve"> </w:t>
      </w:r>
      <w:r w:rsidRPr="00A210E9">
        <w:rPr>
          <w:rFonts w:eastAsia="Calibri" w:hint="cs"/>
          <w:b/>
          <w:bCs/>
          <w:rtl/>
        </w:rPr>
        <w:t xml:space="preserve">ובחלק מהחניונים, בשילוב היכולת לחנות במקומות אסורים כמו מדרכה, עלול לשמש תמריץ לבקשת תג משיקולים לא ענייניים ולניצול </w:t>
      </w:r>
      <w:r w:rsidRPr="00A210E9">
        <w:rPr>
          <w:rFonts w:eastAsia="Calibri"/>
          <w:b/>
          <w:bCs/>
          <w:rtl/>
        </w:rPr>
        <w:t>לרעה</w:t>
      </w:r>
      <w:r w:rsidRPr="00A210E9">
        <w:rPr>
          <w:rFonts w:eastAsia="Calibri" w:hint="cs"/>
          <w:b/>
          <w:bCs/>
          <w:rtl/>
        </w:rPr>
        <w:t xml:space="preserve"> של</w:t>
      </w:r>
      <w:r w:rsidRPr="00A210E9">
        <w:rPr>
          <w:rFonts w:eastAsia="Calibri"/>
          <w:b/>
          <w:bCs/>
          <w:rtl/>
        </w:rPr>
        <w:t xml:space="preserve"> </w:t>
      </w:r>
      <w:r w:rsidRPr="00A210E9">
        <w:rPr>
          <w:rFonts w:eastAsia="Calibri" w:hint="cs"/>
          <w:b/>
          <w:bCs/>
          <w:rtl/>
        </w:rPr>
        <w:t>ההטבות שמקנה התג בתחום החניה.</w:t>
      </w:r>
    </w:p>
    <w:p w:rsidR="00A210E9" w:rsidRPr="00A210E9" w:rsidP="00A210E9">
      <w:pPr>
        <w:keepNext/>
        <w:keepLines/>
        <w:spacing w:line="269" w:lineRule="auto"/>
        <w:ind w:left="-567"/>
        <w:rPr>
          <w:rFonts w:eastAsia="Calibri"/>
          <w:szCs w:val="20"/>
          <w:rtl/>
        </w:rPr>
      </w:pPr>
    </w:p>
    <w:p w:rsidR="00A210E9" w:rsidP="00A210E9">
      <w:pPr>
        <w:spacing w:line="269" w:lineRule="auto"/>
        <w:rPr>
          <w:rFonts w:eastAsia="Calibri"/>
          <w:rtl/>
        </w:rPr>
      </w:pPr>
      <w:r w:rsidRPr="00A210E9">
        <w:rPr>
          <w:rFonts w:eastAsia="Calibri" w:hint="eastAsia"/>
          <w:rtl/>
        </w:rPr>
        <w:t>פורום</w:t>
      </w:r>
      <w:r w:rsidRPr="00A210E9">
        <w:rPr>
          <w:rFonts w:eastAsia="Calibri" w:hint="cs"/>
          <w:rtl/>
        </w:rPr>
        <w:t xml:space="preserve"> צמיד כתבה בתשובתו כי </w:t>
      </w:r>
      <w:r w:rsidRPr="00A210E9">
        <w:rPr>
          <w:rFonts w:eastAsia="Calibri"/>
          <w:rtl/>
        </w:rPr>
        <w:t xml:space="preserve">צמצום הפטור </w:t>
      </w:r>
      <w:r w:rsidRPr="00A210E9">
        <w:rPr>
          <w:rFonts w:eastAsia="Calibri" w:hint="cs"/>
          <w:rtl/>
        </w:rPr>
        <w:t>מתשלום על חניה</w:t>
      </w:r>
      <w:r w:rsidRPr="00A210E9">
        <w:rPr>
          <w:rFonts w:eastAsia="Calibri"/>
          <w:rtl/>
        </w:rPr>
        <w:t xml:space="preserve"> יפגע </w:t>
      </w:r>
      <w:r w:rsidRPr="00A210E9">
        <w:rPr>
          <w:rFonts w:eastAsia="Calibri" w:hint="cs"/>
          <w:rtl/>
        </w:rPr>
        <w:t>קשות</w:t>
      </w:r>
      <w:r w:rsidRPr="00A210E9">
        <w:rPr>
          <w:rFonts w:eastAsia="Calibri"/>
          <w:rtl/>
        </w:rPr>
        <w:t xml:space="preserve"> באוכלוסיות שהחניה היא עבורן תנאי סף לגישה: אנשים עם מוגבלויות </w:t>
      </w:r>
      <w:r w:rsidRPr="00A210E9">
        <w:rPr>
          <w:rFonts w:eastAsia="Calibri" w:hint="cs"/>
          <w:rtl/>
        </w:rPr>
        <w:t>ב</w:t>
      </w:r>
      <w:r w:rsidRPr="00A210E9">
        <w:rPr>
          <w:rFonts w:eastAsia="Calibri"/>
          <w:rtl/>
        </w:rPr>
        <w:t xml:space="preserve">ניידות שאינם יכולים להשתמש בתחבורה ציבורית; קשישים סיעודיים </w:t>
      </w:r>
      <w:r w:rsidRPr="00A210E9">
        <w:rPr>
          <w:rFonts w:eastAsia="Calibri" w:hint="cs"/>
          <w:rtl/>
        </w:rPr>
        <w:t>ו</w:t>
      </w:r>
      <w:r w:rsidRPr="00A210E9">
        <w:rPr>
          <w:rFonts w:eastAsia="Calibri"/>
          <w:rtl/>
        </w:rPr>
        <w:t>חולים אונקולוגיים. עבור</w:t>
      </w:r>
      <w:r w:rsidRPr="00A210E9">
        <w:rPr>
          <w:rFonts w:eastAsia="Calibri" w:hint="cs"/>
          <w:rtl/>
        </w:rPr>
        <w:t xml:space="preserve"> </w:t>
      </w:r>
      <w:r w:rsidRPr="00A210E9">
        <w:rPr>
          <w:rFonts w:eastAsia="Calibri"/>
          <w:rtl/>
        </w:rPr>
        <w:t>אדם המקבל קצבת נכות כללית</w:t>
      </w:r>
      <w:r w:rsidRPr="00A210E9">
        <w:rPr>
          <w:rFonts w:eastAsia="Calibri" w:hint="cs"/>
          <w:rtl/>
        </w:rPr>
        <w:t xml:space="preserve"> בסך</w:t>
      </w:r>
      <w:r w:rsidRPr="00A210E9">
        <w:rPr>
          <w:rFonts w:eastAsia="Calibri"/>
          <w:rtl/>
        </w:rPr>
        <w:t xml:space="preserve"> 3,500 ש״ח לחודש, תשלום </w:t>
      </w:r>
      <w:r w:rsidRPr="00A210E9">
        <w:rPr>
          <w:rFonts w:eastAsia="Calibri" w:hint="cs"/>
          <w:rtl/>
        </w:rPr>
        <w:t>עבור חניה</w:t>
      </w:r>
      <w:r w:rsidRPr="00A210E9">
        <w:rPr>
          <w:rFonts w:eastAsia="Calibri"/>
          <w:rtl/>
        </w:rPr>
        <w:t xml:space="preserve"> </w:t>
      </w:r>
      <w:r w:rsidRPr="00A210E9">
        <w:rPr>
          <w:rFonts w:eastAsia="Calibri" w:hint="cs"/>
          <w:rtl/>
        </w:rPr>
        <w:t>הוא</w:t>
      </w:r>
      <w:r w:rsidRPr="00A210E9">
        <w:rPr>
          <w:rFonts w:eastAsia="Calibri"/>
          <w:rtl/>
        </w:rPr>
        <w:t xml:space="preserve"> מחסום כלכלי </w:t>
      </w:r>
      <w:r w:rsidRPr="00A210E9">
        <w:rPr>
          <w:rFonts w:eastAsia="Calibri" w:hint="cs"/>
          <w:rtl/>
        </w:rPr>
        <w:t>ממשי</w:t>
      </w:r>
      <w:r w:rsidRPr="00A210E9">
        <w:rPr>
          <w:rFonts w:eastAsia="Calibri"/>
          <w:rtl/>
        </w:rPr>
        <w:t xml:space="preserve"> לקבלת שירותים חיוניים. </w:t>
      </w:r>
      <w:r w:rsidRPr="00A210E9">
        <w:rPr>
          <w:rFonts w:eastAsia="Calibri" w:hint="cs"/>
          <w:rtl/>
        </w:rPr>
        <w:t xml:space="preserve">העמותה הבהירה כי </w:t>
      </w:r>
      <w:r w:rsidRPr="00A210E9">
        <w:rPr>
          <w:rFonts w:eastAsia="Calibri"/>
          <w:rtl/>
        </w:rPr>
        <w:t xml:space="preserve">הפטור מתשלום חניה </w:t>
      </w:r>
      <w:r w:rsidRPr="00A210E9">
        <w:rPr>
          <w:rFonts w:eastAsia="Calibri" w:hint="cs"/>
          <w:rtl/>
        </w:rPr>
        <w:t>הוא</w:t>
      </w:r>
      <w:r w:rsidRPr="00A210E9">
        <w:rPr>
          <w:rFonts w:eastAsia="Calibri"/>
          <w:rtl/>
        </w:rPr>
        <w:t xml:space="preserve"> כלי </w:t>
      </w:r>
      <w:r w:rsidRPr="00A210E9">
        <w:rPr>
          <w:rFonts w:eastAsia="Calibri" w:hint="cs"/>
          <w:rtl/>
        </w:rPr>
        <w:t xml:space="preserve">המאפשר </w:t>
      </w:r>
      <w:r w:rsidRPr="00A210E9">
        <w:rPr>
          <w:rFonts w:eastAsia="Calibri"/>
          <w:rtl/>
        </w:rPr>
        <w:t xml:space="preserve">נגישות. </w:t>
      </w:r>
      <w:r w:rsidRPr="00A210E9">
        <w:rPr>
          <w:rFonts w:eastAsia="Calibri" w:hint="cs"/>
          <w:rtl/>
        </w:rPr>
        <w:t>עוד ציינה כי צמצום הפטור סותר סעיף 20 ל</w:t>
      </w:r>
      <w:r w:rsidRPr="00A210E9">
        <w:rPr>
          <w:rFonts w:eastAsia="Calibri"/>
          <w:rtl/>
        </w:rPr>
        <w:t>אמנה הבי</w:t>
      </w:r>
      <w:r w:rsidRPr="00A210E9">
        <w:rPr>
          <w:rFonts w:eastAsia="Calibri" w:hint="cs"/>
          <w:rtl/>
        </w:rPr>
        <w:t>ן-</w:t>
      </w:r>
      <w:r w:rsidRPr="00A210E9">
        <w:rPr>
          <w:rFonts w:eastAsia="Calibri"/>
          <w:rtl/>
        </w:rPr>
        <w:t xml:space="preserve">לאומית לזכויות אנשים עם מוגבלות </w:t>
      </w:r>
      <w:r w:rsidRPr="00A210E9">
        <w:rPr>
          <w:rFonts w:eastAsia="Calibri" w:hint="cs"/>
          <w:rtl/>
        </w:rPr>
        <w:t>(</w:t>
      </w:r>
      <w:r w:rsidRPr="00A210E9">
        <w:rPr>
          <w:rFonts w:eastAsia="Calibri"/>
        </w:rPr>
        <w:t>CRPD</w:t>
      </w:r>
      <w:r w:rsidRPr="00A210E9">
        <w:rPr>
          <w:rFonts w:eastAsia="Calibri" w:hint="cs"/>
          <w:rtl/>
        </w:rPr>
        <w:t>)</w:t>
      </w:r>
      <w:r w:rsidRPr="00A210E9">
        <w:rPr>
          <w:rFonts w:eastAsia="Calibri"/>
          <w:rtl/>
        </w:rPr>
        <w:t>, שישראל אשררה ב</w:t>
      </w:r>
      <w:r w:rsidRPr="00A210E9">
        <w:rPr>
          <w:rFonts w:eastAsia="Calibri" w:hint="cs"/>
          <w:rtl/>
        </w:rPr>
        <w:t>שנת</w:t>
      </w:r>
      <w:r w:rsidRPr="00A210E9">
        <w:rPr>
          <w:rFonts w:eastAsia="Calibri"/>
          <w:rtl/>
        </w:rPr>
        <w:t xml:space="preserve"> 2012, </w:t>
      </w:r>
      <w:r w:rsidRPr="00A210E9">
        <w:rPr>
          <w:rFonts w:eastAsia="Calibri" w:hint="cs"/>
          <w:rtl/>
        </w:rPr>
        <w:t>ה</w:t>
      </w:r>
      <w:r w:rsidRPr="00A210E9">
        <w:rPr>
          <w:rFonts w:eastAsia="Calibri"/>
          <w:rtl/>
        </w:rPr>
        <w:t>מחייב</w:t>
      </w:r>
      <w:r w:rsidRPr="00A210E9">
        <w:rPr>
          <w:rFonts w:eastAsia="Calibri" w:hint="cs"/>
          <w:rtl/>
        </w:rPr>
        <w:t xml:space="preserve"> </w:t>
      </w:r>
      <w:r w:rsidRPr="00A210E9">
        <w:rPr>
          <w:rFonts w:eastAsia="Calibri"/>
          <w:rtl/>
        </w:rPr>
        <w:t>להבטיח ניידות אישית בעלות סבירה.</w:t>
      </w:r>
      <w:r w:rsidRPr="00A210E9">
        <w:rPr>
          <w:rFonts w:eastAsia="Calibri" w:hint="cs"/>
          <w:rtl/>
        </w:rPr>
        <w:t xml:space="preserve"> לעומת עמדה חד-משמעית זו, מהתשובות שהתקבלו מעמותות אחרות עולה כי חלקן אינן מתנגדות ברמה העקרונית לצמצום הטבות כלכליות, ובכללן הפטור מתשלום על חניה, וחלקן אף תומכות בכך (ראו פירוט בסוף פרק "הטבות כלכליות"). </w:t>
      </w:r>
    </w:p>
    <w:p w:rsidR="00F70506" w:rsidRPr="00A210E9" w:rsidP="00A210E9">
      <w:pPr>
        <w:spacing w:line="269" w:lineRule="auto"/>
        <w:rPr>
          <w:rFonts w:eastAsia="Calibri"/>
          <w:rtl/>
        </w:rPr>
      </w:pPr>
    </w:p>
    <w:p w:rsidR="00A210E9" w:rsidRPr="00A210E9" w:rsidP="00A210E9">
      <w:pPr>
        <w:spacing w:line="269" w:lineRule="auto"/>
        <w:rPr>
          <w:rFonts w:eastAsia="Calibri"/>
          <w:rtl/>
        </w:rPr>
      </w:pPr>
      <w:r w:rsidRPr="00A210E9">
        <w:rPr>
          <w:rFonts w:eastAsia="Calibri" w:hint="eastAsia"/>
          <w:rtl/>
        </w:rPr>
        <w:t>עיריית</w:t>
      </w:r>
      <w:r w:rsidRPr="00A210E9">
        <w:rPr>
          <w:rFonts w:eastAsia="Calibri"/>
          <w:rtl/>
        </w:rPr>
        <w:t xml:space="preserve"> </w:t>
      </w:r>
      <w:r w:rsidRPr="00A210E9">
        <w:rPr>
          <w:rFonts w:eastAsia="Calibri" w:hint="eastAsia"/>
          <w:rtl/>
        </w:rPr>
        <w:t>חיפה</w:t>
      </w:r>
      <w:r w:rsidRPr="00A210E9">
        <w:rPr>
          <w:rFonts w:eastAsia="Calibri"/>
          <w:rtl/>
        </w:rPr>
        <w:t xml:space="preserve"> </w:t>
      </w:r>
      <w:r w:rsidRPr="00A210E9">
        <w:rPr>
          <w:rFonts w:eastAsia="Calibri" w:hint="eastAsia"/>
          <w:rtl/>
        </w:rPr>
        <w:t>כתבה</w:t>
      </w:r>
      <w:r w:rsidRPr="00A210E9">
        <w:rPr>
          <w:rFonts w:eastAsia="Calibri"/>
          <w:rtl/>
        </w:rPr>
        <w:t xml:space="preserve"> </w:t>
      </w:r>
      <w:r w:rsidRPr="00A210E9">
        <w:rPr>
          <w:rFonts w:eastAsia="Calibri" w:hint="eastAsia"/>
          <w:rtl/>
        </w:rPr>
        <w:t>בתשובתה</w:t>
      </w:r>
      <w:r w:rsidRPr="00A210E9">
        <w:rPr>
          <w:rFonts w:eastAsia="Calibri" w:hint="cs"/>
          <w:rtl/>
        </w:rPr>
        <w:t xml:space="preserve"> </w:t>
      </w:r>
      <w:r w:rsidRPr="00A210E9">
        <w:rPr>
          <w:rFonts w:eastAsia="Calibri" w:hint="eastAsia"/>
          <w:rtl/>
        </w:rPr>
        <w:t>ממאי</w:t>
      </w:r>
      <w:r w:rsidRPr="00A210E9">
        <w:rPr>
          <w:rFonts w:eastAsia="Calibri"/>
          <w:rtl/>
        </w:rPr>
        <w:t xml:space="preserve"> 2026 (להלן </w:t>
      </w:r>
      <w:r w:rsidRPr="00A210E9">
        <w:rPr>
          <w:rFonts w:eastAsia="Calibri" w:hint="cs"/>
          <w:rtl/>
        </w:rPr>
        <w:t>-</w:t>
      </w:r>
      <w:r w:rsidRPr="00A210E9">
        <w:rPr>
          <w:rFonts w:eastAsia="Calibri"/>
          <w:rtl/>
        </w:rPr>
        <w:t xml:space="preserve"> תשובת עיריית חיפה</w:t>
      </w:r>
      <w:r w:rsidRPr="00A210E9">
        <w:rPr>
          <w:rFonts w:eastAsia="Calibri" w:hint="cs"/>
          <w:rtl/>
        </w:rPr>
        <w:t>)</w:t>
      </w:r>
      <w:r w:rsidRPr="00A210E9">
        <w:rPr>
          <w:rFonts w:eastAsia="Calibri"/>
          <w:rtl/>
        </w:rPr>
        <w:t>: "</w:t>
      </w:r>
      <w:r w:rsidRPr="00A210E9">
        <w:rPr>
          <w:rFonts w:eastAsia="Calibri" w:hint="eastAsia"/>
          <w:rtl/>
        </w:rPr>
        <w:t>הפטור</w:t>
      </w:r>
      <w:r w:rsidRPr="00A210E9">
        <w:rPr>
          <w:rFonts w:eastAsia="Calibri"/>
          <w:rtl/>
        </w:rPr>
        <w:t xml:space="preserve"> </w:t>
      </w:r>
      <w:r w:rsidRPr="00A210E9">
        <w:rPr>
          <w:rFonts w:eastAsia="Calibri" w:hint="eastAsia"/>
          <w:rtl/>
        </w:rPr>
        <w:t>מתשלום</w:t>
      </w:r>
      <w:r w:rsidRPr="00A210E9">
        <w:rPr>
          <w:rFonts w:eastAsia="Calibri"/>
          <w:rtl/>
        </w:rPr>
        <w:t xml:space="preserve"> </w:t>
      </w:r>
      <w:r w:rsidRPr="00A210E9">
        <w:rPr>
          <w:rFonts w:eastAsia="Calibri" w:hint="eastAsia"/>
          <w:rtl/>
        </w:rPr>
        <w:t>אגרת</w:t>
      </w:r>
      <w:r w:rsidRPr="00A210E9">
        <w:rPr>
          <w:rFonts w:eastAsia="Calibri"/>
          <w:rtl/>
        </w:rPr>
        <w:t xml:space="preserve"> </w:t>
      </w:r>
      <w:r w:rsidRPr="00A210E9">
        <w:rPr>
          <w:rFonts w:eastAsia="Calibri" w:hint="eastAsia"/>
          <w:rtl/>
        </w:rPr>
        <w:t>חניה</w:t>
      </w:r>
      <w:r w:rsidRPr="00A210E9">
        <w:rPr>
          <w:rFonts w:eastAsia="Calibri"/>
          <w:rtl/>
        </w:rPr>
        <w:t xml:space="preserve"> </w:t>
      </w:r>
      <w:r w:rsidRPr="00A210E9">
        <w:rPr>
          <w:rFonts w:eastAsia="Calibri" w:hint="eastAsia"/>
          <w:rtl/>
        </w:rPr>
        <w:t>הינו</w:t>
      </w:r>
      <w:r w:rsidRPr="00A210E9">
        <w:rPr>
          <w:rFonts w:eastAsia="Calibri"/>
          <w:rtl/>
        </w:rPr>
        <w:t xml:space="preserve"> </w:t>
      </w:r>
      <w:r w:rsidRPr="00A210E9">
        <w:rPr>
          <w:rFonts w:eastAsia="Calibri" w:hint="eastAsia"/>
          <w:rtl/>
        </w:rPr>
        <w:t>הטבה</w:t>
      </w:r>
      <w:r w:rsidRPr="00A210E9">
        <w:rPr>
          <w:rFonts w:eastAsia="Calibri"/>
          <w:rtl/>
        </w:rPr>
        <w:t xml:space="preserve"> </w:t>
      </w:r>
      <w:r w:rsidRPr="00A210E9">
        <w:rPr>
          <w:rFonts w:eastAsia="Calibri" w:hint="eastAsia"/>
          <w:rtl/>
        </w:rPr>
        <w:t>כלכלית</w:t>
      </w:r>
      <w:r w:rsidRPr="00A210E9">
        <w:rPr>
          <w:rFonts w:eastAsia="Calibri"/>
          <w:rtl/>
        </w:rPr>
        <w:t xml:space="preserve"> </w:t>
      </w:r>
      <w:r w:rsidRPr="00A210E9">
        <w:rPr>
          <w:rFonts w:eastAsia="Calibri" w:hint="eastAsia"/>
          <w:rtl/>
        </w:rPr>
        <w:t>כאשר</w:t>
      </w:r>
      <w:r w:rsidRPr="00A210E9">
        <w:rPr>
          <w:rFonts w:eastAsia="Calibri"/>
          <w:rtl/>
        </w:rPr>
        <w:t xml:space="preserve"> </w:t>
      </w:r>
      <w:r w:rsidRPr="00A210E9">
        <w:rPr>
          <w:rFonts w:eastAsia="Calibri" w:hint="eastAsia"/>
          <w:rtl/>
        </w:rPr>
        <w:t>מתן</w:t>
      </w:r>
      <w:r w:rsidRPr="00A210E9">
        <w:rPr>
          <w:rFonts w:eastAsia="Calibri"/>
          <w:rtl/>
        </w:rPr>
        <w:t xml:space="preserve"> </w:t>
      </w:r>
      <w:r w:rsidRPr="00A210E9">
        <w:rPr>
          <w:rFonts w:eastAsia="Calibri" w:hint="eastAsia"/>
          <w:rtl/>
        </w:rPr>
        <w:t>תג</w:t>
      </w:r>
      <w:r w:rsidRPr="00A210E9">
        <w:rPr>
          <w:rFonts w:eastAsia="Calibri"/>
          <w:rtl/>
        </w:rPr>
        <w:t xml:space="preserve"> </w:t>
      </w:r>
      <w:r w:rsidRPr="00A210E9">
        <w:rPr>
          <w:rFonts w:eastAsia="Calibri" w:hint="eastAsia"/>
          <w:rtl/>
        </w:rPr>
        <w:t>נכה</w:t>
      </w:r>
      <w:r w:rsidRPr="00A210E9">
        <w:rPr>
          <w:rFonts w:eastAsia="Calibri"/>
          <w:rtl/>
        </w:rPr>
        <w:t xml:space="preserve"> </w:t>
      </w:r>
      <w:r w:rsidRPr="00A210E9">
        <w:rPr>
          <w:rFonts w:eastAsia="Calibri" w:hint="eastAsia"/>
          <w:rtl/>
        </w:rPr>
        <w:t>מבוסס</w:t>
      </w:r>
      <w:r w:rsidRPr="00A210E9">
        <w:rPr>
          <w:rFonts w:eastAsia="Calibri"/>
          <w:rtl/>
        </w:rPr>
        <w:t xml:space="preserve"> (או </w:t>
      </w:r>
      <w:r w:rsidRPr="00A210E9">
        <w:rPr>
          <w:rFonts w:eastAsia="Calibri" w:hint="eastAsia"/>
          <w:rtl/>
        </w:rPr>
        <w:t>אמור</w:t>
      </w:r>
      <w:r w:rsidRPr="00A210E9">
        <w:rPr>
          <w:rFonts w:eastAsia="Calibri"/>
          <w:rtl/>
        </w:rPr>
        <w:t xml:space="preserve"> </w:t>
      </w:r>
      <w:r w:rsidRPr="00A210E9">
        <w:rPr>
          <w:rFonts w:eastAsia="Calibri" w:hint="eastAsia"/>
          <w:rtl/>
        </w:rPr>
        <w:t>להתבסס</w:t>
      </w:r>
      <w:r w:rsidRPr="00A210E9">
        <w:rPr>
          <w:rFonts w:eastAsia="Calibri"/>
          <w:rtl/>
        </w:rPr>
        <w:t>)</w:t>
      </w:r>
      <w:r w:rsidRPr="00A210E9">
        <w:rPr>
          <w:rFonts w:eastAsia="Calibri"/>
        </w:rPr>
        <w:t xml:space="preserve"> </w:t>
      </w:r>
      <w:r w:rsidRPr="00A210E9">
        <w:rPr>
          <w:rFonts w:eastAsia="Calibri" w:hint="eastAsia"/>
          <w:rtl/>
        </w:rPr>
        <w:t>על</w:t>
      </w:r>
      <w:r w:rsidRPr="00A210E9">
        <w:rPr>
          <w:rFonts w:eastAsia="Calibri"/>
          <w:rtl/>
        </w:rPr>
        <w:t xml:space="preserve"> </w:t>
      </w:r>
      <w:r w:rsidRPr="00A210E9">
        <w:rPr>
          <w:rFonts w:eastAsia="Calibri" w:hint="eastAsia"/>
          <w:rtl/>
        </w:rPr>
        <w:t>קיומה</w:t>
      </w:r>
      <w:r w:rsidRPr="00A210E9">
        <w:rPr>
          <w:rFonts w:eastAsia="Calibri"/>
          <w:rtl/>
        </w:rPr>
        <w:t xml:space="preserve"> </w:t>
      </w:r>
      <w:r w:rsidRPr="00A210E9">
        <w:rPr>
          <w:rFonts w:eastAsia="Calibri" w:hint="eastAsia"/>
          <w:rtl/>
        </w:rPr>
        <w:t>של</w:t>
      </w:r>
      <w:r w:rsidRPr="00A210E9">
        <w:rPr>
          <w:rFonts w:eastAsia="Calibri"/>
          <w:rtl/>
        </w:rPr>
        <w:t xml:space="preserve"> </w:t>
      </w:r>
      <w:r w:rsidRPr="00A210E9">
        <w:rPr>
          <w:rFonts w:eastAsia="Calibri" w:hint="eastAsia"/>
          <w:rtl/>
        </w:rPr>
        <w:t>מגבלה</w:t>
      </w:r>
      <w:r w:rsidRPr="00A210E9">
        <w:rPr>
          <w:rFonts w:eastAsia="Calibri"/>
          <w:rtl/>
        </w:rPr>
        <w:t xml:space="preserve"> </w:t>
      </w:r>
      <w:r w:rsidRPr="00A210E9">
        <w:rPr>
          <w:rFonts w:eastAsia="Calibri" w:hint="eastAsia"/>
          <w:rtl/>
        </w:rPr>
        <w:t>רפואית</w:t>
      </w:r>
      <w:r w:rsidRPr="00A210E9">
        <w:rPr>
          <w:rFonts w:eastAsia="Calibri"/>
          <w:rtl/>
        </w:rPr>
        <w:t xml:space="preserve">/תפקודית </w:t>
      </w:r>
      <w:r w:rsidRPr="00A210E9">
        <w:rPr>
          <w:rFonts w:eastAsia="Calibri" w:hint="eastAsia"/>
          <w:rtl/>
        </w:rPr>
        <w:t>של</w:t>
      </w:r>
      <w:r w:rsidRPr="00A210E9">
        <w:rPr>
          <w:rFonts w:eastAsia="Calibri"/>
          <w:rtl/>
        </w:rPr>
        <w:t xml:space="preserve"> </w:t>
      </w:r>
      <w:r w:rsidRPr="00A210E9">
        <w:rPr>
          <w:rFonts w:eastAsia="Calibri" w:hint="eastAsia"/>
          <w:rtl/>
        </w:rPr>
        <w:t>האדם</w:t>
      </w:r>
      <w:r w:rsidRPr="00A210E9">
        <w:rPr>
          <w:rFonts w:eastAsia="Calibri"/>
          <w:rtl/>
        </w:rPr>
        <w:t xml:space="preserve"> </w:t>
      </w:r>
      <w:r w:rsidRPr="00A210E9">
        <w:rPr>
          <w:rFonts w:eastAsia="Calibri" w:hint="eastAsia"/>
          <w:rtl/>
        </w:rPr>
        <w:t>ואינו</w:t>
      </w:r>
      <w:r w:rsidRPr="00A210E9">
        <w:rPr>
          <w:rFonts w:eastAsia="Calibri"/>
          <w:rtl/>
        </w:rPr>
        <w:t xml:space="preserve"> </w:t>
      </w:r>
      <w:r w:rsidRPr="00A210E9">
        <w:rPr>
          <w:rFonts w:eastAsia="Calibri" w:hint="eastAsia"/>
          <w:rtl/>
        </w:rPr>
        <w:t>נקבע</w:t>
      </w:r>
      <w:r w:rsidRPr="00A210E9">
        <w:rPr>
          <w:rFonts w:eastAsia="Calibri"/>
          <w:rtl/>
        </w:rPr>
        <w:t xml:space="preserve"> </w:t>
      </w:r>
      <w:r w:rsidRPr="00A210E9">
        <w:rPr>
          <w:rFonts w:eastAsia="Calibri" w:hint="eastAsia"/>
          <w:rtl/>
        </w:rPr>
        <w:t>בהתאם</w:t>
      </w:r>
      <w:r w:rsidRPr="00A210E9">
        <w:rPr>
          <w:rFonts w:eastAsia="Calibri"/>
          <w:rtl/>
        </w:rPr>
        <w:t xml:space="preserve"> </w:t>
      </w:r>
      <w:r w:rsidRPr="00A210E9">
        <w:rPr>
          <w:rFonts w:eastAsia="Calibri" w:hint="eastAsia"/>
          <w:rtl/>
        </w:rPr>
        <w:t>למצבו</w:t>
      </w:r>
      <w:r w:rsidRPr="00A210E9">
        <w:rPr>
          <w:rFonts w:eastAsia="Calibri"/>
          <w:rtl/>
        </w:rPr>
        <w:t xml:space="preserve"> </w:t>
      </w:r>
      <w:r w:rsidRPr="00A210E9">
        <w:rPr>
          <w:rFonts w:eastAsia="Calibri" w:hint="eastAsia"/>
          <w:rtl/>
        </w:rPr>
        <w:t>הכלכלי</w:t>
      </w:r>
      <w:r w:rsidRPr="00A210E9">
        <w:rPr>
          <w:rFonts w:eastAsia="Calibri"/>
          <w:rtl/>
        </w:rPr>
        <w:t xml:space="preserve"> </w:t>
      </w:r>
      <w:r w:rsidRPr="00A210E9">
        <w:rPr>
          <w:rFonts w:eastAsia="Calibri" w:hint="eastAsia"/>
          <w:rtl/>
        </w:rPr>
        <w:t>של</w:t>
      </w:r>
      <w:r w:rsidRPr="00A210E9">
        <w:rPr>
          <w:rFonts w:eastAsia="Calibri"/>
          <w:rtl/>
        </w:rPr>
        <w:t xml:space="preserve"> </w:t>
      </w:r>
      <w:r w:rsidRPr="00A210E9">
        <w:rPr>
          <w:rFonts w:eastAsia="Calibri" w:hint="eastAsia"/>
          <w:rtl/>
        </w:rPr>
        <w:t>מבקש</w:t>
      </w:r>
      <w:r w:rsidRPr="00A210E9">
        <w:rPr>
          <w:rFonts w:eastAsia="Calibri"/>
          <w:rtl/>
        </w:rPr>
        <w:t xml:space="preserve"> </w:t>
      </w:r>
      <w:r w:rsidRPr="00A210E9">
        <w:rPr>
          <w:rFonts w:eastAsia="Calibri" w:hint="eastAsia"/>
          <w:rtl/>
        </w:rPr>
        <w:t>התג</w:t>
      </w:r>
      <w:r w:rsidRPr="00A210E9">
        <w:rPr>
          <w:rFonts w:eastAsia="Calibri"/>
          <w:rtl/>
        </w:rPr>
        <w:t xml:space="preserve"> </w:t>
      </w:r>
      <w:r w:rsidRPr="00A210E9">
        <w:rPr>
          <w:rFonts w:eastAsia="Calibri" w:hint="eastAsia"/>
          <w:rtl/>
        </w:rPr>
        <w:t>ומצבו</w:t>
      </w:r>
      <w:r w:rsidRPr="00A210E9">
        <w:rPr>
          <w:rFonts w:eastAsia="Calibri"/>
          <w:rtl/>
        </w:rPr>
        <w:t xml:space="preserve"> </w:t>
      </w:r>
      <w:r w:rsidRPr="00A210E9">
        <w:rPr>
          <w:rFonts w:eastAsia="Calibri" w:hint="eastAsia"/>
          <w:rtl/>
        </w:rPr>
        <w:t>הכלכלי</w:t>
      </w:r>
      <w:r w:rsidRPr="00A210E9">
        <w:rPr>
          <w:rFonts w:eastAsia="Calibri"/>
          <w:rtl/>
        </w:rPr>
        <w:t xml:space="preserve"> </w:t>
      </w:r>
      <w:r w:rsidRPr="00A210E9">
        <w:rPr>
          <w:rFonts w:eastAsia="Calibri" w:hint="eastAsia"/>
          <w:rtl/>
        </w:rPr>
        <w:t>של</w:t>
      </w:r>
      <w:r w:rsidRPr="00A210E9">
        <w:rPr>
          <w:rFonts w:eastAsia="Calibri"/>
          <w:rtl/>
        </w:rPr>
        <w:t xml:space="preserve"> </w:t>
      </w:r>
      <w:r w:rsidRPr="00A210E9">
        <w:rPr>
          <w:rFonts w:eastAsia="Calibri" w:hint="eastAsia"/>
          <w:rtl/>
        </w:rPr>
        <w:t>האדם</w:t>
      </w:r>
      <w:r w:rsidRPr="00A210E9">
        <w:rPr>
          <w:rFonts w:eastAsia="Calibri"/>
          <w:rtl/>
        </w:rPr>
        <w:t xml:space="preserve"> </w:t>
      </w:r>
      <w:r w:rsidRPr="00A210E9">
        <w:rPr>
          <w:rFonts w:eastAsia="Calibri" w:hint="eastAsia"/>
          <w:rtl/>
        </w:rPr>
        <w:t>אינו</w:t>
      </w:r>
      <w:r w:rsidRPr="00A210E9">
        <w:rPr>
          <w:rFonts w:eastAsia="Calibri"/>
          <w:rtl/>
        </w:rPr>
        <w:t xml:space="preserve"> </w:t>
      </w:r>
      <w:r w:rsidRPr="00A210E9">
        <w:rPr>
          <w:rFonts w:eastAsia="Calibri" w:hint="eastAsia"/>
          <w:rtl/>
        </w:rPr>
        <w:t>נבחן</w:t>
      </w:r>
      <w:r w:rsidRPr="00A210E9">
        <w:rPr>
          <w:rFonts w:eastAsia="Calibri"/>
          <w:rtl/>
        </w:rPr>
        <w:t xml:space="preserve"> </w:t>
      </w:r>
      <w:r w:rsidRPr="00A210E9">
        <w:rPr>
          <w:rFonts w:eastAsia="Calibri" w:hint="eastAsia"/>
          <w:rtl/>
        </w:rPr>
        <w:t>במסגרת</w:t>
      </w:r>
      <w:r w:rsidRPr="00A210E9">
        <w:rPr>
          <w:rFonts w:eastAsia="Calibri"/>
          <w:rtl/>
        </w:rPr>
        <w:t xml:space="preserve"> </w:t>
      </w:r>
      <w:r w:rsidRPr="00A210E9">
        <w:rPr>
          <w:rFonts w:eastAsia="Calibri" w:hint="eastAsia"/>
          <w:rtl/>
        </w:rPr>
        <w:t>הליך</w:t>
      </w:r>
      <w:r w:rsidRPr="00A210E9">
        <w:rPr>
          <w:rFonts w:eastAsia="Calibri"/>
          <w:rtl/>
        </w:rPr>
        <w:t xml:space="preserve"> </w:t>
      </w:r>
      <w:r w:rsidRPr="00A210E9">
        <w:rPr>
          <w:rFonts w:eastAsia="Calibri" w:hint="eastAsia"/>
          <w:rtl/>
        </w:rPr>
        <w:t>קבלת</w:t>
      </w:r>
      <w:r w:rsidRPr="00A210E9">
        <w:rPr>
          <w:rFonts w:eastAsia="Calibri"/>
          <w:rtl/>
        </w:rPr>
        <w:t xml:space="preserve"> </w:t>
      </w:r>
      <w:r w:rsidRPr="00A210E9">
        <w:rPr>
          <w:rFonts w:eastAsia="Calibri" w:hint="eastAsia"/>
          <w:rtl/>
        </w:rPr>
        <w:t>התג</w:t>
      </w:r>
      <w:r w:rsidRPr="00A210E9">
        <w:rPr>
          <w:rFonts w:eastAsia="Calibri"/>
          <w:rtl/>
        </w:rPr>
        <w:t xml:space="preserve">. </w:t>
      </w:r>
      <w:r w:rsidRPr="00A210E9">
        <w:rPr>
          <w:rFonts w:eastAsia="Calibri" w:hint="eastAsia"/>
          <w:rtl/>
        </w:rPr>
        <w:t>מאחר</w:t>
      </w:r>
      <w:r w:rsidRPr="00A210E9">
        <w:rPr>
          <w:rFonts w:eastAsia="Calibri"/>
          <w:rtl/>
        </w:rPr>
        <w:t xml:space="preserve"> </w:t>
      </w:r>
      <w:r w:rsidRPr="00A210E9">
        <w:rPr>
          <w:rFonts w:eastAsia="Calibri" w:hint="eastAsia"/>
          <w:rtl/>
        </w:rPr>
        <w:t>ויש</w:t>
      </w:r>
      <w:r w:rsidRPr="00A210E9">
        <w:rPr>
          <w:rFonts w:eastAsia="Calibri"/>
          <w:rtl/>
        </w:rPr>
        <w:t xml:space="preserve"> </w:t>
      </w:r>
      <w:r w:rsidRPr="00A210E9">
        <w:rPr>
          <w:rFonts w:eastAsia="Calibri" w:hint="eastAsia"/>
          <w:rtl/>
        </w:rPr>
        <w:t>קושי</w:t>
      </w:r>
      <w:r w:rsidRPr="00A210E9">
        <w:rPr>
          <w:rFonts w:eastAsia="Calibri"/>
          <w:rtl/>
        </w:rPr>
        <w:t xml:space="preserve"> </w:t>
      </w:r>
      <w:r w:rsidRPr="00A210E9">
        <w:rPr>
          <w:rFonts w:eastAsia="Calibri" w:hint="eastAsia"/>
          <w:rtl/>
        </w:rPr>
        <w:t>מערכתי</w:t>
      </w:r>
      <w:r w:rsidRPr="00A210E9">
        <w:rPr>
          <w:rFonts w:eastAsia="Calibri"/>
          <w:rtl/>
        </w:rPr>
        <w:t xml:space="preserve"> </w:t>
      </w:r>
      <w:r w:rsidRPr="00A210E9">
        <w:rPr>
          <w:rFonts w:eastAsia="Calibri" w:hint="eastAsia"/>
          <w:rtl/>
        </w:rPr>
        <w:t>לוודא</w:t>
      </w:r>
      <w:r w:rsidRPr="00A210E9">
        <w:rPr>
          <w:rFonts w:eastAsia="Calibri"/>
          <w:rtl/>
        </w:rPr>
        <w:t xml:space="preserve"> </w:t>
      </w:r>
      <w:r w:rsidRPr="00A210E9">
        <w:rPr>
          <w:rFonts w:eastAsia="Calibri" w:hint="eastAsia"/>
          <w:rtl/>
        </w:rPr>
        <w:t>מי</w:t>
      </w:r>
      <w:r w:rsidRPr="00A210E9">
        <w:rPr>
          <w:rFonts w:eastAsia="Calibri"/>
          <w:rtl/>
        </w:rPr>
        <w:t xml:space="preserve"> </w:t>
      </w:r>
      <w:r w:rsidRPr="00A210E9">
        <w:rPr>
          <w:rFonts w:eastAsia="Calibri" w:hint="eastAsia"/>
          <w:rtl/>
        </w:rPr>
        <w:t>הנהנה</w:t>
      </w:r>
      <w:r w:rsidRPr="00A210E9">
        <w:rPr>
          <w:rFonts w:eastAsia="Calibri"/>
          <w:rtl/>
        </w:rPr>
        <w:t xml:space="preserve"> </w:t>
      </w:r>
      <w:r w:rsidRPr="00A210E9">
        <w:rPr>
          <w:rFonts w:eastAsia="Calibri" w:hint="eastAsia"/>
          <w:rtl/>
        </w:rPr>
        <w:t>בפועל</w:t>
      </w:r>
      <w:r w:rsidRPr="00A210E9">
        <w:rPr>
          <w:rFonts w:eastAsia="Calibri"/>
          <w:rtl/>
        </w:rPr>
        <w:t xml:space="preserve"> </w:t>
      </w:r>
      <w:r w:rsidRPr="00A210E9">
        <w:rPr>
          <w:rFonts w:eastAsia="Calibri" w:hint="eastAsia"/>
          <w:rtl/>
        </w:rPr>
        <w:t>מההטבה</w:t>
      </w:r>
      <w:r w:rsidRPr="00A210E9">
        <w:rPr>
          <w:rFonts w:eastAsia="Calibri"/>
          <w:rtl/>
        </w:rPr>
        <w:t xml:space="preserve"> </w:t>
      </w:r>
      <w:r w:rsidRPr="00A210E9">
        <w:rPr>
          <w:rFonts w:eastAsia="Calibri" w:hint="eastAsia"/>
          <w:rtl/>
        </w:rPr>
        <w:t>הכלכלית</w:t>
      </w:r>
      <w:r w:rsidRPr="00A210E9">
        <w:rPr>
          <w:rFonts w:eastAsia="Calibri"/>
          <w:rtl/>
        </w:rPr>
        <w:t xml:space="preserve"> </w:t>
      </w:r>
      <w:r w:rsidRPr="00A210E9">
        <w:rPr>
          <w:rFonts w:eastAsia="Calibri" w:hint="eastAsia"/>
          <w:rtl/>
        </w:rPr>
        <w:t>שמעניק</w:t>
      </w:r>
      <w:r w:rsidRPr="00A210E9">
        <w:rPr>
          <w:rFonts w:eastAsia="Calibri"/>
          <w:rtl/>
        </w:rPr>
        <w:t xml:space="preserve"> </w:t>
      </w:r>
      <w:r w:rsidRPr="00A210E9">
        <w:rPr>
          <w:rFonts w:eastAsia="Calibri" w:hint="eastAsia"/>
          <w:rtl/>
        </w:rPr>
        <w:t>תג</w:t>
      </w:r>
      <w:r w:rsidRPr="00A210E9">
        <w:rPr>
          <w:rFonts w:eastAsia="Calibri"/>
          <w:rtl/>
        </w:rPr>
        <w:t xml:space="preserve"> </w:t>
      </w:r>
      <w:r w:rsidRPr="00A210E9">
        <w:rPr>
          <w:rFonts w:eastAsia="Calibri" w:hint="eastAsia"/>
          <w:rtl/>
        </w:rPr>
        <w:t>הנכה</w:t>
      </w:r>
      <w:r w:rsidRPr="00A210E9">
        <w:rPr>
          <w:rFonts w:eastAsia="Calibri"/>
          <w:rtl/>
        </w:rPr>
        <w:t xml:space="preserve"> </w:t>
      </w:r>
      <w:r w:rsidRPr="00A210E9">
        <w:rPr>
          <w:rFonts w:eastAsia="Calibri" w:hint="eastAsia"/>
          <w:rtl/>
        </w:rPr>
        <w:t>הדבר</w:t>
      </w:r>
      <w:r w:rsidRPr="00A210E9">
        <w:rPr>
          <w:rFonts w:eastAsia="Calibri"/>
          <w:rtl/>
        </w:rPr>
        <w:t xml:space="preserve"> </w:t>
      </w:r>
      <w:r w:rsidRPr="00A210E9">
        <w:rPr>
          <w:rFonts w:eastAsia="Calibri" w:hint="eastAsia"/>
          <w:rtl/>
        </w:rPr>
        <w:t>עלול</w:t>
      </w:r>
      <w:r w:rsidRPr="00A210E9">
        <w:rPr>
          <w:rFonts w:eastAsia="Calibri"/>
          <w:rtl/>
        </w:rPr>
        <w:t xml:space="preserve"> </w:t>
      </w:r>
      <w:r w:rsidRPr="00A210E9">
        <w:rPr>
          <w:rFonts w:eastAsia="Calibri" w:hint="eastAsia"/>
          <w:rtl/>
        </w:rPr>
        <w:t>ליצור</w:t>
      </w:r>
      <w:r w:rsidRPr="00A210E9">
        <w:rPr>
          <w:rFonts w:eastAsia="Calibri"/>
          <w:rtl/>
        </w:rPr>
        <w:t xml:space="preserve"> </w:t>
      </w:r>
      <w:r w:rsidRPr="00A210E9">
        <w:rPr>
          <w:rFonts w:eastAsia="Calibri" w:hint="eastAsia"/>
          <w:rtl/>
        </w:rPr>
        <w:t>מצב</w:t>
      </w:r>
      <w:r w:rsidRPr="00A210E9">
        <w:rPr>
          <w:rFonts w:eastAsia="Calibri"/>
          <w:rtl/>
        </w:rPr>
        <w:t xml:space="preserve"> </w:t>
      </w:r>
      <w:r w:rsidRPr="00A210E9">
        <w:rPr>
          <w:rFonts w:eastAsia="Calibri" w:hint="eastAsia"/>
          <w:rtl/>
        </w:rPr>
        <w:t>של</w:t>
      </w:r>
      <w:r w:rsidRPr="00A210E9">
        <w:rPr>
          <w:rFonts w:eastAsia="Calibri"/>
          <w:rtl/>
        </w:rPr>
        <w:t xml:space="preserve"> </w:t>
      </w:r>
      <w:r w:rsidRPr="00A210E9">
        <w:rPr>
          <w:rFonts w:eastAsia="Calibri" w:hint="eastAsia"/>
          <w:rtl/>
        </w:rPr>
        <w:t>אכיפה</w:t>
      </w:r>
      <w:r w:rsidRPr="00A210E9">
        <w:rPr>
          <w:rFonts w:eastAsia="Calibri"/>
          <w:rtl/>
        </w:rPr>
        <w:t xml:space="preserve"> </w:t>
      </w:r>
      <w:r w:rsidRPr="00A210E9">
        <w:rPr>
          <w:rFonts w:eastAsia="Calibri" w:hint="eastAsia"/>
          <w:rtl/>
        </w:rPr>
        <w:t>סלקטיבית</w:t>
      </w:r>
      <w:r w:rsidRPr="00A210E9">
        <w:rPr>
          <w:rFonts w:eastAsia="Calibri"/>
          <w:rtl/>
        </w:rPr>
        <w:t xml:space="preserve"> </w:t>
      </w:r>
      <w:r w:rsidRPr="00A210E9">
        <w:rPr>
          <w:rFonts w:eastAsia="Calibri" w:hint="eastAsia"/>
          <w:rtl/>
        </w:rPr>
        <w:t>אל</w:t>
      </w:r>
      <w:r w:rsidRPr="00A210E9">
        <w:rPr>
          <w:rFonts w:eastAsia="Calibri"/>
          <w:rtl/>
        </w:rPr>
        <w:t xml:space="preserve"> </w:t>
      </w:r>
      <w:r w:rsidRPr="00A210E9">
        <w:rPr>
          <w:rFonts w:eastAsia="Calibri" w:hint="eastAsia"/>
          <w:rtl/>
        </w:rPr>
        <w:t>מול</w:t>
      </w:r>
      <w:r w:rsidRPr="00A210E9">
        <w:rPr>
          <w:rFonts w:eastAsia="Calibri"/>
          <w:rtl/>
        </w:rPr>
        <w:t xml:space="preserve"> </w:t>
      </w:r>
      <w:r w:rsidRPr="00A210E9">
        <w:rPr>
          <w:rFonts w:eastAsia="Calibri" w:hint="eastAsia"/>
          <w:rtl/>
        </w:rPr>
        <w:t>יתר</w:t>
      </w:r>
      <w:r w:rsidRPr="00A210E9">
        <w:rPr>
          <w:rFonts w:eastAsia="Calibri"/>
          <w:rtl/>
        </w:rPr>
        <w:t xml:space="preserve"> </w:t>
      </w:r>
      <w:r w:rsidRPr="00A210E9">
        <w:rPr>
          <w:rFonts w:eastAsia="Calibri" w:hint="eastAsia"/>
          <w:rtl/>
        </w:rPr>
        <w:t>ציבור</w:t>
      </w:r>
      <w:r w:rsidRPr="00A210E9">
        <w:rPr>
          <w:rFonts w:eastAsia="Calibri"/>
          <w:rtl/>
        </w:rPr>
        <w:t xml:space="preserve"> </w:t>
      </w:r>
      <w:r w:rsidRPr="00A210E9">
        <w:rPr>
          <w:rFonts w:eastAsia="Calibri" w:hint="eastAsia"/>
          <w:rtl/>
        </w:rPr>
        <w:t>החונים</w:t>
      </w:r>
      <w:r w:rsidRPr="00A210E9">
        <w:rPr>
          <w:rFonts w:eastAsia="Calibri"/>
          <w:rtl/>
        </w:rPr>
        <w:t>".</w:t>
      </w:r>
      <w:r w:rsidRPr="00A210E9">
        <w:rPr>
          <w:rFonts w:eastAsia="Calibri" w:hint="cs"/>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eastAsia"/>
          <w:rtl/>
        </w:rPr>
        <w:t>מש</w:t>
      </w:r>
      <w:r w:rsidRPr="00A210E9">
        <w:rPr>
          <w:rFonts w:eastAsia="Calibri"/>
          <w:rtl/>
        </w:rPr>
        <w:t>"ם כתב בתשו</w:t>
      </w:r>
      <w:r w:rsidRPr="00A210E9">
        <w:rPr>
          <w:rFonts w:eastAsia="Calibri" w:hint="eastAsia"/>
          <w:rtl/>
        </w:rPr>
        <w:t>בתו</w:t>
      </w:r>
      <w:r w:rsidRPr="00A210E9">
        <w:rPr>
          <w:rFonts w:eastAsia="Calibri"/>
          <w:rtl/>
        </w:rPr>
        <w:t xml:space="preserve"> </w:t>
      </w:r>
      <w:r w:rsidRPr="00A210E9">
        <w:rPr>
          <w:rFonts w:eastAsia="Calibri" w:hint="eastAsia"/>
          <w:rtl/>
        </w:rPr>
        <w:t>כי</w:t>
      </w:r>
      <w:r w:rsidRPr="00A210E9">
        <w:rPr>
          <w:rFonts w:eastAsia="Calibri"/>
          <w:rtl/>
        </w:rPr>
        <w:t xml:space="preserve"> </w:t>
      </w:r>
      <w:r w:rsidRPr="00A210E9">
        <w:rPr>
          <w:rFonts w:eastAsia="Calibri" w:hint="eastAsia"/>
          <w:rtl/>
        </w:rPr>
        <w:t>יש</w:t>
      </w:r>
      <w:r w:rsidRPr="00A210E9">
        <w:rPr>
          <w:rFonts w:eastAsia="Calibri"/>
          <w:rtl/>
        </w:rPr>
        <w:t xml:space="preserve"> לבחון את הפטור הגורף מתשלום ב</w:t>
      </w:r>
      <w:r w:rsidRPr="00A210E9">
        <w:rPr>
          <w:rFonts w:eastAsia="Calibri" w:hint="cs"/>
          <w:rtl/>
        </w:rPr>
        <w:t>חניות המסומנות ב</w:t>
      </w:r>
      <w:r w:rsidRPr="00A210E9">
        <w:rPr>
          <w:rFonts w:eastAsia="Calibri"/>
          <w:rtl/>
        </w:rPr>
        <w:t>כחול לבן</w:t>
      </w:r>
      <w:r w:rsidRPr="00A210E9">
        <w:rPr>
          <w:rFonts w:eastAsia="Calibri" w:hint="cs"/>
          <w:rtl/>
        </w:rPr>
        <w:t>,</w:t>
      </w:r>
      <w:r w:rsidRPr="00A210E9">
        <w:rPr>
          <w:rFonts w:eastAsia="Calibri"/>
          <w:rtl/>
        </w:rPr>
        <w:t xml:space="preserve"> וכי חיובם של בעלי תג נכה מסוגים שייקבעו בתשלום בעד החניה יסייע בצמצום השימוש לרעה של בעלי התגים בחניות </w:t>
      </w:r>
      <w:r w:rsidRPr="00A210E9">
        <w:rPr>
          <w:rFonts w:eastAsia="Calibri" w:hint="cs"/>
          <w:rtl/>
        </w:rPr>
        <w:t>הנמצאות</w:t>
      </w:r>
      <w:r w:rsidRPr="00A210E9">
        <w:rPr>
          <w:rFonts w:eastAsia="Calibri"/>
          <w:rtl/>
        </w:rPr>
        <w:t xml:space="preserve"> במרחב הציבורי.</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contextualSpacing/>
        <w:rPr>
          <w:rFonts w:ascii="David" w:eastAsia="Calibri" w:hAnsi="David"/>
        </w:rPr>
      </w:pPr>
      <w:r w:rsidRPr="00A210E9">
        <w:rPr>
          <w:rFonts w:eastAsia="Calibri" w:hint="cs"/>
          <w:b/>
          <w:bCs/>
          <w:rtl/>
        </w:rPr>
        <w:t>משרד מבקר המדינה ממליץ למשרד התחבורה</w:t>
      </w:r>
      <w:r>
        <w:rPr>
          <w:rFonts w:eastAsia="Calibri"/>
          <w:b/>
          <w:bCs/>
          <w:vertAlign w:val="superscript"/>
          <w:rtl/>
        </w:rPr>
        <w:footnoteReference w:id="76"/>
      </w:r>
      <w:r w:rsidRPr="00A210E9">
        <w:rPr>
          <w:rFonts w:eastAsia="Calibri" w:hint="cs"/>
          <w:b/>
          <w:bCs/>
          <w:rtl/>
        </w:rPr>
        <w:t xml:space="preserve">, למשרד הפנים (מתוקף סמכויותיו בתחום הבקרה התקציבית של גופי השלטון המקומי) ולרשויות המקומיות, בשיתוף נציבות שוויון זכויות ובהתייעצות עם מש"ם ועם ארגונים המייצגים אנשים עם מוגבלות, </w:t>
      </w:r>
      <w:r w:rsidRPr="00A210E9">
        <w:rPr>
          <w:rFonts w:eastAsia="Calibri"/>
          <w:b/>
          <w:bCs/>
          <w:rtl/>
        </w:rPr>
        <w:t xml:space="preserve">לבחון מחדש את </w:t>
      </w:r>
      <w:r w:rsidRPr="00A210E9">
        <w:rPr>
          <w:rFonts w:eastAsia="Calibri" w:hint="cs"/>
          <w:b/>
          <w:bCs/>
          <w:rtl/>
        </w:rPr>
        <w:t>הנוהג</w:t>
      </w:r>
      <w:r w:rsidRPr="00A210E9">
        <w:rPr>
          <w:rFonts w:eastAsia="Calibri"/>
          <w:b/>
          <w:bCs/>
          <w:rtl/>
        </w:rPr>
        <w:t xml:space="preserve"> </w:t>
      </w:r>
      <w:r w:rsidRPr="00A210E9">
        <w:rPr>
          <w:rFonts w:eastAsia="Calibri" w:hint="cs"/>
          <w:b/>
          <w:bCs/>
          <w:rtl/>
        </w:rPr>
        <w:t xml:space="preserve">לתת </w:t>
      </w:r>
      <w:r w:rsidRPr="00A210E9">
        <w:rPr>
          <w:rFonts w:eastAsia="Calibri"/>
          <w:b/>
          <w:bCs/>
          <w:rtl/>
        </w:rPr>
        <w:t xml:space="preserve">פטור גורף מתשלום </w:t>
      </w:r>
      <w:r w:rsidRPr="00A210E9">
        <w:rPr>
          <w:rFonts w:eastAsia="Calibri" w:hint="cs"/>
          <w:b/>
          <w:bCs/>
          <w:rtl/>
        </w:rPr>
        <w:t xml:space="preserve">בגין </w:t>
      </w:r>
      <w:r w:rsidRPr="00A210E9">
        <w:rPr>
          <w:rFonts w:eastAsia="Calibri"/>
          <w:b/>
          <w:bCs/>
          <w:rtl/>
        </w:rPr>
        <w:t>חניה ל</w:t>
      </w:r>
      <w:r w:rsidRPr="00A210E9">
        <w:rPr>
          <w:rFonts w:eastAsia="Calibri" w:hint="cs"/>
          <w:b/>
          <w:bCs/>
          <w:rtl/>
        </w:rPr>
        <w:t xml:space="preserve">בעלי תג חניה </w:t>
      </w:r>
      <w:r w:rsidRPr="00A210E9">
        <w:rPr>
          <w:rFonts w:eastAsia="Calibri"/>
          <w:b/>
          <w:bCs/>
          <w:rtl/>
        </w:rPr>
        <w:t xml:space="preserve">בישראל ולגבש מודל </w:t>
      </w:r>
      <w:r w:rsidRPr="00A210E9">
        <w:rPr>
          <w:rFonts w:eastAsia="Calibri" w:hint="cs"/>
          <w:b/>
          <w:bCs/>
          <w:rtl/>
        </w:rPr>
        <w:t>מתאים,</w:t>
      </w:r>
      <w:r w:rsidRPr="00A210E9">
        <w:rPr>
          <w:rFonts w:eastAsia="Calibri"/>
          <w:b/>
          <w:bCs/>
          <w:rtl/>
        </w:rPr>
        <w:t xml:space="preserve"> </w:t>
      </w:r>
      <w:r w:rsidRPr="00A210E9">
        <w:rPr>
          <w:rFonts w:eastAsia="Calibri" w:hint="cs"/>
          <w:b/>
          <w:bCs/>
          <w:rtl/>
        </w:rPr>
        <w:t>תוך בחינת</w:t>
      </w:r>
      <w:r w:rsidRPr="00A210E9">
        <w:rPr>
          <w:rFonts w:eastAsia="Calibri"/>
          <w:b/>
          <w:bCs/>
          <w:rtl/>
        </w:rPr>
        <w:t xml:space="preserve"> </w:t>
      </w:r>
      <w:r w:rsidRPr="00A210E9">
        <w:rPr>
          <w:rFonts w:eastAsia="Calibri" w:hint="cs"/>
          <w:b/>
          <w:bCs/>
          <w:rtl/>
        </w:rPr>
        <w:t>ה</w:t>
      </w:r>
      <w:r w:rsidRPr="00A210E9">
        <w:rPr>
          <w:rFonts w:eastAsia="Calibri"/>
          <w:b/>
          <w:bCs/>
          <w:rtl/>
        </w:rPr>
        <w:t xml:space="preserve">פרקטיקות הנהוגות במדינות מפותחות </w:t>
      </w:r>
      <w:r w:rsidRPr="00A210E9">
        <w:rPr>
          <w:rFonts w:eastAsia="Calibri" w:hint="cs"/>
          <w:b/>
          <w:bCs/>
          <w:rtl/>
        </w:rPr>
        <w:t xml:space="preserve">ובהתחשב במחויבויותיה של ישראל להוראות האמנה הבין-לאומית לזכויות אנשים עם מוגבלות בהקשר זה. </w:t>
      </w:r>
    </w:p>
    <w:p w:rsidR="00A210E9" w:rsidRPr="00A210E9" w:rsidP="00A210E9">
      <w:pPr>
        <w:keepNext/>
        <w:keepLines/>
        <w:spacing w:line="269" w:lineRule="auto"/>
        <w:ind w:left="-567"/>
        <w:rPr>
          <w:rFonts w:eastAsia="Calibri"/>
          <w:szCs w:val="20"/>
          <w:rtl/>
        </w:rPr>
      </w:pPr>
    </w:p>
    <w:p w:rsidR="00A210E9" w:rsidRPr="00A210E9" w:rsidP="00A210E9">
      <w:pPr>
        <w:keepNext/>
        <w:keepLines/>
        <w:spacing w:line="269" w:lineRule="auto"/>
        <w:outlineLvl w:val="4"/>
        <w:rPr>
          <w:rFonts w:eastAsia="Times New Roman"/>
          <w:bCs/>
          <w:spacing w:val="40"/>
        </w:rPr>
      </w:pPr>
      <w:r w:rsidRPr="00A210E9">
        <w:rPr>
          <w:rFonts w:eastAsia="Times New Roman" w:hint="cs"/>
          <w:bCs/>
          <w:spacing w:val="40"/>
          <w:rtl/>
        </w:rPr>
        <w:t xml:space="preserve">אגרת רישוי מופחתת על רכב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contextualSpacing/>
        <w:rPr>
          <w:rFonts w:ascii="David" w:eastAsia="Calibri" w:hAnsi="David"/>
          <w:rtl/>
        </w:rPr>
      </w:pPr>
      <w:r w:rsidRPr="00A210E9">
        <w:rPr>
          <w:rFonts w:eastAsia="Calibri"/>
          <w:rtl/>
        </w:rPr>
        <w:t xml:space="preserve">אגרת הרישוי </w:t>
      </w:r>
      <w:r w:rsidRPr="00A210E9">
        <w:rPr>
          <w:rFonts w:eastAsia="Calibri" w:hint="cs"/>
          <w:rtl/>
        </w:rPr>
        <w:t xml:space="preserve">או </w:t>
      </w:r>
      <w:r w:rsidRPr="00A210E9">
        <w:rPr>
          <w:rFonts w:ascii="David" w:eastAsia="Calibri" w:hAnsi="David"/>
          <w:sz w:val="24"/>
          <w:rtl/>
        </w:rPr>
        <w:t>אגרת כשירות תנועה לרכב</w:t>
      </w:r>
      <w:r w:rsidRPr="00A210E9">
        <w:rPr>
          <w:rFonts w:eastAsia="Calibri" w:hint="cs"/>
        </w:rPr>
        <w:t xml:space="preserve"> </w:t>
      </w:r>
      <w:r w:rsidRPr="00A210E9">
        <w:rPr>
          <w:rFonts w:eastAsia="Calibri"/>
          <w:rtl/>
        </w:rPr>
        <w:t xml:space="preserve">היא תשלום חובה שנתי </w:t>
      </w:r>
      <w:r w:rsidRPr="00A210E9">
        <w:rPr>
          <w:rFonts w:eastAsia="Calibri" w:hint="cs"/>
          <w:rtl/>
        </w:rPr>
        <w:t xml:space="preserve">שמשרד התחבורה גובה </w:t>
      </w:r>
      <w:r w:rsidRPr="00A210E9">
        <w:rPr>
          <w:rFonts w:eastAsia="Calibri"/>
          <w:rtl/>
        </w:rPr>
        <w:t>מכל בעל רכב מנועי בישראל</w:t>
      </w:r>
      <w:r w:rsidRPr="00A210E9">
        <w:rPr>
          <w:rFonts w:eastAsia="Calibri" w:hint="cs"/>
          <w:rtl/>
        </w:rPr>
        <w:t>.</w:t>
      </w:r>
      <w:r w:rsidRPr="00A210E9">
        <w:rPr>
          <w:rFonts w:eastAsia="Calibri"/>
          <w:rtl/>
        </w:rPr>
        <w:t xml:space="preserve"> גובה</w:t>
      </w:r>
      <w:r w:rsidRPr="00A210E9">
        <w:rPr>
          <w:rFonts w:eastAsia="Calibri" w:hint="cs"/>
          <w:rtl/>
        </w:rPr>
        <w:t xml:space="preserve"> האגרה</w:t>
      </w:r>
      <w:r w:rsidRPr="00A210E9">
        <w:rPr>
          <w:rFonts w:eastAsia="Calibri"/>
          <w:rtl/>
        </w:rPr>
        <w:t xml:space="preserve"> משתנה ל</w:t>
      </w:r>
      <w:r w:rsidRPr="00A210E9">
        <w:rPr>
          <w:rFonts w:eastAsia="Calibri" w:hint="cs"/>
          <w:rtl/>
        </w:rPr>
        <w:t xml:space="preserve">פי </w:t>
      </w:r>
      <w:r w:rsidRPr="00A210E9">
        <w:rPr>
          <w:rFonts w:eastAsia="Calibri"/>
          <w:rtl/>
        </w:rPr>
        <w:t xml:space="preserve">סוג הרכב </w:t>
      </w:r>
      <w:r w:rsidRPr="00A210E9">
        <w:rPr>
          <w:rFonts w:eastAsia="Calibri" w:hint="cs"/>
          <w:rtl/>
        </w:rPr>
        <w:t>ושנת עלייתו לכביש</w:t>
      </w:r>
      <w:r w:rsidRPr="00A210E9">
        <w:rPr>
          <w:rFonts w:eastAsia="Calibri"/>
          <w:rtl/>
        </w:rPr>
        <w:t xml:space="preserve">, ולעיתים גם על פי מאפיינים </w:t>
      </w:r>
      <w:r w:rsidRPr="00A210E9">
        <w:rPr>
          <w:rFonts w:eastAsia="Calibri" w:hint="cs"/>
          <w:rtl/>
        </w:rPr>
        <w:t>אחרים</w:t>
      </w:r>
      <w:r w:rsidRPr="00A210E9">
        <w:rPr>
          <w:rFonts w:eastAsia="Calibri"/>
          <w:rtl/>
        </w:rPr>
        <w:t xml:space="preserve"> כגון מחיר הרכב או סוג הדלק. </w:t>
      </w:r>
      <w:r w:rsidRPr="00A210E9">
        <w:rPr>
          <w:rFonts w:ascii="David" w:eastAsia="Calibri" w:hAnsi="David" w:hint="cs"/>
          <w:rtl/>
        </w:rPr>
        <w:t xml:space="preserve">על פי סעיף 272א לתקנות התעבורה, </w:t>
      </w:r>
      <w:r w:rsidRPr="00A210E9">
        <w:rPr>
          <w:rFonts w:ascii="David" w:eastAsia="Calibri" w:hAnsi="David"/>
          <w:rtl/>
        </w:rPr>
        <w:t>בעל תג חניה זכא</w:t>
      </w:r>
      <w:r w:rsidRPr="00A210E9">
        <w:rPr>
          <w:rFonts w:ascii="David" w:eastAsia="Calibri" w:hAnsi="David" w:hint="cs"/>
          <w:rtl/>
        </w:rPr>
        <w:t>י</w:t>
      </w:r>
      <w:r w:rsidRPr="00A210E9">
        <w:rPr>
          <w:rFonts w:ascii="David" w:eastAsia="Calibri" w:hAnsi="David"/>
          <w:rtl/>
        </w:rPr>
        <w:t xml:space="preserve"> להנחה באגרת רישוי </w:t>
      </w:r>
      <w:r w:rsidRPr="00A210E9">
        <w:rPr>
          <w:rFonts w:ascii="David" w:eastAsia="Calibri" w:hAnsi="David" w:hint="cs"/>
          <w:rtl/>
        </w:rPr>
        <w:t>על</w:t>
      </w:r>
      <w:r w:rsidRPr="00A210E9">
        <w:rPr>
          <w:rFonts w:ascii="David" w:eastAsia="Calibri" w:hAnsi="David"/>
          <w:rtl/>
        </w:rPr>
        <w:t xml:space="preserve"> רכב</w:t>
      </w:r>
      <w:r w:rsidRPr="00A210E9">
        <w:rPr>
          <w:rFonts w:ascii="David" w:eastAsia="Calibri" w:hAnsi="David" w:hint="cs"/>
          <w:rtl/>
        </w:rPr>
        <w:t xml:space="preserve"> אחד בבעלות האדם עם מוגבלות או רכב אחד הרשום על שם בן זוגו או על שם האפוטרופוס שלו</w:t>
      </w:r>
      <w:r>
        <w:rPr>
          <w:rFonts w:ascii="David" w:eastAsia="Calibri" w:hAnsi="David"/>
          <w:vertAlign w:val="superscript"/>
          <w:rtl/>
        </w:rPr>
        <w:footnoteReference w:id="77"/>
      </w:r>
      <w:r w:rsidRPr="00A210E9">
        <w:rPr>
          <w:rFonts w:ascii="David" w:eastAsia="Calibri" w:hAnsi="David"/>
          <w:rtl/>
        </w:rPr>
        <w:t xml:space="preserve">. </w:t>
      </w:r>
      <w:r w:rsidRPr="00A210E9">
        <w:rPr>
          <w:rFonts w:ascii="David" w:eastAsia="Calibri" w:hAnsi="David" w:hint="cs"/>
          <w:rtl/>
        </w:rPr>
        <w:t>מ-1.4.25 גובה האגרה המופחתת עומד על 30 ש"ח</w:t>
      </w:r>
      <w:r>
        <w:rPr>
          <w:rFonts w:ascii="David" w:eastAsia="Calibri" w:hAnsi="David"/>
          <w:vertAlign w:val="superscript"/>
          <w:rtl/>
        </w:rPr>
        <w:footnoteReference w:id="78"/>
      </w:r>
      <w:r w:rsidRPr="00A210E9">
        <w:rPr>
          <w:rFonts w:ascii="David" w:eastAsia="Calibri" w:hAnsi="David" w:hint="cs"/>
          <w:rtl/>
        </w:rPr>
        <w:t xml:space="preserve"> בשנה, לעומת גובה האגרה הממוצעת שעומדת על כ-1,500 ש"ח בשנה, דהיינו הטבה כלכלית מהותית. כבר בשנת 2010 כתב מנהל אגף הרישוי לסמנכ"ל תנועה במשרד התחבורה כי הפטור מאגרת רישוי הניתן לצד אישור תג חניה הופך את התג לאטרקטיבי, כך שכל תושבי המדינה רוצים בו. הלוח שלהלן מציג את האומדן של אובדן ההכנסות השנתי בתקציב המדינה הנובע מתשלום אגרה מופחתת:</w:t>
      </w:r>
    </w:p>
    <w:p w:rsidR="00A210E9" w:rsidRPr="00A210E9" w:rsidP="00A210E9">
      <w:pPr>
        <w:keepNext/>
        <w:keepLines/>
        <w:spacing w:line="269" w:lineRule="auto"/>
        <w:ind w:left="-567"/>
        <w:rPr>
          <w:rFonts w:eastAsia="Calibri"/>
          <w:szCs w:val="20"/>
          <w:rtl/>
        </w:rPr>
      </w:pPr>
    </w:p>
    <w:p w:rsidR="00A210E9" w:rsidRPr="00A210E9" w:rsidP="00A210E9">
      <w:pPr>
        <w:keepNext/>
        <w:keepLines/>
        <w:spacing w:line="269" w:lineRule="auto"/>
        <w:jc w:val="center"/>
        <w:rPr>
          <w:rFonts w:ascii="David" w:eastAsia="Times New Roman" w:hAnsi="David"/>
          <w:b/>
          <w:bCs/>
          <w:sz w:val="24"/>
          <w:rtl/>
        </w:rPr>
      </w:pPr>
      <w:r w:rsidRPr="00A210E9">
        <w:rPr>
          <w:rFonts w:ascii="David" w:eastAsia="Times New Roman" w:hAnsi="David" w:hint="eastAsia"/>
          <w:sz w:val="24"/>
          <w:rtl/>
        </w:rPr>
        <w:t>לוח</w:t>
      </w:r>
      <w:r w:rsidRPr="00A210E9">
        <w:rPr>
          <w:rFonts w:ascii="David" w:eastAsia="Times New Roman" w:hAnsi="David"/>
          <w:sz w:val="24"/>
          <w:rtl/>
        </w:rPr>
        <w:t xml:space="preserve"> </w:t>
      </w:r>
      <w:r w:rsidRPr="00A210E9">
        <w:rPr>
          <w:rFonts w:ascii="David" w:eastAsia="Times New Roman" w:hAnsi="David" w:hint="cs"/>
          <w:sz w:val="24"/>
          <w:rtl/>
        </w:rPr>
        <w:t>5</w:t>
      </w:r>
      <w:r w:rsidRPr="00A210E9">
        <w:rPr>
          <w:rFonts w:ascii="David" w:eastAsia="Times New Roman" w:hAnsi="David"/>
          <w:sz w:val="24"/>
          <w:rtl/>
        </w:rPr>
        <w:t>:</w:t>
      </w:r>
      <w:r w:rsidRPr="00A210E9">
        <w:rPr>
          <w:rFonts w:ascii="David" w:eastAsia="Times New Roman" w:hAnsi="David" w:hint="cs"/>
          <w:b/>
          <w:bCs/>
          <w:sz w:val="24"/>
          <w:rtl/>
        </w:rPr>
        <w:t xml:space="preserve"> אומדן של אובדן ההכנסות מתשלום אגרת רישוי מופחתת, 2020 - 2024 (בערכים נומינליים)*</w:t>
      </w:r>
    </w:p>
    <w:tbl>
      <w:tblPr>
        <w:bidiVisual/>
        <w:tblW w:w="7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993"/>
        <w:gridCol w:w="850"/>
        <w:gridCol w:w="1213"/>
        <w:gridCol w:w="913"/>
        <w:gridCol w:w="1134"/>
        <w:gridCol w:w="992"/>
      </w:tblGrid>
      <w:tr w:rsidTr="00A157C9">
        <w:tblPrEx>
          <w:tblW w:w="7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883"/>
          <w:jc w:val="center"/>
        </w:trPr>
        <w:tc>
          <w:tcPr>
            <w:tcW w:w="992" w:type="dxa"/>
            <w:shd w:val="clear" w:color="000000" w:fill="EAEAEA"/>
            <w:vAlign w:val="center"/>
            <w:hideMark/>
          </w:tcPr>
          <w:p w:rsidR="00A210E9" w:rsidRPr="00A210E9" w:rsidP="00A210E9">
            <w:pPr>
              <w:spacing w:line="269" w:lineRule="auto"/>
              <w:jc w:val="center"/>
              <w:rPr>
                <w:rFonts w:ascii="David" w:eastAsia="Times New Roman" w:hAnsi="David"/>
                <w:b/>
                <w:bCs/>
                <w:color w:val="343334"/>
                <w:sz w:val="22"/>
                <w:szCs w:val="22"/>
              </w:rPr>
            </w:pPr>
            <w:r w:rsidRPr="00A210E9">
              <w:rPr>
                <w:rFonts w:ascii="David" w:eastAsia="Times New Roman" w:hAnsi="David"/>
                <w:b/>
                <w:bCs/>
                <w:color w:val="343334"/>
                <w:sz w:val="22"/>
                <w:szCs w:val="22"/>
                <w:rtl/>
              </w:rPr>
              <w:t xml:space="preserve">שנת </w:t>
            </w:r>
            <w:r w:rsidRPr="00A210E9">
              <w:rPr>
                <w:rFonts w:ascii="David" w:eastAsia="Times New Roman" w:hAnsi="David" w:hint="cs"/>
                <w:b/>
                <w:bCs/>
                <w:color w:val="343334"/>
                <w:sz w:val="22"/>
                <w:szCs w:val="22"/>
                <w:rtl/>
              </w:rPr>
              <w:t>ה</w:t>
            </w:r>
            <w:r w:rsidRPr="00A210E9">
              <w:rPr>
                <w:rFonts w:ascii="David" w:eastAsia="Times New Roman" w:hAnsi="David"/>
                <w:b/>
                <w:bCs/>
                <w:color w:val="343334"/>
                <w:sz w:val="22"/>
                <w:szCs w:val="22"/>
                <w:rtl/>
              </w:rPr>
              <w:t>תשלום</w:t>
            </w:r>
          </w:p>
        </w:tc>
        <w:tc>
          <w:tcPr>
            <w:tcW w:w="993" w:type="dxa"/>
            <w:shd w:val="clear" w:color="000000" w:fill="EAEAEA"/>
            <w:vAlign w:val="center"/>
            <w:hideMark/>
          </w:tcPr>
          <w:p w:rsidR="00A210E9" w:rsidRPr="00A210E9" w:rsidP="00A210E9">
            <w:pPr>
              <w:spacing w:line="269" w:lineRule="auto"/>
              <w:jc w:val="center"/>
              <w:rPr>
                <w:rFonts w:ascii="David" w:eastAsia="Times New Roman" w:hAnsi="David"/>
                <w:b/>
                <w:bCs/>
                <w:color w:val="343334"/>
                <w:sz w:val="22"/>
                <w:szCs w:val="22"/>
                <w:rtl/>
              </w:rPr>
            </w:pPr>
            <w:r w:rsidRPr="00A210E9">
              <w:rPr>
                <w:rFonts w:ascii="David" w:eastAsia="Times New Roman" w:hAnsi="David"/>
                <w:b/>
                <w:bCs/>
                <w:color w:val="343334"/>
                <w:sz w:val="22"/>
                <w:szCs w:val="22"/>
                <w:rtl/>
              </w:rPr>
              <w:t>מספר</w:t>
            </w:r>
            <w:r w:rsidRPr="00A210E9">
              <w:rPr>
                <w:rFonts w:ascii="David" w:eastAsia="Times New Roman" w:hAnsi="David" w:hint="cs"/>
                <w:b/>
                <w:bCs/>
                <w:color w:val="343334"/>
                <w:sz w:val="22"/>
                <w:szCs w:val="22"/>
                <w:rtl/>
              </w:rPr>
              <w:t xml:space="preserve"> בעלי תג שמימשו את ההטבה </w:t>
            </w:r>
          </w:p>
        </w:tc>
        <w:tc>
          <w:tcPr>
            <w:tcW w:w="850" w:type="dxa"/>
            <w:shd w:val="clear" w:color="000000" w:fill="EAEAEA"/>
            <w:vAlign w:val="center"/>
            <w:hideMark/>
          </w:tcPr>
          <w:p w:rsidR="00A210E9" w:rsidRPr="00A210E9" w:rsidP="00A210E9">
            <w:pPr>
              <w:spacing w:line="269" w:lineRule="auto"/>
              <w:jc w:val="center"/>
              <w:rPr>
                <w:rFonts w:ascii="David" w:eastAsia="Times New Roman" w:hAnsi="David"/>
                <w:b/>
                <w:bCs/>
                <w:color w:val="343334"/>
                <w:sz w:val="22"/>
                <w:szCs w:val="22"/>
                <w:rtl/>
              </w:rPr>
            </w:pPr>
            <w:r w:rsidRPr="00A210E9">
              <w:rPr>
                <w:rFonts w:ascii="David" w:eastAsia="Times New Roman" w:hAnsi="David" w:hint="cs"/>
                <w:b/>
                <w:bCs/>
                <w:color w:val="343334"/>
                <w:sz w:val="22"/>
                <w:szCs w:val="22"/>
                <w:rtl/>
              </w:rPr>
              <w:t>תשלום ממוצע (בש"ח)</w:t>
            </w:r>
          </w:p>
        </w:tc>
        <w:tc>
          <w:tcPr>
            <w:tcW w:w="1213" w:type="dxa"/>
            <w:shd w:val="clear" w:color="000000" w:fill="EAEAEA"/>
            <w:vAlign w:val="center"/>
            <w:hideMark/>
          </w:tcPr>
          <w:p w:rsidR="00A210E9" w:rsidRPr="00A210E9" w:rsidP="00A210E9">
            <w:pPr>
              <w:spacing w:line="269" w:lineRule="auto"/>
              <w:jc w:val="center"/>
              <w:rPr>
                <w:rFonts w:ascii="David" w:eastAsia="Times New Roman" w:hAnsi="David"/>
                <w:b/>
                <w:bCs/>
                <w:color w:val="343334"/>
                <w:sz w:val="22"/>
                <w:szCs w:val="22"/>
                <w:rtl/>
              </w:rPr>
            </w:pPr>
            <w:r w:rsidRPr="00A210E9">
              <w:rPr>
                <w:rFonts w:ascii="David" w:eastAsia="Times New Roman" w:hAnsi="David"/>
                <w:b/>
                <w:bCs/>
                <w:color w:val="343334"/>
                <w:sz w:val="22"/>
                <w:szCs w:val="22"/>
                <w:rtl/>
              </w:rPr>
              <w:t>ס</w:t>
            </w:r>
            <w:r w:rsidRPr="00A210E9">
              <w:rPr>
                <w:rFonts w:ascii="David" w:eastAsia="Times New Roman" w:hAnsi="David" w:hint="cs"/>
                <w:b/>
                <w:bCs/>
                <w:color w:val="343334"/>
                <w:sz w:val="22"/>
                <w:szCs w:val="22"/>
                <w:rtl/>
              </w:rPr>
              <w:t>כום ה</w:t>
            </w:r>
            <w:r w:rsidRPr="00A210E9">
              <w:rPr>
                <w:rFonts w:ascii="David" w:eastAsia="Times New Roman" w:hAnsi="David"/>
                <w:b/>
                <w:bCs/>
                <w:color w:val="343334"/>
                <w:sz w:val="22"/>
                <w:szCs w:val="22"/>
                <w:rtl/>
              </w:rPr>
              <w:t xml:space="preserve">תשלומים </w:t>
            </w:r>
            <w:r w:rsidRPr="00A210E9">
              <w:rPr>
                <w:rFonts w:ascii="David" w:eastAsia="Times New Roman" w:hAnsi="David" w:hint="cs"/>
                <w:b/>
                <w:bCs/>
                <w:color w:val="343334"/>
                <w:sz w:val="22"/>
                <w:szCs w:val="22"/>
                <w:rtl/>
              </w:rPr>
              <w:t xml:space="preserve">בפועל </w:t>
            </w:r>
            <w:r w:rsidRPr="00A210E9">
              <w:rPr>
                <w:rFonts w:ascii="David" w:eastAsia="Times New Roman" w:hAnsi="David"/>
                <w:b/>
                <w:bCs/>
                <w:color w:val="343334"/>
                <w:sz w:val="22"/>
                <w:szCs w:val="22"/>
                <w:rtl/>
              </w:rPr>
              <w:t>(במיל</w:t>
            </w:r>
            <w:r w:rsidRPr="00A210E9">
              <w:rPr>
                <w:rFonts w:ascii="David" w:eastAsia="Times New Roman" w:hAnsi="David" w:hint="cs"/>
                <w:b/>
                <w:bCs/>
                <w:color w:val="343334"/>
                <w:sz w:val="22"/>
                <w:szCs w:val="22"/>
                <w:rtl/>
              </w:rPr>
              <w:t>יוני ש"ח</w:t>
            </w:r>
            <w:r w:rsidRPr="00A210E9">
              <w:rPr>
                <w:rFonts w:ascii="David" w:eastAsia="Times New Roman" w:hAnsi="David"/>
                <w:b/>
                <w:bCs/>
                <w:color w:val="343334"/>
                <w:sz w:val="22"/>
                <w:szCs w:val="22"/>
                <w:rtl/>
              </w:rPr>
              <w:t>)</w:t>
            </w:r>
          </w:p>
        </w:tc>
        <w:tc>
          <w:tcPr>
            <w:tcW w:w="913" w:type="dxa"/>
            <w:shd w:val="clear" w:color="000000" w:fill="EAEAEA"/>
          </w:tcPr>
          <w:p w:rsidR="00A210E9" w:rsidRPr="00A210E9" w:rsidP="00A210E9">
            <w:pPr>
              <w:spacing w:line="269" w:lineRule="auto"/>
              <w:jc w:val="center"/>
              <w:rPr>
                <w:rFonts w:ascii="David" w:eastAsia="Times New Roman" w:hAnsi="David"/>
                <w:b/>
                <w:bCs/>
                <w:color w:val="343334"/>
                <w:sz w:val="22"/>
                <w:szCs w:val="22"/>
                <w:rtl/>
              </w:rPr>
            </w:pPr>
            <w:r w:rsidRPr="00A210E9">
              <w:rPr>
                <w:rFonts w:ascii="David" w:eastAsia="Times New Roman" w:hAnsi="David" w:hint="cs"/>
                <w:b/>
                <w:bCs/>
                <w:color w:val="343334"/>
                <w:sz w:val="22"/>
                <w:szCs w:val="22"/>
                <w:rtl/>
              </w:rPr>
              <w:t xml:space="preserve">תשלום </w:t>
            </w:r>
          </w:p>
          <w:p w:rsidR="00A210E9" w:rsidRPr="00A210E9" w:rsidP="00A210E9">
            <w:pPr>
              <w:spacing w:line="269" w:lineRule="auto"/>
              <w:jc w:val="center"/>
              <w:rPr>
                <w:rFonts w:ascii="David" w:eastAsia="Times New Roman" w:hAnsi="David"/>
                <w:b/>
                <w:bCs/>
                <w:color w:val="343334"/>
                <w:sz w:val="22"/>
                <w:szCs w:val="22"/>
                <w:rtl/>
              </w:rPr>
            </w:pPr>
            <w:r w:rsidRPr="00A210E9">
              <w:rPr>
                <w:rFonts w:ascii="David" w:eastAsia="Times New Roman" w:hAnsi="David" w:hint="cs"/>
                <w:b/>
                <w:bCs/>
                <w:color w:val="343334"/>
                <w:sz w:val="22"/>
                <w:szCs w:val="22"/>
                <w:rtl/>
              </w:rPr>
              <w:t xml:space="preserve">מלא </w:t>
            </w:r>
          </w:p>
          <w:p w:rsidR="00A210E9" w:rsidRPr="00A210E9" w:rsidP="00A210E9">
            <w:pPr>
              <w:spacing w:line="269" w:lineRule="auto"/>
              <w:jc w:val="center"/>
              <w:rPr>
                <w:rFonts w:ascii="David" w:eastAsia="Times New Roman" w:hAnsi="David"/>
                <w:b/>
                <w:bCs/>
                <w:color w:val="343334"/>
                <w:sz w:val="22"/>
                <w:szCs w:val="22"/>
                <w:rtl/>
              </w:rPr>
            </w:pPr>
            <w:r w:rsidRPr="00A210E9">
              <w:rPr>
                <w:rFonts w:ascii="David" w:eastAsia="Times New Roman" w:hAnsi="David" w:hint="cs"/>
                <w:b/>
                <w:bCs/>
                <w:color w:val="343334"/>
                <w:sz w:val="22"/>
                <w:szCs w:val="22"/>
                <w:rtl/>
              </w:rPr>
              <w:t>ממוצע (בש"ח)</w:t>
            </w:r>
          </w:p>
        </w:tc>
        <w:tc>
          <w:tcPr>
            <w:tcW w:w="1134" w:type="dxa"/>
            <w:shd w:val="clear" w:color="000000" w:fill="EAEAEA"/>
          </w:tcPr>
          <w:p w:rsidR="00A210E9" w:rsidRPr="00A210E9" w:rsidP="00A210E9">
            <w:pPr>
              <w:spacing w:line="269" w:lineRule="auto"/>
              <w:jc w:val="center"/>
              <w:rPr>
                <w:rFonts w:ascii="David" w:eastAsia="Times New Roman" w:hAnsi="David"/>
                <w:b/>
                <w:bCs/>
                <w:color w:val="343334"/>
                <w:sz w:val="22"/>
                <w:szCs w:val="22"/>
                <w:rtl/>
              </w:rPr>
            </w:pPr>
            <w:r w:rsidRPr="00A210E9">
              <w:rPr>
                <w:rFonts w:ascii="David" w:eastAsia="Times New Roman" w:hAnsi="David"/>
                <w:b/>
                <w:bCs/>
                <w:color w:val="343334"/>
                <w:sz w:val="22"/>
                <w:szCs w:val="22"/>
                <w:rtl/>
              </w:rPr>
              <w:t>ס</w:t>
            </w:r>
            <w:r w:rsidRPr="00A210E9">
              <w:rPr>
                <w:rFonts w:ascii="David" w:eastAsia="Times New Roman" w:hAnsi="David" w:hint="cs"/>
                <w:b/>
                <w:bCs/>
                <w:color w:val="343334"/>
                <w:sz w:val="22"/>
                <w:szCs w:val="22"/>
                <w:rtl/>
              </w:rPr>
              <w:t>כום</w:t>
            </w:r>
            <w:r w:rsidRPr="00A210E9">
              <w:rPr>
                <w:rFonts w:ascii="David" w:eastAsia="Times New Roman" w:hAnsi="David"/>
                <w:b/>
                <w:bCs/>
                <w:color w:val="343334"/>
                <w:sz w:val="22"/>
                <w:szCs w:val="22"/>
                <w:rtl/>
              </w:rPr>
              <w:t xml:space="preserve"> </w:t>
            </w:r>
            <w:r w:rsidRPr="00A210E9">
              <w:rPr>
                <w:rFonts w:ascii="David" w:eastAsia="Times New Roman" w:hAnsi="David" w:hint="cs"/>
                <w:b/>
                <w:bCs/>
                <w:color w:val="343334"/>
                <w:sz w:val="22"/>
                <w:szCs w:val="22"/>
                <w:rtl/>
              </w:rPr>
              <w:t>ה</w:t>
            </w:r>
            <w:r w:rsidRPr="00A210E9">
              <w:rPr>
                <w:rFonts w:ascii="David" w:eastAsia="Times New Roman" w:hAnsi="David"/>
                <w:b/>
                <w:bCs/>
                <w:color w:val="343334"/>
                <w:sz w:val="22"/>
                <w:szCs w:val="22"/>
                <w:rtl/>
              </w:rPr>
              <w:t xml:space="preserve">תשלומים </w:t>
            </w:r>
            <w:r w:rsidRPr="00A210E9">
              <w:rPr>
                <w:rFonts w:ascii="David" w:eastAsia="Times New Roman" w:hAnsi="David" w:hint="cs"/>
                <w:b/>
                <w:bCs/>
                <w:color w:val="343334"/>
                <w:sz w:val="22"/>
                <w:szCs w:val="22"/>
                <w:rtl/>
              </w:rPr>
              <w:t xml:space="preserve">המלא </w:t>
            </w:r>
            <w:r w:rsidRPr="00A210E9">
              <w:rPr>
                <w:rFonts w:ascii="David" w:eastAsia="Times New Roman" w:hAnsi="David"/>
                <w:b/>
                <w:bCs/>
                <w:color w:val="343334"/>
                <w:sz w:val="22"/>
                <w:szCs w:val="22"/>
                <w:rtl/>
              </w:rPr>
              <w:t>(במיל</w:t>
            </w:r>
            <w:r w:rsidRPr="00A210E9">
              <w:rPr>
                <w:rFonts w:ascii="David" w:eastAsia="Times New Roman" w:hAnsi="David" w:hint="cs"/>
                <w:b/>
                <w:bCs/>
                <w:color w:val="343334"/>
                <w:sz w:val="22"/>
                <w:szCs w:val="22"/>
                <w:rtl/>
              </w:rPr>
              <w:t>יוני ש"ח</w:t>
            </w:r>
            <w:r w:rsidRPr="00A210E9">
              <w:rPr>
                <w:rFonts w:ascii="David" w:eastAsia="Times New Roman" w:hAnsi="David"/>
                <w:b/>
                <w:bCs/>
                <w:color w:val="343334"/>
                <w:sz w:val="22"/>
                <w:szCs w:val="22"/>
                <w:rtl/>
              </w:rPr>
              <w:t>)</w:t>
            </w:r>
          </w:p>
        </w:tc>
        <w:tc>
          <w:tcPr>
            <w:tcW w:w="992" w:type="dxa"/>
            <w:shd w:val="clear" w:color="000000" w:fill="EAEAEA"/>
          </w:tcPr>
          <w:p w:rsidR="00A210E9" w:rsidRPr="00A210E9" w:rsidP="00A210E9">
            <w:pPr>
              <w:spacing w:line="269" w:lineRule="auto"/>
              <w:jc w:val="center"/>
              <w:rPr>
                <w:rFonts w:ascii="David" w:eastAsia="Times New Roman" w:hAnsi="David"/>
                <w:b/>
                <w:bCs/>
                <w:color w:val="343334"/>
                <w:sz w:val="22"/>
                <w:szCs w:val="22"/>
                <w:rtl/>
              </w:rPr>
            </w:pPr>
            <w:r w:rsidRPr="00A210E9">
              <w:rPr>
                <w:rFonts w:ascii="David" w:eastAsia="Times New Roman" w:hAnsi="David" w:hint="cs"/>
                <w:b/>
                <w:bCs/>
                <w:color w:val="343334"/>
                <w:sz w:val="22"/>
                <w:szCs w:val="22"/>
                <w:rtl/>
              </w:rPr>
              <w:t>אובדן הכנסה</w:t>
            </w:r>
          </w:p>
          <w:p w:rsidR="00A210E9" w:rsidRPr="00A210E9" w:rsidP="00A210E9">
            <w:pPr>
              <w:spacing w:line="269" w:lineRule="auto"/>
              <w:jc w:val="center"/>
              <w:rPr>
                <w:rFonts w:ascii="David" w:eastAsia="Times New Roman" w:hAnsi="David"/>
                <w:b/>
                <w:bCs/>
                <w:color w:val="343334"/>
                <w:sz w:val="22"/>
                <w:szCs w:val="22"/>
                <w:rtl/>
              </w:rPr>
            </w:pPr>
            <w:r w:rsidRPr="00A210E9">
              <w:rPr>
                <w:rFonts w:ascii="David" w:eastAsia="Times New Roman" w:hAnsi="David" w:hint="cs"/>
                <w:b/>
                <w:bCs/>
                <w:color w:val="343334"/>
                <w:sz w:val="22"/>
                <w:szCs w:val="22"/>
                <w:rtl/>
              </w:rPr>
              <w:t>(במיליוני ש"ח)</w:t>
            </w:r>
          </w:p>
        </w:tc>
      </w:tr>
      <w:tr w:rsidTr="00A157C9">
        <w:tblPrEx>
          <w:tblW w:w="7087" w:type="dxa"/>
          <w:jc w:val="center"/>
          <w:tblLayout w:type="fixed"/>
          <w:tblLook w:val="04A0"/>
        </w:tblPrEx>
        <w:trPr>
          <w:trHeight w:val="300"/>
          <w:jc w:val="center"/>
        </w:trPr>
        <w:tc>
          <w:tcPr>
            <w:tcW w:w="992" w:type="dxa"/>
            <w:noWrap/>
            <w:vAlign w:val="center"/>
            <w:hideMark/>
          </w:tcPr>
          <w:p w:rsidR="00A210E9" w:rsidRPr="00A210E9" w:rsidP="00A210E9">
            <w:pPr>
              <w:spacing w:line="269" w:lineRule="auto"/>
              <w:jc w:val="left"/>
              <w:rPr>
                <w:rFonts w:ascii="David" w:eastAsia="Times New Roman" w:hAnsi="David"/>
                <w:color w:val="343334"/>
                <w:sz w:val="22"/>
                <w:szCs w:val="22"/>
                <w:rtl/>
              </w:rPr>
            </w:pPr>
            <w:r w:rsidRPr="00A210E9">
              <w:rPr>
                <w:rFonts w:ascii="David" w:eastAsia="Times New Roman" w:hAnsi="David"/>
                <w:color w:val="343334"/>
                <w:sz w:val="22"/>
                <w:szCs w:val="22"/>
                <w:rtl/>
              </w:rPr>
              <w:t>2020</w:t>
            </w:r>
          </w:p>
        </w:tc>
        <w:tc>
          <w:tcPr>
            <w:tcW w:w="993" w:type="dxa"/>
            <w:noWrap/>
            <w:vAlign w:val="center"/>
            <w:hideMark/>
          </w:tcPr>
          <w:p w:rsidR="00A210E9" w:rsidRPr="00A210E9" w:rsidP="00A210E9">
            <w:pPr>
              <w:spacing w:line="269" w:lineRule="auto"/>
              <w:jc w:val="left"/>
              <w:rPr>
                <w:rFonts w:ascii="David" w:eastAsia="Times New Roman" w:hAnsi="David"/>
                <w:color w:val="343334"/>
                <w:sz w:val="22"/>
                <w:szCs w:val="22"/>
                <w:rtl/>
              </w:rPr>
            </w:pPr>
            <w:r w:rsidRPr="00A210E9">
              <w:rPr>
                <w:rFonts w:ascii="David" w:eastAsia="Times New Roman" w:hAnsi="David"/>
                <w:color w:val="343334"/>
                <w:sz w:val="22"/>
                <w:szCs w:val="22"/>
                <w:rtl/>
              </w:rPr>
              <w:t>183,129</w:t>
            </w:r>
          </w:p>
        </w:tc>
        <w:tc>
          <w:tcPr>
            <w:tcW w:w="850" w:type="dxa"/>
            <w:noWrap/>
            <w:vAlign w:val="center"/>
            <w:hideMark/>
          </w:tcPr>
          <w:p w:rsidR="00A210E9" w:rsidRPr="00A210E9" w:rsidP="00A210E9">
            <w:pPr>
              <w:spacing w:line="269" w:lineRule="auto"/>
              <w:jc w:val="left"/>
              <w:rPr>
                <w:rFonts w:ascii="David" w:eastAsia="Times New Roman" w:hAnsi="David"/>
                <w:color w:val="343334"/>
                <w:sz w:val="22"/>
                <w:szCs w:val="22"/>
                <w:rtl/>
              </w:rPr>
            </w:pPr>
            <w:r w:rsidRPr="00A210E9">
              <w:rPr>
                <w:rFonts w:ascii="David" w:eastAsia="Times New Roman" w:hAnsi="David"/>
                <w:color w:val="343334"/>
                <w:sz w:val="22"/>
                <w:szCs w:val="22"/>
                <w:rtl/>
              </w:rPr>
              <w:t>26</w:t>
            </w:r>
          </w:p>
        </w:tc>
        <w:tc>
          <w:tcPr>
            <w:tcW w:w="1213" w:type="dxa"/>
            <w:noWrap/>
            <w:vAlign w:val="center"/>
            <w:hideMark/>
          </w:tcPr>
          <w:p w:rsidR="00A210E9" w:rsidRPr="00A210E9" w:rsidP="00A210E9">
            <w:pPr>
              <w:spacing w:line="269" w:lineRule="auto"/>
              <w:jc w:val="left"/>
              <w:rPr>
                <w:rFonts w:ascii="David" w:eastAsia="Times New Roman" w:hAnsi="David"/>
                <w:color w:val="343334"/>
                <w:sz w:val="22"/>
                <w:szCs w:val="22"/>
                <w:rtl/>
              </w:rPr>
            </w:pPr>
            <w:r w:rsidRPr="00A210E9">
              <w:rPr>
                <w:rFonts w:ascii="David" w:eastAsia="Times New Roman" w:hAnsi="David"/>
                <w:color w:val="343334"/>
                <w:sz w:val="22"/>
                <w:szCs w:val="22"/>
                <w:rtl/>
              </w:rPr>
              <w:t>4.8</w:t>
            </w:r>
          </w:p>
        </w:tc>
        <w:tc>
          <w:tcPr>
            <w:tcW w:w="913" w:type="dxa"/>
          </w:tcPr>
          <w:p w:rsidR="00A210E9" w:rsidRPr="00A210E9" w:rsidP="00A210E9">
            <w:pPr>
              <w:spacing w:line="269" w:lineRule="auto"/>
              <w:jc w:val="left"/>
              <w:rPr>
                <w:rFonts w:ascii="David" w:eastAsia="Times New Roman" w:hAnsi="David"/>
                <w:color w:val="343334"/>
                <w:sz w:val="22"/>
                <w:szCs w:val="22"/>
                <w:rtl/>
              </w:rPr>
            </w:pPr>
            <w:r w:rsidRPr="00A210E9">
              <w:rPr>
                <w:rFonts w:ascii="David" w:eastAsia="Times New Roman" w:hAnsi="David" w:hint="cs"/>
                <w:color w:val="343334"/>
                <w:sz w:val="22"/>
                <w:szCs w:val="22"/>
                <w:rtl/>
              </w:rPr>
              <w:t>1,439</w:t>
            </w:r>
          </w:p>
        </w:tc>
        <w:tc>
          <w:tcPr>
            <w:tcW w:w="1134" w:type="dxa"/>
          </w:tcPr>
          <w:p w:rsidR="00A210E9" w:rsidRPr="00A210E9" w:rsidP="00A210E9">
            <w:pPr>
              <w:spacing w:line="269" w:lineRule="auto"/>
              <w:jc w:val="left"/>
              <w:rPr>
                <w:rFonts w:ascii="David" w:eastAsia="Times New Roman" w:hAnsi="David"/>
                <w:color w:val="343334"/>
                <w:sz w:val="22"/>
                <w:szCs w:val="22"/>
                <w:rtl/>
              </w:rPr>
            </w:pPr>
            <w:r w:rsidRPr="00A210E9">
              <w:rPr>
                <w:rFonts w:ascii="David" w:eastAsia="Times New Roman" w:hAnsi="David" w:hint="cs"/>
                <w:color w:val="343334"/>
                <w:sz w:val="22"/>
                <w:szCs w:val="22"/>
                <w:rtl/>
              </w:rPr>
              <w:t>263.5</w:t>
            </w:r>
          </w:p>
        </w:tc>
        <w:tc>
          <w:tcPr>
            <w:tcW w:w="992" w:type="dxa"/>
          </w:tcPr>
          <w:p w:rsidR="00A210E9" w:rsidRPr="00A210E9" w:rsidP="00A210E9">
            <w:pPr>
              <w:spacing w:line="269" w:lineRule="auto"/>
              <w:jc w:val="left"/>
              <w:rPr>
                <w:rFonts w:ascii="David" w:eastAsia="Times New Roman" w:hAnsi="David"/>
                <w:color w:val="343334"/>
                <w:sz w:val="22"/>
                <w:szCs w:val="22"/>
                <w:rtl/>
              </w:rPr>
            </w:pPr>
            <w:r w:rsidRPr="00A210E9">
              <w:rPr>
                <w:rFonts w:ascii="David" w:eastAsia="Times New Roman" w:hAnsi="David" w:hint="cs"/>
                <w:color w:val="343334"/>
                <w:sz w:val="22"/>
                <w:szCs w:val="22"/>
                <w:rtl/>
              </w:rPr>
              <w:t>258.8</w:t>
            </w:r>
          </w:p>
        </w:tc>
      </w:tr>
      <w:tr w:rsidTr="00A157C9">
        <w:tblPrEx>
          <w:tblW w:w="7087" w:type="dxa"/>
          <w:jc w:val="center"/>
          <w:tblLayout w:type="fixed"/>
          <w:tblLook w:val="04A0"/>
        </w:tblPrEx>
        <w:trPr>
          <w:trHeight w:val="300"/>
          <w:jc w:val="center"/>
        </w:trPr>
        <w:tc>
          <w:tcPr>
            <w:tcW w:w="992" w:type="dxa"/>
            <w:noWrap/>
            <w:vAlign w:val="center"/>
            <w:hideMark/>
          </w:tcPr>
          <w:p w:rsidR="00A210E9" w:rsidRPr="00A210E9" w:rsidP="00A210E9">
            <w:pPr>
              <w:spacing w:line="269" w:lineRule="auto"/>
              <w:jc w:val="left"/>
              <w:rPr>
                <w:rFonts w:ascii="David" w:eastAsia="Times New Roman" w:hAnsi="David"/>
                <w:color w:val="343334"/>
                <w:sz w:val="22"/>
                <w:szCs w:val="22"/>
                <w:rtl/>
              </w:rPr>
            </w:pPr>
            <w:r w:rsidRPr="00A210E9">
              <w:rPr>
                <w:rFonts w:ascii="David" w:eastAsia="Times New Roman" w:hAnsi="David"/>
                <w:color w:val="343334"/>
                <w:sz w:val="22"/>
                <w:szCs w:val="22"/>
                <w:rtl/>
              </w:rPr>
              <w:t>2021</w:t>
            </w:r>
          </w:p>
        </w:tc>
        <w:tc>
          <w:tcPr>
            <w:tcW w:w="993" w:type="dxa"/>
            <w:noWrap/>
            <w:vAlign w:val="center"/>
            <w:hideMark/>
          </w:tcPr>
          <w:p w:rsidR="00A210E9" w:rsidRPr="00A210E9" w:rsidP="00A210E9">
            <w:pPr>
              <w:spacing w:line="269" w:lineRule="auto"/>
              <w:jc w:val="left"/>
              <w:rPr>
                <w:rFonts w:ascii="David" w:eastAsia="Times New Roman" w:hAnsi="David"/>
                <w:color w:val="343334"/>
                <w:sz w:val="22"/>
                <w:szCs w:val="22"/>
                <w:rtl/>
              </w:rPr>
            </w:pPr>
            <w:r w:rsidRPr="00A210E9">
              <w:rPr>
                <w:rFonts w:ascii="David" w:eastAsia="Times New Roman" w:hAnsi="David"/>
                <w:color w:val="343334"/>
                <w:sz w:val="22"/>
                <w:szCs w:val="22"/>
                <w:rtl/>
              </w:rPr>
              <w:t>207,756</w:t>
            </w:r>
          </w:p>
        </w:tc>
        <w:tc>
          <w:tcPr>
            <w:tcW w:w="850" w:type="dxa"/>
            <w:noWrap/>
            <w:vAlign w:val="center"/>
            <w:hideMark/>
          </w:tcPr>
          <w:p w:rsidR="00A210E9" w:rsidRPr="00A210E9" w:rsidP="00A210E9">
            <w:pPr>
              <w:spacing w:line="269" w:lineRule="auto"/>
              <w:jc w:val="left"/>
              <w:rPr>
                <w:rFonts w:ascii="David" w:eastAsia="Times New Roman" w:hAnsi="David"/>
                <w:color w:val="343334"/>
                <w:sz w:val="22"/>
                <w:szCs w:val="22"/>
                <w:rtl/>
              </w:rPr>
            </w:pPr>
            <w:r w:rsidRPr="00A210E9">
              <w:rPr>
                <w:rFonts w:ascii="David" w:eastAsia="Times New Roman" w:hAnsi="David"/>
                <w:color w:val="343334"/>
                <w:sz w:val="22"/>
                <w:szCs w:val="22"/>
                <w:rtl/>
              </w:rPr>
              <w:t>26</w:t>
            </w:r>
          </w:p>
        </w:tc>
        <w:tc>
          <w:tcPr>
            <w:tcW w:w="1213" w:type="dxa"/>
            <w:noWrap/>
            <w:vAlign w:val="center"/>
            <w:hideMark/>
          </w:tcPr>
          <w:p w:rsidR="00A210E9" w:rsidRPr="00A210E9" w:rsidP="00A210E9">
            <w:pPr>
              <w:spacing w:line="269" w:lineRule="auto"/>
              <w:jc w:val="left"/>
              <w:rPr>
                <w:rFonts w:ascii="David" w:eastAsia="Times New Roman" w:hAnsi="David"/>
                <w:color w:val="343334"/>
                <w:sz w:val="22"/>
                <w:szCs w:val="22"/>
                <w:rtl/>
              </w:rPr>
            </w:pPr>
            <w:r w:rsidRPr="00A210E9">
              <w:rPr>
                <w:rFonts w:ascii="David" w:eastAsia="Times New Roman" w:hAnsi="David"/>
                <w:color w:val="343334"/>
                <w:sz w:val="22"/>
                <w:szCs w:val="22"/>
                <w:rtl/>
              </w:rPr>
              <w:t>5.4</w:t>
            </w:r>
          </w:p>
        </w:tc>
        <w:tc>
          <w:tcPr>
            <w:tcW w:w="913" w:type="dxa"/>
            <w:vAlign w:val="center"/>
          </w:tcPr>
          <w:p w:rsidR="00A210E9" w:rsidRPr="00A210E9" w:rsidP="00A210E9">
            <w:pPr>
              <w:spacing w:line="269" w:lineRule="auto"/>
              <w:jc w:val="left"/>
              <w:rPr>
                <w:rFonts w:ascii="David" w:eastAsia="Times New Roman" w:hAnsi="David"/>
                <w:color w:val="343334"/>
                <w:sz w:val="22"/>
                <w:szCs w:val="22"/>
                <w:rtl/>
              </w:rPr>
            </w:pPr>
            <w:r w:rsidRPr="00A210E9">
              <w:rPr>
                <w:rFonts w:ascii="David" w:eastAsia="Times New Roman" w:hAnsi="David"/>
                <w:color w:val="343334"/>
                <w:sz w:val="22"/>
                <w:szCs w:val="22"/>
                <w:rtl/>
              </w:rPr>
              <w:t>1,433</w:t>
            </w:r>
          </w:p>
        </w:tc>
        <w:tc>
          <w:tcPr>
            <w:tcW w:w="1134" w:type="dxa"/>
            <w:vAlign w:val="center"/>
          </w:tcPr>
          <w:p w:rsidR="00A210E9" w:rsidRPr="00A210E9" w:rsidP="00A210E9">
            <w:pPr>
              <w:spacing w:line="269" w:lineRule="auto"/>
              <w:jc w:val="left"/>
              <w:rPr>
                <w:rFonts w:ascii="David" w:eastAsia="Times New Roman" w:hAnsi="David"/>
                <w:color w:val="343334"/>
                <w:sz w:val="22"/>
                <w:szCs w:val="22"/>
                <w:rtl/>
              </w:rPr>
            </w:pPr>
            <w:r w:rsidRPr="00A210E9">
              <w:rPr>
                <w:rFonts w:ascii="David" w:eastAsia="Calibri" w:hAnsi="David" w:hint="cs"/>
                <w:color w:val="343334"/>
                <w:sz w:val="22"/>
                <w:szCs w:val="22"/>
                <w:rtl/>
              </w:rPr>
              <w:t>297.7</w:t>
            </w:r>
          </w:p>
        </w:tc>
        <w:tc>
          <w:tcPr>
            <w:tcW w:w="992" w:type="dxa"/>
            <w:vAlign w:val="center"/>
          </w:tcPr>
          <w:p w:rsidR="00A210E9" w:rsidRPr="00A210E9" w:rsidP="00A210E9">
            <w:pPr>
              <w:spacing w:line="269" w:lineRule="auto"/>
              <w:jc w:val="left"/>
              <w:rPr>
                <w:rFonts w:ascii="David" w:eastAsia="Times New Roman" w:hAnsi="David"/>
                <w:color w:val="343334"/>
                <w:sz w:val="22"/>
                <w:szCs w:val="22"/>
                <w:rtl/>
              </w:rPr>
            </w:pPr>
            <w:r w:rsidRPr="00A210E9">
              <w:rPr>
                <w:rFonts w:ascii="David" w:eastAsia="Calibri" w:hAnsi="David" w:hint="cs"/>
                <w:color w:val="343334"/>
                <w:sz w:val="22"/>
                <w:szCs w:val="22"/>
                <w:rtl/>
              </w:rPr>
              <w:t>292.3</w:t>
            </w:r>
          </w:p>
        </w:tc>
      </w:tr>
      <w:tr w:rsidTr="00A157C9">
        <w:tblPrEx>
          <w:tblW w:w="7087" w:type="dxa"/>
          <w:jc w:val="center"/>
          <w:tblLayout w:type="fixed"/>
          <w:tblLook w:val="04A0"/>
        </w:tblPrEx>
        <w:trPr>
          <w:trHeight w:val="300"/>
          <w:jc w:val="center"/>
        </w:trPr>
        <w:tc>
          <w:tcPr>
            <w:tcW w:w="992" w:type="dxa"/>
            <w:noWrap/>
            <w:vAlign w:val="center"/>
            <w:hideMark/>
          </w:tcPr>
          <w:p w:rsidR="00A210E9" w:rsidRPr="00A210E9" w:rsidP="00A210E9">
            <w:pPr>
              <w:spacing w:line="269" w:lineRule="auto"/>
              <w:jc w:val="left"/>
              <w:rPr>
                <w:rFonts w:ascii="David" w:eastAsia="Times New Roman" w:hAnsi="David"/>
                <w:color w:val="343334"/>
                <w:sz w:val="22"/>
                <w:szCs w:val="22"/>
                <w:rtl/>
              </w:rPr>
            </w:pPr>
            <w:r w:rsidRPr="00A210E9">
              <w:rPr>
                <w:rFonts w:ascii="David" w:eastAsia="Times New Roman" w:hAnsi="David"/>
                <w:color w:val="343334"/>
                <w:sz w:val="22"/>
                <w:szCs w:val="22"/>
                <w:rtl/>
              </w:rPr>
              <w:t>2022</w:t>
            </w:r>
          </w:p>
        </w:tc>
        <w:tc>
          <w:tcPr>
            <w:tcW w:w="993" w:type="dxa"/>
            <w:noWrap/>
            <w:vAlign w:val="center"/>
            <w:hideMark/>
          </w:tcPr>
          <w:p w:rsidR="00A210E9" w:rsidRPr="00A210E9" w:rsidP="00A210E9">
            <w:pPr>
              <w:spacing w:line="269" w:lineRule="auto"/>
              <w:jc w:val="left"/>
              <w:rPr>
                <w:rFonts w:ascii="David" w:eastAsia="Times New Roman" w:hAnsi="David"/>
                <w:color w:val="343334"/>
                <w:sz w:val="22"/>
                <w:szCs w:val="22"/>
                <w:rtl/>
              </w:rPr>
            </w:pPr>
            <w:r w:rsidRPr="00A210E9">
              <w:rPr>
                <w:rFonts w:ascii="David" w:eastAsia="Times New Roman" w:hAnsi="David"/>
                <w:color w:val="343334"/>
                <w:sz w:val="22"/>
                <w:szCs w:val="22"/>
                <w:rtl/>
              </w:rPr>
              <w:t>215,988</w:t>
            </w:r>
          </w:p>
        </w:tc>
        <w:tc>
          <w:tcPr>
            <w:tcW w:w="850" w:type="dxa"/>
            <w:noWrap/>
            <w:vAlign w:val="center"/>
            <w:hideMark/>
          </w:tcPr>
          <w:p w:rsidR="00A210E9" w:rsidRPr="00A210E9" w:rsidP="00A210E9">
            <w:pPr>
              <w:spacing w:line="269" w:lineRule="auto"/>
              <w:jc w:val="left"/>
              <w:rPr>
                <w:rFonts w:ascii="David" w:eastAsia="Times New Roman" w:hAnsi="David"/>
                <w:color w:val="343334"/>
                <w:sz w:val="22"/>
                <w:szCs w:val="22"/>
                <w:rtl/>
              </w:rPr>
            </w:pPr>
            <w:r w:rsidRPr="00A210E9">
              <w:rPr>
                <w:rFonts w:ascii="David" w:eastAsia="Times New Roman" w:hAnsi="David"/>
                <w:color w:val="343334"/>
                <w:sz w:val="22"/>
                <w:szCs w:val="22"/>
                <w:rtl/>
              </w:rPr>
              <w:t>26</w:t>
            </w:r>
          </w:p>
        </w:tc>
        <w:tc>
          <w:tcPr>
            <w:tcW w:w="1213" w:type="dxa"/>
            <w:noWrap/>
            <w:vAlign w:val="center"/>
            <w:hideMark/>
          </w:tcPr>
          <w:p w:rsidR="00A210E9" w:rsidRPr="00A210E9" w:rsidP="00A210E9">
            <w:pPr>
              <w:spacing w:line="269" w:lineRule="auto"/>
              <w:jc w:val="left"/>
              <w:rPr>
                <w:rFonts w:ascii="David" w:eastAsia="Times New Roman" w:hAnsi="David"/>
                <w:color w:val="343334"/>
                <w:sz w:val="22"/>
                <w:szCs w:val="22"/>
                <w:rtl/>
              </w:rPr>
            </w:pPr>
            <w:r w:rsidRPr="00A210E9">
              <w:rPr>
                <w:rFonts w:ascii="David" w:eastAsia="Times New Roman" w:hAnsi="David"/>
                <w:color w:val="343334"/>
                <w:sz w:val="22"/>
                <w:szCs w:val="22"/>
                <w:rtl/>
              </w:rPr>
              <w:t>5.6</w:t>
            </w:r>
          </w:p>
        </w:tc>
        <w:tc>
          <w:tcPr>
            <w:tcW w:w="913" w:type="dxa"/>
            <w:vAlign w:val="center"/>
          </w:tcPr>
          <w:p w:rsidR="00A210E9" w:rsidRPr="00A210E9" w:rsidP="00A210E9">
            <w:pPr>
              <w:spacing w:line="269" w:lineRule="auto"/>
              <w:jc w:val="left"/>
              <w:rPr>
                <w:rFonts w:ascii="David" w:eastAsia="Times New Roman" w:hAnsi="David"/>
                <w:color w:val="343334"/>
                <w:sz w:val="22"/>
                <w:szCs w:val="22"/>
                <w:rtl/>
              </w:rPr>
            </w:pPr>
            <w:r w:rsidRPr="00A210E9">
              <w:rPr>
                <w:rFonts w:ascii="David" w:eastAsia="Times New Roman" w:hAnsi="David"/>
                <w:color w:val="343334"/>
                <w:sz w:val="22"/>
                <w:szCs w:val="22"/>
                <w:rtl/>
              </w:rPr>
              <w:t>1,431</w:t>
            </w:r>
          </w:p>
        </w:tc>
        <w:tc>
          <w:tcPr>
            <w:tcW w:w="1134" w:type="dxa"/>
            <w:vAlign w:val="center"/>
          </w:tcPr>
          <w:p w:rsidR="00A210E9" w:rsidRPr="00A210E9" w:rsidP="00A210E9">
            <w:pPr>
              <w:spacing w:line="269" w:lineRule="auto"/>
              <w:jc w:val="left"/>
              <w:rPr>
                <w:rFonts w:ascii="David" w:eastAsia="Times New Roman" w:hAnsi="David"/>
                <w:color w:val="343334"/>
                <w:sz w:val="22"/>
                <w:szCs w:val="22"/>
                <w:rtl/>
              </w:rPr>
            </w:pPr>
            <w:r w:rsidRPr="00A210E9">
              <w:rPr>
                <w:rFonts w:ascii="David" w:eastAsia="Calibri" w:hAnsi="David" w:hint="cs"/>
                <w:color w:val="343334"/>
                <w:sz w:val="22"/>
                <w:szCs w:val="22"/>
                <w:rtl/>
              </w:rPr>
              <w:t>309.1</w:t>
            </w:r>
          </w:p>
        </w:tc>
        <w:tc>
          <w:tcPr>
            <w:tcW w:w="992" w:type="dxa"/>
            <w:vAlign w:val="center"/>
          </w:tcPr>
          <w:p w:rsidR="00A210E9" w:rsidRPr="00A210E9" w:rsidP="00A210E9">
            <w:pPr>
              <w:spacing w:line="269" w:lineRule="auto"/>
              <w:jc w:val="left"/>
              <w:rPr>
                <w:rFonts w:ascii="David" w:eastAsia="Times New Roman" w:hAnsi="David"/>
                <w:color w:val="343334"/>
                <w:sz w:val="22"/>
                <w:szCs w:val="22"/>
                <w:rtl/>
              </w:rPr>
            </w:pPr>
            <w:r w:rsidRPr="00A210E9">
              <w:rPr>
                <w:rFonts w:ascii="David" w:eastAsia="Calibri" w:hAnsi="David" w:hint="cs"/>
                <w:color w:val="343334"/>
                <w:sz w:val="22"/>
                <w:szCs w:val="22"/>
                <w:rtl/>
              </w:rPr>
              <w:t>303.5</w:t>
            </w:r>
          </w:p>
        </w:tc>
      </w:tr>
      <w:tr w:rsidTr="00A157C9">
        <w:tblPrEx>
          <w:tblW w:w="7087" w:type="dxa"/>
          <w:jc w:val="center"/>
          <w:tblLayout w:type="fixed"/>
          <w:tblLook w:val="04A0"/>
        </w:tblPrEx>
        <w:trPr>
          <w:trHeight w:val="300"/>
          <w:jc w:val="center"/>
        </w:trPr>
        <w:tc>
          <w:tcPr>
            <w:tcW w:w="992" w:type="dxa"/>
            <w:noWrap/>
            <w:vAlign w:val="center"/>
            <w:hideMark/>
          </w:tcPr>
          <w:p w:rsidR="00A210E9" w:rsidRPr="00A210E9" w:rsidP="00A210E9">
            <w:pPr>
              <w:spacing w:line="269" w:lineRule="auto"/>
              <w:jc w:val="left"/>
              <w:rPr>
                <w:rFonts w:ascii="David" w:eastAsia="Times New Roman" w:hAnsi="David"/>
                <w:color w:val="343334"/>
                <w:sz w:val="22"/>
                <w:szCs w:val="22"/>
                <w:rtl/>
              </w:rPr>
            </w:pPr>
            <w:r w:rsidRPr="00A210E9">
              <w:rPr>
                <w:rFonts w:ascii="David" w:eastAsia="Times New Roman" w:hAnsi="David"/>
                <w:color w:val="343334"/>
                <w:sz w:val="22"/>
                <w:szCs w:val="22"/>
                <w:rtl/>
              </w:rPr>
              <w:t>2023</w:t>
            </w:r>
          </w:p>
        </w:tc>
        <w:tc>
          <w:tcPr>
            <w:tcW w:w="993" w:type="dxa"/>
            <w:noWrap/>
            <w:vAlign w:val="center"/>
            <w:hideMark/>
          </w:tcPr>
          <w:p w:rsidR="00A210E9" w:rsidRPr="00A210E9" w:rsidP="00A210E9">
            <w:pPr>
              <w:spacing w:line="269" w:lineRule="auto"/>
              <w:jc w:val="left"/>
              <w:rPr>
                <w:rFonts w:ascii="David" w:eastAsia="Times New Roman" w:hAnsi="David"/>
                <w:color w:val="343334"/>
                <w:sz w:val="22"/>
                <w:szCs w:val="22"/>
                <w:rtl/>
              </w:rPr>
            </w:pPr>
            <w:r w:rsidRPr="00A210E9">
              <w:rPr>
                <w:rFonts w:ascii="David" w:eastAsia="Times New Roman" w:hAnsi="David"/>
                <w:color w:val="343334"/>
                <w:sz w:val="22"/>
                <w:szCs w:val="22"/>
                <w:rtl/>
              </w:rPr>
              <w:t>244,694</w:t>
            </w:r>
          </w:p>
        </w:tc>
        <w:tc>
          <w:tcPr>
            <w:tcW w:w="850" w:type="dxa"/>
            <w:noWrap/>
            <w:vAlign w:val="center"/>
            <w:hideMark/>
          </w:tcPr>
          <w:p w:rsidR="00A210E9" w:rsidRPr="00A210E9" w:rsidP="00A210E9">
            <w:pPr>
              <w:spacing w:line="269" w:lineRule="auto"/>
              <w:jc w:val="left"/>
              <w:rPr>
                <w:rFonts w:ascii="David" w:eastAsia="Times New Roman" w:hAnsi="David"/>
                <w:color w:val="343334"/>
                <w:sz w:val="22"/>
                <w:szCs w:val="22"/>
                <w:rtl/>
              </w:rPr>
            </w:pPr>
            <w:r w:rsidRPr="00A210E9">
              <w:rPr>
                <w:rFonts w:ascii="David" w:eastAsia="Times New Roman" w:hAnsi="David"/>
                <w:color w:val="343334"/>
                <w:sz w:val="22"/>
                <w:szCs w:val="22"/>
                <w:rtl/>
              </w:rPr>
              <w:t>28</w:t>
            </w:r>
          </w:p>
        </w:tc>
        <w:tc>
          <w:tcPr>
            <w:tcW w:w="1213" w:type="dxa"/>
            <w:noWrap/>
            <w:vAlign w:val="center"/>
            <w:hideMark/>
          </w:tcPr>
          <w:p w:rsidR="00A210E9" w:rsidRPr="00A210E9" w:rsidP="00A210E9">
            <w:pPr>
              <w:spacing w:line="269" w:lineRule="auto"/>
              <w:jc w:val="left"/>
              <w:rPr>
                <w:rFonts w:ascii="David" w:eastAsia="Times New Roman" w:hAnsi="David"/>
                <w:color w:val="343334"/>
                <w:sz w:val="22"/>
                <w:szCs w:val="22"/>
                <w:rtl/>
              </w:rPr>
            </w:pPr>
            <w:r w:rsidRPr="00A210E9">
              <w:rPr>
                <w:rFonts w:ascii="David" w:eastAsia="Times New Roman" w:hAnsi="David"/>
                <w:color w:val="343334"/>
                <w:sz w:val="22"/>
                <w:szCs w:val="22"/>
                <w:rtl/>
              </w:rPr>
              <w:t>6.7</w:t>
            </w:r>
          </w:p>
        </w:tc>
        <w:tc>
          <w:tcPr>
            <w:tcW w:w="913" w:type="dxa"/>
            <w:vAlign w:val="center"/>
          </w:tcPr>
          <w:p w:rsidR="00A210E9" w:rsidRPr="00A210E9" w:rsidP="00A210E9">
            <w:pPr>
              <w:spacing w:line="269" w:lineRule="auto"/>
              <w:jc w:val="left"/>
              <w:rPr>
                <w:rFonts w:ascii="David" w:eastAsia="Times New Roman" w:hAnsi="David"/>
                <w:color w:val="343334"/>
                <w:sz w:val="22"/>
                <w:szCs w:val="22"/>
                <w:rtl/>
              </w:rPr>
            </w:pPr>
            <w:r w:rsidRPr="00A210E9">
              <w:rPr>
                <w:rFonts w:ascii="David" w:eastAsia="Times New Roman" w:hAnsi="David"/>
                <w:color w:val="343334"/>
                <w:sz w:val="22"/>
                <w:szCs w:val="22"/>
                <w:rtl/>
              </w:rPr>
              <w:t>1,468</w:t>
            </w:r>
          </w:p>
        </w:tc>
        <w:tc>
          <w:tcPr>
            <w:tcW w:w="1134" w:type="dxa"/>
            <w:vAlign w:val="center"/>
          </w:tcPr>
          <w:p w:rsidR="00A210E9" w:rsidRPr="00A210E9" w:rsidP="00A210E9">
            <w:pPr>
              <w:spacing w:line="269" w:lineRule="auto"/>
              <w:jc w:val="left"/>
              <w:rPr>
                <w:rFonts w:ascii="David" w:eastAsia="Times New Roman" w:hAnsi="David"/>
                <w:color w:val="343334"/>
                <w:sz w:val="22"/>
                <w:szCs w:val="22"/>
                <w:rtl/>
              </w:rPr>
            </w:pPr>
            <w:r w:rsidRPr="00A210E9">
              <w:rPr>
                <w:rFonts w:ascii="David" w:eastAsia="Calibri" w:hAnsi="David" w:hint="cs"/>
                <w:color w:val="343334"/>
                <w:sz w:val="22"/>
                <w:szCs w:val="22"/>
                <w:rtl/>
              </w:rPr>
              <w:t>359.2</w:t>
            </w:r>
          </w:p>
        </w:tc>
        <w:tc>
          <w:tcPr>
            <w:tcW w:w="992" w:type="dxa"/>
            <w:vAlign w:val="center"/>
          </w:tcPr>
          <w:p w:rsidR="00A210E9" w:rsidRPr="00A210E9" w:rsidP="00A210E9">
            <w:pPr>
              <w:spacing w:line="269" w:lineRule="auto"/>
              <w:jc w:val="left"/>
              <w:rPr>
                <w:rFonts w:ascii="David" w:eastAsia="Times New Roman" w:hAnsi="David"/>
                <w:color w:val="343334"/>
                <w:sz w:val="22"/>
                <w:szCs w:val="22"/>
                <w:rtl/>
              </w:rPr>
            </w:pPr>
            <w:r w:rsidRPr="00A210E9">
              <w:rPr>
                <w:rFonts w:ascii="David" w:eastAsia="Calibri" w:hAnsi="David" w:hint="cs"/>
                <w:color w:val="343334"/>
                <w:sz w:val="22"/>
                <w:szCs w:val="22"/>
                <w:rtl/>
              </w:rPr>
              <w:t>352.5</w:t>
            </w:r>
          </w:p>
        </w:tc>
      </w:tr>
      <w:tr w:rsidTr="00A157C9">
        <w:tblPrEx>
          <w:tblW w:w="7087" w:type="dxa"/>
          <w:jc w:val="center"/>
          <w:tblLayout w:type="fixed"/>
          <w:tblLook w:val="04A0"/>
        </w:tblPrEx>
        <w:trPr>
          <w:trHeight w:val="300"/>
          <w:jc w:val="center"/>
        </w:trPr>
        <w:tc>
          <w:tcPr>
            <w:tcW w:w="992" w:type="dxa"/>
            <w:noWrap/>
            <w:vAlign w:val="center"/>
            <w:hideMark/>
          </w:tcPr>
          <w:p w:rsidR="00A210E9" w:rsidRPr="00A210E9" w:rsidP="00A210E9">
            <w:pPr>
              <w:spacing w:line="269" w:lineRule="auto"/>
              <w:jc w:val="left"/>
              <w:rPr>
                <w:rFonts w:ascii="David" w:eastAsia="Times New Roman" w:hAnsi="David"/>
                <w:color w:val="343334"/>
                <w:sz w:val="22"/>
                <w:szCs w:val="22"/>
                <w:rtl/>
              </w:rPr>
            </w:pPr>
            <w:r w:rsidRPr="00A210E9">
              <w:rPr>
                <w:rFonts w:ascii="David" w:eastAsia="Times New Roman" w:hAnsi="David"/>
                <w:color w:val="343334"/>
                <w:sz w:val="22"/>
                <w:szCs w:val="22"/>
                <w:rtl/>
              </w:rPr>
              <w:t>2024</w:t>
            </w:r>
          </w:p>
        </w:tc>
        <w:tc>
          <w:tcPr>
            <w:tcW w:w="993" w:type="dxa"/>
            <w:noWrap/>
            <w:vAlign w:val="center"/>
            <w:hideMark/>
          </w:tcPr>
          <w:p w:rsidR="00A210E9" w:rsidRPr="00A210E9" w:rsidP="00A210E9">
            <w:pPr>
              <w:spacing w:line="269" w:lineRule="auto"/>
              <w:jc w:val="left"/>
              <w:rPr>
                <w:rFonts w:ascii="David" w:eastAsia="Times New Roman" w:hAnsi="David"/>
                <w:color w:val="343334"/>
                <w:sz w:val="22"/>
                <w:szCs w:val="22"/>
                <w:rtl/>
              </w:rPr>
            </w:pPr>
            <w:r w:rsidRPr="00A210E9">
              <w:rPr>
                <w:rFonts w:ascii="David" w:eastAsia="Times New Roman" w:hAnsi="David"/>
                <w:color w:val="343334"/>
                <w:sz w:val="22"/>
                <w:szCs w:val="22"/>
                <w:rtl/>
              </w:rPr>
              <w:t>275,809</w:t>
            </w:r>
          </w:p>
        </w:tc>
        <w:tc>
          <w:tcPr>
            <w:tcW w:w="850" w:type="dxa"/>
            <w:noWrap/>
            <w:vAlign w:val="center"/>
            <w:hideMark/>
          </w:tcPr>
          <w:p w:rsidR="00A210E9" w:rsidRPr="00A210E9" w:rsidP="00A210E9">
            <w:pPr>
              <w:spacing w:line="269" w:lineRule="auto"/>
              <w:jc w:val="left"/>
              <w:rPr>
                <w:rFonts w:ascii="David" w:eastAsia="Times New Roman" w:hAnsi="David"/>
                <w:color w:val="343334"/>
                <w:sz w:val="22"/>
                <w:szCs w:val="22"/>
                <w:rtl/>
              </w:rPr>
            </w:pPr>
            <w:r w:rsidRPr="00A210E9">
              <w:rPr>
                <w:rFonts w:ascii="David" w:eastAsia="Times New Roman" w:hAnsi="David"/>
                <w:color w:val="343334"/>
                <w:sz w:val="22"/>
                <w:szCs w:val="22"/>
                <w:rtl/>
              </w:rPr>
              <w:t>29</w:t>
            </w:r>
          </w:p>
        </w:tc>
        <w:tc>
          <w:tcPr>
            <w:tcW w:w="1213" w:type="dxa"/>
            <w:noWrap/>
            <w:vAlign w:val="center"/>
            <w:hideMark/>
          </w:tcPr>
          <w:p w:rsidR="00A210E9" w:rsidRPr="00A210E9" w:rsidP="00A210E9">
            <w:pPr>
              <w:spacing w:line="269" w:lineRule="auto"/>
              <w:jc w:val="left"/>
              <w:rPr>
                <w:rFonts w:ascii="David" w:eastAsia="Times New Roman" w:hAnsi="David"/>
                <w:color w:val="343334"/>
                <w:sz w:val="22"/>
                <w:szCs w:val="22"/>
                <w:rtl/>
              </w:rPr>
            </w:pPr>
            <w:r w:rsidRPr="00A210E9">
              <w:rPr>
                <w:rFonts w:ascii="David" w:eastAsia="Times New Roman" w:hAnsi="David"/>
                <w:color w:val="343334"/>
                <w:sz w:val="22"/>
                <w:szCs w:val="22"/>
                <w:rtl/>
              </w:rPr>
              <w:t>7.9</w:t>
            </w:r>
          </w:p>
        </w:tc>
        <w:tc>
          <w:tcPr>
            <w:tcW w:w="913" w:type="dxa"/>
            <w:vAlign w:val="center"/>
          </w:tcPr>
          <w:p w:rsidR="00A210E9" w:rsidRPr="00A210E9" w:rsidP="00A210E9">
            <w:pPr>
              <w:spacing w:line="269" w:lineRule="auto"/>
              <w:jc w:val="left"/>
              <w:rPr>
                <w:rFonts w:ascii="David" w:eastAsia="Times New Roman" w:hAnsi="David"/>
                <w:color w:val="343334"/>
                <w:sz w:val="22"/>
                <w:szCs w:val="22"/>
                <w:rtl/>
              </w:rPr>
            </w:pPr>
            <w:r w:rsidRPr="00A210E9">
              <w:rPr>
                <w:rFonts w:ascii="David" w:eastAsia="Times New Roman" w:hAnsi="David"/>
                <w:color w:val="343334"/>
                <w:sz w:val="22"/>
                <w:szCs w:val="22"/>
                <w:rtl/>
              </w:rPr>
              <w:t>1,498</w:t>
            </w:r>
          </w:p>
        </w:tc>
        <w:tc>
          <w:tcPr>
            <w:tcW w:w="1134" w:type="dxa"/>
            <w:vAlign w:val="center"/>
          </w:tcPr>
          <w:p w:rsidR="00A210E9" w:rsidRPr="00A210E9" w:rsidP="00A210E9">
            <w:pPr>
              <w:spacing w:line="269" w:lineRule="auto"/>
              <w:jc w:val="left"/>
              <w:rPr>
                <w:rFonts w:ascii="David" w:eastAsia="Times New Roman" w:hAnsi="David"/>
                <w:color w:val="343334"/>
                <w:sz w:val="22"/>
                <w:szCs w:val="22"/>
                <w:rtl/>
              </w:rPr>
            </w:pPr>
            <w:r w:rsidRPr="00A210E9">
              <w:rPr>
                <w:rFonts w:ascii="David" w:eastAsia="Calibri" w:hAnsi="David" w:hint="cs"/>
                <w:color w:val="343334"/>
                <w:sz w:val="22"/>
                <w:szCs w:val="22"/>
                <w:rtl/>
              </w:rPr>
              <w:t>413.2</w:t>
            </w:r>
          </w:p>
        </w:tc>
        <w:tc>
          <w:tcPr>
            <w:tcW w:w="992" w:type="dxa"/>
            <w:vAlign w:val="center"/>
          </w:tcPr>
          <w:p w:rsidR="00A210E9" w:rsidRPr="00A210E9" w:rsidP="00A210E9">
            <w:pPr>
              <w:spacing w:line="269" w:lineRule="auto"/>
              <w:jc w:val="left"/>
              <w:rPr>
                <w:rFonts w:ascii="David" w:eastAsia="Times New Roman" w:hAnsi="David"/>
                <w:color w:val="343334"/>
                <w:sz w:val="22"/>
                <w:szCs w:val="22"/>
                <w:rtl/>
              </w:rPr>
            </w:pPr>
            <w:r w:rsidRPr="00A210E9">
              <w:rPr>
                <w:rFonts w:ascii="David" w:eastAsia="Calibri" w:hAnsi="David" w:hint="cs"/>
                <w:color w:val="343334"/>
                <w:sz w:val="22"/>
                <w:szCs w:val="22"/>
                <w:rtl/>
              </w:rPr>
              <w:t>405.3</w:t>
            </w:r>
          </w:p>
        </w:tc>
      </w:tr>
    </w:tbl>
    <w:p w:rsidR="00A210E9" w:rsidRPr="00A210E9" w:rsidP="00A210E9">
      <w:pPr>
        <w:spacing w:line="269" w:lineRule="auto"/>
        <w:rPr>
          <w:rFonts w:ascii="David" w:eastAsia="Times New Roman" w:hAnsi="David"/>
          <w:szCs w:val="20"/>
          <w:rtl/>
        </w:rPr>
      </w:pPr>
      <w:r w:rsidRPr="00A210E9">
        <w:rPr>
          <w:rFonts w:ascii="David" w:eastAsia="Times New Roman" w:hAnsi="David" w:hint="eastAsia"/>
          <w:szCs w:val="20"/>
          <w:rtl/>
        </w:rPr>
        <w:t>על</w:t>
      </w:r>
      <w:r w:rsidRPr="00A210E9">
        <w:rPr>
          <w:rFonts w:ascii="David" w:eastAsia="Times New Roman" w:hAnsi="David"/>
          <w:szCs w:val="20"/>
          <w:rtl/>
        </w:rPr>
        <w:t xml:space="preserve"> פי נתוני משרד התחבורה, בעיבוד משרד מבקר המדינה</w:t>
      </w:r>
      <w:r w:rsidRPr="00A210E9">
        <w:rPr>
          <w:rFonts w:ascii="David" w:eastAsia="Times New Roman" w:hAnsi="David" w:hint="cs"/>
          <w:szCs w:val="20"/>
          <w:rtl/>
        </w:rPr>
        <w:t>.</w:t>
      </w:r>
    </w:p>
    <w:p w:rsidR="00A210E9" w:rsidRPr="00A210E9" w:rsidP="00A210E9">
      <w:pPr>
        <w:spacing w:line="269" w:lineRule="auto"/>
        <w:rPr>
          <w:rFonts w:ascii="David" w:eastAsia="Times New Roman" w:hAnsi="David"/>
          <w:szCs w:val="20"/>
          <w:rtl/>
        </w:rPr>
      </w:pPr>
      <w:r w:rsidRPr="00A210E9">
        <w:rPr>
          <w:rFonts w:ascii="David" w:eastAsia="Times New Roman" w:hAnsi="David" w:hint="cs"/>
          <w:szCs w:val="20"/>
          <w:rtl/>
        </w:rPr>
        <w:t>* הנתונים מקורבים.</w:t>
      </w:r>
    </w:p>
    <w:p w:rsidR="00A210E9" w:rsidRPr="00A210E9" w:rsidP="00A210E9">
      <w:pPr>
        <w:spacing w:line="269" w:lineRule="auto"/>
        <w:rPr>
          <w:rFonts w:ascii="David" w:eastAsia="Times New Roman" w:hAnsi="David"/>
          <w:b/>
          <w:bCs/>
          <w:sz w:val="24"/>
          <w:rtl/>
        </w:rPr>
      </w:pPr>
      <w:r w:rsidRPr="00A210E9">
        <w:rPr>
          <w:rFonts w:ascii="David" w:eastAsia="Times New Roman" w:hAnsi="David" w:hint="cs"/>
          <w:b/>
          <w:bCs/>
          <w:sz w:val="24"/>
          <w:rtl/>
        </w:rPr>
        <w:t>מהלוח עולה כי בשנים 2020 - 2024 עלה האומדן של אובדן ההכנסות השנתי למדינה מתשלום אגרת רישוי מופחתת מכ-259 מיליון ש"ח בשנת 2020 לכ-405 מיליון ש"ח בשנת 2024</w:t>
      </w:r>
      <w:r>
        <w:rPr>
          <w:rFonts w:ascii="David" w:eastAsia="Times New Roman" w:hAnsi="David"/>
          <w:b/>
          <w:bCs/>
          <w:sz w:val="24"/>
          <w:vertAlign w:val="superscript"/>
          <w:rtl/>
        </w:rPr>
        <w:footnoteReference w:id="79"/>
      </w:r>
      <w:r w:rsidRPr="00A210E9">
        <w:rPr>
          <w:rFonts w:ascii="David" w:eastAsia="Times New Roman" w:hAnsi="David" w:hint="cs"/>
          <w:b/>
          <w:bCs/>
          <w:sz w:val="24"/>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rtl/>
        </w:rPr>
        <w:t>בשנים האחרונות נתונים שונים הצביעו על כך שחלק בלתי מבוטל מהרכבים המשויכים לתגי</w:t>
      </w:r>
      <w:r w:rsidRPr="00A210E9">
        <w:rPr>
          <w:rFonts w:eastAsia="Calibri" w:hint="cs"/>
          <w:rtl/>
        </w:rPr>
        <w:t xml:space="preserve"> חניה </w:t>
      </w:r>
      <w:r w:rsidRPr="00A210E9">
        <w:rPr>
          <w:rFonts w:eastAsia="Calibri"/>
          <w:rtl/>
        </w:rPr>
        <w:t>משתיי</w:t>
      </w:r>
      <w:r w:rsidRPr="00A210E9">
        <w:rPr>
          <w:rFonts w:eastAsia="Calibri" w:hint="cs"/>
          <w:rtl/>
        </w:rPr>
        <w:t>ך</w:t>
      </w:r>
      <w:r w:rsidRPr="00A210E9">
        <w:rPr>
          <w:rFonts w:eastAsia="Calibri"/>
          <w:rtl/>
        </w:rPr>
        <w:t xml:space="preserve"> לקטגוריית רכבי יוקרה </w:t>
      </w:r>
      <w:r w:rsidRPr="00A210E9">
        <w:rPr>
          <w:rFonts w:eastAsia="Calibri" w:hint="cs"/>
          <w:rtl/>
        </w:rPr>
        <w:t xml:space="preserve">שבה אגרת הרישוי גבוהה במיוחד. רכבי יוקרה הם כל הרכבים בקבוצה 7 על פי הגדרות משרד התחבורה בנוגע לאגרת רישוי - רכבים אשר שווי השוק שלהם גבוה מ-338,000 ש"ח. שווי אגרת הרישוי לרכבים משנת ייצור 2015 ומטה - 1,793 ש"ח; 2,560 ש"ח משנות ייצור 2016 - 2019; 3,657 ש"ח משנות ייצור 2020 - 2022; 5,226 ש"ח משנות ייצור 2023 - 2025. </w:t>
      </w:r>
      <w:r w:rsidRPr="00A210E9">
        <w:rPr>
          <w:rFonts w:eastAsia="Calibri" w:hint="eastAsia"/>
          <w:rtl/>
        </w:rPr>
        <w:t>צוות</w:t>
      </w:r>
      <w:r w:rsidRPr="00A210E9">
        <w:rPr>
          <w:rFonts w:eastAsia="Calibri"/>
          <w:rtl/>
        </w:rPr>
        <w:t xml:space="preserve"> הביקורת בדק את שיעור רכבי היוקרה בקרב מחזיקי תג חניה.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בשנת 2023 עמד שיעור רכבי היוקרה (רכבים אשר שווי השוק שלהם גבוה מ-338,000 ש"ח, נכון ל-1.4.2025) בקרב המחזיקים בתג חניה על כ-3.7% (19,965 מכוניות מתוך כ-538,000 מכוניות)</w:t>
      </w:r>
      <w:r w:rsidRPr="00A210E9">
        <w:rPr>
          <w:rFonts w:eastAsia="Calibri" w:hint="cs"/>
          <w:b/>
          <w:bCs/>
        </w:rPr>
        <w:t xml:space="preserve"> </w:t>
      </w:r>
      <w:r w:rsidRPr="00A210E9">
        <w:rPr>
          <w:rFonts w:eastAsia="Calibri" w:hint="cs"/>
          <w:b/>
          <w:bCs/>
          <w:rtl/>
        </w:rPr>
        <w:t>ובשנת 2025 עלה לכ-4% (27,190 מכוניות מתוך כ-664,000 מכוניות) - נתון הגבוה פי שלושה לערך משיעור רכבי היוקרה מכלל הרכבים בארץ. יצוין כי חלק מרכבי היוקרה בנויים באופן שלכאורה מקשה מאוד על הסעה של אנשים עם מוגבלות</w:t>
      </w:r>
      <w:bookmarkStart w:id="95" w:name="_Hlk222329581"/>
      <w:r w:rsidRPr="00A210E9">
        <w:rPr>
          <w:rFonts w:eastAsia="Calibri" w:hint="cs"/>
          <w:b/>
          <w:bCs/>
          <w:rtl/>
        </w:rPr>
        <w:t xml:space="preserve"> - למשל נמצאו בעלי תג כיסא גלגלים, שמחזיקים רכבי ספורט נמוכים (בגובה של כ-128 ס"מ</w:t>
      </w:r>
      <w:r>
        <w:rPr>
          <w:rFonts w:eastAsia="Calibri"/>
          <w:b/>
          <w:bCs/>
          <w:vertAlign w:val="superscript"/>
          <w:rtl/>
        </w:rPr>
        <w:footnoteReference w:id="80"/>
      </w:r>
      <w:r w:rsidRPr="00A210E9">
        <w:rPr>
          <w:rFonts w:eastAsia="Calibri" w:hint="cs"/>
          <w:b/>
          <w:bCs/>
          <w:rtl/>
        </w:rPr>
        <w:t>) או רכבי שטח גבוהים מאוד (בגובה של כ-200 ס"מ</w:t>
      </w:r>
      <w:r>
        <w:rPr>
          <w:rFonts w:eastAsia="Calibri"/>
          <w:b/>
          <w:bCs/>
          <w:vertAlign w:val="superscript"/>
          <w:rtl/>
        </w:rPr>
        <w:footnoteReference w:id="81"/>
      </w:r>
      <w:r w:rsidRPr="00A210E9">
        <w:rPr>
          <w:rFonts w:eastAsia="Calibri" w:hint="cs"/>
          <w:b/>
          <w:bCs/>
          <w:rtl/>
        </w:rPr>
        <w:t>), אשר אמורים להיות מאתגרים במיוחד למעבר עבורם.</w:t>
      </w:r>
      <w:bookmarkEnd w:id="95"/>
      <w:r w:rsidRPr="00A210E9">
        <w:rPr>
          <w:rFonts w:eastAsia="Calibri" w:hint="cs"/>
          <w:b/>
          <w:bCs/>
          <w:rtl/>
        </w:rPr>
        <w:t xml:space="preserve"> נתונים אלה </w:t>
      </w:r>
      <w:r w:rsidRPr="00A210E9">
        <w:rPr>
          <w:rFonts w:eastAsia="Calibri"/>
          <w:b/>
          <w:bCs/>
          <w:rtl/>
        </w:rPr>
        <w:t>מעורר</w:t>
      </w:r>
      <w:r w:rsidRPr="00A210E9">
        <w:rPr>
          <w:rFonts w:eastAsia="Calibri" w:hint="cs"/>
          <w:b/>
          <w:bCs/>
          <w:rtl/>
        </w:rPr>
        <w:t>ים</w:t>
      </w:r>
      <w:r w:rsidRPr="00A210E9">
        <w:rPr>
          <w:rFonts w:eastAsia="Calibri"/>
          <w:b/>
          <w:bCs/>
          <w:rtl/>
        </w:rPr>
        <w:t xml:space="preserve"> שאלות </w:t>
      </w:r>
      <w:r w:rsidRPr="00A210E9">
        <w:rPr>
          <w:rFonts w:eastAsia="Calibri" w:hint="cs"/>
          <w:b/>
          <w:bCs/>
          <w:rtl/>
        </w:rPr>
        <w:t>בנוגע</w:t>
      </w:r>
      <w:r w:rsidRPr="00A210E9">
        <w:rPr>
          <w:rFonts w:eastAsia="Calibri"/>
          <w:b/>
          <w:bCs/>
          <w:rtl/>
        </w:rPr>
        <w:t xml:space="preserve"> לאופן הפיקוח על </w:t>
      </w:r>
      <w:r w:rsidRPr="00A210E9">
        <w:rPr>
          <w:rFonts w:eastAsia="Calibri" w:hint="cs"/>
          <w:b/>
          <w:bCs/>
          <w:rtl/>
        </w:rPr>
        <w:t>הנפקת התגים</w:t>
      </w:r>
      <w:r w:rsidRPr="00A210E9">
        <w:rPr>
          <w:rFonts w:eastAsia="Calibri"/>
          <w:b/>
          <w:bCs/>
          <w:rtl/>
        </w:rPr>
        <w:t xml:space="preserve"> </w:t>
      </w:r>
      <w:r w:rsidRPr="00A210E9">
        <w:rPr>
          <w:rFonts w:eastAsia="Calibri" w:hint="cs"/>
          <w:b/>
          <w:bCs/>
          <w:rtl/>
        </w:rPr>
        <w:t xml:space="preserve">ומעלים חשד </w:t>
      </w:r>
      <w:r w:rsidRPr="00A210E9">
        <w:rPr>
          <w:rFonts w:eastAsia="Calibri"/>
          <w:b/>
          <w:bCs/>
          <w:rtl/>
        </w:rPr>
        <w:t xml:space="preserve">לאפשרות </w:t>
      </w:r>
      <w:r w:rsidRPr="00A210E9">
        <w:rPr>
          <w:rFonts w:eastAsia="Calibri" w:hint="cs"/>
          <w:b/>
          <w:bCs/>
          <w:rtl/>
        </w:rPr>
        <w:t>ש</w:t>
      </w:r>
      <w:r w:rsidRPr="00A210E9">
        <w:rPr>
          <w:rFonts w:eastAsia="Calibri"/>
          <w:b/>
          <w:bCs/>
          <w:rtl/>
        </w:rPr>
        <w:t>ל</w:t>
      </w:r>
      <w:r w:rsidRPr="00A210E9">
        <w:rPr>
          <w:rFonts w:eastAsia="Calibri" w:hint="cs"/>
          <w:b/>
          <w:bCs/>
          <w:rtl/>
        </w:rPr>
        <w:t xml:space="preserve"> </w:t>
      </w:r>
      <w:r w:rsidRPr="00A210E9">
        <w:rPr>
          <w:rFonts w:eastAsia="Calibri"/>
          <w:b/>
          <w:bCs/>
          <w:rtl/>
        </w:rPr>
        <w:t>ניצול לרעה של הזכאות</w:t>
      </w:r>
      <w:r w:rsidRPr="00A210E9">
        <w:rPr>
          <w:rFonts w:eastAsia="Calibri" w:hint="cs"/>
          <w:b/>
          <w:bCs/>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 xml:space="preserve">משרד מבקר המדינה ממליץ למשרד התחבורה לבחון את סבירות שיוך סוגי כלי הרכב לתגי חניה, ובין היתר לבדוק את תהליך הנפקת תגי החניה, ולוודא שההטבה אגרת רישוי מופחתת אינה מנוצלת לרעה. </w:t>
      </w:r>
    </w:p>
    <w:p w:rsidR="00A210E9" w:rsidRPr="00A210E9" w:rsidP="00A210E9">
      <w:pPr>
        <w:keepNext/>
        <w:keepLines/>
        <w:spacing w:line="269" w:lineRule="auto"/>
        <w:ind w:left="-567"/>
        <w:rPr>
          <w:rFonts w:eastAsia="Calibri"/>
          <w:szCs w:val="20"/>
        </w:rPr>
      </w:pPr>
    </w:p>
    <w:p w:rsidR="00A210E9" w:rsidRPr="00A210E9" w:rsidP="00A210E9">
      <w:pPr>
        <w:spacing w:line="269" w:lineRule="auto"/>
        <w:rPr>
          <w:rFonts w:ascii="David" w:eastAsia="Times New Roman" w:hAnsi="David"/>
          <w:sz w:val="24"/>
          <w:rtl/>
        </w:rPr>
      </w:pPr>
      <w:r w:rsidRPr="00A210E9">
        <w:rPr>
          <w:rFonts w:ascii="David" w:eastAsia="Times New Roman" w:hAnsi="David" w:hint="cs"/>
          <w:sz w:val="24"/>
          <w:rtl/>
        </w:rPr>
        <w:t>צוות הביקורת השווה בין 11 מדינות בעולם בנוגע לפטור מאגרת רישוי או הנחה באגרת רישוי שמקבלות אוכלוסיות של אנשים עם מוגבלות. בחלק מהמדינות באירופה אנשים עם מוגבלות מקבלים פטור מאגרת רישוי בתנאים מסוימים, ובחלקן האחר מקובל לתת הנחה ניכרת באגרת הרישוי. הלוח שלהלן מציג את תוצאות ההשוואה:</w:t>
      </w:r>
    </w:p>
    <w:p w:rsidR="00A210E9" w:rsidRPr="00A210E9" w:rsidP="00A210E9">
      <w:pPr>
        <w:keepNext/>
        <w:keepLines/>
        <w:spacing w:line="269" w:lineRule="auto"/>
        <w:ind w:left="-567"/>
        <w:rPr>
          <w:rFonts w:eastAsia="Calibri"/>
          <w:szCs w:val="20"/>
          <w:rtl/>
        </w:rPr>
      </w:pPr>
    </w:p>
    <w:p w:rsidR="00A210E9" w:rsidRPr="00A210E9" w:rsidP="00A210E9">
      <w:pPr>
        <w:keepNext/>
        <w:keepLines/>
        <w:spacing w:line="269" w:lineRule="auto"/>
        <w:jc w:val="center"/>
        <w:rPr>
          <w:rFonts w:ascii="David" w:eastAsia="Times New Roman" w:hAnsi="David"/>
          <w:b/>
          <w:bCs/>
          <w:sz w:val="24"/>
          <w:rtl/>
        </w:rPr>
      </w:pPr>
      <w:r w:rsidRPr="00A210E9">
        <w:rPr>
          <w:rFonts w:ascii="David" w:eastAsia="Times New Roman" w:hAnsi="David" w:hint="eastAsia"/>
          <w:sz w:val="24"/>
          <w:rtl/>
        </w:rPr>
        <w:t>לוח</w:t>
      </w:r>
      <w:r w:rsidRPr="00A210E9">
        <w:rPr>
          <w:rFonts w:ascii="David" w:eastAsia="Times New Roman" w:hAnsi="David"/>
          <w:sz w:val="24"/>
          <w:rtl/>
        </w:rPr>
        <w:t xml:space="preserve"> </w:t>
      </w:r>
      <w:r w:rsidRPr="00A210E9">
        <w:rPr>
          <w:rFonts w:ascii="David" w:eastAsia="Times New Roman" w:hAnsi="David" w:hint="cs"/>
          <w:sz w:val="24"/>
          <w:rtl/>
        </w:rPr>
        <w:t>6</w:t>
      </w:r>
      <w:r w:rsidRPr="00A210E9">
        <w:rPr>
          <w:rFonts w:ascii="David" w:eastAsia="Times New Roman" w:hAnsi="David"/>
          <w:sz w:val="24"/>
          <w:rtl/>
        </w:rPr>
        <w:t>:</w:t>
      </w:r>
      <w:r w:rsidRPr="00A210E9">
        <w:rPr>
          <w:rFonts w:ascii="David" w:eastAsia="Times New Roman" w:hAnsi="David" w:hint="cs"/>
          <w:b/>
          <w:bCs/>
          <w:sz w:val="24"/>
          <w:rtl/>
        </w:rPr>
        <w:t xml:space="preserve"> פטור מאגרת רישוי או הנחה באגרת רישוי במדינות שונות, יולי 2025</w:t>
      </w:r>
    </w:p>
    <w:tbl>
      <w:tblPr>
        <w:tblStyle w:val="TableGrid"/>
        <w:bidiVisual/>
        <w:tblW w:w="5000" w:type="pct"/>
        <w:tblLook w:val="04A0"/>
      </w:tblPr>
      <w:tblGrid>
        <w:gridCol w:w="961"/>
        <w:gridCol w:w="3570"/>
        <w:gridCol w:w="3679"/>
      </w:tblGrid>
      <w:tr w:rsidTr="00A157C9">
        <w:tblPrEx>
          <w:tblW w:w="5000" w:type="pct"/>
          <w:tblLook w:val="04A0"/>
        </w:tblPrEx>
        <w:trPr>
          <w:trHeight w:val="280"/>
          <w:tblHeader/>
        </w:trPr>
        <w:tc>
          <w:tcPr>
            <w:tcW w:w="599" w:type="pct"/>
            <w:noWrap/>
            <w:hideMark/>
          </w:tcPr>
          <w:p w:rsidR="00A210E9" w:rsidRPr="00A210E9" w:rsidP="00A210E9">
            <w:pPr>
              <w:spacing w:line="269" w:lineRule="auto"/>
              <w:jc w:val="center"/>
              <w:rPr>
                <w:rFonts w:ascii="David" w:eastAsia="Times New Roman" w:hAnsi="David"/>
                <w:b/>
                <w:bCs/>
                <w:sz w:val="22"/>
                <w:szCs w:val="22"/>
              </w:rPr>
            </w:pPr>
            <w:r w:rsidRPr="00A210E9">
              <w:rPr>
                <w:rFonts w:ascii="David" w:eastAsia="Times New Roman" w:hAnsi="David" w:hint="cs"/>
                <w:b/>
                <w:bCs/>
                <w:sz w:val="22"/>
                <w:szCs w:val="22"/>
                <w:rtl/>
              </w:rPr>
              <w:t>ה</w:t>
            </w:r>
            <w:r w:rsidRPr="00A210E9">
              <w:rPr>
                <w:rFonts w:ascii="David" w:eastAsia="Times New Roman" w:hAnsi="David"/>
                <w:b/>
                <w:bCs/>
                <w:sz w:val="22"/>
                <w:szCs w:val="22"/>
                <w:rtl/>
              </w:rPr>
              <w:t>מדינה</w:t>
            </w:r>
          </w:p>
        </w:tc>
        <w:tc>
          <w:tcPr>
            <w:tcW w:w="2072" w:type="pct"/>
            <w:noWrap/>
            <w:hideMark/>
          </w:tcPr>
          <w:p w:rsidR="00A210E9" w:rsidRPr="00A210E9" w:rsidP="00A210E9">
            <w:pPr>
              <w:spacing w:line="269" w:lineRule="auto"/>
              <w:jc w:val="center"/>
              <w:rPr>
                <w:rFonts w:ascii="David" w:eastAsia="Times New Roman" w:hAnsi="David"/>
                <w:b/>
                <w:bCs/>
                <w:sz w:val="22"/>
                <w:szCs w:val="22"/>
                <w:rtl/>
              </w:rPr>
            </w:pPr>
            <w:r w:rsidRPr="00A210E9">
              <w:rPr>
                <w:rFonts w:ascii="David" w:eastAsia="Times New Roman" w:hAnsi="David"/>
                <w:b/>
                <w:bCs/>
                <w:sz w:val="22"/>
                <w:szCs w:val="22"/>
                <w:rtl/>
              </w:rPr>
              <w:t xml:space="preserve">פטור </w:t>
            </w:r>
            <w:r w:rsidRPr="00A210E9">
              <w:rPr>
                <w:rFonts w:ascii="David" w:eastAsia="Times New Roman" w:hAnsi="David" w:hint="cs"/>
                <w:b/>
                <w:bCs/>
                <w:sz w:val="22"/>
                <w:szCs w:val="22"/>
                <w:rtl/>
              </w:rPr>
              <w:t xml:space="preserve">מאגרת רישוי </w:t>
            </w:r>
            <w:r w:rsidRPr="00A210E9">
              <w:rPr>
                <w:rFonts w:ascii="David" w:eastAsia="Times New Roman" w:hAnsi="David"/>
                <w:b/>
                <w:bCs/>
                <w:sz w:val="22"/>
                <w:szCs w:val="22"/>
                <w:rtl/>
              </w:rPr>
              <w:t>או הנחה באגרת רישוי</w:t>
            </w:r>
          </w:p>
        </w:tc>
        <w:tc>
          <w:tcPr>
            <w:tcW w:w="2330" w:type="pct"/>
            <w:noWrap/>
            <w:hideMark/>
          </w:tcPr>
          <w:p w:rsidR="00A210E9" w:rsidRPr="00A210E9" w:rsidP="00A210E9">
            <w:pPr>
              <w:spacing w:line="269" w:lineRule="auto"/>
              <w:jc w:val="center"/>
              <w:rPr>
                <w:rFonts w:ascii="David" w:eastAsia="Times New Roman" w:hAnsi="David"/>
                <w:b/>
                <w:bCs/>
                <w:sz w:val="22"/>
                <w:szCs w:val="22"/>
                <w:rtl/>
              </w:rPr>
            </w:pPr>
            <w:r w:rsidRPr="00A210E9">
              <w:rPr>
                <w:rFonts w:ascii="David" w:eastAsia="Times New Roman" w:hAnsi="David" w:hint="cs"/>
                <w:b/>
                <w:bCs/>
                <w:sz w:val="22"/>
                <w:szCs w:val="22"/>
                <w:rtl/>
              </w:rPr>
              <w:t>ה</w:t>
            </w:r>
            <w:r w:rsidRPr="00A210E9">
              <w:rPr>
                <w:rFonts w:ascii="David" w:eastAsia="Times New Roman" w:hAnsi="David"/>
                <w:b/>
                <w:bCs/>
                <w:sz w:val="22"/>
                <w:szCs w:val="22"/>
                <w:rtl/>
              </w:rPr>
              <w:t>תנאים</w:t>
            </w:r>
          </w:p>
        </w:tc>
      </w:tr>
      <w:tr w:rsidTr="00A157C9">
        <w:tblPrEx>
          <w:tblW w:w="5000" w:type="pct"/>
          <w:tblLook w:val="04A0"/>
        </w:tblPrEx>
        <w:trPr>
          <w:trHeight w:val="930"/>
        </w:trPr>
        <w:tc>
          <w:tcPr>
            <w:tcW w:w="599" w:type="pct"/>
            <w:noWrap/>
            <w:hideMark/>
          </w:tcPr>
          <w:p w:rsidR="00A210E9" w:rsidRPr="00A210E9" w:rsidP="00A210E9">
            <w:pPr>
              <w:spacing w:line="269" w:lineRule="auto"/>
              <w:jc w:val="left"/>
              <w:rPr>
                <w:rFonts w:ascii="David" w:eastAsia="Times New Roman" w:hAnsi="David"/>
                <w:sz w:val="22"/>
                <w:szCs w:val="22"/>
                <w:rtl/>
              </w:rPr>
            </w:pPr>
            <w:r w:rsidRPr="00A210E9">
              <w:rPr>
                <w:rFonts w:ascii="David" w:eastAsia="Times New Roman" w:hAnsi="David" w:hint="cs"/>
                <w:sz w:val="22"/>
                <w:szCs w:val="22"/>
                <w:rtl/>
              </w:rPr>
              <w:t>אנגלייה</w:t>
            </w:r>
            <w:r>
              <w:rPr>
                <w:rFonts w:ascii="David" w:eastAsia="Times New Roman" w:hAnsi="David"/>
                <w:sz w:val="22"/>
                <w:szCs w:val="22"/>
                <w:vertAlign w:val="superscript"/>
                <w:rtl/>
              </w:rPr>
              <w:footnoteReference w:id="82"/>
            </w:r>
          </w:p>
        </w:tc>
        <w:tc>
          <w:tcPr>
            <w:tcW w:w="2072" w:type="pct"/>
            <w:hideMark/>
          </w:tcPr>
          <w:p w:rsidR="00A210E9" w:rsidRPr="00A210E9" w:rsidP="00A210E9">
            <w:pPr>
              <w:spacing w:line="269" w:lineRule="auto"/>
              <w:jc w:val="left"/>
              <w:rPr>
                <w:rFonts w:ascii="David" w:eastAsia="Times New Roman" w:hAnsi="David"/>
                <w:sz w:val="22"/>
                <w:szCs w:val="22"/>
                <w:rtl/>
              </w:rPr>
            </w:pPr>
            <w:r w:rsidRPr="00A210E9">
              <w:rPr>
                <w:rFonts w:ascii="David" w:eastAsia="Times New Roman" w:hAnsi="David"/>
                <w:sz w:val="22"/>
                <w:szCs w:val="22"/>
                <w:rtl/>
              </w:rPr>
              <w:t xml:space="preserve">פטור </w:t>
            </w:r>
            <w:r w:rsidRPr="00A210E9">
              <w:rPr>
                <w:rFonts w:ascii="David" w:eastAsia="Times New Roman" w:hAnsi="David" w:hint="cs"/>
                <w:sz w:val="22"/>
                <w:szCs w:val="22"/>
                <w:rtl/>
              </w:rPr>
              <w:t xml:space="preserve">מאגרת רישוי </w:t>
            </w:r>
            <w:r w:rsidRPr="00A210E9">
              <w:rPr>
                <w:rFonts w:ascii="David" w:eastAsia="Times New Roman" w:hAnsi="David"/>
                <w:sz w:val="22"/>
                <w:szCs w:val="22"/>
                <w:rtl/>
              </w:rPr>
              <w:t xml:space="preserve">או הנחה </w:t>
            </w:r>
            <w:r w:rsidRPr="00A210E9">
              <w:rPr>
                <w:rFonts w:ascii="David" w:eastAsia="Times New Roman" w:hAnsi="David" w:hint="cs"/>
                <w:sz w:val="22"/>
                <w:szCs w:val="22"/>
                <w:rtl/>
              </w:rPr>
              <w:t xml:space="preserve">ניכרת </w:t>
            </w:r>
            <w:r w:rsidRPr="00A210E9">
              <w:rPr>
                <w:rFonts w:ascii="David" w:eastAsia="Times New Roman" w:hAnsi="David"/>
                <w:sz w:val="22"/>
                <w:szCs w:val="22"/>
                <w:rtl/>
              </w:rPr>
              <w:t xml:space="preserve">באגרת רישוי לרכב אחד המיועד </w:t>
            </w:r>
            <w:r w:rsidRPr="00A210E9">
              <w:rPr>
                <w:rFonts w:ascii="David" w:eastAsia="Times New Roman" w:hAnsi="David" w:hint="cs"/>
                <w:sz w:val="22"/>
                <w:szCs w:val="22"/>
                <w:rtl/>
              </w:rPr>
              <w:t>לאדם עם מוגבלות.</w:t>
            </w:r>
            <w:r w:rsidRPr="00A210E9">
              <w:rPr>
                <w:rFonts w:ascii="David" w:eastAsia="Times New Roman" w:hAnsi="David"/>
                <w:sz w:val="22"/>
                <w:szCs w:val="22"/>
                <w:rtl/>
              </w:rPr>
              <w:t xml:space="preserve"> הפטור אינו גורף וניתן בכפוף לתנאים מסוימים בלבד</w:t>
            </w:r>
          </w:p>
        </w:tc>
        <w:tc>
          <w:tcPr>
            <w:tcW w:w="2330" w:type="pct"/>
            <w:hideMark/>
          </w:tcPr>
          <w:p w:rsidR="00A210E9" w:rsidRPr="00A210E9" w:rsidP="00A210E9">
            <w:pPr>
              <w:spacing w:line="269" w:lineRule="auto"/>
              <w:jc w:val="left"/>
              <w:rPr>
                <w:rFonts w:ascii="David" w:eastAsia="Times New Roman" w:hAnsi="David"/>
                <w:sz w:val="22"/>
                <w:szCs w:val="22"/>
                <w:rtl/>
              </w:rPr>
            </w:pPr>
            <w:r w:rsidRPr="00A210E9">
              <w:rPr>
                <w:rFonts w:ascii="David" w:eastAsia="Times New Roman" w:hAnsi="David"/>
                <w:sz w:val="22"/>
                <w:szCs w:val="22"/>
                <w:rtl/>
              </w:rPr>
              <w:t xml:space="preserve">הפטור מוענק רק </w:t>
            </w:r>
            <w:r w:rsidRPr="00A210E9">
              <w:rPr>
                <w:rFonts w:ascii="David" w:eastAsia="Times New Roman" w:hAnsi="David" w:hint="cs"/>
                <w:sz w:val="22"/>
                <w:szCs w:val="22"/>
                <w:rtl/>
              </w:rPr>
              <w:t>לאדם עם מוגבלות</w:t>
            </w:r>
            <w:r w:rsidRPr="00A210E9">
              <w:rPr>
                <w:rFonts w:ascii="David" w:eastAsia="Times New Roman" w:hAnsi="David"/>
                <w:sz w:val="22"/>
                <w:szCs w:val="22"/>
                <w:rtl/>
              </w:rPr>
              <w:t xml:space="preserve"> שמקבל קצבת ניידות גבוהה ועל רכב אחד בלבד</w:t>
            </w:r>
            <w:r w:rsidRPr="00A210E9">
              <w:rPr>
                <w:rFonts w:ascii="David" w:eastAsia="Times New Roman" w:hAnsi="David" w:hint="cs"/>
                <w:sz w:val="22"/>
                <w:szCs w:val="22"/>
                <w:rtl/>
              </w:rPr>
              <w:t>. אדם עם מוגבלות שאינו</w:t>
            </w:r>
            <w:r w:rsidRPr="00A210E9">
              <w:rPr>
                <w:rFonts w:ascii="David" w:eastAsia="Times New Roman" w:hAnsi="David"/>
                <w:sz w:val="22"/>
                <w:szCs w:val="22"/>
                <w:rtl/>
              </w:rPr>
              <w:t xml:space="preserve"> עונה </w:t>
            </w:r>
            <w:r w:rsidRPr="00A210E9">
              <w:rPr>
                <w:rFonts w:ascii="David" w:eastAsia="Times New Roman" w:hAnsi="David" w:hint="cs"/>
                <w:sz w:val="22"/>
                <w:szCs w:val="22"/>
                <w:rtl/>
              </w:rPr>
              <w:t>ע</w:t>
            </w:r>
            <w:r w:rsidRPr="00A210E9">
              <w:rPr>
                <w:rFonts w:ascii="David" w:eastAsia="Times New Roman" w:hAnsi="David"/>
                <w:sz w:val="22"/>
                <w:szCs w:val="22"/>
                <w:rtl/>
              </w:rPr>
              <w:t>ל</w:t>
            </w:r>
            <w:r w:rsidRPr="00A210E9">
              <w:rPr>
                <w:rFonts w:ascii="David" w:eastAsia="Times New Roman" w:hAnsi="David" w:hint="cs"/>
                <w:sz w:val="22"/>
                <w:szCs w:val="22"/>
                <w:rtl/>
              </w:rPr>
              <w:t xml:space="preserve"> </w:t>
            </w:r>
            <w:r w:rsidRPr="00A210E9">
              <w:rPr>
                <w:rFonts w:ascii="David" w:eastAsia="Times New Roman" w:hAnsi="David"/>
                <w:sz w:val="22"/>
                <w:szCs w:val="22"/>
                <w:rtl/>
              </w:rPr>
              <w:t xml:space="preserve">הגדרה זו אלא מקבל קצבת ניידות רגילה, יכול להגיש בקשה להנחה של 50% </w:t>
            </w:r>
            <w:r w:rsidRPr="00A210E9">
              <w:rPr>
                <w:rFonts w:ascii="David" w:eastAsia="Times New Roman" w:hAnsi="David" w:hint="cs"/>
                <w:sz w:val="22"/>
                <w:szCs w:val="22"/>
                <w:rtl/>
              </w:rPr>
              <w:t xml:space="preserve">בתשלום </w:t>
            </w:r>
            <w:r w:rsidRPr="00A210E9">
              <w:rPr>
                <w:rFonts w:ascii="David" w:eastAsia="Times New Roman" w:hAnsi="David"/>
                <w:sz w:val="22"/>
                <w:szCs w:val="22"/>
                <w:rtl/>
              </w:rPr>
              <w:t>האגרה</w:t>
            </w:r>
          </w:p>
        </w:tc>
      </w:tr>
      <w:tr w:rsidTr="00A157C9">
        <w:tblPrEx>
          <w:tblW w:w="5000" w:type="pct"/>
          <w:tblLook w:val="04A0"/>
        </w:tblPrEx>
        <w:trPr>
          <w:trHeight w:val="930"/>
        </w:trPr>
        <w:tc>
          <w:tcPr>
            <w:tcW w:w="599" w:type="pct"/>
            <w:noWrap/>
            <w:hideMark/>
          </w:tcPr>
          <w:p w:rsidR="00A210E9" w:rsidRPr="00A210E9" w:rsidP="00A210E9">
            <w:pPr>
              <w:spacing w:line="269" w:lineRule="auto"/>
              <w:jc w:val="left"/>
              <w:rPr>
                <w:rFonts w:ascii="David" w:eastAsia="Times New Roman" w:hAnsi="David"/>
                <w:sz w:val="22"/>
                <w:szCs w:val="22"/>
                <w:rtl/>
              </w:rPr>
            </w:pPr>
            <w:r w:rsidRPr="00A210E9">
              <w:rPr>
                <w:rFonts w:ascii="David" w:eastAsia="Times New Roman" w:hAnsi="David"/>
                <w:sz w:val="22"/>
                <w:szCs w:val="22"/>
                <w:rtl/>
              </w:rPr>
              <w:t>הולנד</w:t>
            </w:r>
            <w:r>
              <w:rPr>
                <w:rFonts w:ascii="David" w:eastAsia="Times New Roman" w:hAnsi="David"/>
                <w:sz w:val="22"/>
                <w:szCs w:val="22"/>
                <w:vertAlign w:val="superscript"/>
                <w:rtl/>
              </w:rPr>
              <w:footnoteReference w:id="83"/>
            </w:r>
          </w:p>
        </w:tc>
        <w:tc>
          <w:tcPr>
            <w:tcW w:w="2072" w:type="pct"/>
            <w:hideMark/>
          </w:tcPr>
          <w:p w:rsidR="00A210E9" w:rsidRPr="00A210E9" w:rsidP="00A210E9">
            <w:pPr>
              <w:spacing w:line="269" w:lineRule="auto"/>
              <w:jc w:val="left"/>
              <w:rPr>
                <w:rFonts w:ascii="David" w:eastAsia="Times New Roman" w:hAnsi="David"/>
                <w:sz w:val="22"/>
                <w:szCs w:val="22"/>
                <w:rtl/>
              </w:rPr>
            </w:pPr>
            <w:r w:rsidRPr="00A210E9">
              <w:rPr>
                <w:rFonts w:ascii="David" w:eastAsia="Times New Roman" w:hAnsi="David"/>
                <w:sz w:val="22"/>
                <w:szCs w:val="22"/>
                <w:rtl/>
              </w:rPr>
              <w:t xml:space="preserve">פטור </w:t>
            </w:r>
            <w:r w:rsidRPr="00A210E9">
              <w:rPr>
                <w:rFonts w:ascii="David" w:eastAsia="Times New Roman" w:hAnsi="David" w:hint="cs"/>
                <w:sz w:val="22"/>
                <w:szCs w:val="22"/>
                <w:rtl/>
              </w:rPr>
              <w:t xml:space="preserve">מאגרת רישוי </w:t>
            </w:r>
            <w:r w:rsidRPr="00A210E9">
              <w:rPr>
                <w:rFonts w:ascii="David" w:eastAsia="Times New Roman" w:hAnsi="David"/>
                <w:sz w:val="22"/>
                <w:szCs w:val="22"/>
                <w:rtl/>
              </w:rPr>
              <w:t xml:space="preserve">או הנחה </w:t>
            </w:r>
            <w:r w:rsidRPr="00A210E9">
              <w:rPr>
                <w:rFonts w:ascii="David" w:eastAsia="Times New Roman" w:hAnsi="David" w:hint="cs"/>
                <w:sz w:val="22"/>
                <w:szCs w:val="22"/>
                <w:rtl/>
              </w:rPr>
              <w:t xml:space="preserve">ניכרת </w:t>
            </w:r>
            <w:r w:rsidRPr="00A210E9">
              <w:rPr>
                <w:rFonts w:ascii="David" w:eastAsia="Times New Roman" w:hAnsi="David"/>
                <w:sz w:val="22"/>
                <w:szCs w:val="22"/>
                <w:rtl/>
              </w:rPr>
              <w:t xml:space="preserve">באגרת רישוי לרכב אחד המיועד </w:t>
            </w:r>
            <w:r w:rsidRPr="00A210E9">
              <w:rPr>
                <w:rFonts w:ascii="David" w:eastAsia="Times New Roman" w:hAnsi="David" w:hint="cs"/>
                <w:sz w:val="22"/>
                <w:szCs w:val="22"/>
                <w:rtl/>
              </w:rPr>
              <w:t>לאדם עם מוגבלות.</w:t>
            </w:r>
            <w:r w:rsidRPr="00A210E9">
              <w:rPr>
                <w:rFonts w:ascii="David" w:eastAsia="Times New Roman" w:hAnsi="David"/>
                <w:sz w:val="22"/>
                <w:szCs w:val="22"/>
                <w:rtl/>
              </w:rPr>
              <w:t xml:space="preserve"> הפטור אינו גורף וניתן בכפוף לתנאים מסוימים בלבד</w:t>
            </w:r>
          </w:p>
        </w:tc>
        <w:tc>
          <w:tcPr>
            <w:tcW w:w="2330" w:type="pct"/>
            <w:hideMark/>
          </w:tcPr>
          <w:p w:rsidR="00A210E9" w:rsidRPr="00A210E9" w:rsidP="00A210E9">
            <w:pPr>
              <w:spacing w:line="269" w:lineRule="auto"/>
              <w:jc w:val="left"/>
              <w:rPr>
                <w:rFonts w:ascii="David" w:eastAsia="Times New Roman" w:hAnsi="David"/>
                <w:sz w:val="22"/>
                <w:szCs w:val="22"/>
                <w:rtl/>
              </w:rPr>
            </w:pPr>
            <w:r w:rsidRPr="00A210E9">
              <w:rPr>
                <w:rFonts w:ascii="David" w:eastAsia="Times New Roman" w:hAnsi="David"/>
                <w:sz w:val="22"/>
                <w:szCs w:val="22"/>
                <w:rtl/>
              </w:rPr>
              <w:t>הפטור ניתן רק לרכב שעבר התאמה פיזית ל</w:t>
            </w:r>
            <w:r w:rsidRPr="00A210E9">
              <w:rPr>
                <w:rFonts w:ascii="David" w:eastAsia="Times New Roman" w:hAnsi="David" w:hint="cs"/>
                <w:sz w:val="22"/>
                <w:szCs w:val="22"/>
                <w:rtl/>
              </w:rPr>
              <w:t>הסעת אנשים עם מוגבלות</w:t>
            </w:r>
            <w:r w:rsidRPr="00A210E9">
              <w:rPr>
                <w:rFonts w:ascii="David" w:eastAsia="Times New Roman" w:hAnsi="David"/>
                <w:sz w:val="22"/>
                <w:szCs w:val="22"/>
                <w:rtl/>
              </w:rPr>
              <w:t>, כגון מעלון או כיסא גלגלים</w:t>
            </w:r>
          </w:p>
        </w:tc>
      </w:tr>
      <w:tr w:rsidTr="00A157C9">
        <w:tblPrEx>
          <w:tblW w:w="5000" w:type="pct"/>
          <w:tblLook w:val="04A0"/>
        </w:tblPrEx>
        <w:trPr>
          <w:trHeight w:val="930"/>
        </w:trPr>
        <w:tc>
          <w:tcPr>
            <w:tcW w:w="599" w:type="pct"/>
            <w:noWrap/>
            <w:hideMark/>
          </w:tcPr>
          <w:p w:rsidR="00A210E9" w:rsidRPr="00A210E9" w:rsidP="00A210E9">
            <w:pPr>
              <w:spacing w:line="269" w:lineRule="auto"/>
              <w:jc w:val="left"/>
              <w:rPr>
                <w:rFonts w:ascii="David" w:eastAsia="Times New Roman" w:hAnsi="David"/>
                <w:sz w:val="22"/>
                <w:szCs w:val="22"/>
                <w:rtl/>
              </w:rPr>
            </w:pPr>
            <w:r w:rsidRPr="00A210E9">
              <w:rPr>
                <w:rFonts w:ascii="David" w:eastAsia="Times New Roman" w:hAnsi="David"/>
                <w:sz w:val="22"/>
                <w:szCs w:val="22"/>
                <w:rtl/>
              </w:rPr>
              <w:t>אירלנד</w:t>
            </w:r>
            <w:r>
              <w:rPr>
                <w:rFonts w:ascii="David" w:eastAsia="Times New Roman" w:hAnsi="David"/>
                <w:sz w:val="22"/>
                <w:szCs w:val="22"/>
                <w:vertAlign w:val="superscript"/>
                <w:rtl/>
              </w:rPr>
              <w:footnoteReference w:id="84"/>
            </w:r>
          </w:p>
        </w:tc>
        <w:tc>
          <w:tcPr>
            <w:tcW w:w="2072" w:type="pct"/>
            <w:hideMark/>
          </w:tcPr>
          <w:p w:rsidR="00A210E9" w:rsidRPr="00A210E9" w:rsidP="00A210E9">
            <w:pPr>
              <w:spacing w:line="269" w:lineRule="auto"/>
              <w:jc w:val="left"/>
              <w:rPr>
                <w:rFonts w:ascii="David" w:eastAsia="Times New Roman" w:hAnsi="David"/>
                <w:sz w:val="22"/>
                <w:szCs w:val="22"/>
                <w:rtl/>
              </w:rPr>
            </w:pPr>
            <w:r w:rsidRPr="00A210E9">
              <w:rPr>
                <w:rFonts w:ascii="David" w:eastAsia="Times New Roman" w:hAnsi="David"/>
                <w:sz w:val="22"/>
                <w:szCs w:val="22"/>
                <w:rtl/>
              </w:rPr>
              <w:t xml:space="preserve">פטור </w:t>
            </w:r>
            <w:r w:rsidRPr="00A210E9">
              <w:rPr>
                <w:rFonts w:ascii="David" w:eastAsia="Times New Roman" w:hAnsi="David" w:hint="cs"/>
                <w:sz w:val="22"/>
                <w:szCs w:val="22"/>
                <w:rtl/>
              </w:rPr>
              <w:t xml:space="preserve">מאגרת רישוי </w:t>
            </w:r>
            <w:r w:rsidRPr="00A210E9">
              <w:rPr>
                <w:rFonts w:ascii="David" w:eastAsia="Times New Roman" w:hAnsi="David"/>
                <w:sz w:val="22"/>
                <w:szCs w:val="22"/>
                <w:rtl/>
              </w:rPr>
              <w:t xml:space="preserve">או הנחה </w:t>
            </w:r>
            <w:r w:rsidRPr="00A210E9">
              <w:rPr>
                <w:rFonts w:ascii="David" w:eastAsia="Times New Roman" w:hAnsi="David" w:hint="cs"/>
                <w:sz w:val="22"/>
                <w:szCs w:val="22"/>
                <w:rtl/>
              </w:rPr>
              <w:t xml:space="preserve">ניכרת </w:t>
            </w:r>
            <w:r w:rsidRPr="00A210E9">
              <w:rPr>
                <w:rFonts w:ascii="David" w:eastAsia="Times New Roman" w:hAnsi="David"/>
                <w:sz w:val="22"/>
                <w:szCs w:val="22"/>
                <w:rtl/>
              </w:rPr>
              <w:t xml:space="preserve">באגרת רישוי לרכב אחד המיועד </w:t>
            </w:r>
            <w:r w:rsidRPr="00A210E9">
              <w:rPr>
                <w:rFonts w:ascii="David" w:eastAsia="Times New Roman" w:hAnsi="David" w:hint="cs"/>
                <w:sz w:val="22"/>
                <w:szCs w:val="22"/>
                <w:rtl/>
              </w:rPr>
              <w:t>לאדם עם מוגבלות.</w:t>
            </w:r>
            <w:r w:rsidRPr="00A210E9">
              <w:rPr>
                <w:rFonts w:ascii="David" w:eastAsia="Times New Roman" w:hAnsi="David"/>
                <w:sz w:val="22"/>
                <w:szCs w:val="22"/>
                <w:rtl/>
              </w:rPr>
              <w:t xml:space="preserve"> הפטור אינו גורף וניתן בכפוף לתנאים מסוימים בלבד</w:t>
            </w:r>
          </w:p>
        </w:tc>
        <w:tc>
          <w:tcPr>
            <w:tcW w:w="2330" w:type="pct"/>
            <w:hideMark/>
          </w:tcPr>
          <w:p w:rsidR="00A210E9" w:rsidRPr="00A210E9" w:rsidP="00A210E9">
            <w:pPr>
              <w:spacing w:line="269" w:lineRule="auto"/>
              <w:jc w:val="left"/>
              <w:rPr>
                <w:rFonts w:ascii="David" w:eastAsia="Times New Roman" w:hAnsi="David"/>
                <w:sz w:val="22"/>
                <w:szCs w:val="22"/>
                <w:rtl/>
              </w:rPr>
            </w:pPr>
            <w:r w:rsidRPr="00A210E9">
              <w:rPr>
                <w:rFonts w:ascii="David" w:eastAsia="Times New Roman" w:hAnsi="David"/>
                <w:sz w:val="22"/>
                <w:szCs w:val="22"/>
                <w:rtl/>
              </w:rPr>
              <w:t>הפטור מותנה בשימוש ברכב לצ</w:t>
            </w:r>
            <w:r w:rsidRPr="00A210E9">
              <w:rPr>
                <w:rFonts w:ascii="David" w:eastAsia="Times New Roman" w:hAnsi="David" w:hint="cs"/>
                <w:sz w:val="22"/>
                <w:szCs w:val="22"/>
                <w:rtl/>
              </w:rPr>
              <w:t>ו</w:t>
            </w:r>
            <w:r w:rsidRPr="00A210E9">
              <w:rPr>
                <w:rFonts w:ascii="David" w:eastAsia="Times New Roman" w:hAnsi="David"/>
                <w:sz w:val="22"/>
                <w:szCs w:val="22"/>
                <w:rtl/>
              </w:rPr>
              <w:t>רכי הסעה</w:t>
            </w:r>
            <w:r w:rsidRPr="00A210E9">
              <w:rPr>
                <w:rFonts w:ascii="David" w:eastAsia="Times New Roman" w:hAnsi="David" w:hint="cs"/>
                <w:sz w:val="22"/>
                <w:szCs w:val="22"/>
                <w:rtl/>
              </w:rPr>
              <w:t xml:space="preserve"> של האדם עם מוגבלות</w:t>
            </w:r>
            <w:r w:rsidRPr="00A210E9">
              <w:rPr>
                <w:rFonts w:ascii="David" w:eastAsia="Times New Roman" w:hAnsi="David"/>
                <w:sz w:val="22"/>
                <w:szCs w:val="22"/>
                <w:rtl/>
              </w:rPr>
              <w:t xml:space="preserve"> או נהיגה על ידי </w:t>
            </w:r>
            <w:r w:rsidRPr="00A210E9">
              <w:rPr>
                <w:rFonts w:ascii="David" w:eastAsia="Times New Roman" w:hAnsi="David" w:hint="cs"/>
                <w:sz w:val="22"/>
                <w:szCs w:val="22"/>
                <w:rtl/>
              </w:rPr>
              <w:t>אותו אדם</w:t>
            </w:r>
            <w:r w:rsidRPr="00A210E9">
              <w:rPr>
                <w:rFonts w:ascii="David" w:eastAsia="Times New Roman" w:hAnsi="David"/>
                <w:sz w:val="22"/>
                <w:szCs w:val="22"/>
                <w:rtl/>
              </w:rPr>
              <w:t xml:space="preserve"> ובקבלת אישור ממס הכנסה</w:t>
            </w:r>
          </w:p>
        </w:tc>
      </w:tr>
      <w:tr w:rsidTr="00A157C9">
        <w:tblPrEx>
          <w:tblW w:w="5000" w:type="pct"/>
          <w:tblLook w:val="04A0"/>
        </w:tblPrEx>
        <w:trPr>
          <w:trHeight w:val="930"/>
        </w:trPr>
        <w:tc>
          <w:tcPr>
            <w:tcW w:w="599" w:type="pct"/>
            <w:noWrap/>
            <w:hideMark/>
          </w:tcPr>
          <w:p w:rsidR="00A210E9" w:rsidRPr="00A210E9" w:rsidP="00A210E9">
            <w:pPr>
              <w:spacing w:line="269" w:lineRule="auto"/>
              <w:jc w:val="left"/>
              <w:rPr>
                <w:rFonts w:ascii="David" w:eastAsia="Times New Roman" w:hAnsi="David"/>
                <w:sz w:val="22"/>
                <w:szCs w:val="22"/>
                <w:rtl/>
              </w:rPr>
            </w:pPr>
            <w:r w:rsidRPr="00A210E9">
              <w:rPr>
                <w:rFonts w:ascii="David" w:eastAsia="Times New Roman" w:hAnsi="David"/>
                <w:sz w:val="22"/>
                <w:szCs w:val="22"/>
                <w:rtl/>
              </w:rPr>
              <w:t>גרמניה</w:t>
            </w:r>
            <w:r>
              <w:rPr>
                <w:rFonts w:ascii="David" w:eastAsia="Times New Roman" w:hAnsi="David"/>
                <w:sz w:val="22"/>
                <w:szCs w:val="22"/>
                <w:vertAlign w:val="superscript"/>
                <w:rtl/>
              </w:rPr>
              <w:footnoteReference w:id="85"/>
            </w:r>
          </w:p>
        </w:tc>
        <w:tc>
          <w:tcPr>
            <w:tcW w:w="2072" w:type="pct"/>
            <w:hideMark/>
          </w:tcPr>
          <w:p w:rsidR="00A210E9" w:rsidRPr="00A210E9" w:rsidP="00A210E9">
            <w:pPr>
              <w:spacing w:line="269" w:lineRule="auto"/>
              <w:jc w:val="left"/>
              <w:rPr>
                <w:rFonts w:ascii="David" w:eastAsia="Times New Roman" w:hAnsi="David"/>
                <w:sz w:val="22"/>
                <w:szCs w:val="22"/>
                <w:rtl/>
              </w:rPr>
            </w:pPr>
            <w:r w:rsidRPr="00A210E9">
              <w:rPr>
                <w:rFonts w:ascii="David" w:eastAsia="Times New Roman" w:hAnsi="David"/>
                <w:sz w:val="22"/>
                <w:szCs w:val="22"/>
                <w:rtl/>
              </w:rPr>
              <w:t xml:space="preserve">פטור </w:t>
            </w:r>
            <w:r w:rsidRPr="00A210E9">
              <w:rPr>
                <w:rFonts w:ascii="David" w:eastAsia="Times New Roman" w:hAnsi="David" w:hint="cs"/>
                <w:sz w:val="22"/>
                <w:szCs w:val="22"/>
                <w:rtl/>
              </w:rPr>
              <w:t xml:space="preserve">מאגרת רישוי </w:t>
            </w:r>
            <w:r w:rsidRPr="00A210E9">
              <w:rPr>
                <w:rFonts w:ascii="David" w:eastAsia="Times New Roman" w:hAnsi="David"/>
                <w:sz w:val="22"/>
                <w:szCs w:val="22"/>
                <w:rtl/>
              </w:rPr>
              <w:t xml:space="preserve">או הנחה </w:t>
            </w:r>
            <w:r w:rsidRPr="00A210E9">
              <w:rPr>
                <w:rFonts w:ascii="David" w:eastAsia="Times New Roman" w:hAnsi="David" w:hint="cs"/>
                <w:sz w:val="22"/>
                <w:szCs w:val="22"/>
                <w:rtl/>
              </w:rPr>
              <w:t xml:space="preserve">ניכרת </w:t>
            </w:r>
            <w:r w:rsidRPr="00A210E9">
              <w:rPr>
                <w:rFonts w:ascii="David" w:eastAsia="Times New Roman" w:hAnsi="David"/>
                <w:sz w:val="22"/>
                <w:szCs w:val="22"/>
                <w:rtl/>
              </w:rPr>
              <w:t xml:space="preserve">באגרת רישוי לרכב אחד המיועד </w:t>
            </w:r>
            <w:r w:rsidRPr="00A210E9">
              <w:rPr>
                <w:rFonts w:ascii="David" w:eastAsia="Times New Roman" w:hAnsi="David" w:hint="cs"/>
                <w:sz w:val="22"/>
                <w:szCs w:val="22"/>
                <w:rtl/>
              </w:rPr>
              <w:t>לאדם עם מוגבלות.</w:t>
            </w:r>
            <w:r w:rsidRPr="00A210E9">
              <w:rPr>
                <w:rFonts w:ascii="David" w:eastAsia="Times New Roman" w:hAnsi="David"/>
                <w:sz w:val="22"/>
                <w:szCs w:val="22"/>
                <w:rtl/>
              </w:rPr>
              <w:t xml:space="preserve"> הפטור אינו גורף וניתן בכפוף לתנאים מסוימים בלבד</w:t>
            </w:r>
          </w:p>
        </w:tc>
        <w:tc>
          <w:tcPr>
            <w:tcW w:w="2330" w:type="pct"/>
            <w:hideMark/>
          </w:tcPr>
          <w:p w:rsidR="00A210E9" w:rsidRPr="00A210E9" w:rsidP="00A210E9">
            <w:pPr>
              <w:spacing w:line="269" w:lineRule="auto"/>
              <w:jc w:val="left"/>
              <w:rPr>
                <w:rFonts w:ascii="David" w:eastAsia="Times New Roman" w:hAnsi="David"/>
                <w:sz w:val="22"/>
                <w:szCs w:val="22"/>
                <w:rtl/>
              </w:rPr>
            </w:pPr>
            <w:r w:rsidRPr="00A210E9">
              <w:rPr>
                <w:rFonts w:ascii="David" w:eastAsia="Times New Roman" w:hAnsi="David"/>
                <w:sz w:val="22"/>
                <w:szCs w:val="22"/>
                <w:rtl/>
              </w:rPr>
              <w:t>נדרש סימון רפואי ספציפי בתעודת הנכה</w:t>
            </w:r>
          </w:p>
        </w:tc>
      </w:tr>
      <w:tr w:rsidTr="00A157C9">
        <w:tblPrEx>
          <w:tblW w:w="5000" w:type="pct"/>
          <w:tblLook w:val="04A0"/>
        </w:tblPrEx>
        <w:trPr>
          <w:trHeight w:val="620"/>
        </w:trPr>
        <w:tc>
          <w:tcPr>
            <w:tcW w:w="599" w:type="pct"/>
            <w:noWrap/>
            <w:hideMark/>
          </w:tcPr>
          <w:p w:rsidR="00A210E9" w:rsidRPr="00A210E9" w:rsidP="00A210E9">
            <w:pPr>
              <w:spacing w:line="269" w:lineRule="auto"/>
              <w:jc w:val="left"/>
              <w:rPr>
                <w:rFonts w:ascii="David" w:eastAsia="Times New Roman" w:hAnsi="David"/>
                <w:sz w:val="22"/>
                <w:szCs w:val="22"/>
                <w:rtl/>
              </w:rPr>
            </w:pPr>
            <w:r w:rsidRPr="00A210E9">
              <w:rPr>
                <w:rFonts w:ascii="David" w:eastAsia="Times New Roman" w:hAnsi="David"/>
                <w:sz w:val="22"/>
                <w:szCs w:val="22"/>
                <w:rtl/>
              </w:rPr>
              <w:t>ספרד</w:t>
            </w:r>
            <w:r>
              <w:rPr>
                <w:rFonts w:ascii="David" w:eastAsia="Times New Roman" w:hAnsi="David"/>
                <w:sz w:val="22"/>
                <w:szCs w:val="22"/>
                <w:vertAlign w:val="superscript"/>
                <w:rtl/>
              </w:rPr>
              <w:footnoteReference w:id="86"/>
            </w:r>
          </w:p>
        </w:tc>
        <w:tc>
          <w:tcPr>
            <w:tcW w:w="2072" w:type="pct"/>
            <w:hideMark/>
          </w:tcPr>
          <w:p w:rsidR="00A210E9" w:rsidRPr="00A210E9" w:rsidP="00A210E9">
            <w:pPr>
              <w:spacing w:line="269" w:lineRule="auto"/>
              <w:jc w:val="left"/>
              <w:rPr>
                <w:rFonts w:ascii="David" w:eastAsia="Times New Roman" w:hAnsi="David"/>
                <w:sz w:val="22"/>
                <w:szCs w:val="22"/>
                <w:rtl/>
              </w:rPr>
            </w:pPr>
            <w:r w:rsidRPr="00A210E9">
              <w:rPr>
                <w:rFonts w:ascii="David" w:eastAsia="Times New Roman" w:hAnsi="David"/>
                <w:sz w:val="22"/>
                <w:szCs w:val="22"/>
                <w:rtl/>
              </w:rPr>
              <w:t xml:space="preserve">פטור </w:t>
            </w:r>
            <w:r w:rsidRPr="00A210E9">
              <w:rPr>
                <w:rFonts w:ascii="David" w:eastAsia="Times New Roman" w:hAnsi="David" w:hint="cs"/>
                <w:sz w:val="22"/>
                <w:szCs w:val="22"/>
                <w:rtl/>
              </w:rPr>
              <w:t xml:space="preserve">מאגרת רישוי </w:t>
            </w:r>
            <w:r w:rsidRPr="00A210E9">
              <w:rPr>
                <w:rFonts w:ascii="David" w:eastAsia="Times New Roman" w:hAnsi="David"/>
                <w:sz w:val="22"/>
                <w:szCs w:val="22"/>
                <w:rtl/>
              </w:rPr>
              <w:t xml:space="preserve">או הנחה </w:t>
            </w:r>
            <w:r w:rsidRPr="00A210E9">
              <w:rPr>
                <w:rFonts w:ascii="David" w:eastAsia="Times New Roman" w:hAnsi="David" w:hint="cs"/>
                <w:sz w:val="22"/>
                <w:szCs w:val="22"/>
                <w:rtl/>
              </w:rPr>
              <w:t xml:space="preserve">ניכרת </w:t>
            </w:r>
            <w:r w:rsidRPr="00A210E9">
              <w:rPr>
                <w:rFonts w:ascii="David" w:eastAsia="Times New Roman" w:hAnsi="David"/>
                <w:sz w:val="22"/>
                <w:szCs w:val="22"/>
                <w:rtl/>
              </w:rPr>
              <w:t xml:space="preserve">באגרת רישוי לרכב אחד המיועד </w:t>
            </w:r>
            <w:r w:rsidRPr="00A210E9">
              <w:rPr>
                <w:rFonts w:ascii="David" w:eastAsia="Times New Roman" w:hAnsi="David" w:hint="cs"/>
                <w:sz w:val="22"/>
                <w:szCs w:val="22"/>
                <w:rtl/>
              </w:rPr>
              <w:t>לאדם עם מוגבלות.</w:t>
            </w:r>
            <w:r w:rsidRPr="00A210E9">
              <w:rPr>
                <w:rFonts w:ascii="David" w:eastAsia="Times New Roman" w:hAnsi="David"/>
                <w:sz w:val="22"/>
                <w:szCs w:val="22"/>
                <w:rtl/>
              </w:rPr>
              <w:t xml:space="preserve"> הפטור אינו גורף וניתן בכפוף לתנאים מסוימים בלבד</w:t>
            </w:r>
          </w:p>
        </w:tc>
        <w:tc>
          <w:tcPr>
            <w:tcW w:w="2330" w:type="pct"/>
            <w:hideMark/>
          </w:tcPr>
          <w:p w:rsidR="00A210E9" w:rsidRPr="00A210E9" w:rsidP="00A210E9">
            <w:pPr>
              <w:spacing w:line="269" w:lineRule="auto"/>
              <w:jc w:val="left"/>
              <w:rPr>
                <w:rFonts w:ascii="David" w:eastAsia="Times New Roman" w:hAnsi="David"/>
                <w:sz w:val="22"/>
                <w:szCs w:val="22"/>
                <w:rtl/>
              </w:rPr>
            </w:pPr>
            <w:r w:rsidRPr="00A210E9">
              <w:rPr>
                <w:rFonts w:ascii="David" w:eastAsia="Times New Roman" w:hAnsi="David"/>
                <w:sz w:val="22"/>
                <w:szCs w:val="22"/>
                <w:rtl/>
              </w:rPr>
              <w:t>נדרש</w:t>
            </w:r>
            <w:r w:rsidRPr="00A210E9">
              <w:rPr>
                <w:rFonts w:ascii="David" w:eastAsia="Times New Roman" w:hAnsi="David" w:hint="cs"/>
                <w:sz w:val="22"/>
                <w:szCs w:val="22"/>
                <w:rtl/>
              </w:rPr>
              <w:t>ים</w:t>
            </w:r>
            <w:r w:rsidRPr="00A210E9">
              <w:rPr>
                <w:rFonts w:ascii="David" w:eastAsia="Times New Roman" w:hAnsi="David"/>
                <w:sz w:val="22"/>
                <w:szCs w:val="22"/>
                <w:rtl/>
              </w:rPr>
              <w:t xml:space="preserve"> 33%</w:t>
            </w:r>
            <w:r w:rsidRPr="00A210E9">
              <w:rPr>
                <w:rFonts w:ascii="David" w:eastAsia="Times New Roman" w:hAnsi="David" w:hint="cs"/>
                <w:sz w:val="22"/>
                <w:szCs w:val="22"/>
                <w:rtl/>
              </w:rPr>
              <w:t xml:space="preserve"> אחוזי נכות </w:t>
            </w:r>
            <w:r w:rsidRPr="00A210E9">
              <w:rPr>
                <w:rFonts w:ascii="David" w:eastAsia="Times New Roman" w:hAnsi="David"/>
                <w:sz w:val="22"/>
                <w:szCs w:val="22"/>
                <w:rtl/>
              </w:rPr>
              <w:t>לפחות</w:t>
            </w:r>
            <w:r w:rsidRPr="00A210E9">
              <w:rPr>
                <w:rFonts w:ascii="David" w:eastAsia="Times New Roman" w:hAnsi="David" w:hint="cs"/>
                <w:sz w:val="22"/>
                <w:szCs w:val="22"/>
                <w:rtl/>
              </w:rPr>
              <w:t>,</w:t>
            </w:r>
            <w:r w:rsidRPr="00A210E9">
              <w:rPr>
                <w:rFonts w:ascii="David" w:eastAsia="Times New Roman" w:hAnsi="David"/>
                <w:sz w:val="22"/>
                <w:szCs w:val="22"/>
                <w:rtl/>
              </w:rPr>
              <w:t xml:space="preserve"> וההטבה מוגבלת לרכב אחד</w:t>
            </w:r>
          </w:p>
        </w:tc>
      </w:tr>
      <w:tr w:rsidTr="00A157C9">
        <w:tblPrEx>
          <w:tblW w:w="5000" w:type="pct"/>
          <w:tblLook w:val="04A0"/>
        </w:tblPrEx>
        <w:trPr>
          <w:trHeight w:val="680"/>
        </w:trPr>
        <w:tc>
          <w:tcPr>
            <w:tcW w:w="599" w:type="pct"/>
            <w:noWrap/>
            <w:hideMark/>
          </w:tcPr>
          <w:p w:rsidR="00A210E9" w:rsidRPr="00A210E9" w:rsidP="00A210E9">
            <w:pPr>
              <w:spacing w:line="269" w:lineRule="auto"/>
              <w:jc w:val="left"/>
              <w:rPr>
                <w:rFonts w:ascii="David" w:eastAsia="Times New Roman" w:hAnsi="David"/>
                <w:sz w:val="22"/>
                <w:szCs w:val="22"/>
                <w:rtl/>
              </w:rPr>
            </w:pPr>
            <w:r w:rsidRPr="00A210E9">
              <w:rPr>
                <w:rFonts w:ascii="David" w:eastAsia="Times New Roman" w:hAnsi="David"/>
                <w:sz w:val="22"/>
                <w:szCs w:val="22"/>
                <w:rtl/>
              </w:rPr>
              <w:t>צרפת</w:t>
            </w:r>
            <w:r>
              <w:rPr>
                <w:rFonts w:ascii="David" w:eastAsia="Times New Roman" w:hAnsi="David"/>
                <w:sz w:val="22"/>
                <w:szCs w:val="22"/>
                <w:vertAlign w:val="superscript"/>
                <w:rtl/>
              </w:rPr>
              <w:footnoteReference w:id="87"/>
            </w:r>
          </w:p>
        </w:tc>
        <w:tc>
          <w:tcPr>
            <w:tcW w:w="2072" w:type="pct"/>
            <w:hideMark/>
          </w:tcPr>
          <w:p w:rsidR="00A210E9" w:rsidRPr="00A210E9" w:rsidP="00A210E9">
            <w:pPr>
              <w:spacing w:line="269" w:lineRule="auto"/>
              <w:jc w:val="left"/>
              <w:rPr>
                <w:rFonts w:ascii="David" w:eastAsia="Times New Roman" w:hAnsi="David"/>
                <w:sz w:val="22"/>
                <w:szCs w:val="22"/>
                <w:rtl/>
              </w:rPr>
            </w:pPr>
            <w:r w:rsidRPr="00A210E9">
              <w:rPr>
                <w:rFonts w:ascii="David" w:eastAsia="Times New Roman" w:hAnsi="David"/>
                <w:sz w:val="22"/>
                <w:szCs w:val="22"/>
                <w:rtl/>
              </w:rPr>
              <w:t xml:space="preserve">אין פטור </w:t>
            </w:r>
            <w:r w:rsidRPr="00A210E9">
              <w:rPr>
                <w:rFonts w:ascii="David" w:eastAsia="Times New Roman" w:hAnsi="David" w:hint="cs"/>
                <w:sz w:val="22"/>
                <w:szCs w:val="22"/>
                <w:rtl/>
              </w:rPr>
              <w:t xml:space="preserve">מאגרת רישוי </w:t>
            </w:r>
            <w:r w:rsidRPr="00A210E9">
              <w:rPr>
                <w:rFonts w:ascii="David" w:eastAsia="Times New Roman" w:hAnsi="David"/>
                <w:sz w:val="22"/>
                <w:szCs w:val="22"/>
                <w:rtl/>
              </w:rPr>
              <w:t>או הנחה באגרת רישוי</w:t>
            </w:r>
          </w:p>
        </w:tc>
        <w:tc>
          <w:tcPr>
            <w:tcW w:w="2330" w:type="pct"/>
            <w:hideMark/>
          </w:tcPr>
          <w:p w:rsidR="00A210E9" w:rsidRPr="00A210E9" w:rsidP="00A210E9">
            <w:pPr>
              <w:spacing w:line="269" w:lineRule="auto"/>
              <w:jc w:val="left"/>
              <w:rPr>
                <w:rFonts w:ascii="David" w:eastAsia="Times New Roman" w:hAnsi="David"/>
                <w:sz w:val="22"/>
                <w:szCs w:val="22"/>
                <w:rtl/>
              </w:rPr>
            </w:pPr>
            <w:r w:rsidRPr="00A210E9">
              <w:rPr>
                <w:rFonts w:ascii="David" w:eastAsia="Times New Roman" w:hAnsi="David"/>
                <w:sz w:val="22"/>
                <w:szCs w:val="22"/>
                <w:rtl/>
              </w:rPr>
              <w:t xml:space="preserve">קיימת מדיניות של פטור ממס </w:t>
            </w:r>
            <w:r w:rsidRPr="00A210E9">
              <w:rPr>
                <w:rFonts w:ascii="David" w:eastAsia="Times New Roman" w:hAnsi="David"/>
                <w:sz w:val="22"/>
                <w:szCs w:val="22"/>
              </w:rPr>
              <w:t>CO2</w:t>
            </w:r>
            <w:r w:rsidRPr="00A210E9">
              <w:rPr>
                <w:rFonts w:ascii="David" w:eastAsia="Times New Roman" w:hAnsi="David"/>
                <w:sz w:val="22"/>
                <w:szCs w:val="22"/>
                <w:rtl/>
              </w:rPr>
              <w:t xml:space="preserve"> לרכב מותאם </w:t>
            </w:r>
            <w:r w:rsidRPr="00A210E9">
              <w:rPr>
                <w:rFonts w:ascii="David" w:eastAsia="Times New Roman" w:hAnsi="David" w:hint="cs"/>
                <w:sz w:val="22"/>
                <w:szCs w:val="22"/>
                <w:rtl/>
              </w:rPr>
              <w:t>לאדם עם מוגבלות</w:t>
            </w:r>
            <w:r w:rsidRPr="00A210E9">
              <w:rPr>
                <w:rFonts w:ascii="David" w:eastAsia="Times New Roman" w:hAnsi="David"/>
                <w:sz w:val="22"/>
                <w:szCs w:val="22"/>
                <w:rtl/>
              </w:rPr>
              <w:t xml:space="preserve">, </w:t>
            </w:r>
            <w:r w:rsidRPr="00A210E9">
              <w:rPr>
                <w:rFonts w:ascii="David" w:eastAsia="Times New Roman" w:hAnsi="David" w:hint="cs"/>
                <w:sz w:val="22"/>
                <w:szCs w:val="22"/>
                <w:rtl/>
              </w:rPr>
              <w:t xml:space="preserve">המשמשת </w:t>
            </w:r>
            <w:r w:rsidRPr="00A210E9">
              <w:rPr>
                <w:rFonts w:ascii="David" w:eastAsia="Times New Roman" w:hAnsi="David"/>
                <w:sz w:val="22"/>
                <w:szCs w:val="22"/>
                <w:rtl/>
              </w:rPr>
              <w:t>תחליף חלקי להקלות באגרת הרישוי</w:t>
            </w:r>
          </w:p>
        </w:tc>
      </w:tr>
      <w:tr w:rsidTr="00A157C9">
        <w:tblPrEx>
          <w:tblW w:w="5000" w:type="pct"/>
          <w:tblLook w:val="04A0"/>
        </w:tblPrEx>
        <w:trPr>
          <w:trHeight w:val="620"/>
        </w:trPr>
        <w:tc>
          <w:tcPr>
            <w:tcW w:w="599" w:type="pct"/>
            <w:noWrap/>
            <w:hideMark/>
          </w:tcPr>
          <w:p w:rsidR="00A210E9" w:rsidRPr="00A210E9" w:rsidP="00A210E9">
            <w:pPr>
              <w:spacing w:line="269" w:lineRule="auto"/>
              <w:jc w:val="left"/>
              <w:rPr>
                <w:rFonts w:ascii="David" w:eastAsia="Times New Roman" w:hAnsi="David"/>
                <w:sz w:val="22"/>
                <w:szCs w:val="22"/>
                <w:rtl/>
              </w:rPr>
            </w:pPr>
            <w:r w:rsidRPr="00A210E9">
              <w:rPr>
                <w:rFonts w:ascii="David" w:eastAsia="Times New Roman" w:hAnsi="David"/>
                <w:sz w:val="22"/>
                <w:szCs w:val="22"/>
                <w:rtl/>
              </w:rPr>
              <w:t>ש</w:t>
            </w:r>
            <w:r w:rsidRPr="00A210E9">
              <w:rPr>
                <w:rFonts w:ascii="David" w:eastAsia="Times New Roman" w:hAnsi="David" w:hint="cs"/>
                <w:sz w:val="22"/>
                <w:szCs w:val="22"/>
                <w:rtl/>
              </w:rPr>
              <w:t>וו</w:t>
            </w:r>
            <w:r w:rsidRPr="00A210E9">
              <w:rPr>
                <w:rFonts w:ascii="David" w:eastAsia="Times New Roman" w:hAnsi="David"/>
                <w:sz w:val="22"/>
                <w:szCs w:val="22"/>
                <w:rtl/>
              </w:rPr>
              <w:t>דיה</w:t>
            </w:r>
          </w:p>
        </w:tc>
        <w:tc>
          <w:tcPr>
            <w:tcW w:w="2072" w:type="pct"/>
            <w:hideMark/>
          </w:tcPr>
          <w:p w:rsidR="00A210E9" w:rsidRPr="00A210E9" w:rsidP="00A210E9">
            <w:pPr>
              <w:spacing w:line="269" w:lineRule="auto"/>
              <w:jc w:val="left"/>
              <w:rPr>
                <w:rFonts w:ascii="David" w:eastAsia="Times New Roman" w:hAnsi="David"/>
                <w:sz w:val="22"/>
                <w:szCs w:val="22"/>
                <w:rtl/>
              </w:rPr>
            </w:pPr>
            <w:r w:rsidRPr="00A210E9">
              <w:rPr>
                <w:rFonts w:ascii="David" w:eastAsia="Times New Roman" w:hAnsi="David"/>
                <w:sz w:val="22"/>
                <w:szCs w:val="22"/>
                <w:rtl/>
              </w:rPr>
              <w:t>אין פטור</w:t>
            </w:r>
            <w:r w:rsidRPr="00A210E9">
              <w:rPr>
                <w:rFonts w:ascii="David" w:eastAsia="Times New Roman" w:hAnsi="David" w:hint="cs"/>
                <w:sz w:val="22"/>
                <w:szCs w:val="22"/>
                <w:rtl/>
              </w:rPr>
              <w:t xml:space="preserve"> מאגרת רישוי</w:t>
            </w:r>
            <w:r w:rsidRPr="00A210E9">
              <w:rPr>
                <w:rFonts w:ascii="David" w:eastAsia="Times New Roman" w:hAnsi="David"/>
                <w:sz w:val="22"/>
                <w:szCs w:val="22"/>
                <w:rtl/>
              </w:rPr>
              <w:t xml:space="preserve"> או הנחה באגרת רישוי</w:t>
            </w:r>
          </w:p>
        </w:tc>
        <w:tc>
          <w:tcPr>
            <w:tcW w:w="2330" w:type="pct"/>
            <w:hideMark/>
          </w:tcPr>
          <w:p w:rsidR="00A210E9" w:rsidRPr="00A210E9" w:rsidP="00A210E9">
            <w:pPr>
              <w:spacing w:line="269" w:lineRule="auto"/>
              <w:jc w:val="left"/>
              <w:rPr>
                <w:rFonts w:ascii="David" w:eastAsia="Times New Roman" w:hAnsi="David"/>
                <w:sz w:val="22"/>
                <w:szCs w:val="22"/>
                <w:rtl/>
              </w:rPr>
            </w:pPr>
            <w:r w:rsidRPr="00A210E9">
              <w:rPr>
                <w:rFonts w:ascii="David" w:eastAsia="Times New Roman" w:hAnsi="David" w:hint="cs"/>
                <w:sz w:val="22"/>
                <w:szCs w:val="22"/>
                <w:rtl/>
              </w:rPr>
              <w:t>אין</w:t>
            </w:r>
            <w:r w:rsidRPr="00A210E9">
              <w:rPr>
                <w:rFonts w:ascii="David" w:eastAsia="Times New Roman" w:hAnsi="David"/>
                <w:sz w:val="22"/>
                <w:szCs w:val="22"/>
                <w:rtl/>
              </w:rPr>
              <w:t xml:space="preserve"> הנחות באגרת הרישוי</w:t>
            </w:r>
            <w:r w:rsidRPr="00A210E9">
              <w:rPr>
                <w:rFonts w:ascii="David" w:eastAsia="Times New Roman" w:hAnsi="David" w:hint="cs"/>
                <w:sz w:val="22"/>
                <w:szCs w:val="22"/>
                <w:rtl/>
              </w:rPr>
              <w:t>,</w:t>
            </w:r>
            <w:r w:rsidRPr="00A210E9">
              <w:rPr>
                <w:rFonts w:ascii="David" w:eastAsia="Times New Roman" w:hAnsi="David"/>
                <w:sz w:val="22"/>
                <w:szCs w:val="22"/>
                <w:rtl/>
              </w:rPr>
              <w:t xml:space="preserve"> אך</w:t>
            </w:r>
            <w:r w:rsidRPr="00A210E9">
              <w:rPr>
                <w:rFonts w:ascii="David" w:eastAsia="Times New Roman" w:hAnsi="David" w:hint="cs"/>
                <w:sz w:val="22"/>
                <w:szCs w:val="22"/>
                <w:rtl/>
              </w:rPr>
              <w:t xml:space="preserve"> לאנשים עם מוגבלות</w:t>
            </w:r>
            <w:r w:rsidRPr="00A210E9">
              <w:rPr>
                <w:rFonts w:ascii="David" w:eastAsia="Times New Roman" w:hAnsi="David"/>
                <w:sz w:val="22"/>
                <w:szCs w:val="22"/>
                <w:rtl/>
              </w:rPr>
              <w:t xml:space="preserve"> </w:t>
            </w:r>
            <w:r w:rsidRPr="00A210E9">
              <w:rPr>
                <w:rFonts w:ascii="David" w:eastAsia="Times New Roman" w:hAnsi="David" w:hint="cs"/>
                <w:sz w:val="22"/>
                <w:szCs w:val="22"/>
                <w:rtl/>
              </w:rPr>
              <w:t>יש</w:t>
            </w:r>
            <w:r w:rsidRPr="00A210E9">
              <w:rPr>
                <w:rFonts w:ascii="David" w:eastAsia="Times New Roman" w:hAnsi="David"/>
                <w:sz w:val="22"/>
                <w:szCs w:val="22"/>
                <w:rtl/>
              </w:rPr>
              <w:t xml:space="preserve"> פטור מתשלום אגרות גודש עירוניות</w:t>
            </w:r>
          </w:p>
        </w:tc>
      </w:tr>
      <w:tr w:rsidTr="00A157C9">
        <w:tblPrEx>
          <w:tblW w:w="5000" w:type="pct"/>
          <w:tblLook w:val="04A0"/>
        </w:tblPrEx>
        <w:trPr>
          <w:trHeight w:val="310"/>
        </w:trPr>
        <w:tc>
          <w:tcPr>
            <w:tcW w:w="599" w:type="pct"/>
            <w:noWrap/>
            <w:hideMark/>
          </w:tcPr>
          <w:p w:rsidR="00A210E9" w:rsidRPr="00A210E9" w:rsidP="00A210E9">
            <w:pPr>
              <w:spacing w:line="269" w:lineRule="auto"/>
              <w:jc w:val="left"/>
              <w:rPr>
                <w:rFonts w:ascii="David" w:eastAsia="Times New Roman" w:hAnsi="David"/>
                <w:sz w:val="22"/>
                <w:szCs w:val="22"/>
                <w:rtl/>
              </w:rPr>
            </w:pPr>
            <w:r w:rsidRPr="00A210E9">
              <w:rPr>
                <w:rFonts w:ascii="David" w:eastAsia="Times New Roman" w:hAnsi="David"/>
                <w:sz w:val="22"/>
                <w:szCs w:val="22"/>
                <w:rtl/>
              </w:rPr>
              <w:t>דנמרק</w:t>
            </w:r>
          </w:p>
        </w:tc>
        <w:tc>
          <w:tcPr>
            <w:tcW w:w="2072" w:type="pct"/>
            <w:hideMark/>
          </w:tcPr>
          <w:p w:rsidR="00A210E9" w:rsidRPr="00A210E9" w:rsidP="00A210E9">
            <w:pPr>
              <w:spacing w:line="269" w:lineRule="auto"/>
              <w:jc w:val="left"/>
              <w:rPr>
                <w:rFonts w:ascii="David" w:eastAsia="Times New Roman" w:hAnsi="David"/>
                <w:sz w:val="22"/>
                <w:szCs w:val="22"/>
                <w:rtl/>
              </w:rPr>
            </w:pPr>
            <w:r w:rsidRPr="00A210E9">
              <w:rPr>
                <w:rFonts w:ascii="David" w:eastAsia="Times New Roman" w:hAnsi="David"/>
                <w:sz w:val="22"/>
                <w:szCs w:val="22"/>
                <w:rtl/>
              </w:rPr>
              <w:t>אין פטור</w:t>
            </w:r>
            <w:r w:rsidRPr="00A210E9">
              <w:rPr>
                <w:rFonts w:ascii="David" w:eastAsia="Times New Roman" w:hAnsi="David" w:hint="cs"/>
                <w:sz w:val="22"/>
                <w:szCs w:val="22"/>
                <w:rtl/>
              </w:rPr>
              <w:t xml:space="preserve"> מאגרת רישוי</w:t>
            </w:r>
            <w:r w:rsidRPr="00A210E9">
              <w:rPr>
                <w:rFonts w:ascii="David" w:eastAsia="Times New Roman" w:hAnsi="David"/>
                <w:sz w:val="22"/>
                <w:szCs w:val="22"/>
                <w:rtl/>
              </w:rPr>
              <w:t xml:space="preserve"> או הנחה באגרת רישוי</w:t>
            </w:r>
          </w:p>
        </w:tc>
        <w:tc>
          <w:tcPr>
            <w:tcW w:w="2330" w:type="pct"/>
            <w:noWrap/>
            <w:hideMark/>
          </w:tcPr>
          <w:p w:rsidR="00A210E9" w:rsidRPr="00A210E9" w:rsidP="00A210E9">
            <w:pPr>
              <w:spacing w:line="269" w:lineRule="auto"/>
              <w:jc w:val="left"/>
              <w:rPr>
                <w:rFonts w:ascii="David" w:eastAsia="Times New Roman" w:hAnsi="David"/>
                <w:sz w:val="22"/>
                <w:szCs w:val="22"/>
                <w:rtl/>
              </w:rPr>
            </w:pPr>
          </w:p>
        </w:tc>
      </w:tr>
      <w:tr w:rsidTr="00A157C9">
        <w:tblPrEx>
          <w:tblW w:w="5000" w:type="pct"/>
          <w:tblLook w:val="04A0"/>
        </w:tblPrEx>
        <w:trPr>
          <w:trHeight w:val="310"/>
        </w:trPr>
        <w:tc>
          <w:tcPr>
            <w:tcW w:w="599" w:type="pct"/>
            <w:noWrap/>
            <w:hideMark/>
          </w:tcPr>
          <w:p w:rsidR="00A210E9" w:rsidRPr="00A210E9" w:rsidP="00A210E9">
            <w:pPr>
              <w:spacing w:line="269" w:lineRule="auto"/>
              <w:jc w:val="left"/>
              <w:rPr>
                <w:rFonts w:ascii="David" w:eastAsia="Times New Roman" w:hAnsi="David"/>
                <w:sz w:val="22"/>
                <w:szCs w:val="22"/>
              </w:rPr>
            </w:pPr>
            <w:r w:rsidRPr="00A210E9">
              <w:rPr>
                <w:rFonts w:ascii="David" w:eastAsia="Times New Roman" w:hAnsi="David"/>
                <w:sz w:val="22"/>
                <w:szCs w:val="22"/>
                <w:rtl/>
              </w:rPr>
              <w:t>נור</w:t>
            </w:r>
            <w:r w:rsidRPr="00A210E9">
              <w:rPr>
                <w:rFonts w:ascii="David" w:eastAsia="Times New Roman" w:hAnsi="David" w:hint="cs"/>
                <w:sz w:val="22"/>
                <w:szCs w:val="22"/>
                <w:rtl/>
              </w:rPr>
              <w:t>וו</w:t>
            </w:r>
            <w:r w:rsidRPr="00A210E9">
              <w:rPr>
                <w:rFonts w:ascii="David" w:eastAsia="Times New Roman" w:hAnsi="David"/>
                <w:sz w:val="22"/>
                <w:szCs w:val="22"/>
                <w:rtl/>
              </w:rPr>
              <w:t>גיה</w:t>
            </w:r>
          </w:p>
        </w:tc>
        <w:tc>
          <w:tcPr>
            <w:tcW w:w="2072" w:type="pct"/>
            <w:hideMark/>
          </w:tcPr>
          <w:p w:rsidR="00A210E9" w:rsidRPr="00A210E9" w:rsidP="00A210E9">
            <w:pPr>
              <w:spacing w:line="269" w:lineRule="auto"/>
              <w:jc w:val="left"/>
              <w:rPr>
                <w:rFonts w:ascii="David" w:eastAsia="Times New Roman" w:hAnsi="David"/>
                <w:sz w:val="22"/>
                <w:szCs w:val="22"/>
                <w:rtl/>
              </w:rPr>
            </w:pPr>
            <w:r w:rsidRPr="00A210E9">
              <w:rPr>
                <w:rFonts w:ascii="David" w:eastAsia="Times New Roman" w:hAnsi="David"/>
                <w:sz w:val="22"/>
                <w:szCs w:val="22"/>
                <w:rtl/>
              </w:rPr>
              <w:t xml:space="preserve">אין פטור </w:t>
            </w:r>
            <w:r w:rsidRPr="00A210E9">
              <w:rPr>
                <w:rFonts w:ascii="David" w:eastAsia="Times New Roman" w:hAnsi="David" w:hint="cs"/>
                <w:sz w:val="22"/>
                <w:szCs w:val="22"/>
                <w:rtl/>
              </w:rPr>
              <w:t xml:space="preserve">מאגרת רישוי </w:t>
            </w:r>
            <w:r w:rsidRPr="00A210E9">
              <w:rPr>
                <w:rFonts w:ascii="David" w:eastAsia="Times New Roman" w:hAnsi="David"/>
                <w:sz w:val="22"/>
                <w:szCs w:val="22"/>
                <w:rtl/>
              </w:rPr>
              <w:t>או הנחה באגרת רישוי</w:t>
            </w:r>
          </w:p>
        </w:tc>
        <w:tc>
          <w:tcPr>
            <w:tcW w:w="2330" w:type="pct"/>
            <w:noWrap/>
            <w:hideMark/>
          </w:tcPr>
          <w:p w:rsidR="00A210E9" w:rsidRPr="00A210E9" w:rsidP="00A210E9">
            <w:pPr>
              <w:spacing w:line="269" w:lineRule="auto"/>
              <w:jc w:val="left"/>
              <w:rPr>
                <w:rFonts w:ascii="David" w:eastAsia="Times New Roman" w:hAnsi="David"/>
                <w:sz w:val="22"/>
                <w:szCs w:val="22"/>
                <w:rtl/>
              </w:rPr>
            </w:pPr>
          </w:p>
        </w:tc>
      </w:tr>
      <w:tr w:rsidTr="00A157C9">
        <w:tblPrEx>
          <w:tblW w:w="5000" w:type="pct"/>
          <w:tblLook w:val="04A0"/>
        </w:tblPrEx>
        <w:trPr>
          <w:trHeight w:val="390"/>
        </w:trPr>
        <w:tc>
          <w:tcPr>
            <w:tcW w:w="599" w:type="pct"/>
            <w:noWrap/>
            <w:hideMark/>
          </w:tcPr>
          <w:p w:rsidR="00A210E9" w:rsidRPr="00A210E9" w:rsidP="00A210E9">
            <w:pPr>
              <w:spacing w:line="269" w:lineRule="auto"/>
              <w:jc w:val="left"/>
              <w:rPr>
                <w:rFonts w:ascii="David" w:eastAsia="Times New Roman" w:hAnsi="David"/>
                <w:sz w:val="22"/>
                <w:szCs w:val="22"/>
              </w:rPr>
            </w:pPr>
            <w:r w:rsidRPr="00A210E9">
              <w:rPr>
                <w:rFonts w:ascii="David" w:eastAsia="Times New Roman" w:hAnsi="David"/>
                <w:sz w:val="22"/>
                <w:szCs w:val="22"/>
                <w:rtl/>
              </w:rPr>
              <w:t>קנדה</w:t>
            </w:r>
          </w:p>
        </w:tc>
        <w:tc>
          <w:tcPr>
            <w:tcW w:w="2072" w:type="pct"/>
            <w:hideMark/>
          </w:tcPr>
          <w:p w:rsidR="00A210E9" w:rsidRPr="00A210E9" w:rsidP="00A210E9">
            <w:pPr>
              <w:spacing w:line="269" w:lineRule="auto"/>
              <w:jc w:val="left"/>
              <w:rPr>
                <w:rFonts w:ascii="David" w:eastAsia="Times New Roman" w:hAnsi="David"/>
                <w:sz w:val="22"/>
                <w:szCs w:val="22"/>
                <w:rtl/>
              </w:rPr>
            </w:pPr>
            <w:r w:rsidRPr="00A210E9">
              <w:rPr>
                <w:rFonts w:ascii="David" w:eastAsia="Times New Roman" w:hAnsi="David"/>
                <w:sz w:val="22"/>
                <w:szCs w:val="22"/>
                <w:rtl/>
              </w:rPr>
              <w:t>אין פטור</w:t>
            </w:r>
            <w:r w:rsidRPr="00A210E9">
              <w:rPr>
                <w:rFonts w:ascii="David" w:eastAsia="Times New Roman" w:hAnsi="David" w:hint="cs"/>
                <w:sz w:val="22"/>
                <w:szCs w:val="22"/>
                <w:rtl/>
              </w:rPr>
              <w:t xml:space="preserve"> מאגרת רישוי</w:t>
            </w:r>
            <w:r w:rsidRPr="00A210E9">
              <w:rPr>
                <w:rFonts w:ascii="David" w:eastAsia="Times New Roman" w:hAnsi="David"/>
                <w:sz w:val="22"/>
                <w:szCs w:val="22"/>
                <w:rtl/>
              </w:rPr>
              <w:t xml:space="preserve"> או הנחה באגרת רישוי</w:t>
            </w:r>
          </w:p>
        </w:tc>
        <w:tc>
          <w:tcPr>
            <w:tcW w:w="2330" w:type="pct"/>
            <w:noWrap/>
            <w:hideMark/>
          </w:tcPr>
          <w:p w:rsidR="00A210E9" w:rsidRPr="00A210E9" w:rsidP="00A210E9">
            <w:pPr>
              <w:spacing w:line="269" w:lineRule="auto"/>
              <w:jc w:val="left"/>
              <w:rPr>
                <w:rFonts w:ascii="David" w:eastAsia="Times New Roman" w:hAnsi="David"/>
                <w:sz w:val="22"/>
                <w:szCs w:val="22"/>
                <w:rtl/>
              </w:rPr>
            </w:pPr>
          </w:p>
        </w:tc>
      </w:tr>
      <w:tr w:rsidTr="00A157C9">
        <w:tblPrEx>
          <w:tblW w:w="5000" w:type="pct"/>
          <w:tblLook w:val="04A0"/>
        </w:tblPrEx>
        <w:trPr>
          <w:trHeight w:val="310"/>
        </w:trPr>
        <w:tc>
          <w:tcPr>
            <w:tcW w:w="599" w:type="pct"/>
            <w:noWrap/>
            <w:hideMark/>
          </w:tcPr>
          <w:p w:rsidR="00A210E9" w:rsidRPr="00A210E9" w:rsidP="00A210E9">
            <w:pPr>
              <w:spacing w:line="269" w:lineRule="auto"/>
              <w:jc w:val="left"/>
              <w:rPr>
                <w:rFonts w:ascii="David" w:eastAsia="Times New Roman" w:hAnsi="David"/>
                <w:sz w:val="22"/>
                <w:szCs w:val="22"/>
              </w:rPr>
            </w:pPr>
            <w:r w:rsidRPr="00A210E9">
              <w:rPr>
                <w:rFonts w:ascii="David" w:eastAsia="Times New Roman" w:hAnsi="David"/>
                <w:sz w:val="22"/>
                <w:szCs w:val="22"/>
                <w:rtl/>
              </w:rPr>
              <w:t>ארה</w:t>
            </w:r>
            <w:r w:rsidRPr="00A210E9">
              <w:rPr>
                <w:rFonts w:ascii="David" w:eastAsia="Times New Roman" w:hAnsi="David" w:hint="cs"/>
                <w:sz w:val="22"/>
                <w:szCs w:val="22"/>
                <w:rtl/>
              </w:rPr>
              <w:t>"</w:t>
            </w:r>
            <w:r w:rsidRPr="00A210E9">
              <w:rPr>
                <w:rFonts w:ascii="David" w:eastAsia="Times New Roman" w:hAnsi="David"/>
                <w:sz w:val="22"/>
                <w:szCs w:val="22"/>
                <w:rtl/>
              </w:rPr>
              <w:t>ב</w:t>
            </w:r>
          </w:p>
        </w:tc>
        <w:tc>
          <w:tcPr>
            <w:tcW w:w="2072" w:type="pct"/>
            <w:hideMark/>
          </w:tcPr>
          <w:p w:rsidR="00A210E9" w:rsidRPr="00A210E9" w:rsidP="00A210E9">
            <w:pPr>
              <w:spacing w:line="269" w:lineRule="auto"/>
              <w:jc w:val="left"/>
              <w:rPr>
                <w:rFonts w:ascii="David" w:eastAsia="Times New Roman" w:hAnsi="David"/>
                <w:sz w:val="22"/>
                <w:szCs w:val="22"/>
                <w:rtl/>
              </w:rPr>
            </w:pPr>
            <w:r w:rsidRPr="00A210E9">
              <w:rPr>
                <w:rFonts w:ascii="David" w:eastAsia="Times New Roman" w:hAnsi="David"/>
                <w:sz w:val="22"/>
                <w:szCs w:val="22"/>
                <w:rtl/>
              </w:rPr>
              <w:t>אין פטור</w:t>
            </w:r>
            <w:r w:rsidRPr="00A210E9">
              <w:rPr>
                <w:rFonts w:ascii="David" w:eastAsia="Times New Roman" w:hAnsi="David" w:hint="cs"/>
                <w:sz w:val="22"/>
                <w:szCs w:val="22"/>
                <w:rtl/>
              </w:rPr>
              <w:t xml:space="preserve"> מאגרת רישוי</w:t>
            </w:r>
            <w:r w:rsidRPr="00A210E9">
              <w:rPr>
                <w:rFonts w:ascii="David" w:eastAsia="Times New Roman" w:hAnsi="David"/>
                <w:sz w:val="22"/>
                <w:szCs w:val="22"/>
                <w:rtl/>
              </w:rPr>
              <w:t xml:space="preserve"> או הנחה באגרת רישוי</w:t>
            </w:r>
          </w:p>
        </w:tc>
        <w:tc>
          <w:tcPr>
            <w:tcW w:w="2330" w:type="pct"/>
            <w:noWrap/>
            <w:hideMark/>
          </w:tcPr>
          <w:p w:rsidR="00A210E9" w:rsidRPr="00A210E9" w:rsidP="00A210E9">
            <w:pPr>
              <w:spacing w:line="269" w:lineRule="auto"/>
              <w:jc w:val="left"/>
              <w:rPr>
                <w:rFonts w:ascii="David" w:eastAsia="Times New Roman" w:hAnsi="David"/>
                <w:sz w:val="22"/>
                <w:szCs w:val="22"/>
                <w:rtl/>
              </w:rPr>
            </w:pPr>
          </w:p>
        </w:tc>
      </w:tr>
    </w:tbl>
    <w:p w:rsidR="00A210E9" w:rsidRPr="00A210E9" w:rsidP="00A210E9">
      <w:pPr>
        <w:spacing w:line="269" w:lineRule="auto"/>
        <w:rPr>
          <w:rFonts w:ascii="David" w:eastAsia="Times New Roman" w:hAnsi="David"/>
          <w:szCs w:val="20"/>
          <w:rtl/>
        </w:rPr>
      </w:pPr>
      <w:r w:rsidRPr="00A210E9">
        <w:rPr>
          <w:rFonts w:ascii="David" w:eastAsia="Times New Roman" w:hAnsi="David"/>
          <w:szCs w:val="20"/>
          <w:rtl/>
        </w:rPr>
        <w:t xml:space="preserve"> </w:t>
      </w:r>
      <w:r w:rsidRPr="00A210E9">
        <w:rPr>
          <w:rFonts w:ascii="David" w:eastAsia="Times New Roman" w:hAnsi="David" w:hint="eastAsia"/>
          <w:szCs w:val="20"/>
          <w:rtl/>
        </w:rPr>
        <w:t>על</w:t>
      </w:r>
      <w:r w:rsidRPr="00A210E9">
        <w:rPr>
          <w:rFonts w:ascii="David" w:eastAsia="Times New Roman" w:hAnsi="David"/>
          <w:szCs w:val="20"/>
          <w:rtl/>
        </w:rPr>
        <w:t xml:space="preserve"> פי </w:t>
      </w:r>
      <w:r w:rsidRPr="00A210E9">
        <w:rPr>
          <w:rFonts w:ascii="David" w:eastAsia="Times New Roman" w:hAnsi="David" w:hint="eastAsia"/>
          <w:szCs w:val="20"/>
          <w:rtl/>
        </w:rPr>
        <w:t>אתרי</w:t>
      </w:r>
      <w:r w:rsidRPr="00A210E9">
        <w:rPr>
          <w:rFonts w:ascii="David" w:eastAsia="Times New Roman" w:hAnsi="David"/>
          <w:szCs w:val="20"/>
          <w:rtl/>
        </w:rPr>
        <w:t xml:space="preserve"> </w:t>
      </w:r>
      <w:r w:rsidRPr="00A210E9">
        <w:rPr>
          <w:rFonts w:ascii="David" w:eastAsia="Times New Roman" w:hAnsi="David" w:hint="cs"/>
          <w:szCs w:val="20"/>
          <w:rtl/>
        </w:rPr>
        <w:t>ה</w:t>
      </w:r>
      <w:r w:rsidRPr="00A210E9">
        <w:rPr>
          <w:rFonts w:ascii="David" w:eastAsia="Times New Roman" w:hAnsi="David" w:hint="eastAsia"/>
          <w:szCs w:val="20"/>
          <w:rtl/>
        </w:rPr>
        <w:t>ממשלה</w:t>
      </w:r>
      <w:r w:rsidRPr="00A210E9">
        <w:rPr>
          <w:rFonts w:ascii="David" w:eastAsia="Times New Roman" w:hAnsi="David"/>
          <w:szCs w:val="20"/>
          <w:rtl/>
        </w:rPr>
        <w:t xml:space="preserve"> של המדינות</w:t>
      </w:r>
      <w:r w:rsidRPr="00A210E9">
        <w:rPr>
          <w:rFonts w:ascii="David" w:eastAsia="Times New Roman" w:hAnsi="David" w:hint="cs"/>
          <w:szCs w:val="20"/>
          <w:rtl/>
        </w:rPr>
        <w:t xml:space="preserve"> במרשתת (אינטרנט)</w:t>
      </w:r>
      <w:r w:rsidRPr="00A210E9">
        <w:rPr>
          <w:rFonts w:ascii="David" w:eastAsia="Times New Roman" w:hAnsi="David"/>
          <w:szCs w:val="20"/>
          <w:rtl/>
        </w:rPr>
        <w:t>, בעיבוד משרד מבקר המדינה</w:t>
      </w:r>
      <w:r w:rsidRPr="00A210E9">
        <w:rPr>
          <w:rFonts w:ascii="David" w:eastAsia="Times New Roman" w:hAnsi="David" w:hint="cs"/>
          <w:szCs w:val="20"/>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b/>
          <w:bCs/>
          <w:rtl/>
        </w:rPr>
        <w:t>נמצא כי חמש מדינות באירופה</w:t>
      </w:r>
      <w:r w:rsidRPr="00A210E9">
        <w:rPr>
          <w:rFonts w:eastAsia="Calibri" w:hint="cs"/>
          <w:b/>
          <w:bCs/>
          <w:rtl/>
        </w:rPr>
        <w:t xml:space="preserve"> - אנגלייה,</w:t>
      </w:r>
      <w:r w:rsidRPr="00A210E9">
        <w:rPr>
          <w:rFonts w:eastAsia="Calibri"/>
          <w:b/>
          <w:bCs/>
          <w:rtl/>
        </w:rPr>
        <w:t xml:space="preserve"> הולנד, אירלנד, גרמניה וספרד</w:t>
      </w:r>
      <w:r w:rsidRPr="00A210E9">
        <w:rPr>
          <w:rFonts w:eastAsia="Calibri" w:hint="cs"/>
          <w:b/>
          <w:bCs/>
          <w:rtl/>
        </w:rPr>
        <w:t xml:space="preserve"> - </w:t>
      </w:r>
      <w:r w:rsidRPr="00A210E9">
        <w:rPr>
          <w:rFonts w:eastAsia="Calibri"/>
          <w:b/>
          <w:bCs/>
          <w:rtl/>
        </w:rPr>
        <w:t>מעניקות פטור</w:t>
      </w:r>
      <w:r w:rsidRPr="00A210E9">
        <w:rPr>
          <w:rFonts w:eastAsia="Calibri" w:hint="cs"/>
          <w:b/>
          <w:bCs/>
          <w:rtl/>
        </w:rPr>
        <w:t xml:space="preserve"> מאגרת רישוי</w:t>
      </w:r>
      <w:r w:rsidRPr="00A210E9">
        <w:rPr>
          <w:rFonts w:eastAsia="Calibri"/>
          <w:b/>
          <w:bCs/>
          <w:rtl/>
        </w:rPr>
        <w:t xml:space="preserve"> או הנחה </w:t>
      </w:r>
      <w:r w:rsidRPr="00A210E9">
        <w:rPr>
          <w:rFonts w:eastAsia="Calibri" w:hint="cs"/>
          <w:b/>
          <w:bCs/>
          <w:rtl/>
        </w:rPr>
        <w:t>ניכרת</w:t>
      </w:r>
      <w:r w:rsidRPr="00A210E9">
        <w:rPr>
          <w:rFonts w:eastAsia="Calibri"/>
          <w:b/>
          <w:bCs/>
          <w:rtl/>
        </w:rPr>
        <w:t xml:space="preserve"> באגרת רישוי לרכב אחד המיועד </w:t>
      </w:r>
      <w:r w:rsidRPr="00A210E9">
        <w:rPr>
          <w:rFonts w:eastAsia="Calibri" w:hint="cs"/>
          <w:b/>
          <w:bCs/>
          <w:rtl/>
        </w:rPr>
        <w:t xml:space="preserve">לאדם עם מוגבלות, </w:t>
      </w:r>
      <w:r w:rsidRPr="00A210E9">
        <w:rPr>
          <w:rFonts w:eastAsia="Calibri"/>
          <w:b/>
          <w:bCs/>
          <w:rtl/>
        </w:rPr>
        <w:t>אך הפטור אינו גורף וניתן בכפוף לתנאים מסוימים בלבד</w:t>
      </w:r>
      <w:r w:rsidRPr="00A210E9">
        <w:rPr>
          <w:rFonts w:eastAsia="Calibri" w:hint="cs"/>
          <w:b/>
          <w:bCs/>
          <w:rtl/>
        </w:rPr>
        <w:t xml:space="preserve">. למשל בהולנד ניתן הפטור עבור </w:t>
      </w:r>
      <w:r w:rsidRPr="00A210E9">
        <w:rPr>
          <w:rFonts w:eastAsia="Calibri"/>
          <w:b/>
          <w:bCs/>
          <w:rtl/>
        </w:rPr>
        <w:t>רכב שעבר התאמה פיזית להסעת אנשים עם מוגבלות, כגון מעלון או כיסא גלגלים</w:t>
      </w:r>
      <w:r w:rsidRPr="00A210E9">
        <w:rPr>
          <w:rFonts w:eastAsia="Calibri" w:hint="cs"/>
          <w:b/>
          <w:bCs/>
          <w:rtl/>
        </w:rPr>
        <w:t xml:space="preserve"> ואילו באירלנד </w:t>
      </w:r>
      <w:r w:rsidRPr="00A210E9">
        <w:rPr>
          <w:rFonts w:eastAsia="Calibri"/>
          <w:b/>
          <w:bCs/>
          <w:rtl/>
        </w:rPr>
        <w:t>הפטור מותנה בשימוש ברכב לצורכי הסעה של האדם עם מוגבלות או נהיגה על ידי אותו אדם ובקבלת אישור מ</w:t>
      </w:r>
      <w:r w:rsidRPr="00A210E9">
        <w:rPr>
          <w:rFonts w:eastAsia="Calibri" w:hint="eastAsia"/>
          <w:b/>
          <w:bCs/>
          <w:rtl/>
        </w:rPr>
        <w:t>רשויות</w:t>
      </w:r>
      <w:r w:rsidRPr="00A210E9">
        <w:rPr>
          <w:rFonts w:eastAsia="Calibri" w:hint="cs"/>
          <w:b/>
          <w:bCs/>
          <w:rtl/>
        </w:rPr>
        <w:t xml:space="preserve"> </w:t>
      </w:r>
      <w:r w:rsidRPr="00A210E9">
        <w:rPr>
          <w:rFonts w:eastAsia="Calibri"/>
          <w:b/>
          <w:bCs/>
          <w:rtl/>
        </w:rPr>
        <w:t>מס הכנסה</w:t>
      </w:r>
      <w:r w:rsidRPr="00A210E9">
        <w:rPr>
          <w:rFonts w:eastAsia="Calibri" w:hint="cs"/>
          <w:b/>
          <w:bCs/>
          <w:rtl/>
        </w:rPr>
        <w:t xml:space="preserve">. </w:t>
      </w:r>
      <w:r w:rsidRPr="00A210E9">
        <w:rPr>
          <w:rFonts w:eastAsia="Calibri"/>
          <w:b/>
          <w:bCs/>
          <w:rtl/>
        </w:rPr>
        <w:t>ש</w:t>
      </w:r>
      <w:r w:rsidRPr="00A210E9">
        <w:rPr>
          <w:rFonts w:eastAsia="Calibri" w:hint="cs"/>
          <w:b/>
          <w:bCs/>
          <w:rtl/>
        </w:rPr>
        <w:t>וו</w:t>
      </w:r>
      <w:r w:rsidRPr="00A210E9">
        <w:rPr>
          <w:rFonts w:eastAsia="Calibri"/>
          <w:b/>
          <w:bCs/>
          <w:rtl/>
        </w:rPr>
        <w:t>דיה אינה מעניקה הנחות באגרת הרישוי</w:t>
      </w:r>
      <w:r w:rsidRPr="00A210E9">
        <w:rPr>
          <w:rFonts w:eastAsia="Calibri" w:hint="cs"/>
          <w:b/>
          <w:bCs/>
          <w:rtl/>
        </w:rPr>
        <w:t>,</w:t>
      </w:r>
      <w:r w:rsidRPr="00A210E9">
        <w:rPr>
          <w:rFonts w:eastAsia="Calibri"/>
          <w:b/>
          <w:bCs/>
          <w:rtl/>
        </w:rPr>
        <w:t xml:space="preserve"> אך מאפשרת פטור מתשלום אגרות גודש עירוניות לאנשים עם מוגבלות</w:t>
      </w:r>
      <w:r>
        <w:rPr>
          <w:rFonts w:eastAsia="Calibri"/>
          <w:vertAlign w:val="superscript"/>
          <w:rtl/>
        </w:rPr>
        <w:footnoteReference w:id="88"/>
      </w:r>
      <w:r w:rsidRPr="00A210E9">
        <w:rPr>
          <w:rFonts w:eastAsia="Calibri"/>
          <w:b/>
          <w:bCs/>
          <w:rtl/>
        </w:rPr>
        <w:t xml:space="preserve">. מנגד, במדינות כגון </w:t>
      </w:r>
      <w:r w:rsidRPr="00A210E9">
        <w:rPr>
          <w:rFonts w:eastAsia="Calibri" w:hint="cs"/>
          <w:b/>
          <w:bCs/>
          <w:rtl/>
        </w:rPr>
        <w:t>דנמרק, נורווגיה</w:t>
      </w:r>
      <w:r w:rsidRPr="00A210E9">
        <w:rPr>
          <w:rFonts w:eastAsia="Calibri"/>
          <w:b/>
          <w:bCs/>
          <w:rtl/>
        </w:rPr>
        <w:t xml:space="preserve">, קנדה </w:t>
      </w:r>
      <w:r w:rsidRPr="00A210E9">
        <w:rPr>
          <w:rFonts w:eastAsia="Calibri" w:hint="cs"/>
          <w:b/>
          <w:bCs/>
          <w:rtl/>
        </w:rPr>
        <w:t xml:space="preserve">וארה"ב </w:t>
      </w:r>
      <w:r w:rsidRPr="00A210E9">
        <w:rPr>
          <w:rFonts w:eastAsia="Calibri"/>
          <w:b/>
          <w:bCs/>
          <w:rtl/>
        </w:rPr>
        <w:t xml:space="preserve">לא נמצאו הטבות כלכליות דומות </w:t>
      </w:r>
      <w:r w:rsidRPr="00A210E9">
        <w:rPr>
          <w:rFonts w:eastAsia="Calibri" w:hint="cs"/>
          <w:b/>
          <w:bCs/>
          <w:rtl/>
        </w:rPr>
        <w:t xml:space="preserve">בתשלום </w:t>
      </w:r>
      <w:r w:rsidRPr="00A210E9">
        <w:rPr>
          <w:rFonts w:eastAsia="Calibri"/>
          <w:b/>
          <w:bCs/>
          <w:rtl/>
        </w:rPr>
        <w:t>אגרת הרישוי בשל החזקת תג חניה</w:t>
      </w:r>
      <w:r w:rsidRPr="00A210E9">
        <w:rPr>
          <w:rFonts w:eastAsia="Calibri"/>
          <w:b/>
          <w:bCs/>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עמותת איל</w:t>
      </w:r>
      <w:r w:rsidRPr="00A210E9">
        <w:rPr>
          <w:rFonts w:eastAsia="Calibri"/>
          <w:rtl/>
        </w:rPr>
        <w:t>"</w:t>
      </w:r>
      <w:r w:rsidRPr="00A210E9">
        <w:rPr>
          <w:rFonts w:eastAsia="Calibri" w:hint="cs"/>
          <w:rtl/>
        </w:rPr>
        <w:t xml:space="preserve">ן כתבה בתשובתה כי מטרת </w:t>
      </w:r>
      <w:r w:rsidRPr="00A210E9">
        <w:rPr>
          <w:rFonts w:eastAsia="Calibri"/>
          <w:rtl/>
        </w:rPr>
        <w:t xml:space="preserve">ההטבות הכלכליות </w:t>
      </w:r>
      <w:r w:rsidRPr="00A210E9">
        <w:rPr>
          <w:rFonts w:eastAsia="Calibri" w:hint="cs"/>
          <w:rtl/>
        </w:rPr>
        <w:t xml:space="preserve">היא </w:t>
      </w:r>
      <w:r w:rsidRPr="00A210E9">
        <w:rPr>
          <w:rFonts w:eastAsia="Calibri"/>
          <w:rtl/>
        </w:rPr>
        <w:t xml:space="preserve">הסרת חסמים </w:t>
      </w:r>
      <w:r w:rsidRPr="00A210E9">
        <w:rPr>
          <w:rFonts w:eastAsia="Calibri" w:hint="cs"/>
          <w:rtl/>
        </w:rPr>
        <w:t>המקשים על</w:t>
      </w:r>
      <w:r w:rsidRPr="00A210E9">
        <w:rPr>
          <w:rFonts w:eastAsia="Calibri"/>
          <w:rtl/>
        </w:rPr>
        <w:t xml:space="preserve"> אנשים עם מוגבלות להשתלב ולהתנועע באופן חופשי בחברה. עם זאת, </w:t>
      </w:r>
      <w:r w:rsidRPr="00A210E9">
        <w:rPr>
          <w:rFonts w:eastAsia="Calibri" w:hint="cs"/>
          <w:rtl/>
        </w:rPr>
        <w:t>העמותה ציינה כי היא אינה</w:t>
      </w:r>
      <w:r w:rsidRPr="00A210E9">
        <w:rPr>
          <w:rFonts w:eastAsia="Calibri"/>
          <w:rtl/>
        </w:rPr>
        <w:t xml:space="preserve"> מתנגד</w:t>
      </w:r>
      <w:r w:rsidRPr="00A210E9">
        <w:rPr>
          <w:rFonts w:eastAsia="Calibri" w:hint="cs"/>
          <w:rtl/>
        </w:rPr>
        <w:t>ת</w:t>
      </w:r>
      <w:r w:rsidRPr="00A210E9">
        <w:rPr>
          <w:rFonts w:eastAsia="Calibri"/>
          <w:rtl/>
        </w:rPr>
        <w:t xml:space="preserve"> לנקיטת צעדים בנושא</w:t>
      </w:r>
      <w:r w:rsidRPr="00A210E9">
        <w:rPr>
          <w:rFonts w:eastAsia="Calibri" w:hint="cs"/>
          <w:rtl/>
        </w:rPr>
        <w:t xml:space="preserve">, </w:t>
      </w:r>
      <w:r w:rsidRPr="00A210E9">
        <w:rPr>
          <w:rFonts w:eastAsia="Calibri"/>
          <w:rtl/>
        </w:rPr>
        <w:t xml:space="preserve">אך </w:t>
      </w:r>
      <w:r w:rsidRPr="00A210E9">
        <w:rPr>
          <w:rFonts w:eastAsia="Calibri" w:hint="cs"/>
          <w:rtl/>
        </w:rPr>
        <w:t xml:space="preserve">החלטה על צמצום ההטבות אינה </w:t>
      </w:r>
      <w:r w:rsidRPr="00A210E9">
        <w:rPr>
          <w:rFonts w:eastAsia="Calibri"/>
          <w:rtl/>
        </w:rPr>
        <w:t>יכול</w:t>
      </w:r>
      <w:r w:rsidRPr="00A210E9">
        <w:rPr>
          <w:rFonts w:eastAsia="Calibri" w:hint="cs"/>
          <w:rtl/>
        </w:rPr>
        <w:t>ה</w:t>
      </w:r>
      <w:r w:rsidRPr="00A210E9">
        <w:rPr>
          <w:rFonts w:eastAsia="Calibri"/>
          <w:rtl/>
        </w:rPr>
        <w:t xml:space="preserve"> לעמוד </w:t>
      </w:r>
      <w:r w:rsidRPr="00A210E9">
        <w:rPr>
          <w:rFonts w:eastAsia="Calibri" w:hint="cs"/>
          <w:rtl/>
        </w:rPr>
        <w:t>בפני עצמה, והיא מחייבת נקיטת פעולות</w:t>
      </w:r>
      <w:r w:rsidRPr="00A210E9">
        <w:rPr>
          <w:rFonts w:eastAsia="Calibri"/>
          <w:rtl/>
        </w:rPr>
        <w:t xml:space="preserve"> אכיפה מ</w:t>
      </w:r>
      <w:r w:rsidRPr="00A210E9">
        <w:rPr>
          <w:rFonts w:eastAsia="Calibri" w:hint="cs"/>
          <w:rtl/>
        </w:rPr>
        <w:t>משיות</w:t>
      </w:r>
      <w:r w:rsidRPr="00A210E9">
        <w:rPr>
          <w:rFonts w:eastAsia="Calibri"/>
          <w:rtl/>
        </w:rPr>
        <w:t xml:space="preserve"> נגד התופעה הפסולה של הנפקת תגים בהונאה. </w:t>
      </w:r>
      <w:r w:rsidRPr="00A210E9">
        <w:rPr>
          <w:rFonts w:eastAsia="Calibri" w:hint="cs"/>
          <w:rtl/>
        </w:rPr>
        <w:t>העמותה התריעה מפני</w:t>
      </w:r>
      <w:r w:rsidRPr="00A210E9">
        <w:rPr>
          <w:rFonts w:eastAsia="Calibri"/>
          <w:rtl/>
        </w:rPr>
        <w:t xml:space="preserve"> מצב </w:t>
      </w:r>
      <w:r w:rsidRPr="00A210E9">
        <w:rPr>
          <w:rFonts w:eastAsia="Calibri" w:hint="cs"/>
          <w:rtl/>
        </w:rPr>
        <w:t xml:space="preserve">שבו מעשי </w:t>
      </w:r>
      <w:r w:rsidRPr="00A210E9">
        <w:rPr>
          <w:rFonts w:eastAsia="Calibri"/>
          <w:rtl/>
        </w:rPr>
        <w:t>ההונא</w:t>
      </w:r>
      <w:r w:rsidRPr="00A210E9">
        <w:rPr>
          <w:rFonts w:eastAsia="Calibri" w:hint="cs"/>
          <w:rtl/>
        </w:rPr>
        <w:t>ה</w:t>
      </w:r>
      <w:r w:rsidRPr="00A210E9">
        <w:rPr>
          <w:rFonts w:eastAsia="Calibri"/>
          <w:rtl/>
        </w:rPr>
        <w:t xml:space="preserve">, </w:t>
      </w:r>
      <w:r w:rsidRPr="00A210E9">
        <w:rPr>
          <w:rFonts w:eastAsia="Calibri" w:hint="cs"/>
          <w:rtl/>
        </w:rPr>
        <w:t>יובילו לכך שמשרד אחד ישלול</w:t>
      </w:r>
      <w:r w:rsidRPr="00A210E9">
        <w:rPr>
          <w:rFonts w:eastAsia="Calibri"/>
          <w:rtl/>
        </w:rPr>
        <w:t xml:space="preserve"> הטבות כלכליות מהזכאים</w:t>
      </w:r>
      <w:r w:rsidRPr="00A210E9">
        <w:rPr>
          <w:rFonts w:eastAsia="Calibri" w:hint="cs"/>
          <w:rtl/>
        </w:rPr>
        <w:t xml:space="preserve"> האמיתיים לכך, ו</w:t>
      </w:r>
      <w:r w:rsidRPr="00A210E9">
        <w:rPr>
          <w:rFonts w:eastAsia="Calibri"/>
          <w:rtl/>
        </w:rPr>
        <w:t>משרדים אחרים</w:t>
      </w:r>
      <w:r w:rsidRPr="00A210E9">
        <w:rPr>
          <w:rFonts w:eastAsia="Calibri" w:hint="cs"/>
          <w:rtl/>
        </w:rPr>
        <w:t xml:space="preserve"> לא ישיבו להם הטבות אלה</w:t>
      </w:r>
      <w:r w:rsidRPr="00A210E9">
        <w:rPr>
          <w:rFonts w:eastAsia="Calibri"/>
          <w:rtl/>
        </w:rPr>
        <w:t>.</w:t>
      </w:r>
      <w:r w:rsidRPr="00A210E9">
        <w:rPr>
          <w:rFonts w:eastAsia="Calibri" w:hint="cs"/>
          <w:rtl/>
        </w:rPr>
        <w:t xml:space="preserve"> פורום צמיד כתב בתשובתו כי לדעתו יש להחליף את ההטבה היחסית בהנחה שנתית קבועה, </w:t>
      </w:r>
      <w:r w:rsidRPr="00A210E9">
        <w:rPr>
          <w:rFonts w:eastAsia="Calibri"/>
          <w:rtl/>
        </w:rPr>
        <w:t>לרכב אחד בלבד המשויך לאדם עם המוגבלות</w:t>
      </w:r>
      <w:r w:rsidRPr="00A210E9">
        <w:rPr>
          <w:rFonts w:eastAsia="Calibri" w:hint="cs"/>
          <w:rtl/>
        </w:rPr>
        <w:t>. עמותת נגישות ישראל כתבה בתשובתה: "</w:t>
      </w:r>
      <w:r w:rsidRPr="00A210E9">
        <w:rPr>
          <w:rFonts w:eastAsia="Calibri"/>
          <w:rtl/>
        </w:rPr>
        <w:t>צריך להפריד בין התו לבין ההטבות, זה בהחלט תמריץ לרמאות</w:t>
      </w:r>
      <w:r w:rsidRPr="00A210E9">
        <w:rPr>
          <w:rFonts w:eastAsia="Calibri" w:hint="cs"/>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ההטבות הכלכליות משמשות תמריץ לבקשת תג, וסביר שהן אחד הגורמים לגידול במספר בעלי התג, ועקב כך גם במספר כלי הרכב המשויכים לתגים, ובפרט הגידול המתואר במהלך השנים 2006 - 2025.</w:t>
      </w:r>
      <w:r w:rsidRPr="00A210E9">
        <w:rPr>
          <w:rFonts w:eastAsia="Calibri" w:hint="eastAsia"/>
          <w:b/>
          <w:bCs/>
          <w:rtl/>
        </w:rPr>
        <w:t xml:space="preserve"> </w:t>
      </w:r>
      <w:r w:rsidRPr="00A210E9">
        <w:rPr>
          <w:rFonts w:eastAsia="Calibri" w:hint="cs"/>
          <w:b/>
          <w:bCs/>
          <w:rtl/>
        </w:rPr>
        <w:t xml:space="preserve">ההטבה באגרת הרישוי נאמדת בכ-1,500 ש"ח בשנה בממוצע. </w:t>
      </w:r>
      <w:r w:rsidRPr="00A210E9">
        <w:rPr>
          <w:rFonts w:eastAsia="Calibri"/>
          <w:b/>
          <w:bCs/>
          <w:rtl/>
        </w:rPr>
        <w:t xml:space="preserve">לאור </w:t>
      </w:r>
      <w:r w:rsidRPr="00A210E9">
        <w:rPr>
          <w:rFonts w:eastAsia="Calibri" w:hint="eastAsia"/>
          <w:b/>
          <w:bCs/>
          <w:rtl/>
        </w:rPr>
        <w:t>הגידול</w:t>
      </w:r>
      <w:r w:rsidRPr="00A210E9">
        <w:rPr>
          <w:rFonts w:eastAsia="Calibri"/>
          <w:b/>
          <w:bCs/>
          <w:rtl/>
        </w:rPr>
        <w:t xml:space="preserve"> המואץ במספר תגי </w:t>
      </w:r>
      <w:r w:rsidRPr="00A210E9">
        <w:rPr>
          <w:rFonts w:eastAsia="Calibri" w:hint="eastAsia"/>
          <w:b/>
          <w:bCs/>
          <w:rtl/>
        </w:rPr>
        <w:t>החניה</w:t>
      </w:r>
      <w:r w:rsidRPr="00A210E9">
        <w:rPr>
          <w:rFonts w:eastAsia="Calibri" w:hint="cs"/>
          <w:b/>
          <w:bCs/>
          <w:rtl/>
        </w:rPr>
        <w:t xml:space="preserve">, </w:t>
      </w:r>
      <w:r w:rsidRPr="00A210E9">
        <w:rPr>
          <w:rFonts w:eastAsia="Calibri" w:hint="eastAsia"/>
          <w:b/>
          <w:bCs/>
          <w:rtl/>
        </w:rPr>
        <w:t>ההערכה</w:t>
      </w:r>
      <w:r w:rsidRPr="00A210E9">
        <w:rPr>
          <w:rFonts w:eastAsia="Calibri"/>
          <w:b/>
          <w:bCs/>
          <w:rtl/>
        </w:rPr>
        <w:t xml:space="preserve"> </w:t>
      </w:r>
      <w:r w:rsidRPr="00A210E9">
        <w:rPr>
          <w:rFonts w:eastAsia="Calibri" w:hint="cs"/>
          <w:b/>
          <w:bCs/>
          <w:rtl/>
        </w:rPr>
        <w:t xml:space="preserve">היא </w:t>
      </w:r>
      <w:r w:rsidRPr="00A210E9">
        <w:rPr>
          <w:rFonts w:eastAsia="Calibri"/>
          <w:b/>
          <w:bCs/>
          <w:rtl/>
        </w:rPr>
        <w:t xml:space="preserve">של אובדן ההכנסות למדינה </w:t>
      </w:r>
      <w:r w:rsidRPr="00A210E9">
        <w:rPr>
          <w:rFonts w:eastAsia="Calibri" w:hint="eastAsia"/>
          <w:b/>
          <w:bCs/>
          <w:rtl/>
        </w:rPr>
        <w:t>בכ</w:t>
      </w:r>
      <w:r w:rsidRPr="00A210E9">
        <w:rPr>
          <w:rFonts w:eastAsia="Calibri"/>
          <w:b/>
          <w:bCs/>
          <w:rtl/>
        </w:rPr>
        <w:t>-</w:t>
      </w:r>
      <w:r w:rsidRPr="00A210E9">
        <w:rPr>
          <w:rFonts w:eastAsia="Calibri" w:hint="cs"/>
          <w:b/>
          <w:bCs/>
          <w:rtl/>
        </w:rPr>
        <w:t>405</w:t>
      </w:r>
      <w:r w:rsidRPr="00A210E9">
        <w:rPr>
          <w:rFonts w:eastAsia="Calibri"/>
          <w:b/>
          <w:bCs/>
          <w:rtl/>
        </w:rPr>
        <w:t xml:space="preserve"> מיליון ש"ח בשנת 2024 </w:t>
      </w:r>
      <w:r w:rsidRPr="00A210E9">
        <w:rPr>
          <w:rFonts w:eastAsia="Calibri" w:hint="eastAsia"/>
          <w:b/>
          <w:bCs/>
          <w:rtl/>
        </w:rPr>
        <w:t>בגין</w:t>
      </w:r>
      <w:r w:rsidRPr="00A210E9">
        <w:rPr>
          <w:rFonts w:eastAsia="Calibri"/>
          <w:b/>
          <w:bCs/>
          <w:rtl/>
        </w:rPr>
        <w:t xml:space="preserve"> אי-גביית אגרת רישוי מלאה </w:t>
      </w:r>
      <w:r w:rsidRPr="00A210E9">
        <w:rPr>
          <w:rFonts w:eastAsia="Calibri" w:hint="eastAsia"/>
          <w:b/>
          <w:bCs/>
          <w:rtl/>
        </w:rPr>
        <w:t>ושל</w:t>
      </w:r>
      <w:r w:rsidRPr="00A210E9">
        <w:rPr>
          <w:rFonts w:eastAsia="Calibri"/>
          <w:b/>
          <w:bCs/>
          <w:rtl/>
        </w:rPr>
        <w:t xml:space="preserve"> </w:t>
      </w:r>
      <w:r w:rsidRPr="00A210E9">
        <w:rPr>
          <w:rFonts w:eastAsia="Calibri" w:hint="eastAsia"/>
          <w:b/>
          <w:bCs/>
          <w:rtl/>
        </w:rPr>
        <w:t>אובדן</w:t>
      </w:r>
      <w:r w:rsidRPr="00A210E9">
        <w:rPr>
          <w:rFonts w:eastAsia="Calibri"/>
          <w:b/>
          <w:bCs/>
          <w:rtl/>
        </w:rPr>
        <w:t xml:space="preserve"> </w:t>
      </w:r>
      <w:r w:rsidRPr="00A210E9">
        <w:rPr>
          <w:rFonts w:eastAsia="Calibri" w:hint="eastAsia"/>
          <w:b/>
          <w:bCs/>
          <w:rtl/>
        </w:rPr>
        <w:t>ההכנסות</w:t>
      </w:r>
      <w:r w:rsidRPr="00A210E9">
        <w:rPr>
          <w:rFonts w:eastAsia="Calibri"/>
          <w:b/>
          <w:bCs/>
          <w:rtl/>
        </w:rPr>
        <w:t xml:space="preserve"> לרשויות המקומיות (</w:t>
      </w:r>
      <w:r w:rsidRPr="00A210E9">
        <w:rPr>
          <w:rFonts w:eastAsia="Calibri" w:hint="eastAsia"/>
          <w:b/>
          <w:bCs/>
          <w:rtl/>
        </w:rPr>
        <w:t>שאינו</w:t>
      </w:r>
      <w:r w:rsidRPr="00A210E9">
        <w:rPr>
          <w:rFonts w:eastAsia="Calibri"/>
          <w:b/>
          <w:bCs/>
          <w:rtl/>
        </w:rPr>
        <w:t xml:space="preserve"> </w:t>
      </w:r>
      <w:r w:rsidRPr="00A210E9">
        <w:rPr>
          <w:rFonts w:eastAsia="Calibri" w:hint="eastAsia"/>
          <w:b/>
          <w:bCs/>
          <w:rtl/>
        </w:rPr>
        <w:t>נמדד</w:t>
      </w:r>
      <w:r w:rsidRPr="00A210E9">
        <w:rPr>
          <w:rFonts w:eastAsia="Calibri"/>
          <w:b/>
          <w:bCs/>
          <w:rtl/>
        </w:rPr>
        <w:t xml:space="preserve">) בגין פטור מתשלום על חניה בכחול </w:t>
      </w:r>
      <w:r w:rsidRPr="00A210E9">
        <w:rPr>
          <w:rFonts w:eastAsia="Calibri" w:hint="eastAsia"/>
          <w:b/>
          <w:bCs/>
          <w:rtl/>
        </w:rPr>
        <w:t>לבן</w:t>
      </w:r>
      <w:r w:rsidRPr="00A210E9">
        <w:rPr>
          <w:rFonts w:eastAsia="Calibri"/>
          <w:b/>
          <w:bCs/>
          <w:rtl/>
        </w:rPr>
        <w:t xml:space="preserve"> ובחלק מהחניונים.</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p>
    <w:p w:rsidR="00A210E9" w:rsidRPr="00A210E9" w:rsidP="00A210E9">
      <w:pPr>
        <w:spacing w:line="269" w:lineRule="auto"/>
        <w:rPr>
          <w:rFonts w:eastAsia="Calibri"/>
          <w:b/>
          <w:bCs/>
          <w:rtl/>
        </w:rPr>
      </w:pPr>
      <w:r w:rsidRPr="00A210E9">
        <w:rPr>
          <w:rFonts w:eastAsia="Calibri" w:hint="cs"/>
          <w:b/>
          <w:bCs/>
          <w:rtl/>
        </w:rPr>
        <w:t xml:space="preserve">משרד מבקר המדינה ממליץ למשרד התחבורה לשקול מחדש את ההטבות הכלכליות הניתנות לבעלי תג חניה, ובפרט את הקריטריונים למתן אגרת רישוי מופחתת. במסגרת בחינה זו מומלץ לבחון גם את הקריטריונים למתן ההטבות במדינות מתקדמות רלוונטיות ואת התאמתם לנדרש בארץ. באם יוחלט על צמצום הטבות כלכליות לבעלי תג חניה, ראוי לבחון מתן הטבות חלופיות לנזקקים להן, באמצעות מנגנונים מתאימים תוך שיתוף משרדי הממשלה הרלוונטיים. </w:t>
      </w:r>
    </w:p>
    <w:p w:rsidR="00A210E9" w:rsidRPr="00A210E9" w:rsidP="00A210E9">
      <w:pPr>
        <w:spacing w:line="269" w:lineRule="auto"/>
        <w:rPr>
          <w:rFonts w:eastAsia="Calibri"/>
          <w:b/>
          <w:bCs/>
          <w:rtl/>
        </w:rPr>
      </w:pPr>
    </w:p>
    <w:p w:rsidR="00A210E9" w:rsidRPr="00A210E9" w:rsidP="00A210E9">
      <w:pPr>
        <w:spacing w:line="269" w:lineRule="auto"/>
        <w:jc w:val="center"/>
        <w:rPr>
          <w:rFonts w:ascii="Arial" w:eastAsia="Calibri" w:hAnsi="Arial" w:cs="Arial"/>
          <w:b/>
          <w:bCs/>
          <w:sz w:val="36"/>
          <w:rtl/>
        </w:rPr>
      </w:pPr>
      <w:r w:rsidRPr="00A210E9">
        <w:rPr>
          <w:rFonts w:ascii="Segoe UI Symbol" w:eastAsia="Calibri" w:hAnsi="Segoe UI Symbol" w:cs="Segoe UI Symbol" w:hint="cs"/>
          <w:b/>
          <w:bCs/>
          <w:sz w:val="36"/>
          <w:rtl/>
        </w:rPr>
        <w:t>✰</w:t>
      </w:r>
    </w:p>
    <w:p w:rsidR="00A210E9" w:rsidRPr="00A210E9" w:rsidP="00A210E9">
      <w:pPr>
        <w:keepNext/>
        <w:keepLines/>
        <w:spacing w:line="269" w:lineRule="auto"/>
        <w:ind w:left="-567"/>
        <w:rPr>
          <w:rFonts w:eastAsia="Calibri"/>
          <w:szCs w:val="20"/>
          <w:rtl/>
        </w:rPr>
      </w:pPr>
      <w:bookmarkStart w:id="96" w:name="_Hlk223879887"/>
    </w:p>
    <w:p w:rsidR="00A210E9" w:rsidRPr="00A210E9" w:rsidP="00A210E9">
      <w:pPr>
        <w:spacing w:line="269" w:lineRule="auto"/>
        <w:rPr>
          <w:rFonts w:eastAsia="Calibri"/>
          <w:b/>
          <w:bCs/>
          <w:rtl/>
        </w:rPr>
      </w:pPr>
      <w:r w:rsidRPr="00A210E9">
        <w:rPr>
          <w:rFonts w:eastAsia="Calibri" w:hint="cs"/>
          <w:b/>
          <w:bCs/>
          <w:rtl/>
        </w:rPr>
        <w:t>ריבוי ההטבות הניתנות למחזיק תג חניה לאדם עם מוגבלות בישראל, שהוא חריג לעומת מדינות אחרות בעולם, יוצר תמריץ של ממש לבקש תג חניה. חלק מההטבות הן כלכליות גרידא ואינן נוגעות בהכרח למטרת התג שנועד לאזן את הפערים התפקודיים של אנשים עם מוגבלות ולהקל את השתלבותם במרחב הציבורי. בד בבד עם העמימות בקריטריונים לזכאות לתג, שמקשה על זיהוי מובהק של אנשים עם מוגבלות שאכן נזקקים לתג חניה, נוצר מצב שבו גם מי שאינו מוגבל באופן מובהק בניידות מגיש בקשה לתג. בפרט, ההטבות הכלכליות יוצרות רווח כלכלי בשווי של אלפי שקלים בשנה. הדבר גורם גם לאובדן הכנסות למדינה המוערך בכ-405 מיליון ש"ח בשנת 2024 ולאובדן הכנסות לרשויות המקומיות בהיקף לא ידוע. העלייה החדה במספר בעלי תג בשנים האחרונות ובמספר כלי הרכב המשויכים לתגים מייצרת בעיות בשטח, בין היתר ניצול לרעה של ההטבות; קושי של אנשים עם מוגבלות למצוא חניה (ראו פירוט בפרקים להלן); פגיעה בתחושת הצדק ובתכלית התג ליצירת שוויון; אובדן היתרון של התג עבור אנשים עם מוגבלות הזקוקים לו.</w:t>
      </w:r>
    </w:p>
    <w:bookmarkEnd w:id="96"/>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משרד מבקר המדינה ממליץ למשרד התחבורה לבחון במסגרת עבודת המטה בנושא תגי חניה תוך בחינת הניסיון בנושא בעולם את מכלול ההטבות הניתנות לבעלי תג חניה, את התמריץ שהן מספקות למבקש תג חניה והשימוש לרעה בו ואת ההשלכות בשטח על יכולתם של אנשים עם מוגבלות בניידות לממש את ההקלות שהם זכאים להן. מומלץ שמשרדי הרווחה, האוצר, הביטחון והפנים, בשיתוף הביטוח הלאומי, יבחנו את הצורך בהטבות כלכליות לזכאים לתג חניה, ובמקומן מומלץ לשקול לתת הטבות באמצעות מנגנונים חלופיים ללא קשר למתן תגי חניה.</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rtl/>
        </w:rPr>
        <w:t xml:space="preserve">משרד </w:t>
      </w:r>
      <w:r w:rsidRPr="00A210E9">
        <w:rPr>
          <w:rFonts w:eastAsia="Calibri" w:hint="cs"/>
          <w:rtl/>
        </w:rPr>
        <w:t>התחבורה הביע בתשובתו נכונות</w:t>
      </w:r>
      <w:r w:rsidRPr="00A210E9">
        <w:rPr>
          <w:rFonts w:eastAsia="Calibri"/>
          <w:rtl/>
        </w:rPr>
        <w:t xml:space="preserve"> לבחון</w:t>
      </w:r>
      <w:r w:rsidRPr="00A210E9">
        <w:rPr>
          <w:rFonts w:eastAsia="Calibri" w:hint="cs"/>
          <w:rtl/>
        </w:rPr>
        <w:t xml:space="preserve">, נוסף על הנושאים הנבחנים שבהם עוסק הצוות הבין-משרדי 2025, </w:t>
      </w:r>
      <w:r w:rsidRPr="00A210E9">
        <w:rPr>
          <w:rFonts w:eastAsia="Calibri"/>
          <w:rtl/>
        </w:rPr>
        <w:t xml:space="preserve">היבטים </w:t>
      </w:r>
      <w:r w:rsidRPr="00A210E9">
        <w:rPr>
          <w:rFonts w:eastAsia="Calibri" w:hint="cs"/>
          <w:rtl/>
        </w:rPr>
        <w:t xml:space="preserve">אחרים </w:t>
      </w:r>
      <w:r w:rsidRPr="00A210E9">
        <w:rPr>
          <w:rFonts w:eastAsia="Calibri"/>
          <w:rtl/>
        </w:rPr>
        <w:t xml:space="preserve">המצויים בתחום אחריותו, ובכלל זה </w:t>
      </w:r>
      <w:r w:rsidRPr="00A210E9">
        <w:rPr>
          <w:rFonts w:eastAsia="Calibri" w:hint="cs"/>
          <w:rtl/>
        </w:rPr>
        <w:t xml:space="preserve">את </w:t>
      </w:r>
      <w:r w:rsidRPr="00A210E9">
        <w:rPr>
          <w:rFonts w:eastAsia="Calibri"/>
          <w:rtl/>
        </w:rPr>
        <w:t>מבנה ההטבה באגרת</w:t>
      </w:r>
      <w:r w:rsidRPr="00A210E9">
        <w:rPr>
          <w:rFonts w:eastAsia="Calibri" w:hint="cs"/>
          <w:rtl/>
        </w:rPr>
        <w:t xml:space="preserve"> </w:t>
      </w:r>
      <w:r w:rsidRPr="00A210E9">
        <w:rPr>
          <w:rFonts w:eastAsia="Calibri"/>
          <w:rtl/>
        </w:rPr>
        <w:t>הרישוי.</w:t>
      </w:r>
    </w:p>
    <w:p w:rsidR="00A210E9" w:rsidRPr="00A210E9" w:rsidP="00A210E9">
      <w:pPr>
        <w:spacing w:line="269" w:lineRule="auto"/>
        <w:rPr>
          <w:rFonts w:eastAsia="Calibri"/>
          <w:b/>
          <w:bCs/>
          <w:rtl/>
        </w:rPr>
      </w:pPr>
    </w:p>
    <w:p w:rsidR="00A210E9" w:rsidRPr="00A210E9" w:rsidP="00A210E9">
      <w:pPr>
        <w:keepNext/>
        <w:keepLines/>
        <w:spacing w:line="269" w:lineRule="auto"/>
        <w:outlineLvl w:val="2"/>
        <w:rPr>
          <w:rFonts w:eastAsia="Times New Roman"/>
          <w:bCs/>
          <w:szCs w:val="28"/>
          <w:u w:val="single"/>
          <w:rtl/>
        </w:rPr>
      </w:pPr>
      <w:bookmarkStart w:id="97" w:name="_Hlk208153267"/>
      <w:bookmarkStart w:id="98" w:name="_Hlk230875146"/>
      <w:bookmarkStart w:id="99" w:name="_Hlk211512556"/>
      <w:bookmarkStart w:id="100" w:name="_Hlk198626508"/>
      <w:bookmarkStart w:id="101" w:name="_Hlk211512913"/>
      <w:bookmarkEnd w:id="97"/>
      <w:r w:rsidRPr="00A210E9">
        <w:rPr>
          <w:rFonts w:eastAsia="Times New Roman" w:hint="cs"/>
          <w:bCs/>
          <w:szCs w:val="28"/>
          <w:u w:val="single"/>
          <w:rtl/>
        </w:rPr>
        <w:t>הקצאת מקומות חניה לאנשים עם מוגבלות ברשויות המקומיות</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הקצאת מקומות חניה לבעלי תג חניה במרחב הציבורי מוטלת בעיקר על הרשויות המקומיות, באמצעות סימון חניות מבין החניות הציבוריות כחניות המיועדות לבעלי תג חניה. הרשויות המקומיות נדרשות להבטיח נגישות מלאה ונוחה לאנשים עם מוגבלות כחלק מהחובה לקדם שוויון והשתלבות חברתית. היעדר חניה מותאמת פוגע בזכותם לחיות בכבוד ובשוויון, ועל כן יש להבטיח מענה הולם על צרכיהם במסגרת התכנון העירוני. </w:t>
      </w:r>
    </w:p>
    <w:p w:rsidR="00A210E9" w:rsidRPr="00A210E9" w:rsidP="00A210E9">
      <w:pPr>
        <w:spacing w:line="269" w:lineRule="auto"/>
        <w:rPr>
          <w:rFonts w:eastAsia="Calibri"/>
          <w:rtl/>
        </w:rPr>
      </w:pPr>
    </w:p>
    <w:p w:rsidR="00A210E9" w:rsidRPr="00A210E9" w:rsidP="00A210E9">
      <w:pPr>
        <w:spacing w:line="269" w:lineRule="auto"/>
        <w:rPr>
          <w:rFonts w:eastAsia="Calibri"/>
          <w:rtl/>
        </w:rPr>
      </w:pPr>
      <w:r w:rsidRPr="00A210E9">
        <w:rPr>
          <w:rFonts w:eastAsia="Calibri" w:hint="cs"/>
          <w:rtl/>
        </w:rPr>
        <w:t>אשר להקצאת חניות בבנייני מגורים, במבני ציבור (לדוגמה קופת חולים או בנק), ובמקום ציבורי שאינו בניין (לדוגמה גן ציבורי, בית עלמין או חוף ים) על הרשויות המקומיות לוודא כי הקצאת חניות לאנשים עם מוגבלות תואמת את דיני התכנון והבניה ואת התקנות שנקבעו מכוח חוק שוויון זכויות. חיקוקים אלה קובעים למשל את מספר מקומות החניה שיוקצו לאנשים עם מוגבלות מתוך כלל מקומות החניה והן את המידות התקניות לחניות אלה. לגבי בניינים ציבוריים קיימים</w:t>
      </w:r>
      <w:r>
        <w:rPr>
          <w:rFonts w:eastAsia="Calibri"/>
          <w:vertAlign w:val="superscript"/>
          <w:rtl/>
        </w:rPr>
        <w:footnoteReference w:id="89"/>
      </w:r>
      <w:r w:rsidRPr="00A210E9">
        <w:rPr>
          <w:rFonts w:eastAsia="Calibri" w:hint="cs"/>
          <w:rtl/>
        </w:rPr>
        <w:t xml:space="preserve"> חיוניים, </w:t>
      </w:r>
      <w:r w:rsidRPr="00A210E9">
        <w:rPr>
          <w:rFonts w:eastAsia="Calibri"/>
          <w:rtl/>
        </w:rPr>
        <w:t>אם</w:t>
      </w:r>
      <w:r w:rsidRPr="00A210E9">
        <w:rPr>
          <w:rFonts w:eastAsia="Calibri" w:hint="cs"/>
          <w:rtl/>
        </w:rPr>
        <w:t xml:space="preserve"> </w:t>
      </w:r>
      <w:r w:rsidRPr="00A210E9">
        <w:rPr>
          <w:rFonts w:eastAsia="Calibri"/>
          <w:rtl/>
        </w:rPr>
        <w:t xml:space="preserve">אין מקום בתוך המגרש, </w:t>
      </w:r>
      <w:r w:rsidRPr="00A210E9">
        <w:rPr>
          <w:rFonts w:eastAsia="Calibri" w:hint="cs"/>
          <w:rtl/>
        </w:rPr>
        <w:t>יש</w:t>
      </w:r>
      <w:r w:rsidRPr="00A210E9">
        <w:rPr>
          <w:rFonts w:eastAsia="Calibri"/>
          <w:rtl/>
        </w:rPr>
        <w:t xml:space="preserve"> לפנות לרשות המקומית על מנת שזו תקצה חניה נגישה ליד המדרכה</w:t>
      </w:r>
      <w:r w:rsidRPr="00A210E9">
        <w:rPr>
          <w:rFonts w:eastAsia="Calibri" w:hint="cs"/>
          <w:rtl/>
        </w:rPr>
        <w:t xml:space="preserve"> </w:t>
      </w:r>
      <w:r w:rsidRPr="00A210E9">
        <w:rPr>
          <w:rFonts w:eastAsia="Calibri"/>
          <w:rtl/>
        </w:rPr>
        <w:t>בקרבת המקום הציבורי החיוני</w:t>
      </w:r>
      <w:r w:rsidRPr="00A210E9">
        <w:rPr>
          <w:rFonts w:eastAsia="Calibri" w:hint="cs"/>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החניות לאנשים עם מוגבלות שהרשויות המקומיות מקצות במרחב הציבורי מחולקות לשני סוגים עיקריים: חניה בסמוך למדרכות ברחוב לשימוש כלל האנשים עם מוגבלות ומקום חניה אישי ברחוב בסמוך לביתו של בעל תג חניה (במקרים מסוימים הרשות המקומית אף מקצה מקום חניה אישי לבעל תג חניה בסמוך למקום עבודתו). חלק מהקצאות אלה נשענות על חוקים ותקנות וחלק מהן תלויות בשיקול דעתה של הרשות המקומית. התרשים שלהלן מציג את סוגי החניות ואת התשתית הנורמטיבית בבסיס הקצאתן:</w:t>
      </w:r>
    </w:p>
    <w:p w:rsidR="00A210E9" w:rsidRPr="00A210E9" w:rsidP="00A210E9">
      <w:pPr>
        <w:keepNext/>
        <w:keepLines/>
        <w:spacing w:line="269" w:lineRule="auto"/>
        <w:ind w:left="-567"/>
        <w:rPr>
          <w:rFonts w:eastAsia="Calibri"/>
          <w:szCs w:val="20"/>
        </w:rPr>
      </w:pPr>
    </w:p>
    <w:p w:rsidR="00A210E9" w:rsidRPr="00A210E9" w:rsidP="00A210E9">
      <w:pPr>
        <w:keepNext/>
        <w:keepLines/>
        <w:spacing w:line="269" w:lineRule="auto"/>
        <w:jc w:val="center"/>
        <w:rPr>
          <w:rFonts w:eastAsia="Calibri"/>
          <w:rtl/>
        </w:rPr>
      </w:pPr>
      <w:r w:rsidRPr="00A210E9">
        <w:rPr>
          <w:rFonts w:eastAsia="Calibri" w:hint="cs"/>
          <w:rtl/>
        </w:rPr>
        <w:t xml:space="preserve">תרשים 13: </w:t>
      </w:r>
      <w:r w:rsidRPr="00A210E9">
        <w:rPr>
          <w:rFonts w:eastAsia="Calibri" w:hint="cs"/>
          <w:b/>
          <w:bCs/>
          <w:rtl/>
        </w:rPr>
        <w:t>חוקים ותקנות בדבר</w:t>
      </w:r>
      <w:bookmarkStart w:id="102" w:name="_Hlk222335883"/>
      <w:r w:rsidRPr="00A210E9">
        <w:rPr>
          <w:rFonts w:eastAsia="Calibri" w:hint="cs"/>
          <w:b/>
          <w:bCs/>
          <w:rtl/>
        </w:rPr>
        <w:t xml:space="preserve"> </w:t>
      </w:r>
      <w:bookmarkEnd w:id="102"/>
      <w:r w:rsidRPr="00A210E9">
        <w:rPr>
          <w:rFonts w:eastAsia="Calibri" w:hint="cs"/>
          <w:b/>
          <w:bCs/>
          <w:rtl/>
        </w:rPr>
        <w:t>הקצאת מקומות חניה לאנשים עם מוגבלות</w:t>
      </w:r>
    </w:p>
    <w:p w:rsidR="00A210E9" w:rsidRPr="00A210E9" w:rsidP="00A210E9">
      <w:pPr>
        <w:spacing w:line="269" w:lineRule="auto"/>
        <w:jc w:val="center"/>
        <w:rPr>
          <w:rFonts w:eastAsia="Calibri"/>
          <w:rtl/>
        </w:rPr>
      </w:pPr>
      <w:r w:rsidRPr="00A210E9">
        <w:rPr>
          <w:rFonts w:eastAsia="Calibri"/>
          <w:noProof/>
        </w:rPr>
        <w:drawing>
          <wp:inline distT="0" distB="0" distL="0" distR="0">
            <wp:extent cx="4953000" cy="3680460"/>
            <wp:effectExtent l="0" t="0" r="0" b="0"/>
            <wp:docPr id="24" name="תמונה 24" descr="למעלה מימין:&#10;הקצאת מקומות חניה ליד המדרכות:&#10;אין תקנות.&#10;&#10;למעלה משמאל:&#10;הקצאת מקומות חניה בבנייני מגורים,&#10;במבני ציבור ובמקום ציבורי שאינו בניין:&#10;דיני התכנון והבניה והתקנות שהותקנו מכוח חוק שוויון זכויות לאנשים עם מוגבלות קובעים את מספר החניות הנגישות שיש להקצות, בהתאם למספר החניות הכולל במקום.&#10;&#10;למטה מימין:&#10;הקצאת מקום חניה אישי ליד הבית:&#10;חוק חניה לנכים קובע קריטריונים להקצאה ומקנה לרשות המקומית שיקול דעת במקרים מסוימים.&#10;&#10;למטה משמאל:&#10;הקצאת מקום חניה ליד העבודה&#10;תקנות שוויון זכויות לאנשים עם מוגבלות (עדיפות במקומות חניה במקום העבודה), תשס&quot;ב-2001 קובעות את חובת ההסדרה&#10;ומטילה את האחריות לה על המעסי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xmlns:r="http://schemas.openxmlformats.org/officeDocument/2006/relationships" r:embed="rId32"/>
                    <a:srcRect l="2627" t="9171" r="2494" b="8815"/>
                    <a:stretch>
                      <a:fillRect/>
                    </a:stretch>
                  </pic:blipFill>
                  <pic:spPr bwMode="auto">
                    <a:xfrm>
                      <a:off x="0" y="0"/>
                      <a:ext cx="4953000" cy="36804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A210E9" w:rsidP="00A210E9">
      <w:pPr>
        <w:spacing w:line="269" w:lineRule="auto"/>
        <w:rPr>
          <w:rFonts w:eastAsia="Calibri"/>
          <w:sz w:val="18"/>
          <w:szCs w:val="22"/>
          <w:rtl/>
        </w:rPr>
      </w:pPr>
      <w:r w:rsidRPr="00A210E9">
        <w:rPr>
          <w:rFonts w:eastAsia="Calibri" w:hint="cs"/>
          <w:sz w:val="18"/>
          <w:szCs w:val="22"/>
          <w:rtl/>
        </w:rPr>
        <w:t>על פי החקיקה הרלוונטית בנושא הקצאת מקומות חניה לאנשים עם מוגבלות, בעיבוד משרד מבקר המדינה.</w:t>
      </w:r>
    </w:p>
    <w:p w:rsidR="008A06B3" w:rsidP="00A210E9">
      <w:pPr>
        <w:spacing w:line="269" w:lineRule="auto"/>
        <w:rPr>
          <w:rFonts w:eastAsia="Calibri"/>
          <w:sz w:val="18"/>
          <w:szCs w:val="22"/>
          <w:rtl/>
        </w:rPr>
      </w:pPr>
    </w:p>
    <w:p w:rsidR="008A06B3" w:rsidRPr="00A210E9" w:rsidP="00A210E9">
      <w:pPr>
        <w:spacing w:line="269" w:lineRule="auto"/>
        <w:rPr>
          <w:rFonts w:eastAsia="Calibri"/>
          <w:sz w:val="18"/>
          <w:szCs w:val="22"/>
          <w:rtl/>
        </w:rPr>
      </w:pPr>
    </w:p>
    <w:bookmarkEnd w:id="98"/>
    <w:p w:rsidR="00A210E9" w:rsidRPr="00A210E9" w:rsidP="00A210E9">
      <w:pPr>
        <w:keepNext/>
        <w:keepLines/>
        <w:spacing w:line="269" w:lineRule="auto"/>
        <w:outlineLvl w:val="3"/>
        <w:rPr>
          <w:rFonts w:eastAsia="Times New Roman"/>
          <w:bCs/>
          <w:szCs w:val="26"/>
          <w:rtl/>
        </w:rPr>
      </w:pPr>
      <w:r w:rsidRPr="00A210E9">
        <w:rPr>
          <w:rFonts w:eastAsia="Times New Roman" w:hint="cs"/>
          <w:bCs/>
          <w:szCs w:val="26"/>
          <w:rtl/>
        </w:rPr>
        <w:t>הקצאת מקום חניה בסמוך למדרכות ברחוב</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חניות בצידי הדרך ובסמוך למדרכות ברחבי הרשות המקומית הן לרוב חניות המוקצות בקרבת מוסדות ציבור כדי להקל על האנשים עם מוגבלות את הגישה למקומות אלה. כיום, בהיעדר חיקוק מתאים המנחה את אופן הקצאת החניות, הרשויות המקומיות מקצות חניות אלה על פי שיקול דעת עצמאי</w:t>
      </w:r>
      <w:bookmarkStart w:id="103" w:name="_Hlk222335981"/>
      <w:bookmarkStart w:id="104" w:name="_Hlk222336000"/>
      <w:r w:rsidRPr="00A210E9">
        <w:rPr>
          <w:rFonts w:eastAsia="Calibri" w:hint="cs"/>
          <w:rtl/>
        </w:rPr>
        <w:t>.</w:t>
      </w:r>
      <w:bookmarkEnd w:id="103"/>
      <w:r w:rsidRPr="00A210E9">
        <w:rPr>
          <w:rFonts w:eastAsia="Calibri" w:hint="cs"/>
          <w:rtl/>
        </w:rPr>
        <w:t xml:space="preserve"> </w:t>
      </w:r>
      <w:bookmarkEnd w:id="104"/>
      <w:r w:rsidRPr="00A210E9">
        <w:rPr>
          <w:rFonts w:eastAsia="Calibri" w:hint="cs"/>
          <w:rtl/>
        </w:rPr>
        <w:t>הגידול בשנים האחרונות במספר המחזיקים בתג חניה, בד בבד עם מצוקת החניה הקיימת באזורים עירוניים, עלולים לגרום למחסור חמור במקומות חניה, ועל כן רשויות מקומיות רבות ניצבות בפני דילמה בבואן להקצות חניות אלה, ועליהן להביא בחשבון את מכלול השיקולים בעת הקצאתן.</w:t>
      </w:r>
    </w:p>
    <w:p w:rsidR="00A210E9" w:rsidRPr="00A210E9" w:rsidP="00A210E9">
      <w:pPr>
        <w:spacing w:line="269" w:lineRule="auto"/>
        <w:rPr>
          <w:rFonts w:eastAsia="Calibri"/>
          <w:rtl/>
        </w:rPr>
      </w:pPr>
    </w:p>
    <w:p w:rsidR="00A210E9" w:rsidRPr="00A210E9" w:rsidP="00A210E9">
      <w:pPr>
        <w:keepNext/>
        <w:keepLines/>
        <w:spacing w:line="269" w:lineRule="auto"/>
        <w:outlineLvl w:val="4"/>
        <w:rPr>
          <w:rFonts w:eastAsia="Times New Roman"/>
          <w:bCs/>
          <w:spacing w:val="40"/>
          <w:rtl/>
        </w:rPr>
      </w:pPr>
      <w:r w:rsidRPr="00A210E9">
        <w:rPr>
          <w:rFonts w:eastAsia="Times New Roman" w:hint="cs"/>
          <w:bCs/>
          <w:spacing w:val="40"/>
          <w:rtl/>
        </w:rPr>
        <w:t>תקנות בנוגע להקצאת חניות לאנשים עם מוגבלות ברחוב</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סעיף 19לט לחוק שוויון זכויות מטיל על שר הפנים להתקין את תקנות שוויון לאנשים עם מוגבלות (דרכים נגישות) (להלן - תקנות דרכים נגישות) שאמורות בין היתר להסדיר את נושא הקצאת חניות הנכים ברחוב. על פי החוק הזה, אמור היה שר הפנים לאשר את התקנות עד 2006, ויישומן אמור היה לחול באופן מיידי לגבי דרכים חדשות שבנייתן תחל לאחר תחילתן של התקנות. אשר לדרכים קיימות, כלומר דרכים שנבנו לפני תחילתן של התקנות, ניתן בחוק זה פרק זמן של 11 שנים לצורך יישומן, דהיינו עד 2018. הסיבה לכך שמועד היישום של תקנות דרכים קיימות מאוחר יותר ממועד אישור תקנות לדרכים חדשות היא בשל המורכבות בביצוע שינויים לצורכי נגישות בדרך קיימת לעומת דרך חדשה.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בעקבות עיכוב באישור תקנות דרכים נגישות, הגישה עמותת נגישות ישראל ב-30.6.08, העוסקת בנגישות לאנשים עם מוגבלות, עתירה לבג"ץ</w:t>
      </w:r>
      <w:r>
        <w:rPr>
          <w:rFonts w:eastAsia="Calibri"/>
          <w:vertAlign w:val="superscript"/>
          <w:rtl/>
        </w:rPr>
        <w:footnoteReference w:id="90"/>
      </w:r>
      <w:r w:rsidRPr="00A210E9">
        <w:rPr>
          <w:rFonts w:eastAsia="Calibri" w:hint="cs"/>
          <w:rtl/>
        </w:rPr>
        <w:t xml:space="preserve"> נגד שר הפנים ואח' (להלן - בג"ץ 5833/08). נכון ליוני 2025, הנושא נמצא עדיין בדיונים בבג"ץ (ראו פירוט בהמשך).</w:t>
      </w:r>
    </w:p>
    <w:p w:rsidR="00A210E9" w:rsidRPr="00A210E9" w:rsidP="00A210E9">
      <w:pPr>
        <w:keepNext/>
        <w:keepLines/>
        <w:spacing w:line="269" w:lineRule="auto"/>
        <w:ind w:left="-567"/>
        <w:rPr>
          <w:rFonts w:eastAsia="Calibri"/>
          <w:szCs w:val="20"/>
          <w:rtl/>
        </w:rPr>
      </w:pPr>
    </w:p>
    <w:p w:rsidR="00A210E9" w:rsidRPr="00A210E9" w:rsidP="00A210E9">
      <w:pPr>
        <w:keepNext/>
        <w:keepLines/>
        <w:spacing w:line="269" w:lineRule="auto"/>
        <w:ind w:left="-1"/>
        <w:rPr>
          <w:rFonts w:eastAsia="Calibri"/>
          <w:szCs w:val="20"/>
          <w:rtl/>
        </w:rPr>
      </w:pPr>
      <w:r w:rsidRPr="00A210E9">
        <w:rPr>
          <w:rFonts w:eastAsia="Calibri" w:hint="eastAsia"/>
          <w:rtl/>
        </w:rPr>
        <w:t>בעקבות</w:t>
      </w:r>
      <w:r w:rsidRPr="00A210E9">
        <w:rPr>
          <w:rFonts w:eastAsia="Calibri"/>
          <w:rtl/>
        </w:rPr>
        <w:t xml:space="preserve"> </w:t>
      </w:r>
      <w:r w:rsidRPr="00A210E9">
        <w:rPr>
          <w:rFonts w:eastAsia="Calibri" w:hint="eastAsia"/>
          <w:rtl/>
        </w:rPr>
        <w:t>אי</w:t>
      </w:r>
      <w:r w:rsidRPr="00A210E9">
        <w:rPr>
          <w:rFonts w:eastAsia="Calibri"/>
          <w:rtl/>
        </w:rPr>
        <w:t>-</w:t>
      </w:r>
      <w:r w:rsidRPr="00A210E9">
        <w:rPr>
          <w:rFonts w:eastAsia="Calibri" w:hint="eastAsia"/>
          <w:rtl/>
        </w:rPr>
        <w:t>התקנת</w:t>
      </w:r>
      <w:r w:rsidRPr="00A210E9">
        <w:rPr>
          <w:rFonts w:eastAsia="Calibri"/>
          <w:rtl/>
        </w:rPr>
        <w:t xml:space="preserve"> התקנות על ידי משרד הפנים העיר מבקר המדינה בדוח משנת 2015 כי "אי התקנת חלק מהתקנות אינה מאפשרת את יישומו המלא של חוק שוויון זכויות לאנשים עם מוגבלות. העיכוב המתמשך של המשרדים בקידום תהליך אישורן של התקנות, שחרג במידה ניכרת מלוח הזמנים שנקבע בחוק, פוגע ביכולת לקיים את מטרת החוק, שהיא, בין השאר, לספק באופן הולם את צרכיה המיוחדים של אוכלוסיית בעלי המוגבלות, באופן שיאפשר להם לחיות את חייהם בעצמאות מרבית, בפרטיות ובכבוד, תוך מיצוי מלוא יכולתם"</w:t>
      </w:r>
      <w:r>
        <w:rPr>
          <w:rFonts w:eastAsia="Calibri"/>
          <w:vertAlign w:val="superscript"/>
          <w:rtl/>
        </w:rPr>
        <w:footnoteReference w:id="91"/>
      </w:r>
      <w:r w:rsidRPr="00A210E9">
        <w:rPr>
          <w:rFonts w:eastAsia="Calibri" w:hint="cs"/>
          <w:szCs w:val="20"/>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משרד הפנים מסר למשרד מבקר המדינה כי בשנים 2013 ו-2016 הוא הניח טיוטת תקנות על שולחן ועדת העבודה, הרווחה והבריאות של הכנסת. משרד מבקר המדינה מצא כי טיוטת התקנות משנת 2016 נגעה בין היתר להנגשת דרכים קיימות וחדשות</w:t>
      </w:r>
      <w:r>
        <w:rPr>
          <w:rFonts w:eastAsia="Calibri"/>
          <w:vertAlign w:val="superscript"/>
          <w:rtl/>
        </w:rPr>
        <w:footnoteReference w:id="92"/>
      </w:r>
      <w:r w:rsidRPr="00A210E9">
        <w:rPr>
          <w:rFonts w:eastAsia="Calibri" w:hint="cs"/>
          <w:rtl/>
        </w:rPr>
        <w:t xml:space="preserve"> וביקשה להסמיך את מהנדס העיר להחליט בנוגע למקומות חניה נגישים לאורך מדרכות בדרכים עירוניות, אך לא קבעה את היחס המספרי בין חניות הנכים לחניות הרגילות. משרד הפנים מסר כי הדיון בוועדה לא התקדם, בין היתר על רקע המשמעות התקציבית הנוגעת לרשויות המקומיות, דבר שלא ניתן לו מענה באותה עת, וכי בעקבות זאת נעשו ניסיונות לגבש פתרון מוסכם לכך בין משרד הפנים, משרד המשפטים ונציבות שוויון זכויות.</w:t>
      </w:r>
    </w:p>
    <w:p w:rsidR="00A210E9" w:rsidRPr="00A210E9" w:rsidP="00A210E9">
      <w:pPr>
        <w:keepNext/>
        <w:keepLines/>
        <w:spacing w:line="269" w:lineRule="auto"/>
        <w:ind w:left="-567"/>
        <w:rPr>
          <w:rFonts w:eastAsia="Calibri"/>
          <w:szCs w:val="20"/>
        </w:rPr>
      </w:pPr>
    </w:p>
    <w:p w:rsidR="00A210E9" w:rsidRPr="00A210E9" w:rsidP="00A210E9">
      <w:pPr>
        <w:spacing w:line="269" w:lineRule="auto"/>
        <w:rPr>
          <w:rFonts w:eastAsia="Calibri"/>
          <w:rtl/>
        </w:rPr>
      </w:pPr>
      <w:r w:rsidRPr="00A210E9">
        <w:rPr>
          <w:rFonts w:eastAsia="Calibri" w:hint="cs"/>
          <w:rtl/>
        </w:rPr>
        <w:t xml:space="preserve">על פי מכתב שנשלח ממש"ם לשר הפנים בנובמבר 2020, ועל פי תשובת משרד הפנים </w:t>
      </w:r>
      <w:r w:rsidRPr="00A210E9">
        <w:rPr>
          <w:rFonts w:eastAsia="Calibri" w:hint="eastAsia"/>
          <w:rtl/>
        </w:rPr>
        <w:t>ממאי</w:t>
      </w:r>
      <w:r w:rsidRPr="00A210E9">
        <w:rPr>
          <w:rFonts w:eastAsia="Calibri"/>
          <w:rtl/>
        </w:rPr>
        <w:t xml:space="preserve"> 2026 (להלן </w:t>
      </w:r>
      <w:r w:rsidRPr="00A210E9">
        <w:rPr>
          <w:rFonts w:eastAsia="Calibri" w:hint="cs"/>
          <w:rtl/>
        </w:rPr>
        <w:t>-</w:t>
      </w:r>
      <w:r w:rsidRPr="00A210E9">
        <w:rPr>
          <w:rFonts w:eastAsia="Calibri"/>
          <w:rtl/>
        </w:rPr>
        <w:t xml:space="preserve"> תשובת משרד הפנים)</w:t>
      </w:r>
      <w:r w:rsidRPr="00A210E9">
        <w:rPr>
          <w:rFonts w:eastAsia="Calibri" w:hint="cs"/>
          <w:rtl/>
        </w:rPr>
        <w:t xml:space="preserve">, הוצע כי </w:t>
      </w:r>
      <w:r w:rsidRPr="00A210E9">
        <w:rPr>
          <w:rFonts w:eastAsia="Calibri"/>
          <w:rtl/>
        </w:rPr>
        <w:t>התקנות העוסקות בנגישות דרכים יופרדו לתקנות שעוסקות בדרכים חדשות ו</w:t>
      </w:r>
      <w:r w:rsidRPr="00A210E9">
        <w:rPr>
          <w:rFonts w:eastAsia="Calibri" w:hint="cs"/>
          <w:rtl/>
        </w:rPr>
        <w:t>ל</w:t>
      </w:r>
      <w:r w:rsidRPr="00A210E9">
        <w:rPr>
          <w:rFonts w:eastAsia="Calibri"/>
          <w:rtl/>
        </w:rPr>
        <w:t>תקנות העוסקות בדרכים קיימות</w:t>
      </w:r>
      <w:r w:rsidRPr="00A210E9">
        <w:rPr>
          <w:rFonts w:eastAsia="Calibri" w:hint="cs"/>
          <w:rtl/>
        </w:rPr>
        <w:t>.</w:t>
      </w:r>
      <w:r w:rsidRPr="00A210E9">
        <w:rPr>
          <w:rFonts w:eastAsia="Calibri"/>
          <w:rtl/>
        </w:rPr>
        <w:t xml:space="preserve"> כך ניתן יהיה להתקדם בהתקנתן בנפרד </w:t>
      </w:r>
      <w:r w:rsidRPr="00A210E9">
        <w:rPr>
          <w:rFonts w:eastAsia="Calibri" w:hint="eastAsia"/>
          <w:rtl/>
        </w:rPr>
        <w:t>ו</w:t>
      </w:r>
      <w:r w:rsidRPr="00A210E9">
        <w:rPr>
          <w:rFonts w:eastAsia="Calibri"/>
          <w:rtl/>
        </w:rPr>
        <w:t>ללא תלות ביניהן</w:t>
      </w:r>
      <w:r w:rsidRPr="00A210E9">
        <w:rPr>
          <w:rFonts w:eastAsia="Calibri" w:hint="cs"/>
          <w:rtl/>
        </w:rPr>
        <w:t>, תוך דחיית המועד להתקנות תקנות לגבי דרכים קיימות וליישומן</w:t>
      </w:r>
      <w:r w:rsidRPr="00A210E9">
        <w:rPr>
          <w:rFonts w:eastAsia="Calibri"/>
          <w:rtl/>
        </w:rPr>
        <w:t xml:space="preserve">. </w:t>
      </w:r>
      <w:r w:rsidRPr="00A210E9">
        <w:rPr>
          <w:rFonts w:eastAsia="Calibri" w:hint="cs"/>
          <w:rtl/>
        </w:rPr>
        <w:t xml:space="preserve">עם זאת, בשל חילוקי דעות בין הגופים השונים הצעה זו לא יושמה באותה עת. </w:t>
      </w:r>
    </w:p>
    <w:p w:rsidR="00A157C9">
      <w:pPr>
        <w:bidi w:val="0"/>
        <w:spacing w:after="200" w:line="276" w:lineRule="auto"/>
        <w:rPr>
          <w:rFonts w:eastAsia="Calibri"/>
          <w:rtl/>
        </w:rPr>
      </w:pPr>
      <w:bookmarkStart w:id="105" w:name="_Hlk223009151"/>
      <w:r>
        <w:rPr>
          <w:rFonts w:eastAsia="Calibri"/>
          <w:rtl/>
        </w:rPr>
        <w:br w:type="page"/>
      </w:r>
    </w:p>
    <w:p w:rsidR="00A210E9" w:rsidRPr="00A210E9" w:rsidP="00A210E9">
      <w:pPr>
        <w:spacing w:line="269" w:lineRule="auto"/>
        <w:rPr>
          <w:rFonts w:eastAsia="Calibri"/>
          <w:rtl/>
        </w:rPr>
      </w:pPr>
      <w:r w:rsidRPr="00A210E9">
        <w:rPr>
          <w:rFonts w:eastAsia="Calibri" w:hint="cs"/>
          <w:rtl/>
        </w:rPr>
        <w:t>במכתב ששלח מש"ם לשר הפנים נכתב</w:t>
      </w:r>
      <w:r w:rsidRPr="00A210E9">
        <w:rPr>
          <w:rFonts w:eastAsia="Calibri"/>
          <w:rtl/>
        </w:rPr>
        <w:t xml:space="preserve"> </w:t>
      </w:r>
      <w:bookmarkEnd w:id="105"/>
      <w:r w:rsidRPr="00A210E9">
        <w:rPr>
          <w:rFonts w:eastAsia="Calibri" w:hint="cs"/>
          <w:rtl/>
        </w:rPr>
        <w:t>כי</w:t>
      </w:r>
      <w:r w:rsidRPr="00A210E9">
        <w:rPr>
          <w:rFonts w:eastAsia="Calibri"/>
          <w:rtl/>
        </w:rPr>
        <w:t xml:space="preserve"> </w:t>
      </w:r>
      <w:r w:rsidRPr="00A210E9">
        <w:rPr>
          <w:rFonts w:eastAsia="Calibri" w:hint="eastAsia"/>
          <w:rtl/>
        </w:rPr>
        <w:t>הנגשת</w:t>
      </w:r>
      <w:r w:rsidRPr="00A210E9">
        <w:rPr>
          <w:rFonts w:eastAsia="Calibri"/>
          <w:rtl/>
        </w:rPr>
        <w:t xml:space="preserve"> דרך קיימת מוערכת על ידי </w:t>
      </w:r>
      <w:r w:rsidRPr="00A210E9">
        <w:rPr>
          <w:rFonts w:eastAsia="Calibri" w:hint="cs"/>
          <w:rtl/>
        </w:rPr>
        <w:t>מש"ם</w:t>
      </w:r>
      <w:r w:rsidRPr="00A210E9">
        <w:rPr>
          <w:rFonts w:eastAsia="Calibri"/>
          <w:rtl/>
        </w:rPr>
        <w:t xml:space="preserve"> </w:t>
      </w:r>
      <w:r w:rsidRPr="00A210E9">
        <w:rPr>
          <w:rFonts w:eastAsia="Calibri" w:hint="eastAsia"/>
          <w:rtl/>
        </w:rPr>
        <w:t>בכ</w:t>
      </w:r>
      <w:r w:rsidRPr="00A210E9">
        <w:rPr>
          <w:rFonts w:eastAsia="Calibri"/>
          <w:rtl/>
        </w:rPr>
        <w:t xml:space="preserve">-10 </w:t>
      </w:r>
      <w:r w:rsidRPr="00A210E9">
        <w:rPr>
          <w:rFonts w:eastAsia="Calibri" w:hint="eastAsia"/>
          <w:rtl/>
        </w:rPr>
        <w:t>מיליארד</w:t>
      </w:r>
      <w:r w:rsidRPr="00A210E9">
        <w:rPr>
          <w:rFonts w:eastAsia="Calibri"/>
          <w:rtl/>
        </w:rPr>
        <w:t xml:space="preserve"> </w:t>
      </w:r>
      <w:r w:rsidRPr="00A210E9">
        <w:rPr>
          <w:rFonts w:eastAsia="Calibri" w:hint="eastAsia"/>
          <w:rtl/>
        </w:rPr>
        <w:t>ש</w:t>
      </w:r>
      <w:r w:rsidRPr="00A210E9">
        <w:rPr>
          <w:rFonts w:eastAsia="Calibri"/>
          <w:rtl/>
        </w:rPr>
        <w:t xml:space="preserve">"ח, </w:t>
      </w:r>
      <w:r w:rsidRPr="00A210E9">
        <w:rPr>
          <w:rFonts w:eastAsia="Calibri" w:hint="eastAsia"/>
          <w:rtl/>
        </w:rPr>
        <w:t>לעומת</w:t>
      </w:r>
      <w:r w:rsidRPr="00A210E9">
        <w:rPr>
          <w:rFonts w:eastAsia="Calibri"/>
          <w:rtl/>
        </w:rPr>
        <w:t xml:space="preserve"> </w:t>
      </w:r>
      <w:r w:rsidRPr="00A210E9">
        <w:rPr>
          <w:rFonts w:eastAsia="Calibri" w:hint="cs"/>
          <w:rtl/>
        </w:rPr>
        <w:t>ה</w:t>
      </w:r>
      <w:r w:rsidRPr="00A210E9">
        <w:rPr>
          <w:rFonts w:eastAsia="Calibri" w:hint="eastAsia"/>
          <w:rtl/>
        </w:rPr>
        <w:t>נגשה</w:t>
      </w:r>
      <w:r w:rsidRPr="00A210E9">
        <w:rPr>
          <w:rFonts w:eastAsia="Calibri"/>
          <w:rtl/>
        </w:rPr>
        <w:t xml:space="preserve"> </w:t>
      </w:r>
      <w:r w:rsidRPr="00A210E9">
        <w:rPr>
          <w:rFonts w:eastAsia="Calibri" w:hint="eastAsia"/>
          <w:rtl/>
        </w:rPr>
        <w:t>של</w:t>
      </w:r>
      <w:r w:rsidRPr="00A210E9">
        <w:rPr>
          <w:rFonts w:eastAsia="Calibri"/>
          <w:rtl/>
        </w:rPr>
        <w:t xml:space="preserve"> </w:t>
      </w:r>
      <w:r w:rsidRPr="00A210E9">
        <w:rPr>
          <w:rFonts w:eastAsia="Calibri" w:hint="eastAsia"/>
          <w:rtl/>
        </w:rPr>
        <w:t>דרכים</w:t>
      </w:r>
      <w:r w:rsidRPr="00A210E9">
        <w:rPr>
          <w:rFonts w:eastAsia="Calibri"/>
          <w:rtl/>
        </w:rPr>
        <w:t xml:space="preserve"> </w:t>
      </w:r>
      <w:r w:rsidRPr="00A210E9">
        <w:rPr>
          <w:rFonts w:eastAsia="Calibri" w:hint="eastAsia"/>
          <w:rtl/>
        </w:rPr>
        <w:t>חדשות</w:t>
      </w:r>
      <w:r w:rsidRPr="00A210E9">
        <w:rPr>
          <w:rFonts w:eastAsia="Calibri"/>
          <w:rtl/>
        </w:rPr>
        <w:t xml:space="preserve"> או מחודשות </w:t>
      </w:r>
      <w:r w:rsidRPr="00A210E9">
        <w:rPr>
          <w:rFonts w:eastAsia="Calibri" w:hint="cs"/>
          <w:rtl/>
        </w:rPr>
        <w:t>ש</w:t>
      </w:r>
      <w:r w:rsidRPr="00A210E9">
        <w:rPr>
          <w:rFonts w:eastAsia="Calibri" w:hint="eastAsia"/>
          <w:rtl/>
        </w:rPr>
        <w:t>עלות</w:t>
      </w:r>
      <w:r w:rsidRPr="00A210E9">
        <w:rPr>
          <w:rFonts w:eastAsia="Calibri" w:hint="cs"/>
          <w:rtl/>
        </w:rPr>
        <w:t>ה מזערית</w:t>
      </w:r>
      <w:r w:rsidRPr="00A210E9">
        <w:rPr>
          <w:rFonts w:eastAsia="Calibri"/>
          <w:rtl/>
        </w:rPr>
        <w:t xml:space="preserve">. </w:t>
      </w:r>
      <w:r w:rsidRPr="00A210E9">
        <w:rPr>
          <w:rFonts w:eastAsia="Calibri" w:hint="cs"/>
          <w:rtl/>
        </w:rPr>
        <w:t>מש"ם התייחס במכתבו לעיכוב בהסדרת התקנות וכתב: "</w:t>
      </w:r>
      <w:r w:rsidRPr="00A210E9">
        <w:rPr>
          <w:rFonts w:eastAsia="Calibri"/>
          <w:rtl/>
        </w:rPr>
        <w:t>כל יום שעובר</w:t>
      </w:r>
      <w:r w:rsidRPr="00A210E9">
        <w:rPr>
          <w:rFonts w:eastAsia="Calibri" w:hint="cs"/>
          <w:rtl/>
        </w:rPr>
        <w:t>,</w:t>
      </w:r>
      <w:r w:rsidRPr="00A210E9">
        <w:rPr>
          <w:rFonts w:eastAsia="Calibri"/>
          <w:rtl/>
        </w:rPr>
        <w:t xml:space="preserve"> מהווה נזק כלכלי משמעותי לרשו</w:t>
      </w:r>
      <w:r w:rsidRPr="00A210E9">
        <w:rPr>
          <w:rFonts w:eastAsia="Calibri" w:hint="eastAsia"/>
          <w:rtl/>
        </w:rPr>
        <w:t>יות</w:t>
      </w:r>
      <w:r w:rsidRPr="00A210E9">
        <w:rPr>
          <w:rFonts w:eastAsia="Calibri"/>
          <w:rtl/>
        </w:rPr>
        <w:t xml:space="preserve"> המקומיות</w:t>
      </w:r>
      <w:r w:rsidRPr="00A210E9">
        <w:rPr>
          <w:rFonts w:eastAsia="Calibri" w:hint="cs"/>
          <w:rtl/>
        </w:rPr>
        <w:t>,</w:t>
      </w:r>
      <w:r w:rsidRPr="00A210E9">
        <w:rPr>
          <w:rFonts w:eastAsia="Calibri"/>
          <w:rtl/>
        </w:rPr>
        <w:t xml:space="preserve"> שכן הרשויות תצטרכנה לשבור ולתקן דרכים חדשות שזה עתה נבנו ולהתאימן לתקנות לכשיותקנו</w:t>
      </w:r>
      <w:r w:rsidRPr="00A210E9">
        <w:rPr>
          <w:rFonts w:eastAsia="Calibri" w:hint="cs"/>
          <w:rtl/>
        </w:rPr>
        <w:t>"</w:t>
      </w:r>
      <w:r w:rsidRPr="00A210E9">
        <w:rPr>
          <w:rFonts w:eastAsia="Calibri"/>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ascii="David" w:eastAsia="Calibri" w:hAnsi="David"/>
          <w:rtl/>
        </w:rPr>
      </w:pPr>
      <w:r w:rsidRPr="00A210E9">
        <w:rPr>
          <w:rFonts w:eastAsia="Calibri" w:hint="cs"/>
          <w:rtl/>
        </w:rPr>
        <w:t>בספטמבר 2020 שלח המשנה ליועץ המשפטי לממשלה (ציבורי-חוקתי) מכתב למנכ"ל משרד הפנים, שבו הציג את החלופות העומדות בפני המשרד בתחום הנגישות - לפצל את התקנות או להגיש מחדש את טיוטת התקנות בכללותן ולפעול ביתר שאת לאישורן מוקדם ככל הניתן. בסיפה של המכתב נרשם כי "לאור המקום המרכזי שבו תופסת נגישות תשתיות הדרכים בהגשמת תכליות חוק השוויון להנגשת המרחב הציבורי, על משרד הפנים לעשות כל שניתן כדי לקדם במהירות את נגישות הדרכים, הקיימות והחדשות". נוסף על כך, בישיבת ועדת העבודה והרווחה של הכנסת בפברואר 2022, בנושא "חניות נכים - פיקוח ואכיפה"</w:t>
      </w:r>
      <w:r>
        <w:rPr>
          <w:rFonts w:eastAsia="Calibri"/>
          <w:vertAlign w:val="superscript"/>
          <w:rtl/>
        </w:rPr>
        <w:footnoteReference w:id="93"/>
      </w:r>
      <w:r w:rsidRPr="00A210E9">
        <w:rPr>
          <w:rFonts w:eastAsia="Calibri" w:hint="cs"/>
          <w:rtl/>
        </w:rPr>
        <w:t xml:space="preserve">, ציין נציג של נציבות שוויון זכויות כי בהיעדר תקנות דרכים נגישות, נושאים כמו מספר החניות הנגישות, סוגי החניות והמרחק בין החניות אינם מוסדרים ברשויות המקומיות. יו"ר הוועדה ציינה כי בשל היעדר התקנות נבנות שכונות חדשות ללא נגישות, ובעתיד כאשר יוסדרו התקנות יהיה צורך להנגיש את השכונות, דבר שעלול להביא לבזבוז כסף, ועל כן יש לפעול לגיוס שרת הפנים כדי לקדם את התקנת תקנות הנגישות.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משרד הפנים מסר כי הנושא התעכב מאחר שהתקיימו כמה מערכות בחירות בזו אחר זו ובשל מגפת הקורונה, וכי בשנים 2020 - 2022 הוא קיים מגעים עם שרת התחבורה ומשרד התחבורה, עם שר הפנים, עם נציבות שוויון זכויות ועם מש"ם כדי לגבש נוסח מוסכם של תקנות. בנובמבר 2021 הוחלט כי ייעשה פיצול בין קידום תקנות להנגשת דרכים חדשות - אשר יקודמו בתוך חודשים מועטים - ובין קידום תקנות להנגשת דרכים קיימות אשר יטופל בהמשך, כי כדי ליצור הבחנה זו יקודם תיקון חקיקה. לשם כך הוקם צוות בין-משרדי.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בהודעת עדכון מטעם משיבי הממשלה שהוגשה בבג"ץ 5833/08 בדצמבר 2024</w:t>
      </w:r>
      <w:r>
        <w:rPr>
          <w:rFonts w:eastAsia="Calibri"/>
          <w:vertAlign w:val="superscript"/>
          <w:rtl/>
        </w:rPr>
        <w:footnoteReference w:id="94"/>
      </w:r>
      <w:r w:rsidRPr="00A210E9">
        <w:rPr>
          <w:rFonts w:eastAsia="Calibri" w:hint="cs"/>
          <w:rtl/>
        </w:rPr>
        <w:t>, דווח על ההחלטה לפצל בין התקנות, נוכח היקפה הרחב של חובת הנגשה ומורכבותה. עוד דווח כי בד בבד עם קידום התקנות יקודם גם תיקון לחוק שוויון זכויות, שיבחין בין דרכים חדשות לדרכים קיימות בכל הנוגע להתקנת התקנות הנדרשות, וידחה את המועד להתקנת תקנות לעניין דרכים קיימות. עוד נכתב כי לצורך קידום התקנות הוקם צוות בין-משרד</w:t>
      </w:r>
      <w:r w:rsidRPr="00A210E9">
        <w:rPr>
          <w:rFonts w:eastAsia="Calibri" w:hint="eastAsia"/>
          <w:rtl/>
        </w:rPr>
        <w:t>י</w:t>
      </w:r>
      <w:r>
        <w:rPr>
          <w:rFonts w:eastAsia="Calibri"/>
          <w:vertAlign w:val="superscript"/>
          <w:rtl/>
        </w:rPr>
        <w:footnoteReference w:id="95"/>
      </w:r>
      <w:r w:rsidRPr="00A210E9">
        <w:rPr>
          <w:rFonts w:eastAsia="Calibri" w:hint="cs"/>
          <w:rtl/>
        </w:rPr>
        <w:t xml:space="preserve"> אשר גיבש טיוטת תקנות - "תקנות שוויון זכויות לאנשים עם מוגבלות (נגישות דרכים חדשות ומחודשות), התשפ"ג - 2023". על פי הטיוטה, בדרך חדשה שמתוכננים בה מקומות חניה לאורך מדרכה יוקצו מקומות חניה נגישים כמפורט בתקנות התכנון והבניה בסעיף 8.110 פרט (ה) בסמוך למבנים ציבוריים, ושאר חלקי הדרך יפרסו במרווחים דומים ביניהם.</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הטיוטה הופצה למשרדי הממשלה, לארגונים העוסקים בקידום זכויותיהם של אנשים עם מוגבלות ולמש"ם לקבלת התייחסותם. לאחר שהתקבלו הערות מגורמים רבים החל משרד הפנים בעבודת מטה שתבחן אותן. במסגרת זו התקיימו בשנת 2024 ישיבות של הצוות הבין-משרדי וכן ישיבות עם נציבות שוויון זכויות. אשר לתיקוני חקיקה הנדרשים לצורך הנגשת דרכים קיימות, נכתב בהודעת העדכון כי לאחר גיבוש הנוסח לגבי דרכים קיימות הוא יועבר לגורמים הרלוונטיים לשם הערכה תקציבית של יישום התקנות והמשמעות הנדרשת ליישומן. כמו כן, יוחלט על מתווה עדכני לפריסת יישום הוראת סימן ט' בנוגע לדרכים קיימות ויקודם תיקון לחוק שוויון זכויות בהתאם לכך.</w:t>
      </w:r>
    </w:p>
    <w:p w:rsidR="00A210E9" w:rsidRPr="00A210E9" w:rsidP="00A210E9">
      <w:pPr>
        <w:spacing w:line="269" w:lineRule="auto"/>
        <w:rPr>
          <w:rFonts w:eastAsia="Calibri"/>
          <w:rtl/>
        </w:rPr>
      </w:pPr>
      <w:r w:rsidRPr="00A210E9">
        <w:rPr>
          <w:rFonts w:eastAsia="Calibri" w:hint="cs"/>
          <w:rtl/>
        </w:rPr>
        <w:t xml:space="preserve">בפברואר 2025 עדכן משרד הפנים את בג"ץ בדבר התקדמות התקנת התקנות, </w:t>
      </w:r>
      <w:r w:rsidRPr="00A210E9">
        <w:rPr>
          <w:rFonts w:ascii="David" w:eastAsia="Calibri" w:hAnsi="David"/>
          <w:sz w:val="24"/>
          <w:rtl/>
        </w:rPr>
        <w:t>וב-</w:t>
      </w:r>
      <w:r w:rsidRPr="00A210E9">
        <w:rPr>
          <w:rFonts w:ascii="David" w:eastAsia="Calibri" w:hAnsi="David"/>
          <w:sz w:val="24"/>
        </w:rPr>
        <w:t>29.6.25</w:t>
      </w:r>
      <w:r w:rsidRPr="00A210E9">
        <w:rPr>
          <w:rFonts w:ascii="David" w:eastAsia="Calibri" w:hAnsi="David"/>
          <w:sz w:val="24"/>
          <w:rtl/>
        </w:rPr>
        <w:t xml:space="preserve"> </w:t>
      </w:r>
      <w:r w:rsidRPr="00A210E9">
        <w:rPr>
          <w:rFonts w:eastAsia="Calibri" w:hint="cs"/>
          <w:rtl/>
        </w:rPr>
        <w:t>קיבל בית המשפט החלטת ביניים שעל פיה על משרד הפנים לעדכן בתוך 45 ימים בדבר לוח הזמנים להשלמת התקנת התקנות. ב-28.10.25 התקבלה הודעת עדכון נוספת מטעם משיבי הממשלה</w:t>
      </w:r>
      <w:r>
        <w:rPr>
          <w:rFonts w:eastAsia="Calibri"/>
          <w:vertAlign w:val="superscript"/>
          <w:rtl/>
        </w:rPr>
        <w:footnoteReference w:id="96"/>
      </w:r>
      <w:r w:rsidRPr="00A210E9">
        <w:rPr>
          <w:rFonts w:eastAsia="Calibri" w:hint="cs"/>
          <w:rtl/>
        </w:rPr>
        <w:t>, ובה נכתב כי תהליך קידום התקנות טרם הושלם ובשנת 2025 המשיך הצוות הבין-משרדי את עבודתו. עוד נכתב כי להערכת משרד הפנים תועבר טיוטת התקנות לאישורו של שר הפנים עד סוף יוני 2026. המדינה ביקשה לשוב ולעדכן את בית המשפט בדבר התקדמות התקנת התקנות לאחר ארבעה חודשים.</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eastAsia"/>
          <w:rtl/>
        </w:rPr>
        <w:t>מש</w:t>
      </w:r>
      <w:r w:rsidRPr="00A210E9">
        <w:rPr>
          <w:rFonts w:eastAsia="Calibri"/>
          <w:rtl/>
        </w:rPr>
        <w:t xml:space="preserve">"ם כתב בתשובתו כי הוא מתנגד להכללת "דרכים מחודשות" בפרק הנוכחי של התקנות, </w:t>
      </w:r>
      <w:r w:rsidRPr="00A210E9">
        <w:rPr>
          <w:rFonts w:eastAsia="Calibri" w:hint="eastAsia"/>
          <w:rtl/>
        </w:rPr>
        <w:t>וכי</w:t>
      </w:r>
      <w:r w:rsidRPr="00A210E9">
        <w:rPr>
          <w:rFonts w:eastAsia="Calibri"/>
          <w:rtl/>
        </w:rPr>
        <w:t xml:space="preserve"> </w:t>
      </w:r>
      <w:r w:rsidRPr="00A210E9">
        <w:rPr>
          <w:rFonts w:eastAsia="Calibri" w:hint="eastAsia"/>
          <w:rtl/>
        </w:rPr>
        <w:t>הוא</w:t>
      </w:r>
      <w:r w:rsidRPr="00A210E9">
        <w:rPr>
          <w:rFonts w:eastAsia="Calibri"/>
          <w:rtl/>
        </w:rPr>
        <w:t xml:space="preserve"> </w:t>
      </w:r>
      <w:r w:rsidRPr="00A210E9">
        <w:rPr>
          <w:rFonts w:eastAsia="Calibri" w:hint="eastAsia"/>
          <w:rtl/>
        </w:rPr>
        <w:t>הכין</w:t>
      </w:r>
      <w:r w:rsidRPr="00A210E9">
        <w:rPr>
          <w:rFonts w:eastAsia="Calibri"/>
          <w:rtl/>
        </w:rPr>
        <w:t xml:space="preserve">, </w:t>
      </w:r>
      <w:r w:rsidRPr="00A210E9">
        <w:rPr>
          <w:rFonts w:eastAsia="Calibri" w:hint="eastAsia"/>
          <w:rtl/>
        </w:rPr>
        <w:t>בהובלת</w:t>
      </w:r>
      <w:r w:rsidRPr="00A210E9">
        <w:rPr>
          <w:rFonts w:eastAsia="Calibri"/>
          <w:rtl/>
        </w:rPr>
        <w:t xml:space="preserve"> </w:t>
      </w:r>
      <w:r w:rsidRPr="00A210E9">
        <w:rPr>
          <w:rFonts w:eastAsia="Calibri" w:hint="eastAsia"/>
          <w:rtl/>
        </w:rPr>
        <w:t>משרד</w:t>
      </w:r>
      <w:r w:rsidRPr="00A210E9">
        <w:rPr>
          <w:rFonts w:eastAsia="Calibri"/>
          <w:rtl/>
        </w:rPr>
        <w:t xml:space="preserve"> </w:t>
      </w:r>
      <w:r w:rsidRPr="00A210E9">
        <w:rPr>
          <w:rFonts w:eastAsia="Calibri" w:hint="eastAsia"/>
          <w:rtl/>
        </w:rPr>
        <w:t>הפנים</w:t>
      </w:r>
      <w:r w:rsidRPr="00A210E9">
        <w:rPr>
          <w:rFonts w:eastAsia="Calibri"/>
          <w:rtl/>
        </w:rPr>
        <w:t xml:space="preserve"> </w:t>
      </w:r>
      <w:r w:rsidRPr="00A210E9">
        <w:rPr>
          <w:rFonts w:eastAsia="Calibri" w:hint="eastAsia"/>
          <w:rtl/>
        </w:rPr>
        <w:t>ובשיתוף</w:t>
      </w:r>
      <w:r w:rsidRPr="00A210E9">
        <w:rPr>
          <w:rFonts w:eastAsia="Calibri"/>
          <w:rtl/>
        </w:rPr>
        <w:t xml:space="preserve"> </w:t>
      </w:r>
      <w:r w:rsidRPr="00A210E9">
        <w:rPr>
          <w:rFonts w:eastAsia="Calibri" w:hint="eastAsia"/>
          <w:rtl/>
        </w:rPr>
        <w:t>עם</w:t>
      </w:r>
      <w:r w:rsidRPr="00A210E9">
        <w:rPr>
          <w:rFonts w:eastAsia="Calibri"/>
          <w:rtl/>
        </w:rPr>
        <w:t xml:space="preserve"> </w:t>
      </w:r>
      <w:r w:rsidRPr="00A210E9">
        <w:rPr>
          <w:rFonts w:eastAsia="Calibri" w:hint="eastAsia"/>
          <w:rtl/>
        </w:rPr>
        <w:t>משרד</w:t>
      </w:r>
      <w:r w:rsidRPr="00A210E9">
        <w:rPr>
          <w:rFonts w:eastAsia="Calibri"/>
          <w:rtl/>
        </w:rPr>
        <w:t xml:space="preserve"> </w:t>
      </w:r>
      <w:r w:rsidRPr="00A210E9">
        <w:rPr>
          <w:rFonts w:eastAsia="Calibri" w:hint="eastAsia"/>
          <w:rtl/>
        </w:rPr>
        <w:t>התחבורה</w:t>
      </w:r>
      <w:r w:rsidRPr="00A210E9">
        <w:rPr>
          <w:rFonts w:eastAsia="Calibri"/>
          <w:rtl/>
        </w:rPr>
        <w:t xml:space="preserve"> </w:t>
      </w:r>
      <w:r w:rsidRPr="00A210E9">
        <w:rPr>
          <w:rFonts w:eastAsia="Calibri" w:hint="eastAsia"/>
          <w:rtl/>
        </w:rPr>
        <w:t>ונציבות</w:t>
      </w:r>
      <w:r w:rsidRPr="00A210E9">
        <w:rPr>
          <w:rFonts w:eastAsia="Calibri"/>
          <w:rtl/>
        </w:rPr>
        <w:t xml:space="preserve"> </w:t>
      </w:r>
      <w:r w:rsidRPr="00A210E9">
        <w:rPr>
          <w:rFonts w:eastAsia="Calibri" w:hint="eastAsia"/>
          <w:rtl/>
        </w:rPr>
        <w:t>שוויון</w:t>
      </w:r>
      <w:r w:rsidRPr="00A210E9">
        <w:rPr>
          <w:rFonts w:eastAsia="Calibri"/>
          <w:rtl/>
        </w:rPr>
        <w:t xml:space="preserve"> </w:t>
      </w:r>
      <w:r w:rsidRPr="00A210E9">
        <w:rPr>
          <w:rFonts w:eastAsia="Calibri" w:hint="eastAsia"/>
          <w:rtl/>
        </w:rPr>
        <w:t>זכויות</w:t>
      </w:r>
      <w:r w:rsidRPr="00A210E9">
        <w:rPr>
          <w:rFonts w:eastAsia="Calibri"/>
          <w:rtl/>
        </w:rPr>
        <w:t xml:space="preserve">, </w:t>
      </w:r>
      <w:r w:rsidRPr="00A210E9">
        <w:rPr>
          <w:rFonts w:eastAsia="Calibri" w:hint="eastAsia"/>
          <w:rtl/>
        </w:rPr>
        <w:t>נוסח</w:t>
      </w:r>
      <w:r w:rsidRPr="00A210E9">
        <w:rPr>
          <w:rFonts w:eastAsia="Calibri"/>
          <w:rtl/>
        </w:rPr>
        <w:t xml:space="preserve"> </w:t>
      </w:r>
      <w:r w:rsidRPr="00A210E9">
        <w:rPr>
          <w:rFonts w:eastAsia="Calibri" w:hint="eastAsia"/>
          <w:rtl/>
        </w:rPr>
        <w:t>מעודכן</w:t>
      </w:r>
      <w:r w:rsidRPr="00A210E9">
        <w:rPr>
          <w:rFonts w:eastAsia="Calibri"/>
          <w:rtl/>
        </w:rPr>
        <w:t xml:space="preserve"> </w:t>
      </w:r>
    </w:p>
    <w:p w:rsidR="00A210E9" w:rsidRPr="00A210E9" w:rsidP="00A210E9">
      <w:pPr>
        <w:spacing w:line="269" w:lineRule="auto"/>
        <w:rPr>
          <w:rFonts w:eastAsia="Calibri"/>
          <w:rtl/>
        </w:rPr>
      </w:pPr>
      <w:r w:rsidRPr="00A210E9">
        <w:rPr>
          <w:rFonts w:eastAsia="Calibri" w:hint="eastAsia"/>
          <w:rtl/>
        </w:rPr>
        <w:t>ומתוקן</w:t>
      </w:r>
      <w:r w:rsidRPr="00A210E9">
        <w:rPr>
          <w:rFonts w:eastAsia="Calibri"/>
          <w:rtl/>
        </w:rPr>
        <w:t xml:space="preserve"> </w:t>
      </w:r>
      <w:r w:rsidRPr="00A210E9">
        <w:rPr>
          <w:rFonts w:eastAsia="Calibri" w:hint="eastAsia"/>
          <w:rtl/>
        </w:rPr>
        <w:t>המתרכז</w:t>
      </w:r>
      <w:r w:rsidRPr="00A210E9">
        <w:rPr>
          <w:rFonts w:eastAsia="Calibri"/>
          <w:rtl/>
        </w:rPr>
        <w:t xml:space="preserve"> </w:t>
      </w:r>
      <w:r w:rsidRPr="00A210E9">
        <w:rPr>
          <w:rFonts w:eastAsia="Calibri" w:hint="cs"/>
          <w:rtl/>
        </w:rPr>
        <w:t>בעיקר בדרכים</w:t>
      </w:r>
      <w:r w:rsidRPr="00A210E9">
        <w:rPr>
          <w:rFonts w:eastAsia="Calibri"/>
          <w:rtl/>
        </w:rPr>
        <w:t xml:space="preserve"> </w:t>
      </w:r>
      <w:r w:rsidRPr="00A210E9">
        <w:rPr>
          <w:rFonts w:eastAsia="Calibri" w:hint="eastAsia"/>
          <w:rtl/>
        </w:rPr>
        <w:t>חדשות</w:t>
      </w:r>
      <w:r w:rsidRPr="00A210E9">
        <w:rPr>
          <w:rFonts w:eastAsia="Calibri"/>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בהיעדר תקנות מאושרות, כל רשות מקומית מקצה בפועל את חניות הנכים במרחב הציבורי באופן שונה. לדוגמה, בעיריית רעננה סימון חניות הנכים במרכז העיר נעשה לפי שיקול דעת ולפי דרישת התושבים. הגורם הקובע את מספר חניות הנכים הוא מתכנן התנועה בעירייה; לדוגמה, ברחוב אחוזה ברעננה, שהוא רחוב מרכזי, הקפידה העירייה להקצות חניית נכים בכל רחוב הניצב לו. עיריית ירושלים מחליטה מהו מספר חניות הנכים לפי דרישות התושבים ועל פי נוהל פנימי של העירייה שעל פיו מקומות החניה ליד מדרכות יוקצו ברדיוס של 100 מטרים ממבני ציבור (כגון קופות חולים) שאין בהם חניון</w:t>
      </w:r>
      <w:r>
        <w:rPr>
          <w:rFonts w:eastAsia="Calibri"/>
          <w:vertAlign w:val="superscript"/>
          <w:rtl/>
        </w:rPr>
        <w:footnoteReference w:id="97"/>
      </w:r>
      <w:r w:rsidRPr="00A210E9">
        <w:rPr>
          <w:rFonts w:eastAsia="Calibri" w:hint="cs"/>
          <w:rtl/>
        </w:rPr>
        <w:t>. בעיריית חיפה ההחלטה נעשית לפי המלצה של מהנדס התנועה של העירייה. לעומת זאת, בעיריית תל אביב-יפו בוצע בשנת 2021 פיילוט הגדרת חניות נכים במרחב הציבורי על ידי היחידה האסטרטגית ברשות לתחבורה וחניה של העירייה. המודל בחן היצע וביקוש של חניות והתבסס על נוסחה אשר חישבה את הצורך במקומות חניית רכב של אדם עם מוגבלות בכל אזור על בסיס פרמטרים קבועים (למשל, גודל האוכלוסיי</w:t>
      </w:r>
      <w:r w:rsidRPr="00A210E9">
        <w:rPr>
          <w:rFonts w:eastAsia="Calibri" w:hint="eastAsia"/>
          <w:rtl/>
        </w:rPr>
        <w:t>ה</w:t>
      </w:r>
      <w:r w:rsidRPr="00A210E9">
        <w:rPr>
          <w:rFonts w:eastAsia="Calibri" w:hint="cs"/>
          <w:rtl/>
        </w:rPr>
        <w:t>, מוסדות שאין חניון ברדיוס של 100 מטרים מהם ותמהיל שימושי הקרקע באזור). המודל לוקח בחשבון גם הקצאה של 50% משטח אזורי פריקה וטעינה לחניית רכב של אדם עם מוגבלות לאחר שעות פעילות הפריקה וטעינה</w:t>
      </w:r>
      <w:r>
        <w:rPr>
          <w:rFonts w:eastAsia="Calibri"/>
          <w:vertAlign w:val="superscript"/>
          <w:rtl/>
        </w:rPr>
        <w:footnoteReference w:id="98"/>
      </w:r>
      <w:r w:rsidRPr="00A210E9">
        <w:rPr>
          <w:rFonts w:eastAsia="Calibri" w:hint="cs"/>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עיריית ירושלים כתבה בתשובתה </w:t>
      </w:r>
      <w:r w:rsidRPr="00A210E9">
        <w:rPr>
          <w:rFonts w:eastAsia="Calibri" w:hint="eastAsia"/>
          <w:rtl/>
        </w:rPr>
        <w:t>ממאי</w:t>
      </w:r>
      <w:r w:rsidRPr="00A210E9">
        <w:rPr>
          <w:rFonts w:eastAsia="Calibri"/>
          <w:rtl/>
        </w:rPr>
        <w:t xml:space="preserve"> 2026 (להלן </w:t>
      </w:r>
      <w:r w:rsidRPr="00A210E9">
        <w:rPr>
          <w:rFonts w:eastAsia="Calibri" w:hint="cs"/>
          <w:rtl/>
        </w:rPr>
        <w:t>-</w:t>
      </w:r>
      <w:r w:rsidRPr="00A210E9">
        <w:rPr>
          <w:rFonts w:eastAsia="Calibri"/>
          <w:rtl/>
        </w:rPr>
        <w:t xml:space="preserve"> תשובת עיריית ירושלים)</w:t>
      </w:r>
      <w:r w:rsidRPr="00A210E9">
        <w:rPr>
          <w:rFonts w:eastAsia="Calibri" w:hint="cs"/>
          <w:rtl/>
        </w:rPr>
        <w:t xml:space="preserve"> כי היא פועלת לאורך השנים לקידום פתרונות בתחום חניות נכים, תוך ניסיון לתת מענה מותאם למאפייניה הייחודיים - עיר גדולה, צפופה, מרובת מוסדות ציבור, אוכלוסייה מבוגרת ומוקדי ביקוש משמעותיים. העירייה הוסיפה כי היא מפעילה נוהלי עבודה להקצאת חניות ומבצעת התאמות תפעוליות עבור רכבים עם מעלון.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bookmarkStart w:id="106" w:name="_Hlk223880269"/>
      <w:r w:rsidRPr="00A210E9">
        <w:rPr>
          <w:rFonts w:eastAsia="Calibri"/>
          <w:b/>
          <w:bCs/>
          <w:rtl/>
        </w:rPr>
        <w:t xml:space="preserve">חוק שוויון </w:t>
      </w:r>
      <w:r w:rsidRPr="00A210E9">
        <w:rPr>
          <w:rFonts w:eastAsia="Calibri" w:hint="cs"/>
          <w:b/>
          <w:bCs/>
          <w:rtl/>
        </w:rPr>
        <w:t>זכויות</w:t>
      </w:r>
      <w:r w:rsidRPr="00A210E9">
        <w:rPr>
          <w:rFonts w:eastAsia="Calibri"/>
          <w:b/>
          <w:bCs/>
          <w:rtl/>
        </w:rPr>
        <w:t xml:space="preserve"> הטיל על שר הפנים </w:t>
      </w:r>
      <w:r w:rsidRPr="00A210E9">
        <w:rPr>
          <w:rFonts w:eastAsia="Calibri" w:hint="cs"/>
          <w:b/>
          <w:bCs/>
          <w:rtl/>
        </w:rPr>
        <w:t xml:space="preserve">כבר </w:t>
      </w:r>
      <w:r w:rsidRPr="00A210E9">
        <w:rPr>
          <w:rFonts w:eastAsia="Calibri"/>
          <w:b/>
          <w:bCs/>
          <w:rtl/>
        </w:rPr>
        <w:t>בשנת 2005 להתקין תקנות בנושא דרכים נגישות עד 2006, כך שיישומן לגבי דרכים חדשות יחל עם תחילתן של התקנות ויישומן לגבי דרכים קיימות ייפרס על פני 11 שנים, קרי עד 2018.</w:t>
      </w:r>
      <w:r w:rsidRPr="00A210E9">
        <w:rPr>
          <w:rFonts w:eastAsia="Calibri" w:hint="cs"/>
          <w:b/>
          <w:bCs/>
          <w:rtl/>
        </w:rPr>
        <w:t xml:space="preserve"> </w:t>
      </w:r>
      <w:r w:rsidRPr="00A210E9">
        <w:rPr>
          <w:rFonts w:eastAsia="Calibri"/>
          <w:b/>
          <w:bCs/>
          <w:rtl/>
        </w:rPr>
        <w:t>תקנות אלה אמורות לקבוע הנחיות לרשויות המקומיות בנוגע להקצאת חניות נכים ברחוב</w:t>
      </w:r>
      <w:r w:rsidRPr="00A210E9">
        <w:rPr>
          <w:rFonts w:eastAsia="Calibri" w:hint="cs"/>
          <w:b/>
          <w:bCs/>
          <w:rtl/>
        </w:rPr>
        <w:t>.</w:t>
      </w:r>
      <w:r w:rsidRPr="00A210E9">
        <w:rPr>
          <w:rFonts w:eastAsia="Calibri"/>
          <w:b/>
          <w:bCs/>
          <w:rtl/>
        </w:rPr>
        <w:t xml:space="preserve"> </w:t>
      </w:r>
      <w:r w:rsidRPr="00A210E9">
        <w:rPr>
          <w:rFonts w:eastAsia="Calibri" w:hint="cs"/>
          <w:b/>
          <w:bCs/>
          <w:rtl/>
        </w:rPr>
        <w:t xml:space="preserve">בביקורת עלה כי </w:t>
      </w:r>
      <w:r w:rsidRPr="00A210E9">
        <w:rPr>
          <w:rFonts w:eastAsia="Calibri"/>
          <w:b/>
          <w:bCs/>
          <w:rtl/>
        </w:rPr>
        <w:t xml:space="preserve">נכון למועד סיום הביקורת, </w:t>
      </w:r>
      <w:r w:rsidRPr="00A210E9">
        <w:rPr>
          <w:rFonts w:eastAsia="Calibri" w:hint="cs"/>
          <w:b/>
          <w:bCs/>
          <w:rtl/>
        </w:rPr>
        <w:t>שר הפנים טרם התקין את התקנות האמורות, וצוות בין-משרדי עדיין עוסק בגיבושן.</w:t>
      </w:r>
      <w:r w:rsidRPr="00A210E9">
        <w:rPr>
          <w:rFonts w:eastAsia="Calibri"/>
          <w:b/>
          <w:bCs/>
          <w:rtl/>
        </w:rPr>
        <w:t xml:space="preserve"> מדובר בעיכוב ניכר של </w:t>
      </w:r>
      <w:r w:rsidRPr="00A210E9">
        <w:rPr>
          <w:rFonts w:eastAsia="Calibri" w:hint="cs"/>
          <w:b/>
          <w:bCs/>
          <w:rtl/>
        </w:rPr>
        <w:t>למעלה מ</w:t>
      </w:r>
      <w:r w:rsidRPr="00A210E9">
        <w:rPr>
          <w:rFonts w:eastAsia="Calibri"/>
          <w:b/>
          <w:bCs/>
          <w:rtl/>
        </w:rPr>
        <w:t>-20 שנ</w:t>
      </w:r>
      <w:r w:rsidRPr="00A210E9">
        <w:rPr>
          <w:rFonts w:eastAsia="Calibri" w:hint="cs"/>
          <w:b/>
          <w:bCs/>
          <w:rtl/>
        </w:rPr>
        <w:t>ים</w:t>
      </w:r>
      <w:r w:rsidRPr="00A210E9">
        <w:rPr>
          <w:rFonts w:eastAsia="Calibri"/>
          <w:b/>
          <w:bCs/>
          <w:rtl/>
        </w:rPr>
        <w:t xml:space="preserve"> </w:t>
      </w:r>
      <w:r w:rsidRPr="00A210E9">
        <w:rPr>
          <w:rFonts w:eastAsia="Calibri" w:hint="cs"/>
          <w:b/>
          <w:bCs/>
          <w:rtl/>
        </w:rPr>
        <w:t>לעומת ה</w:t>
      </w:r>
      <w:r w:rsidRPr="00A210E9">
        <w:rPr>
          <w:rFonts w:eastAsia="Calibri"/>
          <w:b/>
          <w:bCs/>
          <w:rtl/>
        </w:rPr>
        <w:t xml:space="preserve">מתחייב </w:t>
      </w:r>
      <w:r w:rsidRPr="00A210E9">
        <w:rPr>
          <w:rFonts w:eastAsia="Calibri" w:hint="cs"/>
          <w:b/>
          <w:bCs/>
          <w:rtl/>
        </w:rPr>
        <w:t>ב</w:t>
      </w:r>
      <w:r w:rsidRPr="00A210E9">
        <w:rPr>
          <w:rFonts w:eastAsia="Calibri"/>
          <w:b/>
          <w:bCs/>
          <w:rtl/>
        </w:rPr>
        <w:t>חוק.</w:t>
      </w:r>
    </w:p>
    <w:bookmarkEnd w:id="106"/>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 xml:space="preserve">נגישות תשתיות הדרכים תופסות מקום מרכזי בהגשמת תכליות חוק שוויון זכויות להנגשת המרחב הציבורי. </w:t>
      </w:r>
      <w:r w:rsidRPr="00A210E9">
        <w:rPr>
          <w:rFonts w:eastAsia="Calibri" w:hint="eastAsia"/>
          <w:b/>
          <w:bCs/>
          <w:rtl/>
        </w:rPr>
        <w:t>עיכוב</w:t>
      </w:r>
      <w:r w:rsidRPr="00A210E9">
        <w:rPr>
          <w:rFonts w:eastAsia="Calibri"/>
          <w:b/>
          <w:bCs/>
          <w:rtl/>
        </w:rPr>
        <w:t xml:space="preserve"> </w:t>
      </w:r>
      <w:r w:rsidRPr="00A210E9">
        <w:rPr>
          <w:rFonts w:eastAsia="Calibri" w:hint="cs"/>
          <w:b/>
          <w:bCs/>
          <w:rtl/>
        </w:rPr>
        <w:t>מהותי</w:t>
      </w:r>
      <w:r w:rsidRPr="00A210E9">
        <w:rPr>
          <w:rFonts w:eastAsia="Calibri"/>
          <w:b/>
          <w:bCs/>
          <w:rtl/>
        </w:rPr>
        <w:t xml:space="preserve"> זה בהתקנת </w:t>
      </w:r>
      <w:r w:rsidRPr="00A210E9">
        <w:rPr>
          <w:rFonts w:eastAsia="Calibri" w:hint="cs"/>
          <w:b/>
          <w:bCs/>
          <w:rtl/>
        </w:rPr>
        <w:t>תקנות דרכים נגישות</w:t>
      </w:r>
      <w:r w:rsidRPr="00A210E9">
        <w:rPr>
          <w:rFonts w:eastAsia="Calibri"/>
          <w:b/>
          <w:bCs/>
          <w:rtl/>
        </w:rPr>
        <w:t xml:space="preserve"> גורם לשונות רבה בין הרשויות המקומיות בהקצאת חניות לאנשים עם מוגבלות </w:t>
      </w:r>
      <w:r w:rsidRPr="00A210E9">
        <w:rPr>
          <w:rFonts w:eastAsia="Calibri" w:hint="cs"/>
          <w:b/>
          <w:bCs/>
          <w:rtl/>
        </w:rPr>
        <w:t>ברחוב.</w:t>
      </w:r>
      <w:r w:rsidRPr="00A210E9">
        <w:rPr>
          <w:rFonts w:eastAsia="Calibri"/>
          <w:b/>
          <w:bCs/>
          <w:rtl/>
        </w:rPr>
        <w:t xml:space="preserve"> כל רשות מקומית מקצה את החניות </w:t>
      </w:r>
      <w:r w:rsidRPr="00A210E9">
        <w:rPr>
          <w:rFonts w:eastAsia="Calibri" w:hint="cs"/>
          <w:b/>
          <w:bCs/>
          <w:rtl/>
        </w:rPr>
        <w:t>על פי פרמטרים אחרים ועל פיהם היא מבססת את החלטתה. אין נורמה אחידה שמחייבת את כלל הרשויות המקומיות להקצות שיעור מסוים של חניות נכים מכלל החניות ברשות.</w:t>
      </w:r>
      <w:r w:rsidRPr="00A210E9">
        <w:rPr>
          <w:rFonts w:eastAsia="Calibri"/>
          <w:b/>
          <w:bCs/>
          <w:rtl/>
        </w:rPr>
        <w:t xml:space="preserve"> </w:t>
      </w:r>
      <w:r w:rsidRPr="00A210E9">
        <w:rPr>
          <w:rFonts w:eastAsia="Calibri" w:hint="eastAsia"/>
          <w:b/>
          <w:bCs/>
          <w:rtl/>
        </w:rPr>
        <w:t>קושי</w:t>
      </w:r>
      <w:r w:rsidRPr="00A210E9">
        <w:rPr>
          <w:rFonts w:eastAsia="Calibri"/>
          <w:b/>
          <w:bCs/>
          <w:rtl/>
        </w:rPr>
        <w:t xml:space="preserve"> נוסף </w:t>
      </w:r>
      <w:r w:rsidRPr="00A210E9">
        <w:rPr>
          <w:rFonts w:eastAsia="Calibri" w:hint="eastAsia"/>
          <w:b/>
          <w:bCs/>
          <w:rtl/>
        </w:rPr>
        <w:t>שעולה</w:t>
      </w:r>
      <w:r w:rsidRPr="00A210E9">
        <w:rPr>
          <w:rFonts w:eastAsia="Calibri"/>
          <w:b/>
          <w:bCs/>
          <w:rtl/>
        </w:rPr>
        <w:t xml:space="preserve"> </w:t>
      </w:r>
      <w:r w:rsidRPr="00A210E9">
        <w:rPr>
          <w:rFonts w:eastAsia="Calibri" w:hint="cs"/>
          <w:b/>
          <w:bCs/>
          <w:rtl/>
        </w:rPr>
        <w:t>מ</w:t>
      </w:r>
      <w:r w:rsidRPr="00A210E9">
        <w:rPr>
          <w:rFonts w:eastAsia="Calibri" w:hint="eastAsia"/>
          <w:b/>
          <w:bCs/>
          <w:rtl/>
        </w:rPr>
        <w:t>העיכוב</w:t>
      </w:r>
      <w:r w:rsidRPr="00A210E9">
        <w:rPr>
          <w:rFonts w:eastAsia="Calibri"/>
          <w:b/>
          <w:bCs/>
          <w:rtl/>
        </w:rPr>
        <w:t xml:space="preserve"> </w:t>
      </w:r>
      <w:r w:rsidRPr="00A210E9">
        <w:rPr>
          <w:rFonts w:eastAsia="Calibri" w:hint="eastAsia"/>
          <w:b/>
          <w:bCs/>
          <w:rtl/>
        </w:rPr>
        <w:t>ב</w:t>
      </w:r>
      <w:r w:rsidRPr="00A210E9">
        <w:rPr>
          <w:rFonts w:eastAsia="Calibri" w:hint="cs"/>
          <w:b/>
          <w:bCs/>
          <w:rtl/>
        </w:rPr>
        <w:t>הסדרת ה</w:t>
      </w:r>
      <w:r w:rsidRPr="00A210E9">
        <w:rPr>
          <w:rFonts w:eastAsia="Calibri" w:hint="eastAsia"/>
          <w:b/>
          <w:bCs/>
          <w:rtl/>
        </w:rPr>
        <w:t>תקנות</w:t>
      </w:r>
      <w:r w:rsidRPr="00A210E9">
        <w:rPr>
          <w:rFonts w:eastAsia="Calibri"/>
          <w:b/>
          <w:bCs/>
          <w:rtl/>
        </w:rPr>
        <w:t xml:space="preserve"> </w:t>
      </w:r>
      <w:r w:rsidRPr="00A210E9">
        <w:rPr>
          <w:rFonts w:eastAsia="Calibri" w:hint="eastAsia"/>
          <w:b/>
          <w:bCs/>
          <w:rtl/>
        </w:rPr>
        <w:t>הוא</w:t>
      </w:r>
      <w:r w:rsidRPr="00A210E9">
        <w:rPr>
          <w:rFonts w:eastAsia="Calibri"/>
          <w:b/>
          <w:bCs/>
          <w:rtl/>
        </w:rPr>
        <w:t xml:space="preserve"> </w:t>
      </w:r>
      <w:r w:rsidRPr="00A210E9">
        <w:rPr>
          <w:rFonts w:eastAsia="Calibri" w:hint="eastAsia"/>
          <w:b/>
          <w:bCs/>
          <w:rtl/>
        </w:rPr>
        <w:t>שעם</w:t>
      </w:r>
      <w:r w:rsidRPr="00A210E9">
        <w:rPr>
          <w:rFonts w:eastAsia="Calibri"/>
          <w:b/>
          <w:bCs/>
          <w:rtl/>
        </w:rPr>
        <w:t xml:space="preserve"> </w:t>
      </w:r>
      <w:r w:rsidRPr="00A210E9">
        <w:rPr>
          <w:rFonts w:eastAsia="Calibri" w:hint="eastAsia"/>
          <w:b/>
          <w:bCs/>
          <w:rtl/>
        </w:rPr>
        <w:t>חלוף</w:t>
      </w:r>
      <w:r w:rsidRPr="00A210E9">
        <w:rPr>
          <w:rFonts w:eastAsia="Calibri"/>
          <w:b/>
          <w:bCs/>
          <w:rtl/>
        </w:rPr>
        <w:t xml:space="preserve"> </w:t>
      </w:r>
      <w:r w:rsidRPr="00A210E9">
        <w:rPr>
          <w:rFonts w:eastAsia="Calibri" w:hint="eastAsia"/>
          <w:b/>
          <w:bCs/>
          <w:rtl/>
        </w:rPr>
        <w:t>הזמן</w:t>
      </w:r>
      <w:r w:rsidRPr="00A210E9">
        <w:rPr>
          <w:rFonts w:eastAsia="Calibri"/>
          <w:b/>
          <w:bCs/>
          <w:rtl/>
        </w:rPr>
        <w:t xml:space="preserve"> </w:t>
      </w:r>
      <w:r w:rsidRPr="00A210E9">
        <w:rPr>
          <w:rFonts w:eastAsia="Calibri" w:hint="eastAsia"/>
          <w:b/>
          <w:bCs/>
          <w:rtl/>
        </w:rPr>
        <w:t>תשתיות</w:t>
      </w:r>
      <w:r w:rsidRPr="00A210E9">
        <w:rPr>
          <w:rFonts w:eastAsia="Calibri"/>
          <w:b/>
          <w:bCs/>
          <w:rtl/>
        </w:rPr>
        <w:t xml:space="preserve"> </w:t>
      </w:r>
      <w:r w:rsidRPr="00A210E9">
        <w:rPr>
          <w:rFonts w:eastAsia="Calibri" w:hint="eastAsia"/>
          <w:b/>
          <w:bCs/>
          <w:rtl/>
        </w:rPr>
        <w:t>שנבנות</w:t>
      </w:r>
      <w:r w:rsidRPr="00A210E9">
        <w:rPr>
          <w:rFonts w:eastAsia="Calibri"/>
          <w:b/>
          <w:bCs/>
          <w:rtl/>
        </w:rPr>
        <w:t xml:space="preserve"> </w:t>
      </w:r>
      <w:r w:rsidRPr="00A210E9">
        <w:rPr>
          <w:rFonts w:eastAsia="Calibri" w:hint="eastAsia"/>
          <w:b/>
          <w:bCs/>
          <w:rtl/>
        </w:rPr>
        <w:t>לפני</w:t>
      </w:r>
      <w:r w:rsidRPr="00A210E9">
        <w:rPr>
          <w:rFonts w:eastAsia="Calibri"/>
          <w:b/>
          <w:bCs/>
          <w:rtl/>
        </w:rPr>
        <w:t xml:space="preserve"> </w:t>
      </w:r>
      <w:r w:rsidRPr="00A210E9">
        <w:rPr>
          <w:rFonts w:eastAsia="Calibri" w:hint="cs"/>
          <w:b/>
          <w:bCs/>
          <w:rtl/>
        </w:rPr>
        <w:t xml:space="preserve">תחילתן של </w:t>
      </w:r>
      <w:r w:rsidRPr="00A210E9">
        <w:rPr>
          <w:rFonts w:eastAsia="Calibri" w:hint="eastAsia"/>
          <w:b/>
          <w:bCs/>
          <w:rtl/>
        </w:rPr>
        <w:t>התקנות</w:t>
      </w:r>
      <w:r w:rsidRPr="00A210E9">
        <w:rPr>
          <w:rFonts w:eastAsia="Calibri"/>
          <w:b/>
          <w:bCs/>
          <w:rtl/>
        </w:rPr>
        <w:t xml:space="preserve"> </w:t>
      </w:r>
      <w:r w:rsidRPr="00A210E9">
        <w:rPr>
          <w:rFonts w:eastAsia="Calibri" w:hint="eastAsia"/>
          <w:b/>
          <w:bCs/>
          <w:rtl/>
        </w:rPr>
        <w:t>נכנסות</w:t>
      </w:r>
      <w:r w:rsidRPr="00A210E9">
        <w:rPr>
          <w:rFonts w:eastAsia="Calibri"/>
          <w:b/>
          <w:bCs/>
          <w:rtl/>
        </w:rPr>
        <w:t xml:space="preserve"> </w:t>
      </w:r>
      <w:r w:rsidRPr="00A210E9">
        <w:rPr>
          <w:rFonts w:eastAsia="Calibri" w:hint="cs"/>
          <w:b/>
          <w:bCs/>
          <w:rtl/>
        </w:rPr>
        <w:t>ל</w:t>
      </w:r>
      <w:r w:rsidRPr="00A210E9">
        <w:rPr>
          <w:rFonts w:eastAsia="Calibri" w:hint="eastAsia"/>
          <w:b/>
          <w:bCs/>
          <w:rtl/>
        </w:rPr>
        <w:t>קטגוריה</w:t>
      </w:r>
      <w:r w:rsidRPr="00A210E9">
        <w:rPr>
          <w:rFonts w:eastAsia="Calibri"/>
          <w:b/>
          <w:bCs/>
          <w:rtl/>
        </w:rPr>
        <w:t xml:space="preserve"> </w:t>
      </w:r>
      <w:r w:rsidRPr="00A210E9">
        <w:rPr>
          <w:rFonts w:eastAsia="Calibri" w:hint="eastAsia"/>
          <w:b/>
          <w:bCs/>
          <w:rtl/>
        </w:rPr>
        <w:t>של</w:t>
      </w:r>
      <w:r w:rsidRPr="00A210E9">
        <w:rPr>
          <w:rFonts w:eastAsia="Calibri"/>
          <w:b/>
          <w:bCs/>
          <w:rtl/>
        </w:rPr>
        <w:t xml:space="preserve"> </w:t>
      </w:r>
      <w:r w:rsidRPr="00A210E9">
        <w:rPr>
          <w:rFonts w:eastAsia="Calibri" w:hint="eastAsia"/>
          <w:b/>
          <w:bCs/>
          <w:rtl/>
        </w:rPr>
        <w:t>דרכים</w:t>
      </w:r>
      <w:r w:rsidRPr="00A210E9">
        <w:rPr>
          <w:rFonts w:eastAsia="Calibri"/>
          <w:b/>
          <w:bCs/>
          <w:rtl/>
        </w:rPr>
        <w:t xml:space="preserve"> </w:t>
      </w:r>
      <w:r w:rsidRPr="00A210E9">
        <w:rPr>
          <w:rFonts w:eastAsia="Calibri" w:hint="eastAsia"/>
          <w:b/>
          <w:bCs/>
          <w:rtl/>
        </w:rPr>
        <w:t>קיימות</w:t>
      </w:r>
      <w:r w:rsidRPr="00A210E9">
        <w:rPr>
          <w:rFonts w:eastAsia="Calibri" w:hint="cs"/>
          <w:b/>
          <w:bCs/>
          <w:rtl/>
        </w:rPr>
        <w:t>,</w:t>
      </w:r>
      <w:r w:rsidRPr="00A210E9">
        <w:rPr>
          <w:rFonts w:eastAsia="Calibri"/>
          <w:b/>
          <w:bCs/>
          <w:rtl/>
        </w:rPr>
        <w:t xml:space="preserve"> </w:t>
      </w:r>
      <w:r w:rsidRPr="00A210E9">
        <w:rPr>
          <w:rFonts w:eastAsia="Calibri" w:hint="eastAsia"/>
          <w:b/>
          <w:bCs/>
          <w:rtl/>
        </w:rPr>
        <w:t>ויהיה</w:t>
      </w:r>
      <w:r w:rsidRPr="00A210E9">
        <w:rPr>
          <w:rFonts w:eastAsia="Calibri"/>
          <w:b/>
          <w:bCs/>
          <w:rtl/>
        </w:rPr>
        <w:t xml:space="preserve"> </w:t>
      </w:r>
      <w:r w:rsidRPr="00A210E9">
        <w:rPr>
          <w:rFonts w:eastAsia="Calibri" w:hint="eastAsia"/>
          <w:b/>
          <w:bCs/>
          <w:rtl/>
        </w:rPr>
        <w:t>קשה</w:t>
      </w:r>
      <w:r w:rsidRPr="00A210E9">
        <w:rPr>
          <w:rFonts w:eastAsia="Calibri"/>
          <w:b/>
          <w:bCs/>
          <w:rtl/>
        </w:rPr>
        <w:t xml:space="preserve"> </w:t>
      </w:r>
      <w:r w:rsidRPr="00A210E9">
        <w:rPr>
          <w:rFonts w:eastAsia="Calibri" w:hint="eastAsia"/>
          <w:b/>
          <w:bCs/>
          <w:rtl/>
        </w:rPr>
        <w:t>יותר</w:t>
      </w:r>
      <w:r w:rsidRPr="00A210E9">
        <w:rPr>
          <w:rFonts w:eastAsia="Calibri"/>
          <w:b/>
          <w:bCs/>
          <w:rtl/>
        </w:rPr>
        <w:t xml:space="preserve"> </w:t>
      </w:r>
      <w:r w:rsidRPr="00A210E9">
        <w:rPr>
          <w:rFonts w:eastAsia="Calibri" w:hint="cs"/>
          <w:b/>
          <w:bCs/>
          <w:rtl/>
        </w:rPr>
        <w:t>ואף יקר יותר להנגישן</w:t>
      </w:r>
      <w:r w:rsidRPr="00A210E9">
        <w:rPr>
          <w:rFonts w:eastAsia="Calibri"/>
          <w:b/>
          <w:bCs/>
          <w:rtl/>
        </w:rPr>
        <w:t>, בניגוד לתשתיות חדשות שכבר ב</w:t>
      </w:r>
      <w:r w:rsidRPr="00A210E9">
        <w:rPr>
          <w:rFonts w:eastAsia="Calibri" w:hint="cs"/>
          <w:b/>
          <w:bCs/>
          <w:rtl/>
        </w:rPr>
        <w:t>עת ה</w:t>
      </w:r>
      <w:r w:rsidRPr="00A210E9">
        <w:rPr>
          <w:rFonts w:eastAsia="Calibri"/>
          <w:b/>
          <w:bCs/>
          <w:rtl/>
        </w:rPr>
        <w:t xml:space="preserve">תכנון </w:t>
      </w:r>
      <w:r w:rsidRPr="00A210E9">
        <w:rPr>
          <w:rFonts w:eastAsia="Calibri" w:hint="cs"/>
          <w:b/>
          <w:bCs/>
          <w:rtl/>
        </w:rPr>
        <w:t>ניתן להתאים את נגישותן.</w:t>
      </w:r>
      <w:r w:rsidRPr="00A210E9">
        <w:rPr>
          <w:rFonts w:eastAsia="Calibri"/>
          <w:b/>
          <w:bCs/>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על שר הפנים לפעול ולקדם בהקדם את התקנת תקנות שוויון לאנשים עם מוגבלות (נגישות דרכים) שעל פיהן יפעלו הרשויות המקומיות השונות בהקצאת חניות נכים ברחוב.</w:t>
      </w:r>
      <w:r w:rsidRPr="00A210E9">
        <w:rPr>
          <w:rFonts w:eastAsia="Calibri" w:hint="cs"/>
          <w:b/>
          <w:bCs/>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eastAsia"/>
          <w:rtl/>
        </w:rPr>
        <w:t>משרד</w:t>
      </w:r>
      <w:r w:rsidRPr="00A210E9">
        <w:rPr>
          <w:rFonts w:eastAsia="Calibri"/>
          <w:rtl/>
        </w:rPr>
        <w:t xml:space="preserve"> הפנים כתב בתשובתו </w:t>
      </w:r>
      <w:r w:rsidRPr="00A210E9">
        <w:rPr>
          <w:rFonts w:eastAsia="Calibri" w:hint="eastAsia"/>
          <w:rtl/>
        </w:rPr>
        <w:t>כי</w:t>
      </w:r>
      <w:r w:rsidRPr="00A210E9">
        <w:rPr>
          <w:rFonts w:eastAsia="Calibri"/>
          <w:rtl/>
        </w:rPr>
        <w:t xml:space="preserve"> </w:t>
      </w:r>
      <w:r w:rsidRPr="00A210E9">
        <w:rPr>
          <w:rFonts w:eastAsia="Calibri" w:hint="eastAsia"/>
          <w:rtl/>
        </w:rPr>
        <w:t>בימים</w:t>
      </w:r>
      <w:r w:rsidRPr="00A210E9">
        <w:rPr>
          <w:rFonts w:eastAsia="Calibri"/>
          <w:rtl/>
        </w:rPr>
        <w:t xml:space="preserve"> אלו </w:t>
      </w:r>
      <w:r w:rsidRPr="00A210E9">
        <w:rPr>
          <w:rFonts w:eastAsia="Calibri" w:hint="cs"/>
          <w:rtl/>
        </w:rPr>
        <w:t>הוא מבצע</w:t>
      </w:r>
      <w:r w:rsidRPr="00A210E9">
        <w:rPr>
          <w:rFonts w:eastAsia="Calibri"/>
          <w:rtl/>
        </w:rPr>
        <w:t xml:space="preserve"> עבודה מקצועית בשיתוף </w:t>
      </w:r>
      <w:r w:rsidRPr="00A210E9">
        <w:rPr>
          <w:rFonts w:eastAsia="Calibri" w:hint="eastAsia"/>
          <w:rtl/>
        </w:rPr>
        <w:t>נציגי</w:t>
      </w:r>
      <w:r w:rsidRPr="00A210E9">
        <w:rPr>
          <w:rFonts w:eastAsia="Calibri"/>
          <w:rtl/>
        </w:rPr>
        <w:t xml:space="preserve"> נציבות שוויון זכויות </w:t>
      </w:r>
      <w:r w:rsidRPr="00A210E9">
        <w:rPr>
          <w:rFonts w:eastAsia="Calibri" w:hint="eastAsia"/>
          <w:rtl/>
        </w:rPr>
        <w:t>ונציגי</w:t>
      </w:r>
      <w:r w:rsidRPr="00A210E9">
        <w:rPr>
          <w:rFonts w:eastAsia="Calibri"/>
          <w:rtl/>
        </w:rPr>
        <w:t xml:space="preserve"> השלטון המקומי כדי להשלים הכנת תקנות חדשות אשר </w:t>
      </w:r>
      <w:r w:rsidRPr="00A210E9">
        <w:rPr>
          <w:rFonts w:eastAsia="Calibri" w:hint="cs"/>
          <w:rtl/>
        </w:rPr>
        <w:t>יעסקו</w:t>
      </w:r>
      <w:r w:rsidRPr="00A210E9">
        <w:rPr>
          <w:rFonts w:eastAsia="Calibri"/>
          <w:rtl/>
        </w:rPr>
        <w:t xml:space="preserve"> לעת </w:t>
      </w:r>
      <w:r w:rsidRPr="00A210E9">
        <w:rPr>
          <w:rFonts w:eastAsia="Calibri" w:hint="cs"/>
          <w:rtl/>
        </w:rPr>
        <w:t>הזאת</w:t>
      </w:r>
      <w:r w:rsidRPr="00A210E9">
        <w:rPr>
          <w:rFonts w:eastAsia="Calibri"/>
          <w:rtl/>
        </w:rPr>
        <w:t xml:space="preserve"> </w:t>
      </w:r>
      <w:r w:rsidRPr="00A210E9">
        <w:rPr>
          <w:rFonts w:eastAsia="Calibri" w:hint="cs"/>
          <w:rtl/>
        </w:rPr>
        <w:t>ב</w:t>
      </w:r>
      <w:r w:rsidRPr="00A210E9">
        <w:rPr>
          <w:rFonts w:eastAsia="Calibri"/>
          <w:rtl/>
        </w:rPr>
        <w:t xml:space="preserve">דרכים חדשות בלבד. במסגרת זאת, ובהתאם לנדרש לפי הוראות החוק, </w:t>
      </w:r>
      <w:r w:rsidRPr="00A210E9">
        <w:rPr>
          <w:rFonts w:eastAsia="Calibri" w:hint="eastAsia"/>
          <w:rtl/>
        </w:rPr>
        <w:t>מתבצע</w:t>
      </w:r>
      <w:r w:rsidRPr="00A210E9">
        <w:rPr>
          <w:rFonts w:eastAsia="Calibri"/>
          <w:rtl/>
        </w:rPr>
        <w:t xml:space="preserve"> </w:t>
      </w:r>
      <w:r w:rsidRPr="00A210E9">
        <w:rPr>
          <w:rFonts w:eastAsia="Calibri" w:hint="eastAsia"/>
          <w:rtl/>
        </w:rPr>
        <w:t>הליך</w:t>
      </w:r>
      <w:r w:rsidRPr="00A210E9">
        <w:rPr>
          <w:rFonts w:eastAsia="Calibri"/>
          <w:rtl/>
        </w:rPr>
        <w:t xml:space="preserve"> </w:t>
      </w:r>
      <w:r w:rsidRPr="00A210E9">
        <w:rPr>
          <w:rFonts w:eastAsia="Calibri" w:hint="eastAsia"/>
          <w:rtl/>
        </w:rPr>
        <w:t>התייעצות</w:t>
      </w:r>
      <w:r w:rsidRPr="00A210E9">
        <w:rPr>
          <w:rFonts w:eastAsia="Calibri"/>
          <w:rtl/>
        </w:rPr>
        <w:t xml:space="preserve"> </w:t>
      </w:r>
      <w:r w:rsidRPr="00A210E9">
        <w:rPr>
          <w:rFonts w:eastAsia="Calibri" w:hint="cs"/>
          <w:rtl/>
        </w:rPr>
        <w:t>עם</w:t>
      </w:r>
      <w:r w:rsidRPr="00A210E9">
        <w:rPr>
          <w:rFonts w:eastAsia="Calibri"/>
          <w:rtl/>
        </w:rPr>
        <w:t xml:space="preserve"> </w:t>
      </w:r>
      <w:r w:rsidRPr="00A210E9">
        <w:rPr>
          <w:rFonts w:eastAsia="Calibri" w:hint="eastAsia"/>
          <w:rtl/>
        </w:rPr>
        <w:t>הארגונים</w:t>
      </w:r>
      <w:r w:rsidRPr="00A210E9">
        <w:rPr>
          <w:rFonts w:eastAsia="Calibri"/>
          <w:rtl/>
        </w:rPr>
        <w:t xml:space="preserve"> </w:t>
      </w:r>
      <w:r w:rsidRPr="00A210E9">
        <w:rPr>
          <w:rFonts w:eastAsia="Calibri" w:hint="eastAsia"/>
          <w:rtl/>
        </w:rPr>
        <w:t>הציבוריים</w:t>
      </w:r>
      <w:r w:rsidRPr="00A210E9">
        <w:rPr>
          <w:rFonts w:eastAsia="Calibri"/>
          <w:rtl/>
        </w:rPr>
        <w:t xml:space="preserve"> </w:t>
      </w:r>
      <w:r w:rsidRPr="00A210E9">
        <w:rPr>
          <w:rFonts w:eastAsia="Calibri" w:hint="eastAsia"/>
          <w:rtl/>
        </w:rPr>
        <w:t>הרלוונטיים</w:t>
      </w:r>
      <w:r w:rsidRPr="00A210E9">
        <w:rPr>
          <w:rFonts w:eastAsia="Calibri"/>
          <w:rtl/>
        </w:rPr>
        <w:t>.</w:t>
      </w:r>
      <w:r w:rsidRPr="00A210E9">
        <w:rPr>
          <w:rFonts w:eastAsia="Calibri" w:hint="cs"/>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מרכז השלטון האזורי כתב בתשובתו כי בכל הנוגע לקידום תקנות לנגישות בדרכים קיימות בישובים הכפריים, אם יקודמו תקנות בעלות השפעה רטרואקטיבית על הרשויות, ביצוען יותנה בשיפוי תקציבי ממשלתי מלא. המרכז הוסיף כי נטל ההנגשה של תשתיות ותיקות במרחבים כפריים רחבי ידיים הוא כבד מנשוא, ואין לצפות מהרשויות לספוג עלויות אלו ולממנן מתקציבן השוטף. </w:t>
      </w:r>
    </w:p>
    <w:p w:rsidR="00A210E9" w:rsidRPr="00A210E9" w:rsidP="00A210E9">
      <w:pPr>
        <w:keepNext/>
        <w:keepLines/>
        <w:spacing w:line="269" w:lineRule="auto"/>
        <w:ind w:left="-567"/>
        <w:rPr>
          <w:rFonts w:eastAsia="Calibri"/>
          <w:szCs w:val="20"/>
          <w:rtl/>
        </w:rPr>
      </w:pPr>
    </w:p>
    <w:p w:rsidR="00A210E9" w:rsidRPr="00A210E9" w:rsidP="00A210E9">
      <w:pPr>
        <w:keepNext/>
        <w:keepLines/>
        <w:spacing w:line="269" w:lineRule="auto"/>
        <w:outlineLvl w:val="4"/>
        <w:rPr>
          <w:rFonts w:eastAsia="Times New Roman"/>
          <w:bCs/>
          <w:spacing w:val="40"/>
          <w:rtl/>
        </w:rPr>
      </w:pPr>
      <w:r w:rsidRPr="00A210E9">
        <w:rPr>
          <w:rFonts w:eastAsia="Times New Roman" w:hint="cs"/>
          <w:bCs/>
          <w:spacing w:val="40"/>
          <w:rtl/>
        </w:rPr>
        <w:t>הסדרת חניה לרכב עם מעלון או עם מתקן הרמה</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אנשים עם מוגבלות הנעזרים בכיסא גלגלים משתמשים לרוב במעלון או במתקן הרמה כדי להיכנס לרכב ולצאת ממנו בחניה. מעלון הוא מעלית קטנה ופתוחה המיועדת להרמה של אנשים עם לקות תנועה, כמו משתמשי כיסאות גלגלים. המעלון תופס שטח חניה בעת המעבר לרכב ומהרכב, ולכן החניה צריכה להיות רחבה יותר או ארוכה יותר עבור רכבים אלה לעומת חניית נכים רגילה. </w:t>
      </w:r>
    </w:p>
    <w:p w:rsidR="00A210E9" w:rsidRPr="00A210E9" w:rsidP="00A210E9">
      <w:pPr>
        <w:keepNext/>
        <w:keepLines/>
        <w:spacing w:line="269" w:lineRule="auto"/>
        <w:ind w:left="-567"/>
        <w:rPr>
          <w:rFonts w:eastAsia="Calibri"/>
          <w:szCs w:val="20"/>
        </w:rPr>
      </w:pPr>
    </w:p>
    <w:p w:rsidR="00A210E9" w:rsidRPr="00A210E9" w:rsidP="00A210E9">
      <w:pPr>
        <w:spacing w:line="269" w:lineRule="auto"/>
        <w:rPr>
          <w:rFonts w:eastAsia="Calibri"/>
          <w:rtl/>
        </w:rPr>
      </w:pPr>
      <w:r w:rsidRPr="00A210E9">
        <w:rPr>
          <w:rFonts w:eastAsia="Calibri" w:hint="cs"/>
          <w:rtl/>
        </w:rPr>
        <w:t xml:space="preserve">כאמור חוק חניה לנכים אינו מבדיל בין סוגי תגי החניה ומקנה מערכת אחת של זכויות בנושאי חניה לכל מחזיקי תג חניה. למרות זאת, עד 2012 הנפיק משרד התחבורה סוגים שונים של תגי חניה אשר הקנו זכויות שונות בכל הנוגע לחניית נכים, בין היתר רק אנשים עם מוגבלות הנעזרים בכיסא גלגלים או אנשים מוגבלים בגפיים התחתונות היו רשאים לחנות בחניות שבהן הוצב תמרור 437 - תמרור מרובע כחול ועליו ציור בלבן של אדם בכיסא גלגלים - המעוצב באופן זהה לחלוטין לתג החניה הכחול שהנפיק אגף הרישוי עבור אוכלוסייה זו. </w:t>
      </w:r>
      <w:bookmarkStart w:id="107" w:name="_Hlk219646265"/>
      <w:r w:rsidRPr="00A210E9">
        <w:rPr>
          <w:rFonts w:eastAsia="Calibri" w:hint="cs"/>
          <w:rtl/>
        </w:rPr>
        <w:t xml:space="preserve">כיום, כל נושאי תג חניה, גם אנשים עם מוגבלות הנעזרים בכיסא גלגלים או מעלון וגם אנשים עם מוגבלות שאינם משתמשים בעזרים אלה, יכולים לחנות בחניית נכים שהוצב בה תמרור 437, אף שבלוח התמרורים התמרור עדיין מוגדר כתמרור </w:t>
      </w:r>
      <w:bookmarkEnd w:id="107"/>
      <w:r w:rsidRPr="00A210E9">
        <w:rPr>
          <w:rFonts w:eastAsia="Calibri" w:hint="cs"/>
          <w:rtl/>
        </w:rPr>
        <w:t>עבור "נכה משותק רגליים".</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jc w:val="center"/>
        <w:rPr>
          <w:rFonts w:eastAsia="Calibri"/>
          <w:b/>
          <w:bCs/>
          <w:rtl/>
        </w:rPr>
      </w:pPr>
      <w:r w:rsidRPr="00A210E9">
        <w:rPr>
          <w:rFonts w:eastAsia="Calibri" w:hint="cs"/>
          <w:rtl/>
        </w:rPr>
        <w:t xml:space="preserve">תמונה 2: </w:t>
      </w:r>
      <w:r w:rsidRPr="00A210E9">
        <w:rPr>
          <w:rFonts w:eastAsia="Calibri" w:hint="cs"/>
          <w:b/>
          <w:bCs/>
          <w:rtl/>
        </w:rPr>
        <w:t>תמרור 437 - "חניה בלעדית לרכב של נכה - משותק רגליים"</w:t>
      </w:r>
    </w:p>
    <w:p w:rsidR="00A210E9" w:rsidRPr="00A210E9" w:rsidP="00A210E9">
      <w:pPr>
        <w:spacing w:line="269" w:lineRule="auto"/>
        <w:jc w:val="center"/>
        <w:rPr>
          <w:rFonts w:eastAsia="Calibri"/>
          <w:rtl/>
        </w:rPr>
      </w:pPr>
      <w:r w:rsidRPr="00A210E9">
        <w:rPr>
          <w:rFonts w:eastAsia="Calibri"/>
          <w:noProof/>
          <w:rtl/>
        </w:rPr>
        <w:drawing>
          <wp:inline distT="0" distB="0" distL="0" distR="0">
            <wp:extent cx="2112557" cy="2080056"/>
            <wp:effectExtent l="0" t="0" r="2540" b="0"/>
            <wp:docPr id="11" name="תמונה 11" descr="סמל כיסא גלגלים בתוך ריבוע עם מסגר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2116632" cy="2084068"/>
                    </a:xfrm>
                    <a:prstGeom prst="rect">
                      <a:avLst/>
                    </a:prstGeom>
                    <a:noFill/>
                    <a:ln>
                      <a:noFill/>
                    </a:ln>
                  </pic:spPr>
                </pic:pic>
              </a:graphicData>
            </a:graphic>
          </wp:inline>
        </w:drawing>
      </w:r>
    </w:p>
    <w:p w:rsidR="00A210E9" w:rsidRPr="00A210E9" w:rsidP="00A210E9">
      <w:pPr>
        <w:spacing w:line="269" w:lineRule="auto"/>
        <w:rPr>
          <w:rFonts w:eastAsia="Calibri"/>
          <w:sz w:val="16"/>
          <w:szCs w:val="20"/>
          <w:rtl/>
        </w:rPr>
      </w:pPr>
      <w:r w:rsidRPr="00A210E9">
        <w:rPr>
          <w:rFonts w:eastAsia="Calibri" w:hint="cs"/>
          <w:sz w:val="16"/>
          <w:szCs w:val="20"/>
          <w:rtl/>
        </w:rPr>
        <w:t xml:space="preserve">המקור: משרד התחבורה, </w:t>
      </w:r>
      <w:r w:rsidRPr="00A210E9">
        <w:rPr>
          <w:rFonts w:eastAsia="Calibri" w:hint="cs"/>
          <w:b/>
          <w:bCs/>
          <w:sz w:val="16"/>
          <w:szCs w:val="20"/>
          <w:rtl/>
        </w:rPr>
        <w:t>תקנות והנחיות להצבת תמרורים 2024</w:t>
      </w:r>
      <w:r w:rsidRPr="00A210E9">
        <w:rPr>
          <w:rFonts w:eastAsia="Calibri" w:hint="cs"/>
          <w:sz w:val="16"/>
          <w:szCs w:val="20"/>
          <w:rtl/>
        </w:rPr>
        <w:t xml:space="preserve"> (מהדורה מעודכנת, 2024).</w:t>
      </w:r>
    </w:p>
    <w:p w:rsidR="00A210E9" w:rsidRPr="00A210E9" w:rsidP="00A210E9">
      <w:pPr>
        <w:spacing w:line="269" w:lineRule="auto"/>
        <w:rPr>
          <w:rFonts w:eastAsia="Calibri"/>
          <w:rtl/>
        </w:rPr>
      </w:pPr>
      <w:r w:rsidRPr="00A210E9">
        <w:rPr>
          <w:rFonts w:eastAsia="Calibri" w:hint="cs"/>
          <w:rtl/>
        </w:rPr>
        <w:t>נוכח הפער שנוצר בין האמור בחוק לבין היישום בשטח הגישה עמותת נגישות ישראל בשנת 2011 עתירה</w:t>
      </w:r>
      <w:r>
        <w:rPr>
          <w:rFonts w:eastAsia="Calibri"/>
          <w:vertAlign w:val="superscript"/>
          <w:rtl/>
        </w:rPr>
        <w:footnoteReference w:id="99"/>
      </w:r>
      <w:r w:rsidRPr="00A210E9">
        <w:rPr>
          <w:rFonts w:eastAsia="Calibri" w:hint="cs"/>
          <w:rtl/>
        </w:rPr>
        <w:t xml:space="preserve"> לבית המשפט העליון בשבתו כבג"ץ נגד שר התחבורה ואח', שעניינה סוגיית הנפקת תגי חניה שונים בניגוד לקבוע בחוק. בעתירה נכתב שההנחה שלפיה אדם עם מוגבלות הנעזר בכיסא גלגלים מועדף על פני אדם עם מוגבלות שאינו נעזר בכיסא גלגלים, אינה תמיד נכונה. במקרים מסוימים דווקא ההיעזרות בכיסא גלגלים מאפשרת ניידות קלה יותר, למשל לעומת אנשים עם מוגבלות מהותית בהליכה שאינם נעזרים בכיסא גלגלים, כגון אנשים עם מחלות לב ומחלות נשימה קשות ואנשים עם מחלות כלי דם ברגליים. עוד נכתב בעתירה כי משרד התחבורה אומנם השיב לעותרים כי זכויות האנשים עם מוגבלות הן אחידות גם אם יש סוגים שונים של תגי חניה, אך המצב בפועל הוא שאנשים עם מוגבלות וגורמי האכיפה מתייחסים באופן שונה לכל אחד מסוגי תגי החניה, לעיתים משום שכך נקבע בלוח התמרורים שפרסם משרד התחבורה בקובץ התקנות.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Times New Roman"/>
          <w:color w:val="000000"/>
          <w:sz w:val="24"/>
          <w:rtl/>
        </w:rPr>
      </w:pPr>
      <w:r w:rsidRPr="00A210E9">
        <w:rPr>
          <w:rFonts w:eastAsia="Times New Roman" w:hint="cs"/>
          <w:color w:val="000000"/>
          <w:sz w:val="24"/>
          <w:rtl/>
        </w:rPr>
        <w:t>בעתירה צוינה פסיקה</w:t>
      </w:r>
      <w:r>
        <w:rPr>
          <w:rFonts w:eastAsia="Calibri" w:cs="Times New Roman"/>
          <w:vertAlign w:val="superscript"/>
          <w:rtl/>
        </w:rPr>
        <w:footnoteReference w:id="100"/>
      </w:r>
      <w:r w:rsidRPr="00A210E9">
        <w:rPr>
          <w:rFonts w:eastAsia="Times New Roman" w:hint="cs"/>
          <w:color w:val="000000"/>
          <w:sz w:val="24"/>
          <w:rtl/>
        </w:rPr>
        <w:t xml:space="preserve"> משנת 2011, ובה נקבע ש"התמרור הינו אך סימן המפעיל את הנורמה, תמרור אינו חוק או תקנה, ושינוי תמרור או הגדרתו, אינה מהווה את ביטול או שינוי החוק, התמרור הינו הסימן 'המפעיל' את הוראת החוק, וסימון זה רשאית רשות התמרור לשנות, שינוי מיקומו של תמרור או סימון על הכביש או שינוי הגדרת התמרור, אינם משנים את הנורמה המשפטית שאותה מפעיל התמרור בהצבתו".</w:t>
      </w:r>
      <w:r w:rsidRPr="00A210E9">
        <w:rPr>
          <w:rFonts w:eastAsia="Times New Roman" w:hint="cs"/>
          <w:color w:val="000000"/>
          <w:sz w:val="26"/>
          <w:szCs w:val="26"/>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Times New Roman"/>
          <w:color w:val="000000"/>
          <w:sz w:val="24"/>
          <w:rtl/>
        </w:rPr>
      </w:pPr>
      <w:r w:rsidRPr="00A210E9">
        <w:rPr>
          <w:rFonts w:eastAsia="Times New Roman" w:hint="cs"/>
          <w:color w:val="000000"/>
          <w:sz w:val="24"/>
          <w:rtl/>
        </w:rPr>
        <w:t xml:space="preserve">חוק חניה לנכים הוא חקיקה ראשית ותקנות התעבורה וחוקי העזר הם חקיקת משנה. על פי המדרג הנורמטיבי המוכר, חקיקה ראשית גוברת על חקיקת משנה, ולא ניתן לסתור חקיקה ראשית באמצעות חקיקת משנה. לפיכך, שינוי בהגדרת תמרור לא ישפיע על הנורמה המשפטית שההגדרה מבטאת. עוד נקבע בפסיקה האמורה שלא ניתן להסדיר את סוגיית חניית הנכים באמצעות שינוי בהגדרת התמרור בלבד. מדובר בנושא המשפיע על ציבור רחב של אנשים עם מוגבלות, ויש להסדירו באופן מקיף והרמוני באמצעות חקיקה ובהתייעצות עם כל הגורמים הרלוונטיים כדי להבטיח שמרבית ציבור האנשים עם מוגבלות לא ייפגעו.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ב-9.5.12 נמחקה העתירה כיוון שהשופטים קבעו כי התייתרה וזאת מכיוון שהמשיבים לעתירה (שר התחבורה, מנהל אגף הרישוי במשרד התחבורה ומנהל אגף תכנון תחבורתי במשרד התחבורה) הודיעו לבית המשפט שבהמשך זכויות החניה יהיו זהות ללא הבחנה בין סוגי התגים. עם זאת, בהחלטת בית המשפט נכתב</w:t>
      </w:r>
      <w:r>
        <w:rPr>
          <w:rFonts w:eastAsia="Calibri"/>
          <w:vertAlign w:val="superscript"/>
          <w:rtl/>
        </w:rPr>
        <w:footnoteReference w:id="101"/>
      </w:r>
      <w:r w:rsidRPr="00A210E9">
        <w:rPr>
          <w:rFonts w:eastAsia="Calibri" w:hint="cs"/>
          <w:rtl/>
        </w:rPr>
        <w:t>:</w:t>
      </w:r>
      <w:r w:rsidRPr="00A210E9">
        <w:rPr>
          <w:rFonts w:eastAsia="Calibri"/>
          <w:rtl/>
        </w:rPr>
        <w:t xml:space="preserve"> </w:t>
      </w:r>
      <w:r w:rsidRPr="00A210E9">
        <w:rPr>
          <w:rFonts w:eastAsia="Calibri" w:hint="cs"/>
          <w:rtl/>
        </w:rPr>
        <w:t>"</w:t>
      </w:r>
      <w:r w:rsidRPr="00A210E9">
        <w:rPr>
          <w:rFonts w:eastAsia="Calibri" w:hint="eastAsia"/>
          <w:rtl/>
        </w:rPr>
        <w:t>המשיבים</w:t>
      </w:r>
      <w:r w:rsidRPr="00A210E9">
        <w:rPr>
          <w:rFonts w:eastAsia="Calibri"/>
          <w:rtl/>
        </w:rPr>
        <w:t xml:space="preserve"> </w:t>
      </w:r>
      <w:r w:rsidRPr="00A210E9">
        <w:rPr>
          <w:rFonts w:eastAsia="Calibri" w:hint="eastAsia"/>
          <w:rtl/>
        </w:rPr>
        <w:t>מאשרים</w:t>
      </w:r>
      <w:r w:rsidRPr="00A210E9">
        <w:rPr>
          <w:rFonts w:eastAsia="Calibri"/>
          <w:rtl/>
        </w:rPr>
        <w:t xml:space="preserve"> </w:t>
      </w:r>
      <w:r w:rsidRPr="00A210E9">
        <w:rPr>
          <w:rFonts w:eastAsia="Calibri" w:hint="eastAsia"/>
          <w:rtl/>
        </w:rPr>
        <w:t>כי</w:t>
      </w:r>
      <w:r w:rsidRPr="00A210E9">
        <w:rPr>
          <w:rFonts w:eastAsia="Calibri"/>
          <w:rtl/>
        </w:rPr>
        <w:t xml:space="preserve"> </w:t>
      </w:r>
      <w:r w:rsidRPr="00A210E9">
        <w:rPr>
          <w:rFonts w:eastAsia="Calibri" w:hint="eastAsia"/>
          <w:rtl/>
        </w:rPr>
        <w:t>יש</w:t>
      </w:r>
      <w:r w:rsidRPr="00A210E9">
        <w:rPr>
          <w:rFonts w:eastAsia="Calibri"/>
          <w:rtl/>
        </w:rPr>
        <w:t xml:space="preserve"> </w:t>
      </w:r>
      <w:r w:rsidRPr="00A210E9">
        <w:rPr>
          <w:rFonts w:eastAsia="Calibri" w:hint="eastAsia"/>
          <w:rtl/>
        </w:rPr>
        <w:t>צורך</w:t>
      </w:r>
      <w:r w:rsidRPr="00A210E9">
        <w:rPr>
          <w:rFonts w:eastAsia="Calibri"/>
          <w:rtl/>
        </w:rPr>
        <w:t xml:space="preserve"> </w:t>
      </w:r>
      <w:r w:rsidRPr="00A210E9">
        <w:rPr>
          <w:rFonts w:eastAsia="Calibri" w:hint="eastAsia"/>
          <w:rtl/>
        </w:rPr>
        <w:t>להביא</w:t>
      </w:r>
      <w:r w:rsidRPr="00A210E9">
        <w:rPr>
          <w:rFonts w:eastAsia="Calibri"/>
          <w:rtl/>
        </w:rPr>
        <w:t xml:space="preserve"> </w:t>
      </w:r>
      <w:r w:rsidRPr="00A210E9">
        <w:rPr>
          <w:rFonts w:eastAsia="Calibri" w:hint="eastAsia"/>
          <w:rtl/>
        </w:rPr>
        <w:t>שינויים</w:t>
      </w:r>
      <w:r w:rsidRPr="00A210E9">
        <w:rPr>
          <w:rFonts w:eastAsia="Calibri"/>
          <w:rtl/>
        </w:rPr>
        <w:t xml:space="preserve"> </w:t>
      </w:r>
      <w:r w:rsidRPr="00A210E9">
        <w:rPr>
          <w:rFonts w:eastAsia="Calibri" w:hint="eastAsia"/>
          <w:rtl/>
        </w:rPr>
        <w:t>בחקיקה</w:t>
      </w:r>
      <w:r w:rsidRPr="00A210E9">
        <w:rPr>
          <w:rFonts w:eastAsia="Calibri"/>
          <w:rtl/>
        </w:rPr>
        <w:t xml:space="preserve"> </w:t>
      </w:r>
      <w:r w:rsidRPr="00A210E9">
        <w:rPr>
          <w:rFonts w:eastAsia="Calibri" w:hint="eastAsia"/>
          <w:rtl/>
        </w:rPr>
        <w:t>בכל</w:t>
      </w:r>
      <w:r w:rsidRPr="00A210E9">
        <w:rPr>
          <w:rFonts w:eastAsia="Calibri"/>
          <w:rtl/>
        </w:rPr>
        <w:t xml:space="preserve"> </w:t>
      </w:r>
      <w:r w:rsidRPr="00A210E9">
        <w:rPr>
          <w:rFonts w:eastAsia="Calibri" w:hint="eastAsia"/>
          <w:rtl/>
        </w:rPr>
        <w:t>הנוגע</w:t>
      </w:r>
      <w:r w:rsidRPr="00A210E9">
        <w:rPr>
          <w:rFonts w:eastAsia="Calibri"/>
          <w:rtl/>
        </w:rPr>
        <w:t xml:space="preserve"> </w:t>
      </w:r>
      <w:r w:rsidRPr="00A210E9">
        <w:rPr>
          <w:rFonts w:eastAsia="Calibri" w:hint="eastAsia"/>
          <w:rtl/>
        </w:rPr>
        <w:t>להסדרת</w:t>
      </w:r>
      <w:r w:rsidRPr="00A210E9">
        <w:rPr>
          <w:rFonts w:eastAsia="Calibri"/>
          <w:rtl/>
        </w:rPr>
        <w:t xml:space="preserve"> </w:t>
      </w:r>
      <w:r w:rsidRPr="00A210E9">
        <w:rPr>
          <w:rFonts w:eastAsia="Calibri" w:hint="eastAsia"/>
          <w:rtl/>
        </w:rPr>
        <w:t>הזכויות</w:t>
      </w:r>
      <w:r w:rsidRPr="00A210E9">
        <w:rPr>
          <w:rFonts w:eastAsia="Calibri"/>
          <w:rtl/>
        </w:rPr>
        <w:t xml:space="preserve"> </w:t>
      </w:r>
      <w:r w:rsidRPr="00A210E9">
        <w:rPr>
          <w:rFonts w:eastAsia="Calibri" w:hint="eastAsia"/>
          <w:rtl/>
        </w:rPr>
        <w:t>של</w:t>
      </w:r>
      <w:r w:rsidRPr="00A210E9">
        <w:rPr>
          <w:rFonts w:eastAsia="Calibri"/>
          <w:rtl/>
        </w:rPr>
        <w:t xml:space="preserve"> </w:t>
      </w:r>
      <w:r w:rsidRPr="00A210E9">
        <w:rPr>
          <w:rFonts w:eastAsia="Calibri" w:hint="cs"/>
          <w:rtl/>
        </w:rPr>
        <w:t>נכים</w:t>
      </w:r>
      <w:r w:rsidRPr="00A210E9">
        <w:rPr>
          <w:rFonts w:eastAsia="Calibri"/>
          <w:rtl/>
        </w:rPr>
        <w:t xml:space="preserve"> </w:t>
      </w:r>
      <w:r w:rsidRPr="00A210E9">
        <w:rPr>
          <w:rFonts w:eastAsia="Calibri" w:hint="eastAsia"/>
          <w:rtl/>
        </w:rPr>
        <w:t>באשר</w:t>
      </w:r>
      <w:r w:rsidRPr="00A210E9">
        <w:rPr>
          <w:rFonts w:eastAsia="Calibri"/>
          <w:rtl/>
        </w:rPr>
        <w:t xml:space="preserve"> </w:t>
      </w:r>
      <w:r w:rsidRPr="00A210E9">
        <w:rPr>
          <w:rFonts w:eastAsia="Calibri" w:hint="eastAsia"/>
          <w:rtl/>
        </w:rPr>
        <w:t>לחניה</w:t>
      </w:r>
      <w:r w:rsidRPr="00A210E9">
        <w:rPr>
          <w:rFonts w:eastAsia="Calibri"/>
          <w:rtl/>
        </w:rPr>
        <w:t xml:space="preserve">. פרקליטתם של המשיבים מסרה כי </w:t>
      </w:r>
      <w:r w:rsidRPr="00A210E9">
        <w:rPr>
          <w:rFonts w:eastAsia="Calibri" w:hint="eastAsia"/>
          <w:rtl/>
        </w:rPr>
        <w:t>תזכיר</w:t>
      </w:r>
      <w:r w:rsidRPr="00A210E9">
        <w:rPr>
          <w:rFonts w:eastAsia="Calibri"/>
          <w:rtl/>
        </w:rPr>
        <w:t xml:space="preserve"> </w:t>
      </w:r>
      <w:r w:rsidRPr="00A210E9">
        <w:rPr>
          <w:rFonts w:eastAsia="Calibri" w:hint="eastAsia"/>
          <w:rtl/>
        </w:rPr>
        <w:t>של</w:t>
      </w:r>
      <w:r w:rsidRPr="00A210E9">
        <w:rPr>
          <w:rFonts w:eastAsia="Calibri"/>
          <w:rtl/>
        </w:rPr>
        <w:t xml:space="preserve"> </w:t>
      </w:r>
      <w:r w:rsidRPr="00A210E9">
        <w:rPr>
          <w:rFonts w:eastAsia="Calibri" w:hint="eastAsia"/>
          <w:rtl/>
        </w:rPr>
        <w:t>הצעת</w:t>
      </w:r>
      <w:r w:rsidRPr="00A210E9">
        <w:rPr>
          <w:rFonts w:eastAsia="Calibri"/>
          <w:rtl/>
        </w:rPr>
        <w:t xml:space="preserve"> </w:t>
      </w:r>
      <w:r w:rsidRPr="00A210E9">
        <w:rPr>
          <w:rFonts w:eastAsia="Calibri" w:hint="eastAsia"/>
          <w:rtl/>
        </w:rPr>
        <w:t>חוק</w:t>
      </w:r>
      <w:r w:rsidRPr="00A210E9">
        <w:rPr>
          <w:rFonts w:eastAsia="Calibri"/>
          <w:rtl/>
        </w:rPr>
        <w:t xml:space="preserve"> </w:t>
      </w:r>
      <w:r w:rsidRPr="00A210E9">
        <w:rPr>
          <w:rFonts w:eastAsia="Calibri" w:hint="eastAsia"/>
          <w:rtl/>
        </w:rPr>
        <w:t>בנושא</w:t>
      </w:r>
      <w:r w:rsidRPr="00A210E9">
        <w:rPr>
          <w:rFonts w:eastAsia="Calibri"/>
          <w:rtl/>
        </w:rPr>
        <w:t xml:space="preserve"> </w:t>
      </w:r>
      <w:r w:rsidRPr="00A210E9">
        <w:rPr>
          <w:rFonts w:eastAsia="Calibri" w:hint="eastAsia"/>
          <w:rtl/>
        </w:rPr>
        <w:t>יונח</w:t>
      </w:r>
      <w:r w:rsidRPr="00A210E9">
        <w:rPr>
          <w:rFonts w:eastAsia="Calibri"/>
          <w:rtl/>
        </w:rPr>
        <w:t xml:space="preserve"> </w:t>
      </w:r>
      <w:r w:rsidRPr="00A210E9">
        <w:rPr>
          <w:rFonts w:eastAsia="Calibri" w:hint="eastAsia"/>
          <w:rtl/>
        </w:rPr>
        <w:t>על</w:t>
      </w:r>
      <w:r w:rsidRPr="00A210E9">
        <w:rPr>
          <w:rFonts w:eastAsia="Calibri"/>
          <w:rtl/>
        </w:rPr>
        <w:t xml:space="preserve"> </w:t>
      </w:r>
      <w:r w:rsidRPr="00A210E9">
        <w:rPr>
          <w:rFonts w:eastAsia="Calibri" w:hint="eastAsia"/>
          <w:rtl/>
        </w:rPr>
        <w:t>שולחנה</w:t>
      </w:r>
      <w:r w:rsidRPr="00A210E9">
        <w:rPr>
          <w:rFonts w:eastAsia="Calibri"/>
          <w:rtl/>
        </w:rPr>
        <w:t xml:space="preserve"> </w:t>
      </w:r>
      <w:r w:rsidRPr="00A210E9">
        <w:rPr>
          <w:rFonts w:eastAsia="Calibri" w:hint="eastAsia"/>
          <w:rtl/>
        </w:rPr>
        <w:t>של</w:t>
      </w:r>
      <w:r w:rsidRPr="00A210E9">
        <w:rPr>
          <w:rFonts w:eastAsia="Calibri"/>
          <w:rtl/>
        </w:rPr>
        <w:t xml:space="preserve"> </w:t>
      </w:r>
      <w:r w:rsidRPr="00A210E9">
        <w:rPr>
          <w:rFonts w:eastAsia="Calibri" w:hint="eastAsia"/>
          <w:rtl/>
        </w:rPr>
        <w:t>ועדת</w:t>
      </w:r>
      <w:r w:rsidRPr="00A210E9">
        <w:rPr>
          <w:rFonts w:eastAsia="Calibri"/>
          <w:rtl/>
        </w:rPr>
        <w:t xml:space="preserve"> </w:t>
      </w:r>
      <w:r w:rsidRPr="00A210E9">
        <w:rPr>
          <w:rFonts w:eastAsia="Calibri" w:hint="eastAsia"/>
          <w:rtl/>
        </w:rPr>
        <w:t>השרים</w:t>
      </w:r>
      <w:r w:rsidRPr="00A210E9">
        <w:rPr>
          <w:rFonts w:eastAsia="Calibri"/>
          <w:rtl/>
        </w:rPr>
        <w:t xml:space="preserve"> </w:t>
      </w:r>
      <w:r w:rsidRPr="00A210E9">
        <w:rPr>
          <w:rFonts w:eastAsia="Calibri" w:hint="eastAsia"/>
          <w:rtl/>
        </w:rPr>
        <w:t>לענייני</w:t>
      </w:r>
      <w:r w:rsidRPr="00A210E9">
        <w:rPr>
          <w:rFonts w:eastAsia="Calibri"/>
          <w:rtl/>
        </w:rPr>
        <w:t xml:space="preserve"> </w:t>
      </w:r>
      <w:r w:rsidRPr="00A210E9">
        <w:rPr>
          <w:rFonts w:eastAsia="Calibri" w:hint="eastAsia"/>
          <w:rtl/>
        </w:rPr>
        <w:t>חקיקה</w:t>
      </w:r>
      <w:r w:rsidRPr="00A210E9">
        <w:rPr>
          <w:rFonts w:eastAsia="Calibri"/>
          <w:rtl/>
        </w:rPr>
        <w:t xml:space="preserve">, </w:t>
      </w:r>
      <w:r w:rsidRPr="00A210E9">
        <w:rPr>
          <w:rFonts w:eastAsia="Calibri" w:hint="eastAsia"/>
          <w:rtl/>
        </w:rPr>
        <w:t>תוך</w:t>
      </w:r>
      <w:r w:rsidRPr="00A210E9">
        <w:rPr>
          <w:rFonts w:eastAsia="Calibri"/>
          <w:rtl/>
        </w:rPr>
        <w:t xml:space="preserve"> </w:t>
      </w:r>
      <w:r w:rsidRPr="00A210E9">
        <w:rPr>
          <w:rFonts w:eastAsia="Calibri" w:hint="eastAsia"/>
          <w:rtl/>
        </w:rPr>
        <w:t>שלושה</w:t>
      </w:r>
      <w:r w:rsidRPr="00A210E9">
        <w:rPr>
          <w:rFonts w:eastAsia="Calibri"/>
          <w:rtl/>
        </w:rPr>
        <w:t xml:space="preserve"> </w:t>
      </w:r>
      <w:r w:rsidRPr="00A210E9">
        <w:rPr>
          <w:rFonts w:eastAsia="Calibri" w:hint="eastAsia"/>
          <w:rtl/>
        </w:rPr>
        <w:t>חודשים</w:t>
      </w:r>
      <w:r w:rsidRPr="00A210E9">
        <w:rPr>
          <w:rFonts w:eastAsia="Calibri"/>
          <w:rtl/>
        </w:rPr>
        <w:t xml:space="preserve">. רשמנו לפנינו דברים אלה. אכן, סבורים אנו שיש לקדם חקיקה שתסדיר את נושא החניה של </w:t>
      </w:r>
      <w:r w:rsidRPr="00A210E9">
        <w:rPr>
          <w:rFonts w:eastAsia="Calibri" w:hint="cs"/>
          <w:rtl/>
        </w:rPr>
        <w:t xml:space="preserve">נכים </w:t>
      </w:r>
      <w:r w:rsidRPr="00A210E9">
        <w:rPr>
          <w:rFonts w:eastAsia="Calibri"/>
          <w:rtl/>
        </w:rPr>
        <w:t xml:space="preserve">באופן </w:t>
      </w:r>
      <w:r w:rsidRPr="00A210E9">
        <w:rPr>
          <w:rFonts w:eastAsia="Calibri" w:hint="eastAsia"/>
          <w:rtl/>
        </w:rPr>
        <w:t>ברור</w:t>
      </w:r>
      <w:r w:rsidRPr="00A210E9">
        <w:rPr>
          <w:rFonts w:eastAsia="Calibri"/>
          <w:rtl/>
        </w:rPr>
        <w:t xml:space="preserve"> </w:t>
      </w:r>
      <w:r w:rsidRPr="00A210E9">
        <w:rPr>
          <w:rFonts w:eastAsia="Calibri" w:hint="eastAsia"/>
          <w:rtl/>
        </w:rPr>
        <w:t>ומדויק</w:t>
      </w:r>
      <w:r w:rsidRPr="00A210E9">
        <w:rPr>
          <w:rFonts w:eastAsia="Calibri"/>
          <w:rtl/>
        </w:rPr>
        <w:t xml:space="preserve"> </w:t>
      </w:r>
      <w:r w:rsidRPr="00A210E9">
        <w:rPr>
          <w:rFonts w:eastAsia="Calibri" w:hint="eastAsia"/>
          <w:rtl/>
        </w:rPr>
        <w:t>ובדרך</w:t>
      </w:r>
      <w:r w:rsidRPr="00A210E9">
        <w:rPr>
          <w:rFonts w:eastAsia="Calibri"/>
          <w:rtl/>
        </w:rPr>
        <w:t xml:space="preserve"> </w:t>
      </w:r>
      <w:r w:rsidRPr="00A210E9">
        <w:rPr>
          <w:rFonts w:eastAsia="Calibri" w:hint="eastAsia"/>
          <w:rtl/>
        </w:rPr>
        <w:t>טובה</w:t>
      </w:r>
      <w:r w:rsidRPr="00A210E9">
        <w:rPr>
          <w:rFonts w:eastAsia="Calibri"/>
          <w:rtl/>
        </w:rPr>
        <w:t xml:space="preserve"> </w:t>
      </w:r>
      <w:r w:rsidRPr="00A210E9">
        <w:rPr>
          <w:rFonts w:eastAsia="Calibri" w:hint="eastAsia"/>
          <w:rtl/>
        </w:rPr>
        <w:t>יותר</w:t>
      </w:r>
      <w:r w:rsidRPr="00A210E9">
        <w:rPr>
          <w:rFonts w:eastAsia="Calibri"/>
          <w:rtl/>
        </w:rPr>
        <w:t xml:space="preserve"> </w:t>
      </w:r>
      <w:r w:rsidRPr="00A210E9">
        <w:rPr>
          <w:rFonts w:eastAsia="Calibri" w:hint="eastAsia"/>
          <w:rtl/>
        </w:rPr>
        <w:t>מאשר</w:t>
      </w:r>
      <w:r w:rsidRPr="00A210E9">
        <w:rPr>
          <w:rFonts w:eastAsia="Calibri"/>
          <w:rtl/>
        </w:rPr>
        <w:t xml:space="preserve"> </w:t>
      </w:r>
      <w:r w:rsidRPr="00A210E9">
        <w:rPr>
          <w:rFonts w:eastAsia="Calibri" w:hint="eastAsia"/>
          <w:rtl/>
        </w:rPr>
        <w:t>הדבר</w:t>
      </w:r>
      <w:r w:rsidRPr="00A210E9">
        <w:rPr>
          <w:rFonts w:eastAsia="Calibri"/>
          <w:rtl/>
        </w:rPr>
        <w:t xml:space="preserve"> </w:t>
      </w:r>
      <w:r w:rsidRPr="00A210E9">
        <w:rPr>
          <w:rFonts w:eastAsia="Calibri" w:hint="eastAsia"/>
          <w:rtl/>
        </w:rPr>
        <w:t>נעשה</w:t>
      </w:r>
      <w:r w:rsidRPr="00A210E9">
        <w:rPr>
          <w:rFonts w:eastAsia="Calibri"/>
          <w:rtl/>
        </w:rPr>
        <w:t xml:space="preserve"> </w:t>
      </w:r>
      <w:r w:rsidRPr="00A210E9">
        <w:rPr>
          <w:rFonts w:eastAsia="Calibri" w:hint="eastAsia"/>
          <w:rtl/>
        </w:rPr>
        <w:t>עד</w:t>
      </w:r>
      <w:r w:rsidRPr="00A210E9">
        <w:rPr>
          <w:rFonts w:eastAsia="Calibri"/>
          <w:rtl/>
        </w:rPr>
        <w:t xml:space="preserve"> </w:t>
      </w:r>
      <w:r w:rsidRPr="00A210E9">
        <w:rPr>
          <w:rFonts w:eastAsia="Calibri" w:hint="eastAsia"/>
          <w:rtl/>
        </w:rPr>
        <w:t>היום</w:t>
      </w:r>
      <w:r w:rsidRPr="00A210E9">
        <w:rPr>
          <w:rFonts w:eastAsia="Calibri"/>
          <w:rtl/>
        </w:rPr>
        <w:t xml:space="preserve">. </w:t>
      </w:r>
      <w:r w:rsidRPr="00A210E9">
        <w:rPr>
          <w:rFonts w:eastAsia="Calibri" w:hint="eastAsia"/>
          <w:rtl/>
        </w:rPr>
        <w:t>ניתן</w:t>
      </w:r>
      <w:r w:rsidRPr="00A210E9">
        <w:rPr>
          <w:rFonts w:eastAsia="Calibri"/>
          <w:rtl/>
        </w:rPr>
        <w:t xml:space="preserve"> </w:t>
      </w:r>
      <w:r w:rsidRPr="00A210E9">
        <w:rPr>
          <w:rFonts w:eastAsia="Calibri" w:hint="eastAsia"/>
          <w:rtl/>
        </w:rPr>
        <w:t>להניח</w:t>
      </w:r>
      <w:r w:rsidRPr="00A210E9">
        <w:rPr>
          <w:rFonts w:eastAsia="Calibri"/>
          <w:rtl/>
        </w:rPr>
        <w:t xml:space="preserve">, </w:t>
      </w:r>
      <w:r w:rsidRPr="00A210E9">
        <w:rPr>
          <w:rFonts w:eastAsia="Calibri" w:hint="eastAsia"/>
          <w:rtl/>
        </w:rPr>
        <w:t>שבמסגרת</w:t>
      </w:r>
      <w:r w:rsidRPr="00A210E9">
        <w:rPr>
          <w:rFonts w:eastAsia="Calibri"/>
          <w:rtl/>
        </w:rPr>
        <w:t xml:space="preserve"> </w:t>
      </w:r>
      <w:r w:rsidRPr="00A210E9">
        <w:rPr>
          <w:rFonts w:eastAsia="Calibri" w:hint="eastAsia"/>
          <w:rtl/>
        </w:rPr>
        <w:t>תהליך</w:t>
      </w:r>
      <w:r w:rsidRPr="00A210E9">
        <w:rPr>
          <w:rFonts w:eastAsia="Calibri"/>
          <w:rtl/>
        </w:rPr>
        <w:t xml:space="preserve"> </w:t>
      </w:r>
      <w:r w:rsidRPr="00A210E9">
        <w:rPr>
          <w:rFonts w:eastAsia="Calibri" w:hint="eastAsia"/>
          <w:rtl/>
        </w:rPr>
        <w:t>החקיקה</w:t>
      </w:r>
      <w:r w:rsidRPr="00A210E9">
        <w:rPr>
          <w:rFonts w:eastAsia="Calibri"/>
          <w:rtl/>
        </w:rPr>
        <w:t xml:space="preserve"> </w:t>
      </w:r>
      <w:r w:rsidRPr="00A210E9">
        <w:rPr>
          <w:rFonts w:eastAsia="Calibri" w:hint="eastAsia"/>
          <w:rtl/>
        </w:rPr>
        <w:t>תישמע</w:t>
      </w:r>
      <w:r w:rsidRPr="00A210E9">
        <w:rPr>
          <w:rFonts w:eastAsia="Calibri"/>
          <w:rtl/>
        </w:rPr>
        <w:t xml:space="preserve"> </w:t>
      </w:r>
      <w:r w:rsidRPr="00A210E9">
        <w:rPr>
          <w:rFonts w:eastAsia="Calibri" w:hint="eastAsia"/>
          <w:rtl/>
        </w:rPr>
        <w:t>עמדתם</w:t>
      </w:r>
      <w:r w:rsidRPr="00A210E9">
        <w:rPr>
          <w:rFonts w:eastAsia="Calibri"/>
          <w:rtl/>
        </w:rPr>
        <w:t xml:space="preserve"> </w:t>
      </w:r>
      <w:r w:rsidRPr="00A210E9">
        <w:rPr>
          <w:rFonts w:eastAsia="Calibri" w:hint="eastAsia"/>
          <w:rtl/>
        </w:rPr>
        <w:t>של</w:t>
      </w:r>
      <w:r w:rsidRPr="00A210E9">
        <w:rPr>
          <w:rFonts w:eastAsia="Calibri"/>
          <w:rtl/>
        </w:rPr>
        <w:t xml:space="preserve"> </w:t>
      </w:r>
      <w:r w:rsidRPr="00A210E9">
        <w:rPr>
          <w:rFonts w:eastAsia="Calibri" w:hint="cs"/>
          <w:rtl/>
        </w:rPr>
        <w:t>ארגוני הנכים</w:t>
      </w:r>
      <w:r w:rsidRPr="00A210E9">
        <w:rPr>
          <w:rFonts w:eastAsia="Calibri"/>
          <w:rtl/>
        </w:rPr>
        <w:t xml:space="preserve">. </w:t>
      </w:r>
      <w:r w:rsidRPr="00A210E9">
        <w:rPr>
          <w:rFonts w:eastAsia="Calibri" w:hint="eastAsia"/>
          <w:rtl/>
        </w:rPr>
        <w:t>אנו</w:t>
      </w:r>
      <w:r w:rsidRPr="00A210E9">
        <w:rPr>
          <w:rFonts w:eastAsia="Calibri"/>
          <w:rtl/>
        </w:rPr>
        <w:t xml:space="preserve"> </w:t>
      </w:r>
      <w:r w:rsidRPr="00A210E9">
        <w:rPr>
          <w:rFonts w:eastAsia="Calibri" w:hint="eastAsia"/>
          <w:rtl/>
        </w:rPr>
        <w:t>מציינים</w:t>
      </w:r>
      <w:r w:rsidRPr="00A210E9">
        <w:rPr>
          <w:rFonts w:eastAsia="Calibri"/>
          <w:rtl/>
        </w:rPr>
        <w:t xml:space="preserve"> </w:t>
      </w:r>
      <w:r w:rsidRPr="00A210E9">
        <w:rPr>
          <w:rFonts w:eastAsia="Calibri" w:hint="eastAsia"/>
          <w:rtl/>
        </w:rPr>
        <w:t>זאת</w:t>
      </w:r>
      <w:r w:rsidRPr="00A210E9">
        <w:rPr>
          <w:rFonts w:eastAsia="Calibri"/>
          <w:rtl/>
        </w:rPr>
        <w:t xml:space="preserve"> </w:t>
      </w:r>
      <w:r w:rsidRPr="00A210E9">
        <w:rPr>
          <w:rFonts w:eastAsia="Calibri" w:hint="eastAsia"/>
          <w:rtl/>
        </w:rPr>
        <w:t>משום</w:t>
      </w:r>
      <w:r w:rsidRPr="00A210E9">
        <w:rPr>
          <w:rFonts w:eastAsia="Calibri"/>
          <w:rtl/>
        </w:rPr>
        <w:t xml:space="preserve"> </w:t>
      </w:r>
      <w:r w:rsidRPr="00A210E9">
        <w:rPr>
          <w:rFonts w:eastAsia="Calibri" w:hint="eastAsia"/>
          <w:rtl/>
        </w:rPr>
        <w:t>שמתברר</w:t>
      </w:r>
      <w:r w:rsidRPr="00A210E9">
        <w:rPr>
          <w:rFonts w:eastAsia="Calibri"/>
          <w:rtl/>
        </w:rPr>
        <w:t xml:space="preserve"> </w:t>
      </w:r>
      <w:r w:rsidRPr="00A210E9">
        <w:rPr>
          <w:rFonts w:eastAsia="Calibri" w:hint="eastAsia"/>
          <w:rtl/>
        </w:rPr>
        <w:t>כי</w:t>
      </w:r>
      <w:r w:rsidRPr="00A210E9">
        <w:rPr>
          <w:rFonts w:eastAsia="Calibri"/>
          <w:rtl/>
        </w:rPr>
        <w:t xml:space="preserve"> </w:t>
      </w:r>
      <w:r w:rsidRPr="00A210E9">
        <w:rPr>
          <w:rFonts w:eastAsia="Calibri" w:hint="eastAsia"/>
          <w:rtl/>
        </w:rPr>
        <w:t>קיימים</w:t>
      </w:r>
      <w:r w:rsidRPr="00A210E9">
        <w:rPr>
          <w:rFonts w:eastAsia="Calibri"/>
          <w:rtl/>
        </w:rPr>
        <w:t xml:space="preserve"> </w:t>
      </w:r>
      <w:r w:rsidRPr="00A210E9">
        <w:rPr>
          <w:rFonts w:eastAsia="Calibri" w:hint="eastAsia"/>
          <w:rtl/>
        </w:rPr>
        <w:t>חילוקי</w:t>
      </w:r>
      <w:r w:rsidRPr="00A210E9">
        <w:rPr>
          <w:rFonts w:eastAsia="Calibri"/>
          <w:rtl/>
        </w:rPr>
        <w:t xml:space="preserve"> </w:t>
      </w:r>
      <w:r w:rsidRPr="00A210E9">
        <w:rPr>
          <w:rFonts w:eastAsia="Calibri" w:hint="eastAsia"/>
          <w:rtl/>
        </w:rPr>
        <w:t>דעות</w:t>
      </w:r>
      <w:r w:rsidRPr="00A210E9">
        <w:rPr>
          <w:rFonts w:eastAsia="Calibri"/>
          <w:rtl/>
        </w:rPr>
        <w:t xml:space="preserve"> </w:t>
      </w:r>
      <w:r w:rsidRPr="00A210E9">
        <w:rPr>
          <w:rFonts w:eastAsia="Calibri" w:hint="eastAsia"/>
          <w:rtl/>
        </w:rPr>
        <w:t>בין</w:t>
      </w:r>
      <w:r w:rsidRPr="00A210E9">
        <w:rPr>
          <w:rFonts w:eastAsia="Calibri"/>
          <w:rtl/>
        </w:rPr>
        <w:t xml:space="preserve"> </w:t>
      </w:r>
      <w:r w:rsidRPr="00A210E9">
        <w:rPr>
          <w:rFonts w:eastAsia="Calibri" w:hint="eastAsia"/>
          <w:rtl/>
        </w:rPr>
        <w:t>חלק</w:t>
      </w:r>
      <w:r w:rsidRPr="00A210E9">
        <w:rPr>
          <w:rFonts w:eastAsia="Calibri"/>
          <w:rtl/>
        </w:rPr>
        <w:t xml:space="preserve"> </w:t>
      </w:r>
      <w:r w:rsidRPr="00A210E9">
        <w:rPr>
          <w:rFonts w:eastAsia="Calibri" w:hint="cs"/>
          <w:rtl/>
        </w:rPr>
        <w:t>מארגוני הנכים".</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ח"כ עלי סלאלחה הגיש ב-9.5.22 את הצעת חוק חניה לנכים (תיקון - סיווג חניות הנכים), התשפ"ב-2022</w:t>
      </w:r>
      <w:r>
        <w:rPr>
          <w:rFonts w:eastAsia="Calibri"/>
          <w:vertAlign w:val="superscript"/>
          <w:rtl/>
        </w:rPr>
        <w:footnoteReference w:id="102"/>
      </w:r>
      <w:r w:rsidRPr="00A210E9">
        <w:rPr>
          <w:rFonts w:eastAsia="Calibri" w:hint="cs"/>
          <w:rtl/>
        </w:rPr>
        <w:t xml:space="preserve">. לפי הצעת החוק, תסמן רשות מקומית בצבע כחול חניה לרכב המצויד במעלון ותקצה תו רלוונטי לחניה כאמור. נוסף על כך, תסמן הרשות המקומית בצבע ירוק חניה לרכב ללא מעלון ותקצה תו רלוונטי לחניה בחניה כאמור. עוד הוצע כי מידותיה של חניה המסומנת בצבע כחול יותאמו לרוחב הדרוש לשימוש במעלון, ושר התחבורה יקבע את דרכי הפיקוח של הרשות המקומית על החניה בחניות הכחולות והירוקות. כך, מספר החניות לאנשים עם מוגבלות בתחומה יהיה תואם למספר הזכאים לתגים אלה. הצעת חוק זו לא קודמה. </w:t>
      </w:r>
    </w:p>
    <w:p w:rsidR="00141DC3">
      <w:pPr>
        <w:bidi w:val="0"/>
        <w:spacing w:after="200" w:line="276" w:lineRule="auto"/>
        <w:rPr>
          <w:rFonts w:eastAsia="Calibri"/>
          <w:b/>
          <w:bCs/>
          <w:rtl/>
        </w:rPr>
      </w:pPr>
      <w:r>
        <w:rPr>
          <w:rFonts w:eastAsia="Calibri"/>
          <w:b/>
          <w:bCs/>
          <w:rtl/>
        </w:rPr>
        <w:br w:type="page"/>
      </w:r>
    </w:p>
    <w:p w:rsidR="00A210E9" w:rsidRPr="00A210E9" w:rsidP="00A157C9">
      <w:pPr>
        <w:tabs>
          <w:tab w:val="left" w:pos="800"/>
        </w:tabs>
        <w:overflowPunct w:val="0"/>
        <w:autoSpaceDE w:val="0"/>
        <w:autoSpaceDN w:val="0"/>
        <w:adjustRightInd w:val="0"/>
        <w:spacing w:line="269" w:lineRule="auto"/>
        <w:rPr>
          <w:rFonts w:eastAsia="Calibri"/>
          <w:b/>
          <w:bCs/>
          <w:rtl/>
        </w:rPr>
      </w:pPr>
      <w:r w:rsidRPr="00A210E9">
        <w:rPr>
          <w:rFonts w:eastAsia="Calibri" w:hint="cs"/>
          <w:b/>
          <w:bCs/>
          <w:rtl/>
        </w:rPr>
        <w:t xml:space="preserve">במסגרת הדיון בעתירה משנת 2011, בעניין סוגיית הנפקת תגי חניה מסוגים שונים בניגוד לקבוע בחוק, הודיעה המדינה כי משרד התחבורה מתעתד לקדם הצעת חוק ממשלתית תוך 3 חודשים לתיקון המצב החקיקתי. </w:t>
      </w:r>
      <w:r w:rsidRPr="00A210E9">
        <w:rPr>
          <w:rFonts w:eastAsia="Calibri" w:hint="eastAsia"/>
          <w:b/>
          <w:bCs/>
          <w:rtl/>
        </w:rPr>
        <w:t>נכון</w:t>
      </w:r>
      <w:r w:rsidRPr="00A210E9">
        <w:rPr>
          <w:rFonts w:eastAsia="Calibri"/>
          <w:b/>
          <w:bCs/>
          <w:rtl/>
        </w:rPr>
        <w:t xml:space="preserve"> למועד </w:t>
      </w:r>
      <w:r w:rsidRPr="00A210E9">
        <w:rPr>
          <w:rFonts w:eastAsia="Calibri" w:hint="eastAsia"/>
          <w:b/>
          <w:bCs/>
          <w:rtl/>
        </w:rPr>
        <w:t>סיום</w:t>
      </w:r>
      <w:r w:rsidRPr="00A210E9">
        <w:rPr>
          <w:rFonts w:eastAsia="Calibri"/>
          <w:b/>
          <w:bCs/>
          <w:rtl/>
        </w:rPr>
        <w:t xml:space="preserve"> </w:t>
      </w:r>
      <w:r w:rsidRPr="00A210E9">
        <w:rPr>
          <w:rFonts w:eastAsia="Calibri" w:hint="eastAsia"/>
          <w:b/>
          <w:bCs/>
          <w:rtl/>
        </w:rPr>
        <w:t>הביקורת</w:t>
      </w:r>
      <w:r w:rsidRPr="00A210E9">
        <w:rPr>
          <w:rFonts w:eastAsia="Calibri" w:hint="cs"/>
          <w:b/>
          <w:bCs/>
          <w:rtl/>
        </w:rPr>
        <w:t>,</w:t>
      </w:r>
      <w:r w:rsidRPr="00A210E9">
        <w:rPr>
          <w:rFonts w:eastAsia="Calibri"/>
          <w:b/>
          <w:bCs/>
          <w:rtl/>
        </w:rPr>
        <w:t xml:space="preserve"> </w:t>
      </w:r>
      <w:r w:rsidRPr="00A210E9">
        <w:rPr>
          <w:rFonts w:eastAsia="Calibri" w:hint="eastAsia"/>
          <w:b/>
          <w:bCs/>
          <w:rtl/>
        </w:rPr>
        <w:t>טרם</w:t>
      </w:r>
      <w:r w:rsidRPr="00A210E9">
        <w:rPr>
          <w:rFonts w:eastAsia="Calibri"/>
          <w:b/>
          <w:bCs/>
          <w:rtl/>
        </w:rPr>
        <w:t xml:space="preserve"> </w:t>
      </w:r>
      <w:r w:rsidRPr="00A210E9">
        <w:rPr>
          <w:rFonts w:eastAsia="Calibri" w:hint="cs"/>
          <w:b/>
          <w:bCs/>
          <w:rtl/>
        </w:rPr>
        <w:t xml:space="preserve">קידם משרד התחבורה תיקון </w:t>
      </w:r>
      <w:r w:rsidRPr="00A210E9">
        <w:rPr>
          <w:rFonts w:eastAsia="Calibri"/>
          <w:b/>
          <w:bCs/>
          <w:rtl/>
        </w:rPr>
        <w:t xml:space="preserve">חקיקה </w:t>
      </w:r>
      <w:r w:rsidRPr="00A210E9">
        <w:rPr>
          <w:rFonts w:eastAsia="Calibri" w:hint="cs"/>
          <w:b/>
          <w:bCs/>
          <w:rtl/>
        </w:rPr>
        <w:t>המסדיר את זכויות החניה בחניות גדולות המיועדות לרכבים עם מעלון או מתקן הרמה</w:t>
      </w:r>
      <w:r w:rsidRPr="00A210E9">
        <w:rPr>
          <w:rFonts w:eastAsia="Calibri"/>
          <w:b/>
          <w:bCs/>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eastAsia"/>
          <w:rtl/>
        </w:rPr>
        <w:t>מש</w:t>
      </w:r>
      <w:r w:rsidRPr="00A210E9">
        <w:rPr>
          <w:rFonts w:eastAsia="Calibri"/>
          <w:rtl/>
        </w:rPr>
        <w:t xml:space="preserve">"ם כתב בתשובתו </w:t>
      </w:r>
      <w:r w:rsidRPr="00A210E9">
        <w:rPr>
          <w:rFonts w:eastAsia="Calibri" w:hint="eastAsia"/>
          <w:rtl/>
        </w:rPr>
        <w:t>כי</w:t>
      </w:r>
      <w:r w:rsidRPr="00A210E9">
        <w:rPr>
          <w:rFonts w:eastAsia="Calibri"/>
          <w:rtl/>
        </w:rPr>
        <w:t xml:space="preserve"> </w:t>
      </w:r>
      <w:r w:rsidRPr="00A210E9">
        <w:rPr>
          <w:rFonts w:eastAsia="Calibri" w:hint="eastAsia"/>
          <w:rtl/>
        </w:rPr>
        <w:t>לדעתו</w:t>
      </w:r>
      <w:r w:rsidRPr="00A210E9">
        <w:rPr>
          <w:rFonts w:eastAsia="Calibri"/>
          <w:rtl/>
        </w:rPr>
        <w:t xml:space="preserve"> יש לתקן את חוק חניה לנכים </w:t>
      </w:r>
      <w:r w:rsidRPr="00A210E9">
        <w:rPr>
          <w:rFonts w:eastAsia="Calibri" w:hint="cs"/>
          <w:rtl/>
        </w:rPr>
        <w:t>באופן</w:t>
      </w:r>
      <w:r w:rsidRPr="00A210E9">
        <w:rPr>
          <w:rFonts w:eastAsia="Calibri"/>
          <w:rtl/>
        </w:rPr>
        <w:t xml:space="preserve"> </w:t>
      </w:r>
      <w:r w:rsidRPr="00A210E9">
        <w:rPr>
          <w:rFonts w:eastAsia="Calibri" w:hint="eastAsia"/>
          <w:rtl/>
        </w:rPr>
        <w:t>שרק</w:t>
      </w:r>
      <w:r w:rsidRPr="00A210E9">
        <w:rPr>
          <w:rFonts w:eastAsia="Calibri"/>
          <w:rtl/>
        </w:rPr>
        <w:t xml:space="preserve"> </w:t>
      </w:r>
      <w:r w:rsidRPr="00A210E9">
        <w:rPr>
          <w:rFonts w:eastAsia="Calibri" w:hint="eastAsia"/>
          <w:rtl/>
        </w:rPr>
        <w:t>בעלי</w:t>
      </w:r>
      <w:r w:rsidRPr="00A210E9">
        <w:rPr>
          <w:rFonts w:eastAsia="Calibri"/>
          <w:rtl/>
        </w:rPr>
        <w:t xml:space="preserve"> </w:t>
      </w:r>
      <w:r w:rsidRPr="00A210E9">
        <w:rPr>
          <w:rFonts w:eastAsia="Calibri" w:hint="eastAsia"/>
          <w:rtl/>
        </w:rPr>
        <w:t>תג</w:t>
      </w:r>
      <w:r w:rsidRPr="00A210E9">
        <w:rPr>
          <w:rFonts w:eastAsia="Calibri"/>
          <w:rtl/>
        </w:rPr>
        <w:t xml:space="preserve"> </w:t>
      </w:r>
      <w:r w:rsidRPr="00A210E9">
        <w:rPr>
          <w:rFonts w:eastAsia="Calibri" w:hint="eastAsia"/>
          <w:rtl/>
        </w:rPr>
        <w:t>כיסא</w:t>
      </w:r>
      <w:r w:rsidRPr="00A210E9">
        <w:rPr>
          <w:rFonts w:eastAsia="Calibri"/>
          <w:rtl/>
        </w:rPr>
        <w:t xml:space="preserve"> </w:t>
      </w:r>
      <w:r w:rsidRPr="00A210E9">
        <w:rPr>
          <w:rFonts w:eastAsia="Calibri" w:hint="eastAsia"/>
          <w:rtl/>
        </w:rPr>
        <w:t>גלגלים</w:t>
      </w:r>
      <w:r w:rsidRPr="00A210E9">
        <w:rPr>
          <w:rFonts w:eastAsia="Calibri"/>
          <w:rtl/>
        </w:rPr>
        <w:t xml:space="preserve"> </w:t>
      </w:r>
      <w:r w:rsidRPr="00A210E9">
        <w:rPr>
          <w:rFonts w:eastAsia="Calibri" w:hint="eastAsia"/>
          <w:rtl/>
        </w:rPr>
        <w:t>יהיו</w:t>
      </w:r>
      <w:r w:rsidRPr="00A210E9">
        <w:rPr>
          <w:rFonts w:eastAsia="Calibri"/>
          <w:rtl/>
        </w:rPr>
        <w:t xml:space="preserve"> </w:t>
      </w:r>
      <w:r w:rsidRPr="00A210E9">
        <w:rPr>
          <w:rFonts w:eastAsia="Calibri" w:hint="eastAsia"/>
          <w:rtl/>
        </w:rPr>
        <w:t>רשאים</w:t>
      </w:r>
      <w:r w:rsidRPr="00A210E9">
        <w:rPr>
          <w:rFonts w:eastAsia="Calibri"/>
          <w:rtl/>
        </w:rPr>
        <w:t xml:space="preserve"> </w:t>
      </w:r>
      <w:r w:rsidRPr="00A210E9">
        <w:rPr>
          <w:rFonts w:eastAsia="Calibri" w:hint="eastAsia"/>
          <w:rtl/>
        </w:rPr>
        <w:t>לחנות</w:t>
      </w:r>
      <w:r w:rsidRPr="00A210E9">
        <w:rPr>
          <w:rFonts w:eastAsia="Calibri"/>
          <w:rtl/>
        </w:rPr>
        <w:t xml:space="preserve"> </w:t>
      </w:r>
      <w:r w:rsidRPr="00A210E9">
        <w:rPr>
          <w:rFonts w:eastAsia="Calibri" w:hint="eastAsia"/>
          <w:rtl/>
        </w:rPr>
        <w:t>בחניית</w:t>
      </w:r>
      <w:r w:rsidRPr="00A210E9">
        <w:rPr>
          <w:rFonts w:eastAsia="Calibri"/>
          <w:rtl/>
        </w:rPr>
        <w:t xml:space="preserve"> </w:t>
      </w:r>
      <w:r w:rsidRPr="00A210E9">
        <w:rPr>
          <w:rFonts w:eastAsia="Calibri" w:hint="eastAsia"/>
          <w:rtl/>
        </w:rPr>
        <w:t>נכה</w:t>
      </w:r>
      <w:r w:rsidRPr="00A210E9">
        <w:rPr>
          <w:rFonts w:eastAsia="Calibri"/>
          <w:rtl/>
        </w:rPr>
        <w:t xml:space="preserve"> </w:t>
      </w:r>
      <w:r w:rsidRPr="00A210E9">
        <w:rPr>
          <w:rFonts w:eastAsia="Calibri" w:hint="eastAsia"/>
          <w:rtl/>
        </w:rPr>
        <w:t>לרכב</w:t>
      </w:r>
      <w:r w:rsidRPr="00A210E9">
        <w:rPr>
          <w:rFonts w:eastAsia="Calibri"/>
          <w:rtl/>
        </w:rPr>
        <w:t xml:space="preserve"> </w:t>
      </w:r>
      <w:r w:rsidRPr="00A210E9">
        <w:rPr>
          <w:rFonts w:eastAsia="Calibri" w:hint="eastAsia"/>
          <w:rtl/>
        </w:rPr>
        <w:t>גבוה</w:t>
      </w:r>
      <w:r w:rsidRPr="00A210E9">
        <w:rPr>
          <w:rFonts w:eastAsia="Calibri"/>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סעיף 18 לתקנות התעבורה קובע שרשות תמרור מקומית</w:t>
      </w:r>
      <w:r>
        <w:rPr>
          <w:rFonts w:eastAsia="Calibri"/>
          <w:vertAlign w:val="superscript"/>
          <w:rtl/>
        </w:rPr>
        <w:footnoteReference w:id="103"/>
      </w:r>
      <w:r w:rsidRPr="00A210E9">
        <w:rPr>
          <w:rFonts w:eastAsia="Calibri" w:hint="cs"/>
          <w:rtl/>
        </w:rPr>
        <w:t xml:space="preserve"> אחראית לקביעת הסדרי התנועה בדרכים שבתחומה - ובכלל זה הצבת תמרורים - למעט הסדרי תנועה ספציפיים המצריכים את הסכמתה של רשות תמרור מרכזית. לוח התמרורים מופיע בתקנות והנחיות להצבת תמרורים</w:t>
      </w:r>
      <w:r>
        <w:rPr>
          <w:rFonts w:eastAsia="Calibri"/>
          <w:vertAlign w:val="superscript"/>
          <w:rtl/>
        </w:rPr>
        <w:footnoteReference w:id="104"/>
      </w:r>
      <w:r w:rsidRPr="00A210E9">
        <w:rPr>
          <w:rFonts w:eastAsia="Calibri" w:hint="cs"/>
          <w:rtl/>
        </w:rPr>
        <w:t xml:space="preserve">. תקנות והנחיות אלה הן מסמך שמפיץ המפקח הארצי על התעבורה שבמשרד התחבורה, והוא מתעדכן מדי פעם בפעם. תפקידן של התקנות וההנחיות האלה הוא לשרת את רשות התמרור בתכנון, הצבה וסימון נכונים של תמרורים בקביעת הסדרי תנועה. תמרור שלא אושר על ידי רשות תמרור מקומית או מרכזית הוא תמרור לא חוקי, ולכן גם אם הוא מוצב לא ניתן לאכוף את </w:t>
      </w:r>
      <w:r w:rsidR="008529F8">
        <w:rPr>
          <w:rFonts w:eastAsia="Calibri"/>
          <w:rtl/>
        </w:rPr>
        <w:br/>
      </w:r>
      <w:r w:rsidRPr="00A210E9">
        <w:rPr>
          <w:rFonts w:eastAsia="Calibri" w:hint="cs"/>
          <w:rtl/>
        </w:rPr>
        <w:t>אי-הציות לו. בלוח התמרורים לא קיים תמרור ייעודי לחניית רכב עם מעלון.</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בפברואר 2023 פנו עמותת נגישות ישראל ועמותת "נכה לא חצי בן אדם" למנכ"ל משרד התחבורה לגבי הסדרת תמרור מיוחד לחניות נכים עבור בעלי רכבים הנעזרים בכיסא גלגלים ומעלונים. בפנייתם תיארו את הבעייתיות שבה נושא תג חניה ללא כיסא גלגלים או מעלון יכול לחנות בכל חניית נכים, ולעומת זאת נושא תג חניה הנעזר בכיסא גלגלים או מעלון אינו יכול לחנות בחניית נכים רגילה מפני שהיא קטנה מדי עבורו. הן הוסיפו כי בפועל תקנות התכנון והבניה מחייבות מספר קטן מאוד של חניות לבעלי רכבים הנעזרים בכיסא גלגלים או במעלון</w:t>
      </w:r>
      <w:r>
        <w:rPr>
          <w:rFonts w:eastAsia="Calibri"/>
          <w:vertAlign w:val="superscript"/>
          <w:rtl/>
        </w:rPr>
        <w:footnoteReference w:id="105"/>
      </w:r>
      <w:r w:rsidRPr="00A210E9">
        <w:rPr>
          <w:rFonts w:eastAsia="Calibri" w:hint="cs"/>
          <w:rtl/>
        </w:rPr>
        <w:t>. הפתרון שעמותות אלה הציעו בפנייתן הוא להגדיר ב"תקנות והנחיות להצבת תמרורים-2020" שמתחת לתמרור 437 שמסמן "חניית נכה רכב גבוה" לפי התקן הישראלי יתווסף שלט 439 ובו יהיה כתוב "לבעלי תו כחול בלבד</w:t>
      </w:r>
      <w:r>
        <w:rPr>
          <w:rFonts w:eastAsia="Calibri"/>
          <w:vertAlign w:val="superscript"/>
          <w:rtl/>
        </w:rPr>
        <w:footnoteReference w:id="106"/>
      </w:r>
      <w:r w:rsidRPr="00A210E9">
        <w:rPr>
          <w:rFonts w:eastAsia="Calibri" w:hint="cs"/>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Pr>
      </w:pPr>
      <w:r w:rsidRPr="00A210E9">
        <w:rPr>
          <w:rFonts w:eastAsia="Calibri" w:hint="cs"/>
          <w:rtl/>
        </w:rPr>
        <w:t xml:space="preserve">עמותת נגישות ישראל כתבה בתשובתה כי היא פועלת </w:t>
      </w:r>
      <w:r w:rsidRPr="00A210E9">
        <w:rPr>
          <w:rFonts w:eastAsia="Calibri"/>
          <w:rtl/>
        </w:rPr>
        <w:t>שנים</w:t>
      </w:r>
      <w:r w:rsidRPr="00A210E9">
        <w:rPr>
          <w:rFonts w:eastAsia="Calibri" w:hint="cs"/>
          <w:rtl/>
        </w:rPr>
        <w:t xml:space="preserve"> ליצור הבחנה</w:t>
      </w:r>
      <w:r w:rsidRPr="00A210E9">
        <w:rPr>
          <w:rFonts w:eastAsia="Calibri"/>
          <w:rtl/>
        </w:rPr>
        <w:t xml:space="preserve">, </w:t>
      </w:r>
      <w:r w:rsidRPr="00A210E9">
        <w:rPr>
          <w:rFonts w:eastAsia="Calibri" w:hint="cs"/>
          <w:rtl/>
        </w:rPr>
        <w:t xml:space="preserve">בין </w:t>
      </w:r>
      <w:r w:rsidRPr="00A210E9">
        <w:rPr>
          <w:rFonts w:eastAsia="Calibri"/>
          <w:rtl/>
        </w:rPr>
        <w:t xml:space="preserve">רכב עם </w:t>
      </w:r>
      <w:r w:rsidRPr="00A210E9">
        <w:rPr>
          <w:rFonts w:eastAsia="Calibri" w:hint="cs"/>
          <w:rtl/>
        </w:rPr>
        <w:t xml:space="preserve">תג כיסא גלגלים, שיורשה להחנות </w:t>
      </w:r>
      <w:r w:rsidRPr="00A210E9">
        <w:rPr>
          <w:rFonts w:eastAsia="Calibri"/>
          <w:rtl/>
        </w:rPr>
        <w:t>בחניות הנכים הגדולות לרכב גבוה</w:t>
      </w:r>
      <w:r w:rsidRPr="00A210E9">
        <w:rPr>
          <w:rFonts w:eastAsia="Calibri" w:hint="cs"/>
          <w:rtl/>
        </w:rPr>
        <w:t xml:space="preserve">, ובין בעלי </w:t>
      </w:r>
      <w:r w:rsidRPr="00A210E9">
        <w:rPr>
          <w:rFonts w:eastAsia="Calibri"/>
          <w:rtl/>
        </w:rPr>
        <w:t>ת</w:t>
      </w:r>
      <w:r w:rsidRPr="00A210E9">
        <w:rPr>
          <w:rFonts w:eastAsia="Calibri" w:hint="cs"/>
          <w:rtl/>
        </w:rPr>
        <w:t xml:space="preserve">ג רגיל, שיורשו לחנות </w:t>
      </w:r>
      <w:r w:rsidRPr="00A210E9">
        <w:rPr>
          <w:rFonts w:eastAsia="Calibri"/>
          <w:rtl/>
        </w:rPr>
        <w:t>בחניות הקטנות</w:t>
      </w:r>
      <w:r w:rsidRPr="00A210E9">
        <w:rPr>
          <w:rFonts w:eastAsia="Calibri" w:hint="cs"/>
          <w:rtl/>
        </w:rPr>
        <w:t xml:space="preserve"> בלבד, וזאת מכיוון שההגדרה הנוכחית קשה לאכיפה. פורום צמיד כתב בתשובתו כי יש לבצע תיקוני חקיקה שיאפשרו ליצור הבחנה בין הזכאות לתג כיסא גלגלים ובין תג רגיל, וכן יאפשרו להקצות חניות ייעודיות לרכב עם מעלון.</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בינואר 2024 התקיימה פגישה בין מנכ"ל משרד התחבורה לנציגי אנשים עם מוגבלוי</w:t>
      </w:r>
      <w:r w:rsidR="008A06B3">
        <w:rPr>
          <w:rFonts w:eastAsia="Calibri" w:hint="cs"/>
          <w:rtl/>
        </w:rPr>
        <w:t>ו</w:t>
      </w:r>
      <w:r w:rsidRPr="00A210E9">
        <w:rPr>
          <w:rFonts w:eastAsia="Calibri" w:hint="cs"/>
          <w:rtl/>
        </w:rPr>
        <w:t xml:space="preserve">ת בעלי רכב עם מעלון או מתקן הרמה. בפגישה נדונה סוגיית הזמינות המועטה של חניות נכים המיועדות לאוכלוסייה זו. בעקבות הפגישה, באפריל 2024 הנחה המפקח הארצי על התעבורה את הרשויות המקומיות להציב בחלק ממקומות החניה המיועדים לאנשים עם מוגבלויות תמרור 437 המיועד לחניית נכה ומתחתיו תמרור 439 שהוא שלט המורה שהחניה היא לרכב עם מעלון או מתקן הרמה. </w:t>
      </w:r>
    </w:p>
    <w:p w:rsidR="00A210E9" w:rsidRPr="00A210E9" w:rsidP="00A210E9">
      <w:pPr>
        <w:keepNext/>
        <w:keepLines/>
        <w:spacing w:line="269" w:lineRule="auto"/>
        <w:jc w:val="center"/>
        <w:rPr>
          <w:rFonts w:eastAsia="Calibri"/>
          <w:b/>
          <w:bCs/>
          <w:rtl/>
        </w:rPr>
      </w:pPr>
      <w:r w:rsidRPr="00A210E9">
        <w:rPr>
          <w:rFonts w:eastAsia="Calibri" w:hint="cs"/>
          <w:rtl/>
        </w:rPr>
        <w:t xml:space="preserve">תמונה 3: </w:t>
      </w:r>
      <w:r w:rsidRPr="00A210E9">
        <w:rPr>
          <w:rFonts w:eastAsia="Calibri" w:hint="cs"/>
          <w:b/>
          <w:bCs/>
          <w:rtl/>
        </w:rPr>
        <w:t>שלט לחניית רכב עם מעלון או מתקן הרמה, לפי ההנחיה</w:t>
      </w:r>
    </w:p>
    <w:p w:rsidR="00A210E9" w:rsidRPr="00A210E9" w:rsidP="00A210E9">
      <w:pPr>
        <w:spacing w:line="269" w:lineRule="auto"/>
        <w:jc w:val="center"/>
        <w:rPr>
          <w:rFonts w:eastAsia="Calibri"/>
          <w:rtl/>
        </w:rPr>
      </w:pPr>
      <w:r w:rsidRPr="00A210E9">
        <w:rPr>
          <w:rFonts w:eastAsia="Calibri"/>
          <w:noProof/>
          <w:rtl/>
        </w:rPr>
        <w:drawing>
          <wp:inline distT="0" distB="0" distL="0" distR="0">
            <wp:extent cx="4548728" cy="2542540"/>
            <wp:effectExtent l="0" t="0" r="4445" b="0"/>
            <wp:docPr id="20" name="תמונה 20" descr="בתמונה ניתן לראות דוגמת שלט לחניית רכב עם מעלון או מתקן הרמ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rcRect t="6586" b="5502"/>
                    <a:stretch>
                      <a:fillRect/>
                    </a:stretch>
                  </pic:blipFill>
                  <pic:spPr bwMode="auto">
                    <a:xfrm>
                      <a:off x="0" y="0"/>
                      <a:ext cx="4556955" cy="254713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A210E9" w:rsidRPr="00A210E9" w:rsidP="00A210E9">
      <w:pPr>
        <w:spacing w:line="269" w:lineRule="auto"/>
        <w:rPr>
          <w:rFonts w:eastAsia="Calibri"/>
          <w:sz w:val="18"/>
          <w:szCs w:val="22"/>
          <w:rtl/>
        </w:rPr>
      </w:pPr>
      <w:r w:rsidRPr="00A210E9">
        <w:rPr>
          <w:rFonts w:eastAsia="Calibri" w:hint="cs"/>
          <w:sz w:val="18"/>
          <w:szCs w:val="22"/>
          <w:rtl/>
        </w:rPr>
        <w:t xml:space="preserve">המקור: הנחיית המפקח הארצי על התעבורה במשרד התחבורה בנושא "קביעת מקומות חניה לרכב של אנשים עם מוגבלות עם מעלון או מתקן הרמה", 10.4.24.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הנחיית המפקח על התעבורה היית</w:t>
      </w:r>
      <w:r w:rsidRPr="00A210E9">
        <w:rPr>
          <w:rFonts w:eastAsia="Calibri" w:hint="eastAsia"/>
          <w:rtl/>
        </w:rPr>
        <w:t>ה</w:t>
      </w:r>
      <w:r w:rsidRPr="00A210E9">
        <w:rPr>
          <w:rFonts w:eastAsia="Calibri" w:hint="cs"/>
          <w:rtl/>
        </w:rPr>
        <w:t xml:space="preserve"> הנחיה זמנית עד לעדכונה בלוח התמרורים. בתקנות והנחיות להצבת תמרורים לשנת 2024 אכן עודכנה הנחיה זו. עם זאת, נראה שמדובר בתמרור שאינו ניתן לאכיפה מפני שחוק חניה לנכים אינו מבדיל בין חניית נכים רגילה לבין חניית נכים לרכב עם מעלון. לכן, ייתכן שגם אם בעל הרכב יקבל קנס מפקח עירוני הוא יכול לתבוע על כך בבית המשפט ולזכות.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משרד מבקר המדינה בדק בכמה רשויות מקומיות את נושא השילוט הספציפי לחניית רכב עם מעלון. יש רשויות מקומיות, כמו עיריות רעננה, תל אביב-יפו וחיפה, המאפשרות לכל מי שמחזיק בתג חניה לחנות גם בחניה לרכב עם מעלון. רשויות אחרות, דוגמת עיריית ירושלים, נוהגות להציב מתחת לתמרור 437, המוצב ליד חניות נכים רחבות, שלט 439 המורה כי החניה מיועדת רק לרכב עם מעלון. בפועל, לא מתקיימת אכיפה מינהלית במקרים שבהם נהגים בעלי תג חניה ללא מעלון חונים בחניה זו.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rtl/>
        </w:rPr>
        <w:t xml:space="preserve">עיריית תל אביב-יפו כתבה בתשובתה ממאי 2026 (להלן </w:t>
      </w:r>
      <w:r w:rsidRPr="00A210E9">
        <w:rPr>
          <w:rFonts w:eastAsia="Calibri" w:hint="cs"/>
          <w:rtl/>
        </w:rPr>
        <w:t>-</w:t>
      </w:r>
      <w:r w:rsidRPr="00A210E9">
        <w:rPr>
          <w:rFonts w:eastAsia="Calibri"/>
          <w:rtl/>
        </w:rPr>
        <w:t xml:space="preserve"> תשובת עיריית תל אביב-יפו)</w:t>
      </w:r>
      <w:r w:rsidRPr="00A210E9">
        <w:rPr>
          <w:rFonts w:eastAsia="Calibri" w:hint="cs"/>
          <w:rtl/>
        </w:rPr>
        <w:t xml:space="preserve"> </w:t>
      </w:r>
      <w:r w:rsidRPr="00A210E9">
        <w:rPr>
          <w:rFonts w:eastAsia="Calibri"/>
          <w:rtl/>
        </w:rPr>
        <w:t xml:space="preserve">שלפני כשנה החליטה להציב </w:t>
      </w:r>
      <w:r w:rsidRPr="00A210E9">
        <w:rPr>
          <w:rFonts w:eastAsia="Calibri" w:hint="cs"/>
          <w:rtl/>
        </w:rPr>
        <w:t xml:space="preserve">בכעשר </w:t>
      </w:r>
      <w:r w:rsidRPr="00A210E9">
        <w:rPr>
          <w:rFonts w:eastAsia="Calibri"/>
          <w:rtl/>
        </w:rPr>
        <w:t>חניות נכים</w:t>
      </w:r>
      <w:r w:rsidRPr="00A210E9">
        <w:rPr>
          <w:rFonts w:eastAsia="Calibri" w:hint="cs"/>
          <w:rtl/>
        </w:rPr>
        <w:t xml:space="preserve"> את שלט 439 </w:t>
      </w:r>
      <w:r w:rsidRPr="00A210E9">
        <w:rPr>
          <w:rFonts w:eastAsia="Calibri"/>
          <w:rtl/>
        </w:rPr>
        <w:t xml:space="preserve">הקובע כי החניה מיועדת רק לרכב עם מעלון, אך </w:t>
      </w:r>
      <w:r w:rsidRPr="00A210E9">
        <w:rPr>
          <w:rFonts w:eastAsia="Calibri" w:hint="cs"/>
          <w:rtl/>
        </w:rPr>
        <w:t xml:space="preserve">היא </w:t>
      </w:r>
      <w:r w:rsidRPr="00A210E9">
        <w:rPr>
          <w:rFonts w:eastAsia="Calibri"/>
          <w:rtl/>
        </w:rPr>
        <w:t xml:space="preserve">נמנעת מאכיפה </w:t>
      </w:r>
      <w:r w:rsidRPr="00A210E9">
        <w:rPr>
          <w:rFonts w:eastAsia="Calibri" w:hint="cs"/>
          <w:rtl/>
        </w:rPr>
        <w:t xml:space="preserve">באמצעות </w:t>
      </w:r>
      <w:r w:rsidRPr="00A210E9">
        <w:rPr>
          <w:rFonts w:eastAsia="Calibri"/>
          <w:rtl/>
        </w:rPr>
        <w:t>הודעת תשלום קנס (</w:t>
      </w:r>
      <w:r w:rsidRPr="00A210E9">
        <w:rPr>
          <w:rFonts w:eastAsia="Calibri" w:hint="cs"/>
          <w:rtl/>
        </w:rPr>
        <w:t xml:space="preserve">רישום </w:t>
      </w:r>
      <w:r w:rsidRPr="00A210E9">
        <w:rPr>
          <w:rFonts w:eastAsia="Calibri"/>
          <w:rtl/>
        </w:rPr>
        <w:t>דוח</w:t>
      </w:r>
      <w:r w:rsidRPr="00A210E9">
        <w:rPr>
          <w:rFonts w:eastAsia="Calibri" w:hint="cs"/>
          <w:rtl/>
        </w:rPr>
        <w:t>ות</w:t>
      </w:r>
      <w:r w:rsidRPr="00A210E9">
        <w:rPr>
          <w:rFonts w:eastAsia="Calibri"/>
          <w:rtl/>
        </w:rPr>
        <w:t>). לדבריה, הדבר נעשה כפיילוט לצורך בחינת האפקטיביות</w:t>
      </w:r>
      <w:r w:rsidRPr="00A210E9">
        <w:rPr>
          <w:rFonts w:eastAsia="Calibri" w:hint="cs"/>
          <w:rtl/>
        </w:rPr>
        <w:t xml:space="preserve"> של השלטים</w:t>
      </w:r>
      <w:r w:rsidRPr="00A210E9">
        <w:rPr>
          <w:rFonts w:eastAsia="Calibri"/>
          <w:rtl/>
        </w:rPr>
        <w:t xml:space="preserve"> וההיענות הציבורית להצבת</w:t>
      </w:r>
      <w:r w:rsidRPr="00A210E9">
        <w:rPr>
          <w:rFonts w:eastAsia="Calibri" w:hint="cs"/>
          <w:rtl/>
        </w:rPr>
        <w:t>ם</w:t>
      </w:r>
      <w:r w:rsidRPr="00A210E9">
        <w:rPr>
          <w:rFonts w:eastAsia="Calibri"/>
          <w:rtl/>
        </w:rPr>
        <w:t xml:space="preserve">. כמו כן, בשל הקושי המשפטי בביצוע אכיפה, העירייה אף מקיימת שיח </w:t>
      </w:r>
      <w:r w:rsidRPr="00A210E9">
        <w:rPr>
          <w:rFonts w:eastAsia="Calibri" w:hint="cs"/>
          <w:rtl/>
        </w:rPr>
        <w:t>עם</w:t>
      </w:r>
      <w:r w:rsidRPr="00A210E9">
        <w:rPr>
          <w:rFonts w:eastAsia="Calibri"/>
          <w:rtl/>
        </w:rPr>
        <w:t xml:space="preserve"> משרד התחבורה והמחלקה להנחיית תובעים בפרקליטות המדינה בנוגע לקושי אכיפתי זה, </w:t>
      </w:r>
      <w:r w:rsidRPr="00A210E9">
        <w:rPr>
          <w:rFonts w:eastAsia="Calibri" w:hint="cs"/>
          <w:rtl/>
        </w:rPr>
        <w:t>לצורך</w:t>
      </w:r>
      <w:r w:rsidRPr="00A210E9">
        <w:rPr>
          <w:rFonts w:eastAsia="Calibri"/>
          <w:rtl/>
        </w:rPr>
        <w:t xml:space="preserve"> קידום פתרונות שונים. עוד ציינה</w:t>
      </w:r>
      <w:r w:rsidRPr="00A210E9">
        <w:rPr>
          <w:rFonts w:eastAsia="Calibri" w:hint="cs"/>
          <w:rtl/>
        </w:rPr>
        <w:t xml:space="preserve"> העירייה</w:t>
      </w:r>
      <w:r w:rsidRPr="00A210E9">
        <w:rPr>
          <w:rFonts w:eastAsia="Calibri"/>
          <w:rtl/>
        </w:rPr>
        <w:t>, כי נכון לעת הז</w:t>
      </w:r>
      <w:r w:rsidRPr="00A210E9">
        <w:rPr>
          <w:rFonts w:eastAsia="Calibri" w:hint="cs"/>
          <w:rtl/>
        </w:rPr>
        <w:t>את</w:t>
      </w:r>
      <w:r w:rsidRPr="00A210E9">
        <w:rPr>
          <w:rFonts w:eastAsia="Calibri"/>
          <w:rtl/>
        </w:rPr>
        <w:t xml:space="preserve"> טרם גובשו ממצאי הפיילוט </w:t>
      </w:r>
      <w:r w:rsidRPr="00A210E9">
        <w:rPr>
          <w:rFonts w:eastAsia="Calibri" w:hint="cs"/>
          <w:rtl/>
        </w:rPr>
        <w:t>בנוגע</w:t>
      </w:r>
      <w:r w:rsidRPr="00A210E9">
        <w:rPr>
          <w:rFonts w:eastAsia="Calibri"/>
          <w:rtl/>
        </w:rPr>
        <w:t xml:space="preserve"> למידת האפקטיביות של השילוט</w:t>
      </w:r>
      <w:r w:rsidRPr="00A210E9">
        <w:rPr>
          <w:rFonts w:eastAsia="Calibri" w:hint="cs"/>
          <w:rtl/>
        </w:rPr>
        <w:t>, וכי היא</w:t>
      </w:r>
      <w:r w:rsidRPr="00A210E9">
        <w:rPr>
          <w:rFonts w:eastAsia="Calibri"/>
          <w:rtl/>
        </w:rPr>
        <w:t xml:space="preserve"> פועלת להשלים את איסוף הממצאים ו</w:t>
      </w:r>
      <w:r w:rsidRPr="00A210E9">
        <w:rPr>
          <w:rFonts w:eastAsia="Calibri" w:hint="cs"/>
          <w:rtl/>
        </w:rPr>
        <w:t xml:space="preserve">את </w:t>
      </w:r>
      <w:r w:rsidRPr="00A210E9">
        <w:rPr>
          <w:rFonts w:eastAsia="Calibri"/>
          <w:rtl/>
        </w:rPr>
        <w:t>ניתוחם</w:t>
      </w:r>
      <w:r w:rsidRPr="00A210E9">
        <w:rPr>
          <w:rFonts w:eastAsia="Calibri" w:hint="cs"/>
          <w:rtl/>
        </w:rPr>
        <w:t>.</w:t>
      </w:r>
    </w:p>
    <w:p w:rsidR="00A210E9" w:rsidRPr="00A210E9" w:rsidP="00A210E9">
      <w:pPr>
        <w:keepNext/>
        <w:keepLines/>
        <w:spacing w:line="269" w:lineRule="auto"/>
        <w:ind w:left="-567"/>
        <w:rPr>
          <w:rFonts w:eastAsia="Calibri"/>
          <w:szCs w:val="20"/>
          <w:highlight w:val="cyan"/>
          <w:rtl/>
        </w:rPr>
      </w:pPr>
    </w:p>
    <w:p w:rsidR="00A210E9" w:rsidRPr="00A210E9" w:rsidP="00A210E9">
      <w:pPr>
        <w:spacing w:line="269" w:lineRule="auto"/>
        <w:rPr>
          <w:rFonts w:eastAsia="Calibri"/>
          <w:rtl/>
        </w:rPr>
      </w:pPr>
      <w:r w:rsidRPr="00A210E9">
        <w:rPr>
          <w:rFonts w:eastAsia="Calibri" w:hint="cs"/>
          <w:rtl/>
        </w:rPr>
        <w:t>עיריית חדרה כתבה בתשובתה מאפריל 2026 (להלן - תשובת עיריית חדרה) כי אחת הסוגיות העיקריות שהיא מתמודדת איתן בנושא רכבים עם תג חניה היא חניית רכב עם תג ללא מעלון בחניית נכה המסומנת כמיועדת לרכב עם מעלון.</w:t>
      </w:r>
    </w:p>
    <w:p w:rsidR="00A210E9" w:rsidRPr="00A210E9" w:rsidP="00A210E9">
      <w:pPr>
        <w:keepNext/>
        <w:keepLines/>
        <w:spacing w:line="269" w:lineRule="auto"/>
        <w:ind w:left="-567"/>
        <w:rPr>
          <w:rFonts w:eastAsia="Calibri"/>
          <w:szCs w:val="20"/>
          <w:highlight w:val="cyan"/>
          <w:rtl/>
        </w:rPr>
      </w:pPr>
    </w:p>
    <w:p w:rsidR="00A210E9" w:rsidRPr="00A210E9" w:rsidP="00A210E9">
      <w:pPr>
        <w:spacing w:line="269" w:lineRule="auto"/>
        <w:rPr>
          <w:rFonts w:eastAsia="Calibri"/>
          <w:rtl/>
        </w:rPr>
      </w:pPr>
      <w:r w:rsidRPr="00A210E9">
        <w:rPr>
          <w:rFonts w:eastAsia="Calibri" w:hint="eastAsia"/>
          <w:rtl/>
        </w:rPr>
        <w:t>משרד</w:t>
      </w:r>
      <w:r w:rsidRPr="00A210E9">
        <w:rPr>
          <w:rFonts w:eastAsia="Calibri"/>
          <w:rtl/>
        </w:rPr>
        <w:t xml:space="preserve"> </w:t>
      </w:r>
      <w:r w:rsidRPr="00A210E9">
        <w:rPr>
          <w:rFonts w:eastAsia="Calibri" w:hint="eastAsia"/>
          <w:rtl/>
        </w:rPr>
        <w:t>התחבורה</w:t>
      </w:r>
      <w:r w:rsidRPr="00A210E9">
        <w:rPr>
          <w:rFonts w:eastAsia="Calibri"/>
          <w:rtl/>
        </w:rPr>
        <w:t xml:space="preserve"> </w:t>
      </w:r>
      <w:r w:rsidRPr="00A210E9">
        <w:rPr>
          <w:rFonts w:eastAsia="Calibri" w:hint="eastAsia"/>
          <w:rtl/>
        </w:rPr>
        <w:t>כתב</w:t>
      </w:r>
      <w:r w:rsidRPr="00A210E9">
        <w:rPr>
          <w:rFonts w:eastAsia="Calibri"/>
          <w:rtl/>
        </w:rPr>
        <w:t xml:space="preserve"> </w:t>
      </w:r>
      <w:r w:rsidRPr="00A210E9">
        <w:rPr>
          <w:rFonts w:eastAsia="Calibri" w:hint="eastAsia"/>
          <w:rtl/>
        </w:rPr>
        <w:t>בתשובתו</w:t>
      </w:r>
      <w:r w:rsidRPr="00A210E9">
        <w:rPr>
          <w:rFonts w:eastAsia="Calibri"/>
          <w:rtl/>
        </w:rPr>
        <w:t xml:space="preserve"> </w:t>
      </w:r>
      <w:r w:rsidRPr="00A210E9">
        <w:rPr>
          <w:rFonts w:eastAsia="Calibri" w:hint="eastAsia"/>
          <w:rtl/>
        </w:rPr>
        <w:t>כי</w:t>
      </w:r>
      <w:r w:rsidRPr="00A210E9">
        <w:rPr>
          <w:rFonts w:eastAsia="Calibri"/>
          <w:rtl/>
        </w:rPr>
        <w:t xml:space="preserve"> </w:t>
      </w:r>
      <w:r w:rsidRPr="00A210E9">
        <w:rPr>
          <w:rFonts w:eastAsia="Calibri" w:hint="eastAsia"/>
          <w:rtl/>
        </w:rPr>
        <w:t>כבר</w:t>
      </w:r>
      <w:r w:rsidRPr="00A210E9">
        <w:rPr>
          <w:rFonts w:eastAsia="Calibri"/>
          <w:rtl/>
        </w:rPr>
        <w:t xml:space="preserve"> </w:t>
      </w:r>
      <w:r w:rsidRPr="00A210E9">
        <w:rPr>
          <w:rFonts w:eastAsia="Calibri" w:hint="eastAsia"/>
          <w:rtl/>
        </w:rPr>
        <w:t>כיום</w:t>
      </w:r>
      <w:r w:rsidRPr="00A210E9">
        <w:rPr>
          <w:rFonts w:eastAsia="Calibri"/>
          <w:rtl/>
        </w:rPr>
        <w:t xml:space="preserve"> </w:t>
      </w:r>
      <w:r w:rsidRPr="00A210E9">
        <w:rPr>
          <w:rFonts w:eastAsia="Calibri" w:hint="eastAsia"/>
          <w:rtl/>
        </w:rPr>
        <w:t>ניתן</w:t>
      </w:r>
      <w:r w:rsidRPr="00A210E9">
        <w:rPr>
          <w:rFonts w:eastAsia="Calibri"/>
          <w:rtl/>
        </w:rPr>
        <w:t xml:space="preserve"> </w:t>
      </w:r>
      <w:r w:rsidRPr="00A210E9">
        <w:rPr>
          <w:rFonts w:eastAsia="Calibri" w:hint="eastAsia"/>
          <w:rtl/>
        </w:rPr>
        <w:t>פתרון</w:t>
      </w:r>
      <w:r w:rsidRPr="00A210E9">
        <w:rPr>
          <w:rFonts w:eastAsia="Calibri" w:hint="cs"/>
          <w:rtl/>
        </w:rPr>
        <w:t>,</w:t>
      </w:r>
      <w:r w:rsidRPr="00A210E9">
        <w:rPr>
          <w:rFonts w:eastAsia="Calibri"/>
          <w:rtl/>
        </w:rPr>
        <w:t xml:space="preserve"> במס</w:t>
      </w:r>
      <w:r w:rsidRPr="00A210E9">
        <w:rPr>
          <w:rFonts w:eastAsia="Calibri" w:hint="eastAsia"/>
          <w:rtl/>
        </w:rPr>
        <w:t>גרת</w:t>
      </w:r>
      <w:r w:rsidRPr="00A210E9">
        <w:rPr>
          <w:rFonts w:eastAsia="Calibri"/>
          <w:rtl/>
        </w:rPr>
        <w:t xml:space="preserve"> </w:t>
      </w:r>
      <w:r w:rsidRPr="00A210E9">
        <w:rPr>
          <w:rFonts w:eastAsia="Calibri" w:hint="eastAsia"/>
          <w:rtl/>
        </w:rPr>
        <w:t>הנחיות</w:t>
      </w:r>
      <w:r w:rsidRPr="00A210E9">
        <w:rPr>
          <w:rFonts w:eastAsia="Calibri"/>
          <w:rtl/>
        </w:rPr>
        <w:t xml:space="preserve"> </w:t>
      </w:r>
      <w:r w:rsidRPr="00A210E9">
        <w:rPr>
          <w:rFonts w:eastAsia="Calibri" w:hint="eastAsia"/>
          <w:rtl/>
        </w:rPr>
        <w:t>המפקח</w:t>
      </w:r>
      <w:r w:rsidRPr="00A210E9">
        <w:rPr>
          <w:rFonts w:eastAsia="Calibri"/>
          <w:rtl/>
        </w:rPr>
        <w:t xml:space="preserve"> </w:t>
      </w:r>
      <w:r w:rsidRPr="00A210E9">
        <w:rPr>
          <w:rFonts w:eastAsia="Calibri" w:hint="eastAsia"/>
          <w:rtl/>
        </w:rPr>
        <w:t>הארצי</w:t>
      </w:r>
      <w:r w:rsidRPr="00A210E9">
        <w:rPr>
          <w:rFonts w:eastAsia="Calibri"/>
          <w:rtl/>
        </w:rPr>
        <w:t xml:space="preserve"> </w:t>
      </w:r>
      <w:r w:rsidRPr="00A210E9">
        <w:rPr>
          <w:rFonts w:eastAsia="Calibri" w:hint="eastAsia"/>
          <w:rtl/>
        </w:rPr>
        <w:t>על</w:t>
      </w:r>
      <w:r w:rsidRPr="00A210E9">
        <w:rPr>
          <w:rFonts w:eastAsia="Calibri"/>
          <w:rtl/>
        </w:rPr>
        <w:t xml:space="preserve"> </w:t>
      </w:r>
      <w:r w:rsidRPr="00A210E9">
        <w:rPr>
          <w:rFonts w:eastAsia="Calibri" w:hint="eastAsia"/>
          <w:rtl/>
        </w:rPr>
        <w:t>התעבורה</w:t>
      </w:r>
      <w:r w:rsidRPr="00A210E9">
        <w:rPr>
          <w:rFonts w:eastAsia="Calibri"/>
          <w:rtl/>
        </w:rPr>
        <w:t xml:space="preserve">, שיאפשר הקצאת חניה לרכב עם מעלון או מתקן הרמה, </w:t>
      </w:r>
      <w:r w:rsidRPr="00A210E9">
        <w:rPr>
          <w:rFonts w:eastAsia="Calibri" w:hint="cs"/>
          <w:rtl/>
        </w:rPr>
        <w:t>וזאת לפי</w:t>
      </w:r>
      <w:r w:rsidRPr="00A210E9">
        <w:rPr>
          <w:rFonts w:eastAsia="Calibri"/>
          <w:rtl/>
        </w:rPr>
        <w:t xml:space="preserve"> סוג הרכב ולא </w:t>
      </w:r>
      <w:r w:rsidRPr="00A210E9">
        <w:rPr>
          <w:rFonts w:eastAsia="Calibri" w:hint="cs"/>
          <w:rtl/>
        </w:rPr>
        <w:t>לפי</w:t>
      </w:r>
      <w:r w:rsidRPr="00A210E9">
        <w:rPr>
          <w:rFonts w:eastAsia="Calibri"/>
          <w:rtl/>
        </w:rPr>
        <w:t xml:space="preserve"> סיווג תג החניה. בהתאם לכך, עמדת המשרד היא שנמצאו פתרונות ישימים</w:t>
      </w:r>
      <w:r w:rsidRPr="00A210E9">
        <w:rPr>
          <w:rFonts w:eastAsia="Calibri" w:hint="cs"/>
          <w:rtl/>
        </w:rPr>
        <w:t>, שיעגנו זכויות נבדלות לתגי נכה שונים,</w:t>
      </w:r>
      <w:r w:rsidRPr="00A210E9">
        <w:rPr>
          <w:rFonts w:eastAsia="Calibri"/>
          <w:rtl/>
        </w:rPr>
        <w:t xml:space="preserve"> </w:t>
      </w:r>
      <w:r w:rsidRPr="00A210E9">
        <w:rPr>
          <w:rFonts w:eastAsia="Calibri" w:hint="cs"/>
          <w:rtl/>
        </w:rPr>
        <w:t>באמצעות</w:t>
      </w:r>
      <w:r w:rsidRPr="00A210E9">
        <w:rPr>
          <w:rFonts w:eastAsia="Calibri"/>
          <w:rtl/>
        </w:rPr>
        <w:t xml:space="preserve"> שילוב תמרור 437 ותמרור 439 </w:t>
      </w:r>
      <w:r w:rsidRPr="00A210E9">
        <w:rPr>
          <w:rFonts w:eastAsia="Calibri" w:hint="cs"/>
          <w:rtl/>
        </w:rPr>
        <w:t>כדי</w:t>
      </w:r>
      <w:r w:rsidRPr="00A210E9">
        <w:rPr>
          <w:rFonts w:eastAsia="Calibri"/>
          <w:rtl/>
        </w:rPr>
        <w:t xml:space="preserve"> לאפשר הקצאת חניה לרכב עם מעלון או מתקן הרמה, בהתבסס על סוג הרכב הרלוונטי, ובאופן שאינו מצריך תיקון חקיקה ראשית. המשרד </w:t>
      </w:r>
      <w:r w:rsidRPr="00A210E9">
        <w:rPr>
          <w:rFonts w:eastAsia="Calibri" w:hint="eastAsia"/>
          <w:rtl/>
        </w:rPr>
        <w:t>ציין</w:t>
      </w:r>
      <w:r w:rsidRPr="00A210E9">
        <w:rPr>
          <w:rFonts w:eastAsia="Calibri"/>
          <w:rtl/>
        </w:rPr>
        <w:t xml:space="preserve"> עוד כי הוא </w:t>
      </w:r>
      <w:r w:rsidRPr="00A210E9">
        <w:rPr>
          <w:rFonts w:eastAsia="Calibri" w:hint="cs"/>
          <w:rtl/>
        </w:rPr>
        <w:t>ער</w:t>
      </w:r>
      <w:r w:rsidRPr="00A210E9">
        <w:rPr>
          <w:rFonts w:eastAsia="Calibri"/>
          <w:rtl/>
        </w:rPr>
        <w:t xml:space="preserve"> </w:t>
      </w:r>
      <w:r w:rsidRPr="00A210E9">
        <w:rPr>
          <w:rFonts w:eastAsia="Calibri" w:hint="cs"/>
          <w:rtl/>
        </w:rPr>
        <w:t>ל</w:t>
      </w:r>
      <w:r w:rsidRPr="00A210E9">
        <w:rPr>
          <w:rFonts w:eastAsia="Calibri"/>
          <w:rtl/>
        </w:rPr>
        <w:t xml:space="preserve">טענות של רשויות מקומיות בדבר קשיים אפשריים באכיפה, </w:t>
      </w:r>
      <w:r w:rsidRPr="00A210E9">
        <w:rPr>
          <w:rFonts w:eastAsia="Calibri" w:hint="cs"/>
          <w:rtl/>
        </w:rPr>
        <w:t>וכי הן נכללות</w:t>
      </w:r>
      <w:r w:rsidRPr="00A210E9">
        <w:rPr>
          <w:rFonts w:eastAsia="Calibri"/>
          <w:rtl/>
        </w:rPr>
        <w:t xml:space="preserve"> </w:t>
      </w:r>
      <w:r w:rsidRPr="00A210E9">
        <w:rPr>
          <w:rFonts w:eastAsia="Calibri" w:hint="cs"/>
          <w:rtl/>
        </w:rPr>
        <w:t>ב</w:t>
      </w:r>
      <w:r w:rsidRPr="00A210E9">
        <w:rPr>
          <w:rFonts w:eastAsia="Calibri"/>
          <w:rtl/>
        </w:rPr>
        <w:t xml:space="preserve">סוגיות רחבות יותר של אכיפה, </w:t>
      </w:r>
      <w:r w:rsidRPr="00A210E9">
        <w:rPr>
          <w:rFonts w:eastAsia="Calibri" w:hint="cs"/>
          <w:rtl/>
        </w:rPr>
        <w:t>שאותו הוא מלבן עם</w:t>
      </w:r>
      <w:r w:rsidRPr="00A210E9">
        <w:rPr>
          <w:rFonts w:eastAsia="Calibri"/>
          <w:rtl/>
        </w:rPr>
        <w:t xml:space="preserve"> הגורמים האמונים על כך</w:t>
      </w:r>
      <w:r w:rsidRPr="00A210E9">
        <w:rPr>
          <w:rFonts w:eastAsia="Calibri" w:hint="cs"/>
          <w:rtl/>
        </w:rPr>
        <w:t>,</w:t>
      </w:r>
      <w:r w:rsidRPr="00A210E9">
        <w:rPr>
          <w:rFonts w:eastAsia="Calibri"/>
          <w:rtl/>
        </w:rPr>
        <w:t xml:space="preserve"> לרבות המחלקה להנחיית תובעים.</w:t>
      </w:r>
    </w:p>
    <w:p w:rsidR="00A210E9" w:rsidRPr="00A210E9" w:rsidP="00A210E9">
      <w:pPr>
        <w:spacing w:line="269" w:lineRule="auto"/>
        <w:rPr>
          <w:rFonts w:eastAsia="Calibri"/>
          <w:b/>
          <w:bCs/>
          <w:rtl/>
        </w:rPr>
      </w:pPr>
      <w:r w:rsidRPr="00A210E9">
        <w:rPr>
          <w:rFonts w:eastAsia="Calibri" w:hint="eastAsia"/>
          <w:b/>
          <w:bCs/>
          <w:rtl/>
        </w:rPr>
        <w:t>חוסר</w:t>
      </w:r>
      <w:r w:rsidRPr="00A210E9">
        <w:rPr>
          <w:rFonts w:eastAsia="Calibri"/>
          <w:b/>
          <w:bCs/>
          <w:rtl/>
        </w:rPr>
        <w:t xml:space="preserve"> </w:t>
      </w:r>
      <w:r w:rsidRPr="00A210E9">
        <w:rPr>
          <w:rFonts w:eastAsia="Calibri" w:hint="eastAsia"/>
          <w:b/>
          <w:bCs/>
          <w:rtl/>
        </w:rPr>
        <w:t>ההבחנה</w:t>
      </w:r>
      <w:r w:rsidRPr="00A210E9">
        <w:rPr>
          <w:rFonts w:eastAsia="Calibri"/>
          <w:b/>
          <w:bCs/>
          <w:rtl/>
        </w:rPr>
        <w:t xml:space="preserve"> </w:t>
      </w:r>
      <w:r w:rsidRPr="00A210E9">
        <w:rPr>
          <w:rFonts w:eastAsia="Calibri" w:hint="eastAsia"/>
          <w:b/>
          <w:bCs/>
          <w:rtl/>
        </w:rPr>
        <w:t>החוקית</w:t>
      </w:r>
      <w:r w:rsidRPr="00A210E9">
        <w:rPr>
          <w:rFonts w:eastAsia="Calibri"/>
          <w:b/>
          <w:bCs/>
          <w:rtl/>
        </w:rPr>
        <w:t xml:space="preserve"> </w:t>
      </w:r>
      <w:r w:rsidRPr="00A210E9">
        <w:rPr>
          <w:rFonts w:eastAsia="Calibri" w:hint="eastAsia"/>
          <w:b/>
          <w:bCs/>
          <w:rtl/>
        </w:rPr>
        <w:t>בין</w:t>
      </w:r>
      <w:r w:rsidRPr="00A210E9">
        <w:rPr>
          <w:rFonts w:eastAsia="Calibri"/>
          <w:b/>
          <w:bCs/>
          <w:rtl/>
        </w:rPr>
        <w:t xml:space="preserve"> </w:t>
      </w:r>
      <w:r w:rsidRPr="00A210E9">
        <w:rPr>
          <w:rFonts w:eastAsia="Calibri" w:hint="eastAsia"/>
          <w:b/>
          <w:bCs/>
          <w:rtl/>
        </w:rPr>
        <w:t>חניות</w:t>
      </w:r>
      <w:r w:rsidRPr="00A210E9">
        <w:rPr>
          <w:rFonts w:eastAsia="Calibri"/>
          <w:b/>
          <w:bCs/>
          <w:rtl/>
        </w:rPr>
        <w:t xml:space="preserve"> </w:t>
      </w:r>
      <w:r w:rsidRPr="00A210E9">
        <w:rPr>
          <w:rFonts w:eastAsia="Calibri" w:hint="eastAsia"/>
          <w:b/>
          <w:bCs/>
          <w:rtl/>
        </w:rPr>
        <w:t>נכים</w:t>
      </w:r>
      <w:r w:rsidRPr="00A210E9">
        <w:rPr>
          <w:rFonts w:eastAsia="Calibri"/>
          <w:b/>
          <w:bCs/>
          <w:rtl/>
        </w:rPr>
        <w:t xml:space="preserve"> </w:t>
      </w:r>
      <w:r w:rsidRPr="00A210E9">
        <w:rPr>
          <w:rFonts w:eastAsia="Calibri" w:hint="eastAsia"/>
          <w:b/>
          <w:bCs/>
          <w:rtl/>
        </w:rPr>
        <w:t>המיועדות</w:t>
      </w:r>
      <w:r w:rsidRPr="00A210E9">
        <w:rPr>
          <w:rFonts w:eastAsia="Calibri"/>
          <w:b/>
          <w:bCs/>
          <w:rtl/>
        </w:rPr>
        <w:t xml:space="preserve"> </w:t>
      </w:r>
      <w:r w:rsidRPr="00A210E9">
        <w:rPr>
          <w:rFonts w:eastAsia="Calibri" w:hint="eastAsia"/>
          <w:b/>
          <w:bCs/>
          <w:rtl/>
        </w:rPr>
        <w:t>לבעלי</w:t>
      </w:r>
      <w:r w:rsidRPr="00A210E9">
        <w:rPr>
          <w:rFonts w:eastAsia="Calibri"/>
          <w:b/>
          <w:bCs/>
          <w:rtl/>
        </w:rPr>
        <w:t xml:space="preserve"> </w:t>
      </w:r>
      <w:r w:rsidRPr="00A210E9">
        <w:rPr>
          <w:rFonts w:eastAsia="Calibri" w:hint="eastAsia"/>
          <w:b/>
          <w:bCs/>
          <w:rtl/>
        </w:rPr>
        <w:t>רכב</w:t>
      </w:r>
      <w:r w:rsidRPr="00A210E9">
        <w:rPr>
          <w:rFonts w:eastAsia="Calibri"/>
          <w:b/>
          <w:bCs/>
          <w:rtl/>
        </w:rPr>
        <w:t xml:space="preserve"> </w:t>
      </w:r>
      <w:r w:rsidRPr="00A210E9">
        <w:rPr>
          <w:rFonts w:eastAsia="Calibri" w:hint="eastAsia"/>
          <w:b/>
          <w:bCs/>
          <w:rtl/>
        </w:rPr>
        <w:t>עם</w:t>
      </w:r>
      <w:r w:rsidRPr="00A210E9">
        <w:rPr>
          <w:rFonts w:eastAsia="Calibri"/>
          <w:b/>
          <w:bCs/>
          <w:rtl/>
        </w:rPr>
        <w:t xml:space="preserve"> </w:t>
      </w:r>
      <w:r w:rsidRPr="00A210E9">
        <w:rPr>
          <w:rFonts w:eastAsia="Calibri" w:hint="eastAsia"/>
          <w:b/>
          <w:bCs/>
          <w:rtl/>
        </w:rPr>
        <w:t>מעלון</w:t>
      </w:r>
      <w:r w:rsidRPr="00A210E9">
        <w:rPr>
          <w:rFonts w:eastAsia="Calibri"/>
          <w:b/>
          <w:bCs/>
          <w:rtl/>
        </w:rPr>
        <w:t xml:space="preserve"> </w:t>
      </w:r>
      <w:r w:rsidRPr="00A210E9">
        <w:rPr>
          <w:rFonts w:eastAsia="Calibri" w:hint="eastAsia"/>
          <w:b/>
          <w:bCs/>
          <w:rtl/>
        </w:rPr>
        <w:t>או</w:t>
      </w:r>
      <w:r w:rsidRPr="00A210E9">
        <w:rPr>
          <w:rFonts w:eastAsia="Calibri"/>
          <w:b/>
          <w:bCs/>
          <w:rtl/>
        </w:rPr>
        <w:t xml:space="preserve"> </w:t>
      </w:r>
      <w:r w:rsidRPr="00A210E9">
        <w:rPr>
          <w:rFonts w:eastAsia="Calibri" w:hint="eastAsia"/>
          <w:b/>
          <w:bCs/>
          <w:rtl/>
        </w:rPr>
        <w:t>מתקן</w:t>
      </w:r>
      <w:r w:rsidRPr="00A210E9">
        <w:rPr>
          <w:rFonts w:eastAsia="Calibri"/>
          <w:b/>
          <w:bCs/>
          <w:rtl/>
        </w:rPr>
        <w:t xml:space="preserve"> </w:t>
      </w:r>
      <w:r w:rsidRPr="00A210E9">
        <w:rPr>
          <w:rFonts w:eastAsia="Calibri" w:hint="eastAsia"/>
          <w:b/>
          <w:bCs/>
          <w:rtl/>
        </w:rPr>
        <w:t>הרמה</w:t>
      </w:r>
      <w:r w:rsidRPr="00A210E9">
        <w:rPr>
          <w:rFonts w:eastAsia="Calibri"/>
          <w:b/>
          <w:bCs/>
          <w:rtl/>
        </w:rPr>
        <w:t xml:space="preserve"> </w:t>
      </w:r>
      <w:r w:rsidRPr="00A210E9">
        <w:rPr>
          <w:rFonts w:eastAsia="Calibri" w:hint="eastAsia"/>
          <w:b/>
          <w:bCs/>
          <w:rtl/>
        </w:rPr>
        <w:t>לבין</w:t>
      </w:r>
      <w:r w:rsidRPr="00A210E9">
        <w:rPr>
          <w:rFonts w:eastAsia="Calibri"/>
          <w:b/>
          <w:bCs/>
          <w:rtl/>
        </w:rPr>
        <w:t xml:space="preserve"> </w:t>
      </w:r>
      <w:r w:rsidRPr="00A210E9">
        <w:rPr>
          <w:rFonts w:eastAsia="Calibri" w:hint="eastAsia"/>
          <w:b/>
          <w:bCs/>
          <w:rtl/>
        </w:rPr>
        <w:t>חניות</w:t>
      </w:r>
      <w:r w:rsidRPr="00A210E9">
        <w:rPr>
          <w:rFonts w:eastAsia="Calibri"/>
          <w:b/>
          <w:bCs/>
          <w:rtl/>
        </w:rPr>
        <w:t xml:space="preserve"> </w:t>
      </w:r>
      <w:r w:rsidRPr="00A210E9">
        <w:rPr>
          <w:rFonts w:eastAsia="Calibri" w:hint="eastAsia"/>
          <w:b/>
          <w:bCs/>
          <w:rtl/>
        </w:rPr>
        <w:t>נכים</w:t>
      </w:r>
      <w:r w:rsidRPr="00A210E9">
        <w:rPr>
          <w:rFonts w:eastAsia="Calibri"/>
          <w:b/>
          <w:bCs/>
          <w:rtl/>
        </w:rPr>
        <w:t xml:space="preserve"> </w:t>
      </w:r>
      <w:r w:rsidRPr="00A210E9">
        <w:rPr>
          <w:rFonts w:eastAsia="Calibri" w:hint="eastAsia"/>
          <w:b/>
          <w:bCs/>
          <w:rtl/>
        </w:rPr>
        <w:t>רגילות</w:t>
      </w:r>
      <w:r w:rsidRPr="00A210E9">
        <w:rPr>
          <w:rFonts w:eastAsia="Calibri"/>
          <w:b/>
          <w:bCs/>
          <w:rtl/>
        </w:rPr>
        <w:t xml:space="preserve"> </w:t>
      </w:r>
      <w:r w:rsidRPr="00A210E9">
        <w:rPr>
          <w:rFonts w:eastAsia="Calibri" w:hint="eastAsia"/>
          <w:b/>
          <w:bCs/>
          <w:rtl/>
        </w:rPr>
        <w:t>יוצר</w:t>
      </w:r>
      <w:r w:rsidRPr="00A210E9">
        <w:rPr>
          <w:rFonts w:eastAsia="Calibri"/>
          <w:b/>
          <w:bCs/>
          <w:rtl/>
        </w:rPr>
        <w:t xml:space="preserve"> </w:t>
      </w:r>
      <w:r w:rsidRPr="00A210E9">
        <w:rPr>
          <w:rFonts w:eastAsia="Calibri" w:hint="eastAsia"/>
          <w:b/>
          <w:bCs/>
          <w:rtl/>
        </w:rPr>
        <w:t>קושי</w:t>
      </w:r>
      <w:r w:rsidRPr="00A210E9">
        <w:rPr>
          <w:rFonts w:eastAsia="Calibri"/>
          <w:b/>
          <w:bCs/>
          <w:rtl/>
        </w:rPr>
        <w:t xml:space="preserve"> </w:t>
      </w:r>
      <w:r w:rsidRPr="00A210E9">
        <w:rPr>
          <w:rFonts w:eastAsia="Calibri" w:hint="eastAsia"/>
          <w:b/>
          <w:bCs/>
          <w:rtl/>
        </w:rPr>
        <w:t>ממשי</w:t>
      </w:r>
      <w:r w:rsidRPr="00A210E9">
        <w:rPr>
          <w:rFonts w:eastAsia="Calibri"/>
          <w:b/>
          <w:bCs/>
          <w:rtl/>
        </w:rPr>
        <w:t xml:space="preserve"> </w:t>
      </w:r>
      <w:r w:rsidRPr="00A210E9">
        <w:rPr>
          <w:rFonts w:eastAsia="Calibri" w:hint="eastAsia"/>
          <w:b/>
          <w:bCs/>
          <w:rtl/>
        </w:rPr>
        <w:t>עבור</w:t>
      </w:r>
      <w:r w:rsidRPr="00A210E9">
        <w:rPr>
          <w:rFonts w:eastAsia="Calibri"/>
          <w:b/>
          <w:bCs/>
          <w:rtl/>
        </w:rPr>
        <w:t xml:space="preserve"> </w:t>
      </w:r>
      <w:r w:rsidRPr="00A210E9">
        <w:rPr>
          <w:rFonts w:eastAsia="Calibri" w:hint="cs"/>
          <w:b/>
          <w:bCs/>
          <w:rtl/>
        </w:rPr>
        <w:t>אנשים עם מוגבלות</w:t>
      </w:r>
      <w:r w:rsidRPr="00A210E9">
        <w:rPr>
          <w:rFonts w:eastAsia="Calibri"/>
          <w:b/>
          <w:bCs/>
          <w:rtl/>
        </w:rPr>
        <w:t xml:space="preserve"> </w:t>
      </w:r>
      <w:r w:rsidRPr="00A210E9">
        <w:rPr>
          <w:rFonts w:eastAsia="Calibri" w:hint="eastAsia"/>
          <w:b/>
          <w:bCs/>
          <w:rtl/>
        </w:rPr>
        <w:t>שמתניידים</w:t>
      </w:r>
      <w:r w:rsidRPr="00A210E9">
        <w:rPr>
          <w:rFonts w:eastAsia="Calibri"/>
          <w:b/>
          <w:bCs/>
          <w:rtl/>
        </w:rPr>
        <w:t xml:space="preserve"> </w:t>
      </w:r>
      <w:r w:rsidRPr="00A210E9">
        <w:rPr>
          <w:rFonts w:eastAsia="Calibri" w:hint="eastAsia"/>
          <w:b/>
          <w:bCs/>
          <w:rtl/>
        </w:rPr>
        <w:t>באמצעות</w:t>
      </w:r>
      <w:r w:rsidRPr="00A210E9">
        <w:rPr>
          <w:rFonts w:eastAsia="Calibri"/>
          <w:b/>
          <w:bCs/>
          <w:rtl/>
        </w:rPr>
        <w:t xml:space="preserve"> </w:t>
      </w:r>
      <w:r w:rsidRPr="00A210E9">
        <w:rPr>
          <w:rFonts w:eastAsia="Calibri" w:hint="eastAsia"/>
          <w:b/>
          <w:bCs/>
          <w:rtl/>
        </w:rPr>
        <w:t>כיסא</w:t>
      </w:r>
      <w:r w:rsidRPr="00A210E9">
        <w:rPr>
          <w:rFonts w:eastAsia="Calibri"/>
          <w:b/>
          <w:bCs/>
          <w:rtl/>
        </w:rPr>
        <w:t xml:space="preserve"> </w:t>
      </w:r>
      <w:r w:rsidRPr="00A210E9">
        <w:rPr>
          <w:rFonts w:eastAsia="Calibri" w:hint="eastAsia"/>
          <w:b/>
          <w:bCs/>
          <w:rtl/>
        </w:rPr>
        <w:t>גלגלים</w:t>
      </w:r>
      <w:r w:rsidRPr="00A210E9">
        <w:rPr>
          <w:rFonts w:eastAsia="Calibri"/>
          <w:b/>
          <w:bCs/>
          <w:rtl/>
        </w:rPr>
        <w:t xml:space="preserve">, </w:t>
      </w:r>
      <w:r w:rsidRPr="00A210E9">
        <w:rPr>
          <w:rFonts w:eastAsia="Calibri" w:hint="eastAsia"/>
          <w:b/>
          <w:bCs/>
          <w:rtl/>
        </w:rPr>
        <w:t>שכן</w:t>
      </w:r>
      <w:r w:rsidRPr="00A210E9">
        <w:rPr>
          <w:rFonts w:eastAsia="Calibri"/>
          <w:b/>
          <w:bCs/>
          <w:rtl/>
        </w:rPr>
        <w:t xml:space="preserve"> לעיתים קרובות הם אינם מוצאים חניה נגישה שמתאימה לצרכיהם הפיזיים. </w:t>
      </w:r>
      <w:r w:rsidRPr="00A210E9">
        <w:rPr>
          <w:rFonts w:eastAsia="Calibri" w:hint="cs"/>
          <w:b/>
          <w:bCs/>
          <w:rtl/>
        </w:rPr>
        <w:t xml:space="preserve">במצב החוקי הנוכחי, </w:t>
      </w:r>
      <w:r w:rsidRPr="00A210E9">
        <w:rPr>
          <w:rFonts w:eastAsia="Calibri" w:hint="eastAsia"/>
          <w:b/>
          <w:bCs/>
          <w:rtl/>
        </w:rPr>
        <w:t>כל</w:t>
      </w:r>
      <w:r w:rsidRPr="00A210E9">
        <w:rPr>
          <w:rFonts w:eastAsia="Calibri"/>
          <w:b/>
          <w:bCs/>
          <w:rtl/>
        </w:rPr>
        <w:t xml:space="preserve"> בעלי תג</w:t>
      </w:r>
      <w:r w:rsidRPr="00A210E9">
        <w:rPr>
          <w:rFonts w:eastAsia="Calibri" w:hint="cs"/>
          <w:b/>
          <w:bCs/>
          <w:rtl/>
        </w:rPr>
        <w:t xml:space="preserve"> חניה</w:t>
      </w:r>
      <w:r w:rsidRPr="00A210E9">
        <w:rPr>
          <w:rFonts w:eastAsia="Calibri"/>
          <w:b/>
          <w:bCs/>
          <w:rtl/>
        </w:rPr>
        <w:t xml:space="preserve"> </w:t>
      </w:r>
      <w:r w:rsidRPr="00A210E9">
        <w:rPr>
          <w:rFonts w:eastAsia="Calibri" w:hint="eastAsia"/>
          <w:b/>
          <w:bCs/>
          <w:rtl/>
        </w:rPr>
        <w:t>זכאים</w:t>
      </w:r>
      <w:r w:rsidRPr="00A210E9">
        <w:rPr>
          <w:rFonts w:eastAsia="Calibri"/>
          <w:b/>
          <w:bCs/>
          <w:rtl/>
        </w:rPr>
        <w:t xml:space="preserve"> </w:t>
      </w:r>
      <w:r w:rsidRPr="00A210E9">
        <w:rPr>
          <w:rFonts w:eastAsia="Calibri" w:hint="eastAsia"/>
          <w:b/>
          <w:bCs/>
          <w:rtl/>
        </w:rPr>
        <w:t>להשתמש</w:t>
      </w:r>
      <w:r w:rsidRPr="00A210E9">
        <w:rPr>
          <w:rFonts w:eastAsia="Calibri"/>
          <w:b/>
          <w:bCs/>
          <w:rtl/>
        </w:rPr>
        <w:t xml:space="preserve"> בכל חניות הנכים, אך </w:t>
      </w:r>
      <w:r w:rsidRPr="00A210E9">
        <w:rPr>
          <w:rFonts w:eastAsia="Calibri" w:hint="eastAsia"/>
          <w:b/>
          <w:bCs/>
          <w:rtl/>
        </w:rPr>
        <w:t>בפועל</w:t>
      </w:r>
      <w:r w:rsidRPr="00A210E9">
        <w:rPr>
          <w:rFonts w:eastAsia="Calibri"/>
          <w:b/>
          <w:bCs/>
          <w:rtl/>
        </w:rPr>
        <w:t xml:space="preserve"> לא כולם זקוקים </w:t>
      </w:r>
      <w:r w:rsidRPr="00A210E9">
        <w:rPr>
          <w:rFonts w:eastAsia="Calibri" w:hint="cs"/>
          <w:b/>
          <w:bCs/>
          <w:rtl/>
        </w:rPr>
        <w:t xml:space="preserve">לשטח העודף </w:t>
      </w:r>
      <w:r w:rsidRPr="00A210E9">
        <w:rPr>
          <w:rFonts w:eastAsia="Calibri"/>
          <w:b/>
          <w:bCs/>
          <w:rtl/>
        </w:rPr>
        <w:t xml:space="preserve">שמיועד להורדה או העלאה </w:t>
      </w:r>
      <w:r w:rsidRPr="00A210E9">
        <w:rPr>
          <w:rFonts w:eastAsia="Calibri" w:hint="eastAsia"/>
          <w:b/>
          <w:bCs/>
          <w:rtl/>
        </w:rPr>
        <w:t>של</w:t>
      </w:r>
      <w:r w:rsidRPr="00A210E9">
        <w:rPr>
          <w:rFonts w:eastAsia="Calibri"/>
          <w:b/>
          <w:bCs/>
          <w:rtl/>
        </w:rPr>
        <w:t xml:space="preserve"> כ</w:t>
      </w:r>
      <w:r w:rsidRPr="00A210E9">
        <w:rPr>
          <w:rFonts w:eastAsia="Calibri" w:hint="cs"/>
          <w:b/>
          <w:bCs/>
          <w:rtl/>
        </w:rPr>
        <w:t>י</w:t>
      </w:r>
      <w:r w:rsidRPr="00A210E9">
        <w:rPr>
          <w:rFonts w:eastAsia="Calibri"/>
          <w:b/>
          <w:bCs/>
          <w:rtl/>
        </w:rPr>
        <w:t xml:space="preserve">סא גלגלים. </w:t>
      </w:r>
      <w:r w:rsidRPr="00A210E9">
        <w:rPr>
          <w:rFonts w:eastAsia="Calibri" w:hint="cs"/>
          <w:b/>
          <w:bCs/>
          <w:rtl/>
        </w:rPr>
        <w:t xml:space="preserve">מנגד, עמותות העוסקות בזכויות אנשים עם מוגבלות מציגות מפעם לפעם טענה הגורסת כי באזורים שבהם יש גם חניות רגילות לאנשים עם מוגבלות וגם חניות שמיועדות לבעלי רכבים עם מעלון בלבד, החניות המיועדות לבעלי מעלון נותרות ריקות בדרך כלל, מפני שהאוכלוסייה הנעזרת במעלון היא קטנה יחסית. </w:t>
      </w:r>
      <w:r w:rsidRPr="00A210E9">
        <w:rPr>
          <w:rFonts w:eastAsia="Calibri"/>
          <w:b/>
          <w:bCs/>
          <w:rtl/>
        </w:rPr>
        <w:t>המצב מדגיש את הצורך בעדכון החקיקה</w:t>
      </w:r>
      <w:r w:rsidRPr="00A210E9">
        <w:rPr>
          <w:rFonts w:eastAsia="Calibri" w:hint="cs"/>
          <w:b/>
          <w:bCs/>
          <w:rtl/>
        </w:rPr>
        <w:t>, כפי שהוצג בדיון בבג"ץ בשנת 2012,</w:t>
      </w:r>
      <w:r w:rsidRPr="00A210E9">
        <w:rPr>
          <w:rFonts w:eastAsia="Calibri"/>
          <w:b/>
          <w:bCs/>
          <w:rtl/>
        </w:rPr>
        <w:t xml:space="preserve"> </w:t>
      </w:r>
      <w:r w:rsidRPr="00A210E9">
        <w:rPr>
          <w:rFonts w:eastAsia="Calibri" w:hint="cs"/>
          <w:b/>
          <w:bCs/>
          <w:rtl/>
        </w:rPr>
        <w:t>שבו משרד התחבורה התחייב לקדם הצעת חוק ממשלתית תוך 3 חודשים, שתסדיר אם יש צורך ב</w:t>
      </w:r>
      <w:r w:rsidRPr="00A210E9">
        <w:rPr>
          <w:rFonts w:eastAsia="Calibri"/>
          <w:b/>
          <w:bCs/>
          <w:rtl/>
        </w:rPr>
        <w:t>הבחנה ברורה בין סוגי הנכויות</w:t>
      </w:r>
      <w:r w:rsidRPr="00A210E9">
        <w:rPr>
          <w:rFonts w:eastAsia="Calibri" w:hint="cs"/>
          <w:b/>
          <w:bCs/>
          <w:rtl/>
        </w:rPr>
        <w:t xml:space="preserve"> וכן בהפרדה בין חניות נכים רגילות לחניות נכים המיועדות לרכבים עם מעלון או שאולי לא צריכה להיות הפרדה כזו. נכון למועד סיום הביקורת, טרם קידם משרד התחבורה תיקון חקיקה בעניין.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על משרד התחבורה לממש את התחייבותו בפני בג"ץ ולקדם</w:t>
      </w:r>
      <w:r w:rsidRPr="00A210E9">
        <w:rPr>
          <w:rFonts w:eastAsia="Calibri"/>
          <w:b/>
          <w:bCs/>
          <w:rtl/>
        </w:rPr>
        <w:t xml:space="preserve">, בהתייעצות עם נציבות שוויון </w:t>
      </w:r>
      <w:r w:rsidRPr="00A210E9">
        <w:rPr>
          <w:rFonts w:eastAsia="Calibri" w:hint="eastAsia"/>
          <w:b/>
          <w:bCs/>
          <w:rtl/>
        </w:rPr>
        <w:t>זכויות</w:t>
      </w:r>
      <w:r w:rsidRPr="00A210E9">
        <w:rPr>
          <w:rFonts w:eastAsia="Calibri"/>
          <w:b/>
          <w:bCs/>
          <w:rtl/>
        </w:rPr>
        <w:t xml:space="preserve"> ו</w:t>
      </w:r>
      <w:r w:rsidRPr="00A210E9">
        <w:rPr>
          <w:rFonts w:eastAsia="Calibri" w:hint="cs"/>
          <w:b/>
          <w:bCs/>
          <w:rtl/>
        </w:rPr>
        <w:t xml:space="preserve">תוך שמיעת </w:t>
      </w:r>
      <w:r w:rsidRPr="00A210E9">
        <w:rPr>
          <w:rFonts w:eastAsia="Calibri"/>
          <w:b/>
          <w:bCs/>
          <w:rtl/>
        </w:rPr>
        <w:t>ארגונים המייצגים אנשים ע</w:t>
      </w:r>
      <w:r w:rsidRPr="00A210E9">
        <w:rPr>
          <w:rFonts w:eastAsia="Calibri" w:hint="eastAsia"/>
          <w:b/>
          <w:bCs/>
          <w:rtl/>
        </w:rPr>
        <w:t>ם</w:t>
      </w:r>
      <w:r w:rsidRPr="00A210E9">
        <w:rPr>
          <w:rFonts w:eastAsia="Calibri"/>
          <w:b/>
          <w:bCs/>
          <w:rtl/>
        </w:rPr>
        <w:t xml:space="preserve"> </w:t>
      </w:r>
      <w:r w:rsidRPr="00A210E9">
        <w:rPr>
          <w:rFonts w:eastAsia="Calibri" w:hint="eastAsia"/>
          <w:b/>
          <w:bCs/>
          <w:rtl/>
        </w:rPr>
        <w:t>מוגבלות</w:t>
      </w:r>
      <w:r w:rsidRPr="00A210E9">
        <w:rPr>
          <w:rFonts w:eastAsia="Calibri"/>
          <w:b/>
          <w:bCs/>
          <w:rtl/>
        </w:rPr>
        <w:t>,</w:t>
      </w:r>
      <w:r w:rsidRPr="00A210E9">
        <w:rPr>
          <w:rFonts w:eastAsia="Calibri" w:hint="cs"/>
          <w:b/>
          <w:bCs/>
          <w:rtl/>
        </w:rPr>
        <w:t xml:space="preserve"> תיקוני חקיקה שיסדירו באופן ברור את נושא חניות הנכים, כך שתתקבל הכרעה בשאלה האם יש מקום לקבוע הבחנה ברורה בין סוגי נכויות, וכן האם יש להנהיג הפרדה בין חניות נכים רגילות לבין חניות נכים המיועדות לרכבים עם מעלון, או שמא אין הצדקה לקבוע הפרדה כאמור, וזאת לאחר שישקלו את מגוון השיקולים בעניין ההפרדה בין סוגי חניות הנכים.</w:t>
      </w:r>
    </w:p>
    <w:p w:rsidR="00A210E9" w:rsidRPr="00A210E9" w:rsidP="00A210E9">
      <w:pPr>
        <w:spacing w:line="269" w:lineRule="auto"/>
        <w:rPr>
          <w:rFonts w:eastAsia="Calibri"/>
          <w:rtl/>
        </w:rPr>
      </w:pPr>
    </w:p>
    <w:p w:rsidR="00A210E9" w:rsidRPr="00A210E9" w:rsidP="00A210E9">
      <w:pPr>
        <w:keepNext/>
        <w:keepLines/>
        <w:spacing w:line="269" w:lineRule="auto"/>
        <w:outlineLvl w:val="4"/>
        <w:rPr>
          <w:rFonts w:eastAsia="Times New Roman"/>
          <w:bCs/>
          <w:spacing w:val="40"/>
          <w:rtl/>
        </w:rPr>
      </w:pPr>
      <w:r w:rsidRPr="00A210E9">
        <w:rPr>
          <w:rFonts w:eastAsia="Times New Roman" w:hint="cs"/>
          <w:bCs/>
          <w:spacing w:val="40"/>
          <w:rtl/>
        </w:rPr>
        <w:t xml:space="preserve">חניה חינם בכחול לבן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חניה חינם בכחול לבן היא אחת מההטבות שאנשים עם מוגבלות בעלי תג חניה מקבלים. סעיף 4ב לחוק חניה לנכים קובע שמקום ציבורי שהגישה הנגישה היחידה אליו לאדם עם מוגבלות היא דרך חניה במקום הציבורי הכרוכה בתשלום, התשלום יחול על המחזיק במקום החניה או על המפעיל שלה. משרד מבקר המדינה ניסה להתחקות אחר המקור להטבה של פטור מתשלום על חניה בכחול לבן.</w:t>
      </w:r>
      <w:r w:rsidRPr="00A210E9">
        <w:rPr>
          <w:rFonts w:eastAsia="Calibri" w:hint="cs"/>
        </w:rPr>
        <w:t xml:space="preserve"> </w:t>
      </w:r>
      <w:r w:rsidRPr="00A210E9">
        <w:rPr>
          <w:rFonts w:eastAsia="Calibri" w:hint="cs"/>
          <w:rtl/>
        </w:rPr>
        <w:t xml:space="preserve">חלק מהגופים מסרו למשרד מבקר המדינה שהסיבה למתן פטור מתשלום לאדם עם מוגבלות בחניה המסומנת בכחול לבן נובעת מסעיף 4ב לחוק, מפני שמדובר בחניות שהרשות המקומית מפעילה, ולכן היא פוטרת את האדם עם מוגבלות מתשלום. לעומת זאת, גופים אחרים מסרו כי מדובר בנוהג שהשתרש ללא מקור בחקיקה ראשית, וסעיף 4ב מתייחס רק לחניונים ציבוריים ולא לחניה ליד מדרכה המסומנת בכחול לבן.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במרץ 2023 פרסם מינהל תכנון ופיתוח תשתיות שבמשרד התחבורה את התוכנית הלאומית לחניה, העוסקת בסוגיות שונות של חניה, כגון חניה ברחוב, תקני חניה, היבטי קניין ומיסוי</w:t>
      </w:r>
      <w:r>
        <w:rPr>
          <w:rFonts w:eastAsia="Calibri"/>
          <w:vertAlign w:val="superscript"/>
          <w:rtl/>
        </w:rPr>
        <w:footnoteReference w:id="107"/>
      </w:r>
      <w:r w:rsidRPr="00A210E9">
        <w:rPr>
          <w:rFonts w:eastAsia="Calibri" w:hint="cs"/>
          <w:rtl/>
        </w:rPr>
        <w:t xml:space="preserve">. בבסיס התוכנית הלאומית לחניה שלוש מטרות מרכזיות: </w:t>
      </w:r>
    </w:p>
    <w:p w:rsidR="00A210E9" w:rsidRPr="00A210E9" w:rsidP="00A210E9">
      <w:pPr>
        <w:numPr>
          <w:ilvl w:val="0"/>
          <w:numId w:val="24"/>
        </w:numPr>
        <w:spacing w:line="269" w:lineRule="auto"/>
        <w:contextualSpacing/>
        <w:rPr>
          <w:rFonts w:eastAsia="Calibri"/>
        </w:rPr>
      </w:pPr>
      <w:r w:rsidRPr="00A210E9">
        <w:rPr>
          <w:rFonts w:eastAsia="Calibri" w:hint="cs"/>
          <w:rtl/>
        </w:rPr>
        <w:t xml:space="preserve">זיהוי חסמים במדיניות הקיימת והמלצה על דרכים להתמודדות איתם. </w:t>
      </w:r>
    </w:p>
    <w:p w:rsidR="00A210E9" w:rsidRPr="00A210E9" w:rsidP="00A210E9">
      <w:pPr>
        <w:numPr>
          <w:ilvl w:val="0"/>
          <w:numId w:val="24"/>
        </w:numPr>
        <w:spacing w:line="269" w:lineRule="auto"/>
        <w:contextualSpacing/>
        <w:rPr>
          <w:rFonts w:eastAsia="Calibri"/>
        </w:rPr>
      </w:pPr>
      <w:r w:rsidRPr="00A210E9">
        <w:rPr>
          <w:rFonts w:eastAsia="Calibri" w:hint="cs"/>
          <w:rtl/>
        </w:rPr>
        <w:t xml:space="preserve">התוויית עקרונות מנחים והצעת סל כלים למדיניות חניה ברמה המקומית. </w:t>
      </w:r>
    </w:p>
    <w:p w:rsidR="00A210E9" w:rsidRPr="00A210E9" w:rsidP="00A210E9">
      <w:pPr>
        <w:numPr>
          <w:ilvl w:val="0"/>
          <w:numId w:val="24"/>
        </w:numPr>
        <w:spacing w:line="269" w:lineRule="auto"/>
        <w:contextualSpacing/>
        <w:rPr>
          <w:rFonts w:eastAsia="Calibri"/>
        </w:rPr>
      </w:pPr>
      <w:r w:rsidRPr="00A210E9">
        <w:rPr>
          <w:rFonts w:eastAsia="Calibri" w:hint="cs"/>
          <w:rtl/>
        </w:rPr>
        <w:t xml:space="preserve">המלצה על תמריצים ממשלתיים בנושא חניה. </w:t>
      </w:r>
    </w:p>
    <w:p w:rsidR="00A210E9" w:rsidRPr="00A210E9" w:rsidP="00A210E9">
      <w:pPr>
        <w:spacing w:line="269" w:lineRule="auto"/>
        <w:ind w:left="360"/>
        <w:contextualSpacing/>
        <w:rPr>
          <w:rFonts w:eastAsia="Calibri"/>
        </w:rPr>
      </w:pPr>
    </w:p>
    <w:p w:rsidR="00A210E9" w:rsidRPr="00A210E9" w:rsidP="00A210E9">
      <w:pPr>
        <w:spacing w:line="269" w:lineRule="auto"/>
        <w:rPr>
          <w:rFonts w:eastAsia="Calibri"/>
          <w:rtl/>
        </w:rPr>
      </w:pPr>
      <w:r w:rsidRPr="00A210E9">
        <w:rPr>
          <w:rFonts w:eastAsia="Calibri" w:hint="cs"/>
          <w:rtl/>
        </w:rPr>
        <w:t>שלוש מטרות אלה נגזרות ממדיניות משרד התחבורה בכל הנוגע לניהול ביקושים לנסיעות וטיפול במרחב הציבורי.</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בתוכנית</w:t>
      </w:r>
      <w:r>
        <w:rPr>
          <w:rFonts w:eastAsia="Calibri"/>
          <w:vertAlign w:val="superscript"/>
          <w:rtl/>
        </w:rPr>
        <w:footnoteReference w:id="108"/>
      </w:r>
      <w:r w:rsidRPr="00A210E9">
        <w:rPr>
          <w:rFonts w:eastAsia="Calibri" w:hint="cs"/>
          <w:rtl/>
        </w:rPr>
        <w:t xml:space="preserve"> כתב מינהל תכנון ופיתוח תשתיות שלמיטב ידיעתו כל הרשויות המקומיות בישראל פוטרות את האנשים עם מוגבלות מתשלום אגרת חניה בכחול לבן, אך הן אינן קובעות את הפטור בחוקי העזר העירוניים, למעט עיריית אילת שקבעה את הפטור מתשלום חניה לאנשים עם מוגבלות בכחול לבן בחוק העזר העירוני</w:t>
      </w:r>
      <w:r>
        <w:rPr>
          <w:rFonts w:eastAsia="Calibri"/>
          <w:vertAlign w:val="superscript"/>
          <w:rtl/>
        </w:rPr>
        <w:footnoteReference w:id="109"/>
      </w:r>
      <w:r w:rsidRPr="00A210E9">
        <w:rPr>
          <w:rFonts w:eastAsia="Calibri" w:hint="cs"/>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eastAsia"/>
          <w:rtl/>
        </w:rPr>
        <w:t>עיריית</w:t>
      </w:r>
      <w:r w:rsidRPr="00A210E9">
        <w:rPr>
          <w:rFonts w:eastAsia="Calibri"/>
          <w:rtl/>
        </w:rPr>
        <w:t xml:space="preserve"> </w:t>
      </w:r>
      <w:r w:rsidRPr="00A210E9">
        <w:rPr>
          <w:rFonts w:eastAsia="Calibri" w:hint="eastAsia"/>
          <w:rtl/>
        </w:rPr>
        <w:t>חיפה</w:t>
      </w:r>
      <w:r w:rsidRPr="00A210E9">
        <w:rPr>
          <w:rFonts w:eastAsia="Calibri"/>
          <w:rtl/>
        </w:rPr>
        <w:t xml:space="preserve"> </w:t>
      </w:r>
      <w:r w:rsidRPr="00A210E9">
        <w:rPr>
          <w:rFonts w:eastAsia="Calibri" w:hint="eastAsia"/>
          <w:rtl/>
        </w:rPr>
        <w:t>כתבה</w:t>
      </w:r>
      <w:r w:rsidRPr="00A210E9">
        <w:rPr>
          <w:rFonts w:eastAsia="Calibri"/>
          <w:rtl/>
        </w:rPr>
        <w:t xml:space="preserve"> בתשובתה כי מתן הפטור לא הוסדר במסגרת הדין, וכי סעיף 14 לחוק העזר לחיפה (העמדת רכב וחנייתו) </w:t>
      </w:r>
      <w:r w:rsidRPr="00A210E9">
        <w:rPr>
          <w:rFonts w:eastAsia="Calibri" w:hint="cs"/>
          <w:rtl/>
        </w:rPr>
        <w:t xml:space="preserve">מקנה </w:t>
      </w:r>
      <w:r w:rsidRPr="00A210E9">
        <w:rPr>
          <w:rFonts w:eastAsia="Calibri" w:hint="eastAsia"/>
          <w:rtl/>
        </w:rPr>
        <w:t>לראש</w:t>
      </w:r>
      <w:r w:rsidRPr="00A210E9">
        <w:rPr>
          <w:rFonts w:eastAsia="Calibri"/>
          <w:rtl/>
        </w:rPr>
        <w:t xml:space="preserve"> </w:t>
      </w:r>
      <w:r w:rsidRPr="00A210E9">
        <w:rPr>
          <w:rFonts w:eastAsia="Calibri" w:hint="eastAsia"/>
          <w:rtl/>
        </w:rPr>
        <w:t>העירייה</w:t>
      </w:r>
      <w:r w:rsidRPr="00A210E9">
        <w:rPr>
          <w:rFonts w:eastAsia="Calibri" w:hint="cs"/>
          <w:rtl/>
        </w:rPr>
        <w:t xml:space="preserve"> את הסמכות</w:t>
      </w:r>
      <w:r w:rsidRPr="00A210E9">
        <w:rPr>
          <w:rFonts w:eastAsia="Calibri"/>
          <w:rtl/>
        </w:rPr>
        <w:t xml:space="preserve"> </w:t>
      </w:r>
      <w:r w:rsidRPr="00A210E9">
        <w:rPr>
          <w:rFonts w:eastAsia="Calibri" w:hint="eastAsia"/>
          <w:rtl/>
        </w:rPr>
        <w:t>לפטור</w:t>
      </w:r>
      <w:r w:rsidRPr="00A210E9">
        <w:rPr>
          <w:rFonts w:eastAsia="Calibri"/>
          <w:rtl/>
        </w:rPr>
        <w:t xml:space="preserve"> </w:t>
      </w:r>
      <w:r w:rsidRPr="00A210E9">
        <w:rPr>
          <w:rFonts w:eastAsia="Calibri" w:hint="cs"/>
          <w:rtl/>
        </w:rPr>
        <w:t xml:space="preserve">את בעל הרכב </w:t>
      </w:r>
      <w:r w:rsidRPr="00A210E9">
        <w:rPr>
          <w:rFonts w:eastAsia="Calibri" w:hint="eastAsia"/>
          <w:rtl/>
        </w:rPr>
        <w:t>מתשלום</w:t>
      </w:r>
      <w:r w:rsidRPr="00A210E9">
        <w:rPr>
          <w:rFonts w:eastAsia="Calibri"/>
          <w:rtl/>
        </w:rPr>
        <w:t xml:space="preserve"> </w:t>
      </w:r>
      <w:r w:rsidRPr="00A210E9">
        <w:rPr>
          <w:rFonts w:eastAsia="Calibri" w:hint="eastAsia"/>
          <w:rtl/>
        </w:rPr>
        <w:t>אגרת</w:t>
      </w:r>
      <w:r w:rsidRPr="00A210E9">
        <w:rPr>
          <w:rFonts w:eastAsia="Calibri"/>
          <w:rtl/>
        </w:rPr>
        <w:t xml:space="preserve"> </w:t>
      </w:r>
      <w:r w:rsidRPr="00A210E9">
        <w:rPr>
          <w:rFonts w:eastAsia="Calibri" w:hint="eastAsia"/>
          <w:rtl/>
        </w:rPr>
        <w:t>חניה</w:t>
      </w:r>
      <w:r w:rsidRPr="00A210E9">
        <w:rPr>
          <w:rFonts w:eastAsia="Calibri"/>
          <w:rtl/>
        </w:rPr>
        <w:t xml:space="preserve"> </w:t>
      </w:r>
      <w:r w:rsidRPr="00A210E9">
        <w:rPr>
          <w:rFonts w:eastAsia="Calibri" w:hint="eastAsia"/>
          <w:rtl/>
        </w:rPr>
        <w:t>באופן</w:t>
      </w:r>
      <w:r w:rsidRPr="00A210E9">
        <w:rPr>
          <w:rFonts w:eastAsia="Calibri"/>
          <w:rtl/>
        </w:rPr>
        <w:t xml:space="preserve"> </w:t>
      </w:r>
      <w:r w:rsidRPr="00A210E9">
        <w:rPr>
          <w:rFonts w:eastAsia="Calibri" w:hint="eastAsia"/>
          <w:rtl/>
        </w:rPr>
        <w:t>חלקי</w:t>
      </w:r>
      <w:r w:rsidRPr="00A210E9">
        <w:rPr>
          <w:rFonts w:eastAsia="Calibri"/>
          <w:rtl/>
        </w:rPr>
        <w:t xml:space="preserve"> </w:t>
      </w:r>
      <w:r w:rsidRPr="00A210E9">
        <w:rPr>
          <w:rFonts w:eastAsia="Calibri" w:hint="eastAsia"/>
          <w:rtl/>
        </w:rPr>
        <w:t>או</w:t>
      </w:r>
      <w:r w:rsidRPr="00A210E9">
        <w:rPr>
          <w:rFonts w:eastAsia="Calibri"/>
          <w:rtl/>
        </w:rPr>
        <w:t xml:space="preserve"> </w:t>
      </w:r>
      <w:r w:rsidRPr="00A210E9">
        <w:rPr>
          <w:rFonts w:eastAsia="Calibri" w:hint="eastAsia"/>
          <w:rtl/>
        </w:rPr>
        <w:t>מלא</w:t>
      </w:r>
      <w:r w:rsidRPr="00A210E9">
        <w:rPr>
          <w:rFonts w:eastAsia="Calibri"/>
          <w:rtl/>
        </w:rPr>
        <w:t xml:space="preserve">, </w:t>
      </w:r>
      <w:r w:rsidRPr="00A210E9">
        <w:rPr>
          <w:rFonts w:eastAsia="Calibri" w:hint="eastAsia"/>
          <w:rtl/>
        </w:rPr>
        <w:t>אך</w:t>
      </w:r>
      <w:r w:rsidRPr="00A210E9">
        <w:rPr>
          <w:rFonts w:eastAsia="Calibri"/>
          <w:rtl/>
        </w:rPr>
        <w:t xml:space="preserve"> </w:t>
      </w:r>
      <w:r w:rsidRPr="00A210E9">
        <w:rPr>
          <w:rFonts w:eastAsia="Calibri" w:hint="eastAsia"/>
          <w:rtl/>
        </w:rPr>
        <w:t>החלטה</w:t>
      </w:r>
      <w:r w:rsidRPr="00A210E9">
        <w:rPr>
          <w:rFonts w:eastAsia="Calibri"/>
          <w:rtl/>
        </w:rPr>
        <w:t xml:space="preserve"> </w:t>
      </w:r>
      <w:r w:rsidRPr="00A210E9">
        <w:rPr>
          <w:rFonts w:eastAsia="Calibri" w:hint="eastAsia"/>
          <w:rtl/>
        </w:rPr>
        <w:t>כאמור</w:t>
      </w:r>
      <w:r w:rsidRPr="00A210E9">
        <w:rPr>
          <w:rFonts w:eastAsia="Calibri"/>
          <w:rtl/>
        </w:rPr>
        <w:t xml:space="preserve"> </w:t>
      </w:r>
      <w:r w:rsidRPr="00A210E9">
        <w:rPr>
          <w:rFonts w:eastAsia="Calibri" w:hint="eastAsia"/>
          <w:rtl/>
        </w:rPr>
        <w:t>לא</w:t>
      </w:r>
      <w:r w:rsidRPr="00A210E9">
        <w:rPr>
          <w:rFonts w:eastAsia="Calibri"/>
          <w:rtl/>
        </w:rPr>
        <w:t xml:space="preserve"> </w:t>
      </w:r>
      <w:r w:rsidRPr="00A210E9">
        <w:rPr>
          <w:rFonts w:eastAsia="Calibri" w:hint="eastAsia"/>
          <w:rtl/>
        </w:rPr>
        <w:t>התקבלה</w:t>
      </w:r>
      <w:r w:rsidRPr="00A210E9">
        <w:rPr>
          <w:rFonts w:eastAsia="Calibri"/>
          <w:rtl/>
        </w:rPr>
        <w:t>.</w:t>
      </w:r>
      <w:r w:rsidRPr="00A210E9">
        <w:rPr>
          <w:rFonts w:eastAsia="Calibri" w:hint="cs"/>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eastAsia"/>
          <w:b/>
          <w:bCs/>
          <w:rtl/>
        </w:rPr>
        <w:t>מהביקורת</w:t>
      </w:r>
      <w:r w:rsidRPr="00A210E9">
        <w:rPr>
          <w:rFonts w:eastAsia="Calibri"/>
          <w:b/>
          <w:bCs/>
          <w:rtl/>
        </w:rPr>
        <w:t xml:space="preserve"> </w:t>
      </w:r>
      <w:bookmarkStart w:id="109" w:name="_Hlk223883387"/>
      <w:r w:rsidRPr="00A210E9">
        <w:rPr>
          <w:rFonts w:eastAsia="Calibri" w:hint="eastAsia"/>
          <w:b/>
          <w:bCs/>
          <w:rtl/>
        </w:rPr>
        <w:t>עולה</w:t>
      </w:r>
      <w:r w:rsidRPr="00A210E9">
        <w:rPr>
          <w:rFonts w:eastAsia="Calibri"/>
          <w:b/>
          <w:bCs/>
          <w:rtl/>
        </w:rPr>
        <w:t xml:space="preserve"> </w:t>
      </w:r>
      <w:r w:rsidRPr="00A210E9">
        <w:rPr>
          <w:rFonts w:eastAsia="Calibri" w:hint="eastAsia"/>
          <w:b/>
          <w:bCs/>
          <w:rtl/>
        </w:rPr>
        <w:t>שלא</w:t>
      </w:r>
      <w:r w:rsidRPr="00A210E9">
        <w:rPr>
          <w:rFonts w:eastAsia="Calibri"/>
          <w:b/>
          <w:bCs/>
          <w:rtl/>
        </w:rPr>
        <w:t xml:space="preserve"> </w:t>
      </w:r>
      <w:r w:rsidRPr="00A210E9">
        <w:rPr>
          <w:rFonts w:eastAsia="Calibri" w:hint="eastAsia"/>
          <w:b/>
          <w:bCs/>
          <w:rtl/>
        </w:rPr>
        <w:t>ברור</w:t>
      </w:r>
      <w:r w:rsidRPr="00A210E9">
        <w:rPr>
          <w:rFonts w:eastAsia="Calibri"/>
          <w:b/>
          <w:bCs/>
          <w:rtl/>
        </w:rPr>
        <w:t xml:space="preserve"> </w:t>
      </w:r>
      <w:r w:rsidRPr="00A210E9">
        <w:rPr>
          <w:rFonts w:eastAsia="Calibri" w:hint="eastAsia"/>
          <w:b/>
          <w:bCs/>
          <w:rtl/>
        </w:rPr>
        <w:t>אם</w:t>
      </w:r>
      <w:r w:rsidRPr="00A210E9">
        <w:rPr>
          <w:rFonts w:eastAsia="Calibri"/>
          <w:b/>
          <w:bCs/>
          <w:rtl/>
        </w:rPr>
        <w:t xml:space="preserve"> </w:t>
      </w:r>
      <w:r w:rsidRPr="00A210E9">
        <w:rPr>
          <w:rFonts w:eastAsia="Calibri" w:hint="eastAsia"/>
          <w:b/>
          <w:bCs/>
          <w:rtl/>
        </w:rPr>
        <w:t>הפטור</w:t>
      </w:r>
      <w:r w:rsidRPr="00A210E9">
        <w:rPr>
          <w:rFonts w:eastAsia="Calibri"/>
          <w:b/>
          <w:bCs/>
          <w:rtl/>
        </w:rPr>
        <w:t xml:space="preserve"> </w:t>
      </w:r>
      <w:r w:rsidRPr="00A210E9">
        <w:rPr>
          <w:rFonts w:eastAsia="Calibri" w:hint="cs"/>
          <w:b/>
          <w:bCs/>
          <w:rtl/>
        </w:rPr>
        <w:t>לאנשים עם מוגבלות</w:t>
      </w:r>
      <w:r w:rsidRPr="00A210E9">
        <w:rPr>
          <w:rFonts w:eastAsia="Calibri"/>
          <w:b/>
          <w:bCs/>
          <w:rtl/>
        </w:rPr>
        <w:t xml:space="preserve"> מתשלום </w:t>
      </w:r>
      <w:r w:rsidRPr="00A210E9">
        <w:rPr>
          <w:rFonts w:eastAsia="Calibri" w:hint="eastAsia"/>
          <w:b/>
          <w:bCs/>
          <w:rtl/>
        </w:rPr>
        <w:t>עבור</w:t>
      </w:r>
      <w:r w:rsidRPr="00A210E9">
        <w:rPr>
          <w:rFonts w:eastAsia="Calibri"/>
          <w:b/>
          <w:bCs/>
          <w:rtl/>
        </w:rPr>
        <w:t xml:space="preserve"> חניה </w:t>
      </w:r>
      <w:r w:rsidRPr="00A210E9">
        <w:rPr>
          <w:rFonts w:eastAsia="Calibri" w:hint="cs"/>
          <w:b/>
          <w:bCs/>
          <w:rtl/>
        </w:rPr>
        <w:t>ה</w:t>
      </w:r>
      <w:r w:rsidRPr="00A210E9">
        <w:rPr>
          <w:rFonts w:eastAsia="Calibri"/>
          <w:b/>
          <w:bCs/>
          <w:rtl/>
        </w:rPr>
        <w:t>מסומנת בכחול לבן</w:t>
      </w:r>
      <w:r w:rsidRPr="00A210E9">
        <w:rPr>
          <w:rFonts w:eastAsia="Calibri" w:hint="cs"/>
          <w:b/>
          <w:bCs/>
          <w:rtl/>
        </w:rPr>
        <w:t>, כפי שנהוג ברשויות מקומיות, נובע מפרשנות שניתנה לחקיקה ראשית</w:t>
      </w:r>
      <w:r w:rsidRPr="00A210E9">
        <w:rPr>
          <w:rFonts w:eastAsia="Calibri"/>
          <w:b/>
          <w:bCs/>
          <w:rtl/>
        </w:rPr>
        <w:t xml:space="preserve"> או מנוהג בלבד. </w:t>
      </w:r>
      <w:r w:rsidRPr="00A210E9">
        <w:rPr>
          <w:rFonts w:eastAsia="Calibri" w:hint="cs"/>
          <w:b/>
          <w:bCs/>
          <w:rtl/>
        </w:rPr>
        <w:t>סוגיה זו אינה מעוגנת בחקיקה -</w:t>
      </w:r>
      <w:r w:rsidRPr="00A210E9">
        <w:rPr>
          <w:rFonts w:eastAsia="Calibri"/>
          <w:b/>
          <w:bCs/>
          <w:rtl/>
        </w:rPr>
        <w:t xml:space="preserve"> אין הוראה מפורשת בחוק החניה לנכים</w:t>
      </w:r>
      <w:r w:rsidRPr="00A210E9">
        <w:rPr>
          <w:rFonts w:eastAsia="Calibri" w:hint="cs"/>
          <w:b/>
          <w:bCs/>
          <w:rtl/>
        </w:rPr>
        <w:t xml:space="preserve">, </w:t>
      </w:r>
      <w:r w:rsidRPr="00A210E9">
        <w:rPr>
          <w:rFonts w:eastAsia="Calibri"/>
          <w:b/>
          <w:bCs/>
          <w:rtl/>
        </w:rPr>
        <w:t xml:space="preserve">בתקנות התעבורה </w:t>
      </w:r>
      <w:r w:rsidRPr="00A210E9">
        <w:rPr>
          <w:rFonts w:eastAsia="Calibri" w:hint="cs"/>
          <w:b/>
          <w:bCs/>
          <w:rtl/>
        </w:rPr>
        <w:t>או בחוקי העזר העירוניים</w:t>
      </w:r>
      <w:r>
        <w:rPr>
          <w:rFonts w:eastAsia="Calibri"/>
          <w:b/>
          <w:bCs/>
          <w:vertAlign w:val="superscript"/>
          <w:rtl/>
        </w:rPr>
        <w:footnoteReference w:id="110"/>
      </w:r>
      <w:r w:rsidRPr="00A210E9">
        <w:rPr>
          <w:rFonts w:eastAsia="Calibri" w:hint="cs"/>
          <w:b/>
          <w:bCs/>
          <w:rtl/>
        </w:rPr>
        <w:t xml:space="preserve"> </w:t>
      </w:r>
      <w:r w:rsidRPr="00A210E9">
        <w:rPr>
          <w:rFonts w:eastAsia="Calibri"/>
          <w:b/>
          <w:bCs/>
          <w:rtl/>
        </w:rPr>
        <w:t xml:space="preserve">שמעניקה </w:t>
      </w:r>
      <w:r w:rsidRPr="00A210E9">
        <w:rPr>
          <w:rFonts w:eastAsia="Calibri" w:hint="cs"/>
          <w:b/>
          <w:bCs/>
          <w:rtl/>
        </w:rPr>
        <w:t>לאנשים עם מוגבלות</w:t>
      </w:r>
      <w:r w:rsidRPr="00A210E9">
        <w:rPr>
          <w:rFonts w:eastAsia="Calibri"/>
          <w:b/>
          <w:bCs/>
          <w:rtl/>
        </w:rPr>
        <w:t xml:space="preserve"> פטור גורף מתשלום עבור חניה מוסדרת</w:t>
      </w:r>
      <w:r w:rsidRPr="00A210E9">
        <w:rPr>
          <w:rFonts w:eastAsia="Calibri" w:hint="cs"/>
          <w:b/>
          <w:bCs/>
          <w:rtl/>
        </w:rPr>
        <w:t xml:space="preserve"> בכחול לבן</w:t>
      </w:r>
      <w:r w:rsidRPr="00A210E9">
        <w:rPr>
          <w:rFonts w:eastAsia="Calibri"/>
          <w:b/>
          <w:bCs/>
          <w:rtl/>
        </w:rPr>
        <w:t xml:space="preserve">. </w:t>
      </w:r>
      <w:r w:rsidRPr="00A210E9">
        <w:rPr>
          <w:rFonts w:eastAsia="Calibri" w:hint="eastAsia"/>
          <w:b/>
          <w:bCs/>
          <w:rtl/>
        </w:rPr>
        <w:t>הסתמכות</w:t>
      </w:r>
      <w:r w:rsidRPr="00A210E9">
        <w:rPr>
          <w:rFonts w:eastAsia="Calibri"/>
          <w:b/>
          <w:bCs/>
          <w:rtl/>
        </w:rPr>
        <w:t xml:space="preserve"> </w:t>
      </w:r>
      <w:r w:rsidRPr="00A210E9">
        <w:rPr>
          <w:rFonts w:eastAsia="Calibri" w:hint="eastAsia"/>
          <w:b/>
          <w:bCs/>
          <w:rtl/>
        </w:rPr>
        <w:t>על</w:t>
      </w:r>
      <w:r w:rsidRPr="00A210E9">
        <w:rPr>
          <w:rFonts w:eastAsia="Calibri"/>
          <w:b/>
          <w:bCs/>
          <w:rtl/>
        </w:rPr>
        <w:t xml:space="preserve"> </w:t>
      </w:r>
      <w:r w:rsidRPr="00A210E9">
        <w:rPr>
          <w:rFonts w:eastAsia="Calibri" w:hint="eastAsia"/>
          <w:b/>
          <w:bCs/>
          <w:rtl/>
        </w:rPr>
        <w:t>נוהג</w:t>
      </w:r>
      <w:r w:rsidRPr="00A210E9">
        <w:rPr>
          <w:rFonts w:eastAsia="Calibri"/>
          <w:b/>
          <w:bCs/>
          <w:rtl/>
        </w:rPr>
        <w:t xml:space="preserve"> </w:t>
      </w:r>
      <w:r w:rsidRPr="00A210E9">
        <w:rPr>
          <w:rFonts w:eastAsia="Calibri" w:hint="eastAsia"/>
          <w:b/>
          <w:bCs/>
          <w:rtl/>
        </w:rPr>
        <w:t>או</w:t>
      </w:r>
      <w:r w:rsidRPr="00A210E9">
        <w:rPr>
          <w:rFonts w:eastAsia="Calibri"/>
          <w:b/>
          <w:bCs/>
          <w:rtl/>
        </w:rPr>
        <w:t xml:space="preserve"> </w:t>
      </w:r>
      <w:r w:rsidRPr="00A210E9">
        <w:rPr>
          <w:rFonts w:eastAsia="Calibri" w:hint="eastAsia"/>
          <w:b/>
          <w:bCs/>
          <w:rtl/>
        </w:rPr>
        <w:t>על</w:t>
      </w:r>
      <w:r w:rsidRPr="00A210E9">
        <w:rPr>
          <w:rFonts w:eastAsia="Calibri"/>
          <w:b/>
          <w:bCs/>
          <w:rtl/>
        </w:rPr>
        <w:t xml:space="preserve"> </w:t>
      </w:r>
      <w:r w:rsidRPr="00A210E9">
        <w:rPr>
          <w:rFonts w:eastAsia="Calibri" w:hint="eastAsia"/>
          <w:b/>
          <w:bCs/>
          <w:rtl/>
        </w:rPr>
        <w:t>מדיניות</w:t>
      </w:r>
      <w:r w:rsidRPr="00A210E9">
        <w:rPr>
          <w:rFonts w:eastAsia="Calibri"/>
          <w:b/>
          <w:bCs/>
          <w:rtl/>
        </w:rPr>
        <w:t xml:space="preserve"> </w:t>
      </w:r>
      <w:r w:rsidRPr="00A210E9">
        <w:rPr>
          <w:rFonts w:eastAsia="Calibri" w:hint="eastAsia"/>
          <w:b/>
          <w:bCs/>
          <w:rtl/>
        </w:rPr>
        <w:t>שאינה</w:t>
      </w:r>
      <w:r w:rsidRPr="00A210E9">
        <w:rPr>
          <w:rFonts w:eastAsia="Calibri"/>
          <w:b/>
          <w:bCs/>
          <w:rtl/>
        </w:rPr>
        <w:t xml:space="preserve"> </w:t>
      </w:r>
      <w:r w:rsidRPr="00A210E9">
        <w:rPr>
          <w:rFonts w:eastAsia="Calibri" w:hint="eastAsia"/>
          <w:b/>
          <w:bCs/>
          <w:rtl/>
        </w:rPr>
        <w:t>מעוגנת</w:t>
      </w:r>
      <w:r w:rsidRPr="00A210E9">
        <w:rPr>
          <w:rFonts w:eastAsia="Calibri"/>
          <w:b/>
          <w:bCs/>
          <w:rtl/>
        </w:rPr>
        <w:t xml:space="preserve"> </w:t>
      </w:r>
      <w:r w:rsidRPr="00A210E9">
        <w:rPr>
          <w:rFonts w:eastAsia="Calibri" w:hint="eastAsia"/>
          <w:b/>
          <w:bCs/>
          <w:rtl/>
        </w:rPr>
        <w:t>בחוק</w:t>
      </w:r>
      <w:r w:rsidRPr="00A210E9">
        <w:rPr>
          <w:rFonts w:eastAsia="Calibri" w:hint="cs"/>
          <w:b/>
          <w:bCs/>
          <w:rtl/>
        </w:rPr>
        <w:t xml:space="preserve"> באופן ברור </w:t>
      </w:r>
      <w:r w:rsidRPr="00A210E9">
        <w:rPr>
          <w:rFonts w:eastAsia="Calibri" w:hint="eastAsia"/>
          <w:b/>
          <w:bCs/>
          <w:rtl/>
        </w:rPr>
        <w:t>יוצרת</w:t>
      </w:r>
      <w:r w:rsidRPr="00A210E9">
        <w:rPr>
          <w:rFonts w:eastAsia="Calibri"/>
          <w:b/>
          <w:bCs/>
          <w:rtl/>
        </w:rPr>
        <w:t xml:space="preserve"> </w:t>
      </w:r>
      <w:r w:rsidRPr="00A210E9">
        <w:rPr>
          <w:rFonts w:eastAsia="Calibri" w:hint="eastAsia"/>
          <w:b/>
          <w:bCs/>
          <w:rtl/>
        </w:rPr>
        <w:t>חוסר</w:t>
      </w:r>
      <w:r w:rsidRPr="00A210E9">
        <w:rPr>
          <w:rFonts w:eastAsia="Calibri"/>
          <w:b/>
          <w:bCs/>
          <w:rtl/>
        </w:rPr>
        <w:t xml:space="preserve"> </w:t>
      </w:r>
      <w:r w:rsidRPr="00A210E9">
        <w:rPr>
          <w:rFonts w:eastAsia="Calibri" w:hint="eastAsia"/>
          <w:b/>
          <w:bCs/>
          <w:rtl/>
        </w:rPr>
        <w:t>ודאות</w:t>
      </w:r>
      <w:r w:rsidRPr="00A210E9">
        <w:rPr>
          <w:rFonts w:eastAsia="Calibri"/>
          <w:b/>
          <w:bCs/>
          <w:rtl/>
        </w:rPr>
        <w:t xml:space="preserve"> </w:t>
      </w:r>
      <w:r w:rsidRPr="00A210E9">
        <w:rPr>
          <w:rFonts w:eastAsia="Calibri" w:hint="eastAsia"/>
          <w:b/>
          <w:bCs/>
          <w:rtl/>
        </w:rPr>
        <w:t>משפטית</w:t>
      </w:r>
      <w:r w:rsidRPr="00A210E9">
        <w:rPr>
          <w:rFonts w:eastAsia="Calibri"/>
          <w:b/>
          <w:bCs/>
          <w:rtl/>
        </w:rPr>
        <w:t>.</w:t>
      </w:r>
      <w:r w:rsidRPr="00A210E9">
        <w:rPr>
          <w:rFonts w:eastAsia="Calibri" w:hint="cs"/>
          <w:rtl/>
        </w:rPr>
        <w:t xml:space="preserve"> </w:t>
      </w:r>
      <w:bookmarkEnd w:id="109"/>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ascii="David" w:eastAsia="Calibri" w:hAnsi="David"/>
          <w:b/>
          <w:bCs/>
          <w:rtl/>
        </w:rPr>
        <w:t>אחד מיעדי גביית תשלום עבור חניה בכחול לבן הוא למנוע חניית רכב במשך זמן ממושך בחניות אלה וכך לאפשר תחלופה של רכבים</w:t>
      </w:r>
      <w:r w:rsidRPr="00A210E9">
        <w:rPr>
          <w:rFonts w:ascii="David" w:eastAsia="Calibri" w:hAnsi="David" w:hint="cs"/>
          <w:b/>
          <w:bCs/>
          <w:rtl/>
        </w:rPr>
        <w:t>.</w:t>
      </w:r>
      <w:r w:rsidRPr="00A210E9">
        <w:rPr>
          <w:rFonts w:ascii="David" w:eastAsia="Calibri" w:hAnsi="David"/>
          <w:b/>
          <w:bCs/>
          <w:rtl/>
        </w:rPr>
        <w:t xml:space="preserve"> תחלופה זו מתבקשת</w:t>
      </w:r>
      <w:r w:rsidRPr="00A210E9">
        <w:rPr>
          <w:rFonts w:ascii="David" w:eastAsia="Calibri" w:hAnsi="David" w:hint="cs"/>
          <w:b/>
          <w:bCs/>
          <w:rtl/>
        </w:rPr>
        <w:t xml:space="preserve"> בעיקר</w:t>
      </w:r>
      <w:r w:rsidRPr="00A210E9">
        <w:rPr>
          <w:rFonts w:ascii="David" w:eastAsia="Calibri" w:hAnsi="David"/>
          <w:b/>
          <w:bCs/>
          <w:rtl/>
        </w:rPr>
        <w:t xml:space="preserve"> במרכזי ערים, באזורים בהם קיים מחסור בחניות, וזאת כדי לאפשר נגישות לתושבים </w:t>
      </w:r>
      <w:r w:rsidRPr="00A210E9">
        <w:rPr>
          <w:rFonts w:eastAsia="Calibri" w:hint="cs"/>
          <w:b/>
          <w:bCs/>
          <w:rtl/>
        </w:rPr>
        <w:t>להגיע למרכזים מסחריים ולמבני ציבור שממוקמים באזורים אלה,</w:t>
      </w:r>
      <w:r w:rsidRPr="00A210E9">
        <w:rPr>
          <w:rFonts w:ascii="David" w:eastAsia="Calibri" w:hAnsi="David"/>
          <w:b/>
          <w:bCs/>
          <w:rtl/>
        </w:rPr>
        <w:t xml:space="preserve"> </w:t>
      </w:r>
      <w:r w:rsidRPr="00A210E9">
        <w:rPr>
          <w:rFonts w:ascii="David" w:eastAsia="Calibri" w:hAnsi="David" w:hint="cs"/>
          <w:b/>
          <w:bCs/>
          <w:rtl/>
        </w:rPr>
        <w:t xml:space="preserve">ולאפשר </w:t>
      </w:r>
      <w:r w:rsidRPr="00A210E9">
        <w:rPr>
          <w:rFonts w:ascii="David" w:eastAsia="Calibri" w:hAnsi="David"/>
          <w:b/>
          <w:bCs/>
          <w:rtl/>
        </w:rPr>
        <w:t>פיתוח עסקי של האזור</w:t>
      </w:r>
      <w:r w:rsidRPr="00A210E9">
        <w:rPr>
          <w:rFonts w:eastAsia="Calibri" w:hint="cs"/>
          <w:b/>
          <w:bCs/>
          <w:rtl/>
        </w:rPr>
        <w:t xml:space="preserve">. </w:t>
      </w:r>
      <w:bookmarkStart w:id="110" w:name="_Hlk223883667"/>
      <w:r w:rsidRPr="00A210E9">
        <w:rPr>
          <w:rFonts w:eastAsia="Calibri" w:hint="cs"/>
          <w:b/>
          <w:bCs/>
          <w:rtl/>
        </w:rPr>
        <w:t xml:space="preserve">אי-גביית תשלום עבור חניות אלה, מעבר לאובדן ההכנסות לרשויות המקומיות, עלולה ליצור תמריץ לבעלי תג חניה להחנות את רכבם בחניות כחול לבן למשך שעות ארוכות, ואף </w:t>
      </w:r>
      <w:bookmarkStart w:id="111" w:name="_Hlk223883774"/>
      <w:r w:rsidRPr="00A210E9">
        <w:rPr>
          <w:rFonts w:eastAsia="Calibri" w:hint="cs"/>
          <w:b/>
          <w:bCs/>
          <w:rtl/>
        </w:rPr>
        <w:t xml:space="preserve">חמור מכך עלולה </w:t>
      </w:r>
      <w:bookmarkEnd w:id="111"/>
      <w:r w:rsidRPr="00A210E9">
        <w:rPr>
          <w:rFonts w:eastAsia="Calibri" w:hint="cs"/>
          <w:b/>
          <w:bCs/>
          <w:rtl/>
        </w:rPr>
        <w:t>ליצור תמריץ לשימוש לרעה בתג על ידי מלווים של אנשים עם מוגבלות בעת שהאדם עם מוגבלות</w:t>
      </w:r>
      <w:r w:rsidRPr="00A210E9">
        <w:rPr>
          <w:rFonts w:eastAsia="Calibri"/>
          <w:b/>
          <w:bCs/>
          <w:rtl/>
        </w:rPr>
        <w:t xml:space="preserve"> אינו נמצא ברכב או כלל אינו מעורב בנסיעה. </w:t>
      </w:r>
      <w:bookmarkStart w:id="112" w:name="_Hlk223883721"/>
      <w:bookmarkEnd w:id="110"/>
      <w:r w:rsidRPr="00A210E9">
        <w:rPr>
          <w:rFonts w:eastAsia="Calibri" w:hint="cs"/>
          <w:b/>
          <w:bCs/>
          <w:rtl/>
        </w:rPr>
        <w:t>ב</w:t>
      </w:r>
      <w:r w:rsidRPr="00A210E9">
        <w:rPr>
          <w:rFonts w:eastAsia="Calibri"/>
          <w:b/>
          <w:bCs/>
          <w:rtl/>
        </w:rPr>
        <w:t xml:space="preserve">כך </w:t>
      </w:r>
      <w:r w:rsidRPr="00A210E9">
        <w:rPr>
          <w:rFonts w:eastAsia="Calibri" w:hint="cs"/>
          <w:b/>
          <w:bCs/>
          <w:rtl/>
        </w:rPr>
        <w:t>עלול להיווצר חשש</w:t>
      </w:r>
      <w:r w:rsidRPr="00A210E9">
        <w:rPr>
          <w:rFonts w:eastAsia="Calibri"/>
          <w:b/>
          <w:bCs/>
          <w:rtl/>
        </w:rPr>
        <w:t xml:space="preserve"> </w:t>
      </w:r>
      <w:r w:rsidRPr="00A210E9">
        <w:rPr>
          <w:rFonts w:eastAsia="Calibri" w:hint="cs"/>
          <w:b/>
          <w:bCs/>
          <w:rtl/>
        </w:rPr>
        <w:t>ל</w:t>
      </w:r>
      <w:r w:rsidRPr="00A210E9">
        <w:rPr>
          <w:rFonts w:eastAsia="Calibri"/>
          <w:b/>
          <w:bCs/>
          <w:rtl/>
        </w:rPr>
        <w:t>ניצול לרעה של ההטב</w:t>
      </w:r>
      <w:r w:rsidRPr="00A210E9">
        <w:rPr>
          <w:rFonts w:eastAsia="Calibri" w:hint="eastAsia"/>
          <w:b/>
          <w:bCs/>
          <w:rtl/>
        </w:rPr>
        <w:t>ה</w:t>
      </w:r>
      <w:r w:rsidRPr="00A210E9">
        <w:rPr>
          <w:rFonts w:eastAsia="Calibri"/>
          <w:b/>
          <w:bCs/>
          <w:rtl/>
        </w:rPr>
        <w:t xml:space="preserve"> הפוגע גם בזמינות החניה לציבור </w:t>
      </w:r>
      <w:r w:rsidRPr="00A210E9">
        <w:rPr>
          <w:rFonts w:eastAsia="Calibri" w:hint="cs"/>
          <w:b/>
          <w:bCs/>
          <w:rtl/>
        </w:rPr>
        <w:t>האנשים עם מוגבלות</w:t>
      </w:r>
      <w:r w:rsidRPr="00A210E9">
        <w:rPr>
          <w:rFonts w:eastAsia="Calibri"/>
          <w:b/>
          <w:bCs/>
          <w:rtl/>
        </w:rPr>
        <w:t xml:space="preserve"> </w:t>
      </w:r>
      <w:r w:rsidRPr="00A210E9">
        <w:rPr>
          <w:rFonts w:eastAsia="Calibri" w:hint="cs"/>
          <w:b/>
          <w:bCs/>
          <w:rtl/>
        </w:rPr>
        <w:t>ב</w:t>
      </w:r>
      <w:r w:rsidRPr="00A210E9">
        <w:rPr>
          <w:rFonts w:eastAsia="Calibri"/>
          <w:b/>
          <w:bCs/>
          <w:rtl/>
        </w:rPr>
        <w:t>עצמו</w:t>
      </w:r>
      <w:bookmarkEnd w:id="112"/>
      <w:r w:rsidRPr="00A210E9">
        <w:rPr>
          <w:rFonts w:eastAsia="Calibri"/>
          <w:b/>
          <w:bCs/>
          <w:rtl/>
        </w:rPr>
        <w:t xml:space="preserve"> וגם בעיקרון השוויון כלפי יתר המשתמשים במרחב הציבורי.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אחד הפתרונות שהציע מינהל תכנון ופיתוח תשתיות בתוכנית הלאומית לחניה הוא מדיניות של ביטול הפטור מתשלום שפוגע במוטיבציה לניצול לרעה של התג. בתוכנית נכתב כי כדי שצעד זה יהיה מועיל ניתן לגבות תשלום גם במקומות שמורים לאנשים עם מוגבלות, ובתעריף זהה לחניה רגילה ברחוב, כפי שנהוג בכמה מדינות בארה"ב</w:t>
      </w:r>
      <w:r>
        <w:rPr>
          <w:rFonts w:eastAsia="Calibri"/>
          <w:vertAlign w:val="superscript"/>
          <w:rtl/>
        </w:rPr>
        <w:footnoteReference w:id="111"/>
      </w:r>
      <w:r w:rsidRPr="00A210E9">
        <w:rPr>
          <w:rFonts w:eastAsia="Calibri" w:hint="cs"/>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eastAsia"/>
          <w:rtl/>
        </w:rPr>
        <w:t>עיריית</w:t>
      </w:r>
      <w:r w:rsidRPr="00A210E9">
        <w:rPr>
          <w:rFonts w:eastAsia="Calibri"/>
          <w:rtl/>
        </w:rPr>
        <w:t xml:space="preserve"> חיפה כתבה בתשובתה </w:t>
      </w:r>
      <w:r w:rsidRPr="00A210E9">
        <w:rPr>
          <w:rFonts w:ascii="David" w:eastAsia="Calibri" w:hAnsi="David" w:hint="eastAsia"/>
          <w:sz w:val="24"/>
          <w:rtl/>
        </w:rPr>
        <w:t>שהיא</w:t>
      </w:r>
      <w:r w:rsidRPr="00A210E9">
        <w:rPr>
          <w:rFonts w:ascii="David" w:eastAsia="Calibri" w:hAnsi="David"/>
          <w:sz w:val="24"/>
          <w:rtl/>
        </w:rPr>
        <w:t xml:space="preserve"> </w:t>
      </w:r>
      <w:r w:rsidRPr="00A210E9">
        <w:rPr>
          <w:rFonts w:ascii="David" w:eastAsia="Calibri" w:hAnsi="David" w:hint="eastAsia"/>
          <w:sz w:val="24"/>
          <w:rtl/>
        </w:rPr>
        <w:t>מציעה</w:t>
      </w:r>
      <w:r w:rsidRPr="00A210E9">
        <w:rPr>
          <w:rFonts w:ascii="David" w:eastAsia="Calibri" w:hAnsi="David"/>
          <w:sz w:val="24"/>
          <w:rtl/>
        </w:rPr>
        <w:t xml:space="preserve"> </w:t>
      </w:r>
      <w:r w:rsidRPr="00A210E9">
        <w:rPr>
          <w:rFonts w:ascii="David" w:eastAsia="Calibri" w:hAnsi="David" w:hint="eastAsia"/>
          <w:sz w:val="24"/>
          <w:rtl/>
        </w:rPr>
        <w:t>לבחון</w:t>
      </w:r>
      <w:r w:rsidRPr="00A210E9">
        <w:rPr>
          <w:rFonts w:ascii="David" w:eastAsia="Calibri" w:hAnsi="David"/>
          <w:sz w:val="24"/>
          <w:rtl/>
        </w:rPr>
        <w:t xml:space="preserve"> </w:t>
      </w:r>
      <w:r w:rsidRPr="00A210E9">
        <w:rPr>
          <w:rFonts w:ascii="David" w:eastAsia="Calibri" w:hAnsi="David" w:hint="cs"/>
          <w:sz w:val="24"/>
          <w:rtl/>
        </w:rPr>
        <w:t xml:space="preserve">שתי </w:t>
      </w:r>
      <w:r w:rsidRPr="00A210E9">
        <w:rPr>
          <w:rFonts w:ascii="David" w:eastAsia="Calibri" w:hAnsi="David" w:hint="eastAsia"/>
          <w:sz w:val="24"/>
          <w:rtl/>
        </w:rPr>
        <w:t>סוגיות</w:t>
      </w:r>
      <w:r w:rsidRPr="00A210E9">
        <w:rPr>
          <w:rFonts w:ascii="David" w:eastAsia="Calibri" w:hAnsi="David"/>
          <w:sz w:val="24"/>
          <w:rtl/>
        </w:rPr>
        <w:t xml:space="preserve"> </w:t>
      </w:r>
      <w:r w:rsidRPr="00A210E9">
        <w:rPr>
          <w:rFonts w:ascii="David" w:eastAsia="Calibri" w:hAnsi="David" w:hint="eastAsia"/>
          <w:sz w:val="24"/>
          <w:rtl/>
        </w:rPr>
        <w:t>עקרוניות</w:t>
      </w:r>
      <w:r w:rsidRPr="00A210E9">
        <w:rPr>
          <w:rFonts w:ascii="David" w:eastAsia="Calibri" w:hAnsi="David"/>
          <w:sz w:val="24"/>
          <w:rtl/>
        </w:rPr>
        <w:t xml:space="preserve"> </w:t>
      </w:r>
      <w:r w:rsidRPr="00A210E9">
        <w:rPr>
          <w:rFonts w:ascii="David" w:eastAsia="Calibri" w:hAnsi="David" w:hint="eastAsia"/>
          <w:sz w:val="24"/>
          <w:rtl/>
        </w:rPr>
        <w:t>הנוגעות</w:t>
      </w:r>
      <w:r w:rsidRPr="00A210E9">
        <w:rPr>
          <w:rFonts w:ascii="David" w:eastAsia="Calibri" w:hAnsi="David"/>
          <w:sz w:val="24"/>
          <w:rtl/>
        </w:rPr>
        <w:t xml:space="preserve"> </w:t>
      </w:r>
      <w:r w:rsidRPr="00A210E9">
        <w:rPr>
          <w:rFonts w:ascii="David" w:eastAsia="Calibri" w:hAnsi="David" w:hint="eastAsia"/>
          <w:sz w:val="24"/>
          <w:rtl/>
        </w:rPr>
        <w:t>לאופן</w:t>
      </w:r>
      <w:r w:rsidRPr="00A210E9">
        <w:rPr>
          <w:rFonts w:ascii="David" w:eastAsia="Calibri" w:hAnsi="David"/>
          <w:sz w:val="24"/>
          <w:rtl/>
        </w:rPr>
        <w:t xml:space="preserve"> </w:t>
      </w:r>
      <w:r w:rsidRPr="00A210E9">
        <w:rPr>
          <w:rFonts w:ascii="David" w:eastAsia="Calibri" w:hAnsi="David" w:hint="eastAsia"/>
          <w:sz w:val="24"/>
          <w:rtl/>
        </w:rPr>
        <w:t>הטיפול</w:t>
      </w:r>
      <w:r w:rsidRPr="00A210E9">
        <w:rPr>
          <w:rFonts w:ascii="David" w:eastAsia="Calibri" w:hAnsi="David"/>
          <w:sz w:val="24"/>
          <w:rtl/>
        </w:rPr>
        <w:t xml:space="preserve"> </w:t>
      </w:r>
      <w:r w:rsidRPr="00A210E9">
        <w:rPr>
          <w:rFonts w:ascii="David" w:eastAsia="Calibri" w:hAnsi="David" w:hint="eastAsia"/>
          <w:sz w:val="24"/>
          <w:rtl/>
        </w:rPr>
        <w:t>ברכבי</w:t>
      </w:r>
      <w:r w:rsidRPr="00A210E9">
        <w:rPr>
          <w:rFonts w:ascii="David" w:eastAsia="Calibri" w:hAnsi="David"/>
          <w:sz w:val="24"/>
          <w:rtl/>
        </w:rPr>
        <w:t xml:space="preserve"> </w:t>
      </w:r>
      <w:r w:rsidRPr="00A210E9">
        <w:rPr>
          <w:rFonts w:ascii="David" w:eastAsia="Calibri" w:hAnsi="David" w:hint="eastAsia"/>
          <w:sz w:val="24"/>
          <w:rtl/>
        </w:rPr>
        <w:t>נכים</w:t>
      </w:r>
      <w:r w:rsidRPr="00A210E9">
        <w:rPr>
          <w:rFonts w:ascii="David" w:eastAsia="Calibri" w:hAnsi="David"/>
          <w:sz w:val="24"/>
          <w:rtl/>
        </w:rPr>
        <w:t xml:space="preserve"> </w:t>
      </w:r>
      <w:r w:rsidRPr="00A210E9">
        <w:rPr>
          <w:rFonts w:ascii="David" w:eastAsia="Calibri" w:hAnsi="David" w:hint="eastAsia"/>
          <w:sz w:val="24"/>
          <w:rtl/>
        </w:rPr>
        <w:t>בחניות</w:t>
      </w:r>
      <w:r w:rsidRPr="00A210E9">
        <w:rPr>
          <w:rFonts w:ascii="David" w:eastAsia="Calibri" w:hAnsi="David"/>
          <w:sz w:val="24"/>
          <w:rtl/>
        </w:rPr>
        <w:t xml:space="preserve"> </w:t>
      </w:r>
      <w:r w:rsidRPr="00A210E9">
        <w:rPr>
          <w:rFonts w:ascii="David" w:eastAsia="Calibri" w:hAnsi="David" w:hint="eastAsia"/>
          <w:sz w:val="24"/>
          <w:rtl/>
        </w:rPr>
        <w:t>מוסדרות</w:t>
      </w:r>
      <w:r w:rsidRPr="00A210E9">
        <w:rPr>
          <w:rFonts w:ascii="David" w:eastAsia="Calibri" w:hAnsi="David"/>
          <w:sz w:val="24"/>
          <w:rtl/>
        </w:rPr>
        <w:t xml:space="preserve">, </w:t>
      </w:r>
      <w:r w:rsidRPr="00A210E9">
        <w:rPr>
          <w:rFonts w:ascii="David" w:eastAsia="Calibri" w:hAnsi="David" w:hint="eastAsia"/>
          <w:sz w:val="24"/>
          <w:rtl/>
        </w:rPr>
        <w:t>אשר</w:t>
      </w:r>
      <w:r w:rsidRPr="00A210E9">
        <w:rPr>
          <w:rFonts w:ascii="David" w:eastAsia="Calibri" w:hAnsi="David"/>
          <w:sz w:val="24"/>
          <w:rtl/>
        </w:rPr>
        <w:t xml:space="preserve"> </w:t>
      </w:r>
      <w:r w:rsidRPr="00A210E9">
        <w:rPr>
          <w:rFonts w:ascii="David" w:eastAsia="Calibri" w:hAnsi="David" w:hint="cs"/>
          <w:sz w:val="24"/>
          <w:rtl/>
        </w:rPr>
        <w:t>שבות ו</w:t>
      </w:r>
      <w:r w:rsidRPr="00A210E9">
        <w:rPr>
          <w:rFonts w:ascii="David" w:eastAsia="Calibri" w:hAnsi="David" w:hint="eastAsia"/>
          <w:sz w:val="24"/>
          <w:rtl/>
        </w:rPr>
        <w:t>עולות</w:t>
      </w:r>
      <w:r w:rsidRPr="00A210E9">
        <w:rPr>
          <w:rFonts w:ascii="David" w:eastAsia="Calibri" w:hAnsi="David" w:hint="cs"/>
          <w:sz w:val="24"/>
          <w:rtl/>
        </w:rPr>
        <w:t xml:space="preserve"> </w:t>
      </w:r>
      <w:r w:rsidRPr="00A210E9">
        <w:rPr>
          <w:rFonts w:ascii="David" w:eastAsia="Calibri" w:hAnsi="David" w:hint="eastAsia"/>
          <w:sz w:val="24"/>
          <w:rtl/>
        </w:rPr>
        <w:t>בפניות</w:t>
      </w:r>
      <w:r w:rsidRPr="00A210E9">
        <w:rPr>
          <w:rFonts w:ascii="David" w:eastAsia="Calibri" w:hAnsi="David"/>
          <w:sz w:val="24"/>
          <w:rtl/>
        </w:rPr>
        <w:t xml:space="preserve"> </w:t>
      </w:r>
      <w:r w:rsidRPr="00A210E9">
        <w:rPr>
          <w:rFonts w:ascii="David" w:eastAsia="Calibri" w:hAnsi="David" w:hint="eastAsia"/>
          <w:sz w:val="24"/>
          <w:rtl/>
        </w:rPr>
        <w:t>הציבור</w:t>
      </w:r>
      <w:r w:rsidRPr="00A210E9">
        <w:rPr>
          <w:rFonts w:ascii="David" w:eastAsia="Calibri" w:hAnsi="David"/>
          <w:sz w:val="24"/>
          <w:rtl/>
        </w:rPr>
        <w:t xml:space="preserve"> </w:t>
      </w:r>
      <w:r w:rsidRPr="00A210E9">
        <w:rPr>
          <w:rFonts w:ascii="David" w:eastAsia="Calibri" w:hAnsi="David" w:hint="eastAsia"/>
          <w:sz w:val="24"/>
          <w:rtl/>
        </w:rPr>
        <w:t>למחלקת</w:t>
      </w:r>
      <w:r w:rsidRPr="00A210E9">
        <w:rPr>
          <w:rFonts w:ascii="David" w:eastAsia="Calibri" w:hAnsi="David"/>
          <w:sz w:val="24"/>
          <w:rtl/>
        </w:rPr>
        <w:t xml:space="preserve"> </w:t>
      </w:r>
      <w:r w:rsidRPr="00A210E9">
        <w:rPr>
          <w:rFonts w:ascii="David" w:eastAsia="Calibri" w:hAnsi="David" w:hint="eastAsia"/>
          <w:sz w:val="24"/>
          <w:rtl/>
        </w:rPr>
        <w:t>תנועה</w:t>
      </w:r>
      <w:r w:rsidRPr="00A210E9">
        <w:rPr>
          <w:rFonts w:ascii="David" w:eastAsia="Calibri" w:hAnsi="David"/>
          <w:sz w:val="24"/>
          <w:rtl/>
        </w:rPr>
        <w:t xml:space="preserve"> </w:t>
      </w:r>
      <w:r w:rsidRPr="00A210E9">
        <w:rPr>
          <w:rFonts w:ascii="David" w:eastAsia="Calibri" w:hAnsi="David" w:hint="eastAsia"/>
          <w:sz w:val="24"/>
          <w:rtl/>
        </w:rPr>
        <w:t>בעיריית</w:t>
      </w:r>
      <w:r w:rsidRPr="00A210E9">
        <w:rPr>
          <w:rFonts w:ascii="David" w:eastAsia="Calibri" w:hAnsi="David"/>
          <w:sz w:val="24"/>
          <w:rtl/>
        </w:rPr>
        <w:t xml:space="preserve"> </w:t>
      </w:r>
      <w:r w:rsidRPr="00A210E9">
        <w:rPr>
          <w:rFonts w:ascii="David" w:eastAsia="Calibri" w:hAnsi="David" w:hint="eastAsia"/>
          <w:sz w:val="24"/>
          <w:rtl/>
        </w:rPr>
        <w:t>חיפה</w:t>
      </w:r>
      <w:r w:rsidRPr="00A210E9">
        <w:rPr>
          <w:rFonts w:ascii="David" w:eastAsia="Calibri" w:hAnsi="David"/>
          <w:sz w:val="24"/>
          <w:rtl/>
        </w:rPr>
        <w:t xml:space="preserve">: </w:t>
      </w:r>
      <w:r w:rsidRPr="00A210E9">
        <w:rPr>
          <w:rFonts w:ascii="David" w:eastAsia="Calibri" w:hAnsi="David" w:hint="cs"/>
          <w:sz w:val="24"/>
          <w:rtl/>
        </w:rPr>
        <w:t xml:space="preserve">(א) </w:t>
      </w:r>
      <w:r w:rsidRPr="00A210E9">
        <w:rPr>
          <w:rFonts w:ascii="David" w:eastAsia="Calibri" w:hAnsi="David" w:hint="eastAsia"/>
          <w:sz w:val="24"/>
          <w:rtl/>
        </w:rPr>
        <w:t>הגבלת</w:t>
      </w:r>
      <w:r w:rsidRPr="00A210E9">
        <w:rPr>
          <w:rFonts w:ascii="David" w:eastAsia="Calibri" w:hAnsi="David"/>
          <w:sz w:val="24"/>
          <w:rtl/>
        </w:rPr>
        <w:t xml:space="preserve"> </w:t>
      </w:r>
      <w:r w:rsidRPr="00A210E9">
        <w:rPr>
          <w:rFonts w:ascii="David" w:eastAsia="Calibri" w:hAnsi="David" w:hint="eastAsia"/>
          <w:sz w:val="24"/>
          <w:rtl/>
        </w:rPr>
        <w:t>זמן</w:t>
      </w:r>
      <w:r w:rsidRPr="00A210E9">
        <w:rPr>
          <w:rFonts w:ascii="David" w:eastAsia="Calibri" w:hAnsi="David"/>
          <w:sz w:val="24"/>
          <w:rtl/>
        </w:rPr>
        <w:t xml:space="preserve"> </w:t>
      </w:r>
      <w:r w:rsidRPr="00A210E9">
        <w:rPr>
          <w:rFonts w:ascii="David" w:eastAsia="Calibri" w:hAnsi="David" w:hint="eastAsia"/>
          <w:sz w:val="24"/>
          <w:rtl/>
        </w:rPr>
        <w:t>החניה</w:t>
      </w:r>
      <w:r w:rsidRPr="00A210E9">
        <w:rPr>
          <w:rFonts w:ascii="David" w:eastAsia="Calibri" w:hAnsi="David"/>
          <w:sz w:val="24"/>
          <w:rtl/>
        </w:rPr>
        <w:t xml:space="preserve"> </w:t>
      </w:r>
      <w:r w:rsidRPr="00A210E9">
        <w:rPr>
          <w:rFonts w:ascii="David" w:eastAsia="Calibri" w:hAnsi="David" w:hint="eastAsia"/>
          <w:sz w:val="24"/>
          <w:rtl/>
        </w:rPr>
        <w:t>המותר</w:t>
      </w:r>
      <w:r w:rsidRPr="00A210E9">
        <w:rPr>
          <w:rFonts w:ascii="David" w:eastAsia="Calibri" w:hAnsi="David"/>
          <w:sz w:val="24"/>
          <w:rtl/>
        </w:rPr>
        <w:t xml:space="preserve"> </w:t>
      </w:r>
      <w:r w:rsidRPr="00A210E9">
        <w:rPr>
          <w:rFonts w:ascii="David" w:eastAsia="Calibri" w:hAnsi="David" w:hint="eastAsia"/>
          <w:sz w:val="24"/>
          <w:rtl/>
        </w:rPr>
        <w:t>לרכב</w:t>
      </w:r>
      <w:r w:rsidRPr="00A210E9">
        <w:rPr>
          <w:rFonts w:ascii="David" w:eastAsia="Calibri" w:hAnsi="David"/>
          <w:sz w:val="24"/>
          <w:rtl/>
        </w:rPr>
        <w:t xml:space="preserve"> </w:t>
      </w:r>
      <w:r w:rsidRPr="00A210E9">
        <w:rPr>
          <w:rFonts w:ascii="David" w:eastAsia="Calibri" w:hAnsi="David" w:hint="eastAsia"/>
          <w:sz w:val="24"/>
          <w:rtl/>
        </w:rPr>
        <w:t>נכה</w:t>
      </w:r>
      <w:r w:rsidRPr="00A210E9">
        <w:rPr>
          <w:rFonts w:ascii="David" w:eastAsia="Calibri" w:hAnsi="David"/>
          <w:sz w:val="24"/>
          <w:rtl/>
        </w:rPr>
        <w:t xml:space="preserve"> </w:t>
      </w:r>
      <w:r w:rsidRPr="00A210E9">
        <w:rPr>
          <w:rFonts w:ascii="David" w:eastAsia="Calibri" w:hAnsi="David" w:hint="eastAsia"/>
          <w:sz w:val="24"/>
          <w:rtl/>
        </w:rPr>
        <w:t>בחניה</w:t>
      </w:r>
      <w:r w:rsidRPr="00A210E9">
        <w:rPr>
          <w:rFonts w:ascii="David" w:eastAsia="Calibri" w:hAnsi="David"/>
          <w:sz w:val="24"/>
          <w:rtl/>
        </w:rPr>
        <w:t xml:space="preserve"> </w:t>
      </w:r>
      <w:r w:rsidRPr="00A210E9">
        <w:rPr>
          <w:rFonts w:ascii="David" w:eastAsia="Calibri" w:hAnsi="David" w:hint="eastAsia"/>
          <w:sz w:val="24"/>
          <w:rtl/>
        </w:rPr>
        <w:t>מוסדרת</w:t>
      </w:r>
      <w:r w:rsidRPr="00A210E9">
        <w:rPr>
          <w:rFonts w:ascii="David" w:eastAsia="Calibri" w:hAnsi="David"/>
          <w:sz w:val="24"/>
          <w:rtl/>
        </w:rPr>
        <w:t xml:space="preserve"> </w:t>
      </w:r>
      <w:r w:rsidRPr="00A210E9">
        <w:rPr>
          <w:rFonts w:ascii="David" w:eastAsia="Calibri" w:hAnsi="David" w:hint="eastAsia"/>
          <w:sz w:val="24"/>
          <w:rtl/>
        </w:rPr>
        <w:t>לשעתיים</w:t>
      </w:r>
      <w:r w:rsidRPr="00A210E9">
        <w:rPr>
          <w:rFonts w:ascii="David" w:eastAsia="Calibri" w:hAnsi="David"/>
          <w:sz w:val="24"/>
          <w:rtl/>
        </w:rPr>
        <w:t xml:space="preserve"> </w:t>
      </w:r>
      <w:r w:rsidRPr="00A210E9">
        <w:rPr>
          <w:rFonts w:ascii="David" w:eastAsia="Calibri" w:hAnsi="David" w:hint="eastAsia"/>
          <w:sz w:val="24"/>
          <w:rtl/>
        </w:rPr>
        <w:t>כמו</w:t>
      </w:r>
      <w:r w:rsidRPr="00A210E9">
        <w:rPr>
          <w:rFonts w:ascii="David" w:eastAsia="Calibri" w:hAnsi="David"/>
          <w:sz w:val="24"/>
          <w:rtl/>
        </w:rPr>
        <w:t xml:space="preserve"> </w:t>
      </w:r>
      <w:r w:rsidRPr="00A210E9">
        <w:rPr>
          <w:rFonts w:ascii="David" w:eastAsia="Calibri" w:hAnsi="David" w:hint="eastAsia"/>
          <w:sz w:val="24"/>
          <w:rtl/>
        </w:rPr>
        <w:t>יתר</w:t>
      </w:r>
      <w:r w:rsidRPr="00A210E9">
        <w:rPr>
          <w:rFonts w:ascii="David" w:eastAsia="Calibri" w:hAnsi="David"/>
          <w:sz w:val="24"/>
          <w:rtl/>
        </w:rPr>
        <w:t xml:space="preserve"> </w:t>
      </w:r>
      <w:r w:rsidRPr="00A210E9">
        <w:rPr>
          <w:rFonts w:ascii="David" w:eastAsia="Calibri" w:hAnsi="David" w:hint="eastAsia"/>
          <w:sz w:val="24"/>
          <w:rtl/>
        </w:rPr>
        <w:t>הציבור</w:t>
      </w:r>
      <w:r w:rsidRPr="00A210E9">
        <w:rPr>
          <w:rFonts w:ascii="David" w:eastAsia="Calibri" w:hAnsi="David"/>
          <w:sz w:val="24"/>
          <w:rtl/>
        </w:rPr>
        <w:t xml:space="preserve">. </w:t>
      </w:r>
      <w:r w:rsidRPr="00A210E9">
        <w:rPr>
          <w:rFonts w:ascii="David" w:eastAsia="Calibri" w:hAnsi="David" w:hint="cs"/>
          <w:sz w:val="24"/>
          <w:rtl/>
        </w:rPr>
        <w:t>(ב)</w:t>
      </w:r>
      <w:r w:rsidRPr="00A210E9">
        <w:rPr>
          <w:rFonts w:ascii="David" w:eastAsia="Calibri" w:hAnsi="David"/>
          <w:sz w:val="24"/>
          <w:rtl/>
        </w:rPr>
        <w:t xml:space="preserve"> </w:t>
      </w:r>
      <w:r w:rsidRPr="00A210E9">
        <w:rPr>
          <w:rFonts w:ascii="David" w:eastAsia="Calibri" w:hAnsi="David" w:hint="eastAsia"/>
          <w:sz w:val="24"/>
          <w:rtl/>
        </w:rPr>
        <w:t>חיוב</w:t>
      </w:r>
      <w:r w:rsidRPr="00A210E9">
        <w:rPr>
          <w:rFonts w:ascii="David" w:eastAsia="Calibri" w:hAnsi="David"/>
          <w:sz w:val="24"/>
          <w:rtl/>
        </w:rPr>
        <w:t xml:space="preserve"> </w:t>
      </w:r>
      <w:r w:rsidRPr="00A210E9">
        <w:rPr>
          <w:rFonts w:ascii="David" w:eastAsia="Calibri" w:hAnsi="David" w:hint="eastAsia"/>
          <w:sz w:val="24"/>
          <w:rtl/>
        </w:rPr>
        <w:t>בעלי</w:t>
      </w:r>
      <w:r w:rsidRPr="00A210E9">
        <w:rPr>
          <w:rFonts w:ascii="David" w:eastAsia="Calibri" w:hAnsi="David"/>
          <w:sz w:val="24"/>
          <w:rtl/>
        </w:rPr>
        <w:t xml:space="preserve"> </w:t>
      </w:r>
      <w:r w:rsidRPr="00A210E9">
        <w:rPr>
          <w:rFonts w:ascii="David" w:eastAsia="Calibri" w:hAnsi="David" w:hint="eastAsia"/>
          <w:sz w:val="24"/>
          <w:rtl/>
        </w:rPr>
        <w:t>תג</w:t>
      </w:r>
      <w:r w:rsidRPr="00A210E9">
        <w:rPr>
          <w:rFonts w:ascii="David" w:eastAsia="Calibri" w:hAnsi="David"/>
          <w:sz w:val="24"/>
          <w:rtl/>
        </w:rPr>
        <w:t xml:space="preserve"> </w:t>
      </w:r>
      <w:r w:rsidRPr="00A210E9">
        <w:rPr>
          <w:rFonts w:ascii="David" w:eastAsia="Calibri" w:hAnsi="David" w:hint="eastAsia"/>
          <w:sz w:val="24"/>
          <w:rtl/>
        </w:rPr>
        <w:t>נכה</w:t>
      </w:r>
      <w:r w:rsidRPr="00A210E9">
        <w:rPr>
          <w:rFonts w:ascii="David" w:eastAsia="Calibri" w:hAnsi="David"/>
          <w:sz w:val="24"/>
          <w:rtl/>
        </w:rPr>
        <w:t xml:space="preserve"> </w:t>
      </w:r>
      <w:r w:rsidRPr="00A210E9">
        <w:rPr>
          <w:rFonts w:ascii="David" w:eastAsia="Calibri" w:hAnsi="David" w:hint="eastAsia"/>
          <w:sz w:val="24"/>
          <w:rtl/>
        </w:rPr>
        <w:t>בתשלום</w:t>
      </w:r>
      <w:r w:rsidRPr="00A210E9">
        <w:rPr>
          <w:rFonts w:ascii="David" w:eastAsia="Calibri" w:hAnsi="David"/>
          <w:sz w:val="24"/>
          <w:rtl/>
        </w:rPr>
        <w:t xml:space="preserve"> </w:t>
      </w:r>
      <w:r w:rsidRPr="00A210E9">
        <w:rPr>
          <w:rFonts w:ascii="David" w:eastAsia="Calibri" w:hAnsi="David" w:hint="eastAsia"/>
          <w:sz w:val="24"/>
          <w:rtl/>
        </w:rPr>
        <w:t>עבור</w:t>
      </w:r>
      <w:r w:rsidRPr="00A210E9">
        <w:rPr>
          <w:rFonts w:ascii="David" w:eastAsia="Calibri" w:hAnsi="David"/>
          <w:sz w:val="24"/>
          <w:rtl/>
        </w:rPr>
        <w:t xml:space="preserve"> </w:t>
      </w:r>
      <w:r w:rsidRPr="00A210E9">
        <w:rPr>
          <w:rFonts w:ascii="David" w:eastAsia="Calibri" w:hAnsi="David" w:hint="eastAsia"/>
          <w:sz w:val="24"/>
          <w:rtl/>
        </w:rPr>
        <w:t>חניה</w:t>
      </w:r>
      <w:r w:rsidRPr="00A210E9">
        <w:rPr>
          <w:rFonts w:ascii="David" w:eastAsia="Calibri" w:hAnsi="David"/>
          <w:sz w:val="24"/>
          <w:rtl/>
        </w:rPr>
        <w:t xml:space="preserve"> </w:t>
      </w:r>
      <w:r w:rsidRPr="00A210E9">
        <w:rPr>
          <w:rFonts w:ascii="David" w:eastAsia="Calibri" w:hAnsi="David" w:hint="eastAsia"/>
          <w:sz w:val="24"/>
          <w:rtl/>
        </w:rPr>
        <w:t>בחניה</w:t>
      </w:r>
      <w:r w:rsidRPr="00A210E9">
        <w:rPr>
          <w:rFonts w:ascii="David" w:eastAsia="Calibri" w:hAnsi="David"/>
          <w:sz w:val="24"/>
          <w:rtl/>
        </w:rPr>
        <w:t xml:space="preserve"> </w:t>
      </w:r>
      <w:r w:rsidRPr="00A210E9">
        <w:rPr>
          <w:rFonts w:ascii="David" w:eastAsia="Calibri" w:hAnsi="David" w:hint="eastAsia"/>
          <w:sz w:val="24"/>
          <w:rtl/>
        </w:rPr>
        <w:t>מוסדרת</w:t>
      </w:r>
      <w:r w:rsidRPr="00A210E9">
        <w:rPr>
          <w:rFonts w:ascii="David" w:eastAsia="Calibri" w:hAnsi="David"/>
          <w:sz w:val="24"/>
          <w:rtl/>
        </w:rPr>
        <w:t xml:space="preserve"> </w:t>
      </w:r>
      <w:r w:rsidRPr="00A210E9">
        <w:rPr>
          <w:rFonts w:ascii="David" w:eastAsia="Calibri" w:hAnsi="David" w:hint="eastAsia"/>
          <w:sz w:val="24"/>
          <w:rtl/>
        </w:rPr>
        <w:t>כמו</w:t>
      </w:r>
      <w:r w:rsidRPr="00A210E9">
        <w:rPr>
          <w:rFonts w:ascii="David" w:eastAsia="Calibri" w:hAnsi="David"/>
          <w:sz w:val="24"/>
          <w:rtl/>
        </w:rPr>
        <w:t xml:space="preserve"> </w:t>
      </w:r>
      <w:r w:rsidRPr="00A210E9">
        <w:rPr>
          <w:rFonts w:ascii="David" w:eastAsia="Calibri" w:hAnsi="David" w:hint="eastAsia"/>
          <w:sz w:val="24"/>
          <w:rtl/>
        </w:rPr>
        <w:t>יתר</w:t>
      </w:r>
      <w:r w:rsidRPr="00A210E9">
        <w:rPr>
          <w:rFonts w:ascii="David" w:eastAsia="Calibri" w:hAnsi="David"/>
          <w:sz w:val="24"/>
          <w:rtl/>
        </w:rPr>
        <w:t xml:space="preserve"> </w:t>
      </w:r>
      <w:r w:rsidRPr="00A210E9">
        <w:rPr>
          <w:rFonts w:ascii="David" w:eastAsia="Calibri" w:hAnsi="David" w:hint="eastAsia"/>
          <w:sz w:val="24"/>
          <w:rtl/>
        </w:rPr>
        <w:t>הציבור</w:t>
      </w:r>
      <w:r w:rsidRPr="00A210E9">
        <w:rPr>
          <w:rFonts w:ascii="David" w:eastAsia="Calibri" w:hAnsi="David"/>
          <w:sz w:val="24"/>
          <w:rtl/>
        </w:rPr>
        <w:t xml:space="preserve">. </w:t>
      </w:r>
      <w:r w:rsidRPr="00A210E9">
        <w:rPr>
          <w:rFonts w:ascii="David" w:eastAsia="Calibri" w:hAnsi="David" w:hint="eastAsia"/>
          <w:sz w:val="24"/>
          <w:rtl/>
        </w:rPr>
        <w:t>עוד</w:t>
      </w:r>
      <w:r w:rsidRPr="00A210E9">
        <w:rPr>
          <w:rFonts w:ascii="David" w:eastAsia="Calibri" w:hAnsi="David"/>
          <w:sz w:val="24"/>
          <w:rtl/>
        </w:rPr>
        <w:t xml:space="preserve"> </w:t>
      </w:r>
      <w:r w:rsidRPr="00A210E9">
        <w:rPr>
          <w:rFonts w:ascii="David" w:eastAsia="Calibri" w:hAnsi="David" w:hint="eastAsia"/>
          <w:sz w:val="24"/>
          <w:rtl/>
        </w:rPr>
        <w:t>ציינה</w:t>
      </w:r>
      <w:r w:rsidRPr="00A210E9">
        <w:rPr>
          <w:rFonts w:ascii="David" w:eastAsia="Calibri" w:hAnsi="David"/>
          <w:sz w:val="24"/>
          <w:rtl/>
        </w:rPr>
        <w:t xml:space="preserve"> </w:t>
      </w:r>
      <w:r w:rsidRPr="00A210E9">
        <w:rPr>
          <w:rFonts w:ascii="David" w:eastAsia="Calibri" w:hAnsi="David" w:hint="eastAsia"/>
          <w:sz w:val="24"/>
          <w:rtl/>
        </w:rPr>
        <w:t>העירייה</w:t>
      </w:r>
      <w:r w:rsidRPr="00A210E9">
        <w:rPr>
          <w:rFonts w:ascii="David" w:eastAsia="Calibri" w:hAnsi="David"/>
          <w:sz w:val="24"/>
          <w:rtl/>
        </w:rPr>
        <w:t xml:space="preserve"> </w:t>
      </w:r>
      <w:r w:rsidRPr="00A210E9">
        <w:rPr>
          <w:rFonts w:ascii="David" w:eastAsia="Calibri" w:hAnsi="David" w:hint="eastAsia"/>
          <w:sz w:val="24"/>
          <w:rtl/>
        </w:rPr>
        <w:t>בתשובתה</w:t>
      </w:r>
      <w:r w:rsidRPr="00A210E9">
        <w:rPr>
          <w:rFonts w:ascii="David" w:eastAsia="Calibri" w:hAnsi="David"/>
          <w:sz w:val="24"/>
          <w:rtl/>
        </w:rPr>
        <w:t xml:space="preserve">, </w:t>
      </w:r>
      <w:r w:rsidRPr="00A210E9">
        <w:rPr>
          <w:rFonts w:ascii="David" w:eastAsia="Calibri" w:hAnsi="David" w:hint="eastAsia"/>
          <w:sz w:val="24"/>
          <w:rtl/>
        </w:rPr>
        <w:t>כי</w:t>
      </w:r>
      <w:r w:rsidRPr="00A210E9">
        <w:rPr>
          <w:rFonts w:ascii="David" w:eastAsia="Calibri" w:hAnsi="David"/>
          <w:sz w:val="24"/>
          <w:rtl/>
        </w:rPr>
        <w:t xml:space="preserve"> </w:t>
      </w:r>
      <w:r w:rsidRPr="00A210E9">
        <w:rPr>
          <w:rFonts w:ascii="David" w:eastAsia="Calibri" w:hAnsi="David" w:hint="eastAsia"/>
          <w:sz w:val="24"/>
          <w:rtl/>
        </w:rPr>
        <w:t>כיום</w:t>
      </w:r>
      <w:r w:rsidRPr="00A210E9">
        <w:rPr>
          <w:rFonts w:ascii="David" w:eastAsia="Calibri" w:hAnsi="David"/>
          <w:sz w:val="24"/>
          <w:rtl/>
        </w:rPr>
        <w:t xml:space="preserve"> </w:t>
      </w:r>
      <w:r w:rsidRPr="00A210E9">
        <w:rPr>
          <w:rFonts w:ascii="David" w:eastAsia="Calibri" w:hAnsi="David" w:hint="eastAsia"/>
          <w:sz w:val="24"/>
          <w:rtl/>
        </w:rPr>
        <w:t>בחניות</w:t>
      </w:r>
      <w:r w:rsidRPr="00A210E9">
        <w:rPr>
          <w:rFonts w:ascii="David" w:eastAsia="Calibri" w:hAnsi="David"/>
          <w:sz w:val="24"/>
          <w:rtl/>
        </w:rPr>
        <w:t xml:space="preserve"> </w:t>
      </w:r>
      <w:r w:rsidRPr="00A210E9">
        <w:rPr>
          <w:rFonts w:ascii="David" w:eastAsia="Calibri" w:hAnsi="David" w:hint="cs"/>
          <w:sz w:val="24"/>
          <w:rtl/>
        </w:rPr>
        <w:t>ש</w:t>
      </w:r>
      <w:r w:rsidRPr="00A210E9">
        <w:rPr>
          <w:rFonts w:ascii="David" w:eastAsia="Calibri" w:hAnsi="David" w:hint="eastAsia"/>
          <w:sz w:val="24"/>
          <w:rtl/>
        </w:rPr>
        <w:t>בהן</w:t>
      </w:r>
      <w:r w:rsidRPr="00A210E9">
        <w:rPr>
          <w:rFonts w:ascii="David" w:eastAsia="Calibri" w:hAnsi="David"/>
          <w:sz w:val="24"/>
          <w:rtl/>
        </w:rPr>
        <w:t xml:space="preserve"> </w:t>
      </w:r>
      <w:r w:rsidRPr="00A210E9">
        <w:rPr>
          <w:rFonts w:ascii="David" w:eastAsia="Calibri" w:hAnsi="David" w:hint="eastAsia"/>
          <w:sz w:val="24"/>
          <w:rtl/>
        </w:rPr>
        <w:t>מתאפשרת</w:t>
      </w:r>
      <w:r w:rsidRPr="00A210E9">
        <w:rPr>
          <w:rFonts w:ascii="David" w:eastAsia="Calibri" w:hAnsi="David"/>
          <w:sz w:val="24"/>
          <w:rtl/>
        </w:rPr>
        <w:t xml:space="preserve"> </w:t>
      </w:r>
      <w:r w:rsidRPr="00A210E9">
        <w:rPr>
          <w:rFonts w:ascii="David" w:eastAsia="Calibri" w:hAnsi="David" w:hint="eastAsia"/>
          <w:sz w:val="24"/>
          <w:rtl/>
        </w:rPr>
        <w:t>חניה</w:t>
      </w:r>
      <w:r w:rsidRPr="00A210E9">
        <w:rPr>
          <w:rFonts w:ascii="David" w:eastAsia="Calibri" w:hAnsi="David"/>
          <w:sz w:val="24"/>
          <w:rtl/>
        </w:rPr>
        <w:t xml:space="preserve"> </w:t>
      </w:r>
      <w:r w:rsidRPr="00A210E9">
        <w:rPr>
          <w:rFonts w:ascii="David" w:eastAsia="Calibri" w:hAnsi="David" w:hint="eastAsia"/>
          <w:sz w:val="24"/>
          <w:rtl/>
        </w:rPr>
        <w:t>חינם</w:t>
      </w:r>
      <w:r w:rsidRPr="00A210E9">
        <w:rPr>
          <w:rFonts w:ascii="David" w:eastAsia="Calibri" w:hAnsi="David"/>
          <w:sz w:val="24"/>
          <w:rtl/>
        </w:rPr>
        <w:t xml:space="preserve"> </w:t>
      </w:r>
      <w:r w:rsidRPr="00A210E9">
        <w:rPr>
          <w:rFonts w:ascii="David" w:eastAsia="Calibri" w:hAnsi="David" w:hint="eastAsia"/>
          <w:sz w:val="24"/>
          <w:rtl/>
        </w:rPr>
        <w:t>למשך</w:t>
      </w:r>
      <w:r w:rsidRPr="00A210E9">
        <w:rPr>
          <w:rFonts w:ascii="David" w:eastAsia="Calibri" w:hAnsi="David"/>
          <w:sz w:val="24"/>
          <w:rtl/>
        </w:rPr>
        <w:t xml:space="preserve"> 30 </w:t>
      </w:r>
      <w:r w:rsidRPr="00A210E9">
        <w:rPr>
          <w:rFonts w:ascii="David" w:eastAsia="Calibri" w:hAnsi="David" w:hint="eastAsia"/>
          <w:sz w:val="24"/>
          <w:rtl/>
        </w:rPr>
        <w:t>דקות</w:t>
      </w:r>
      <w:r w:rsidRPr="00A210E9">
        <w:rPr>
          <w:rFonts w:ascii="David" w:eastAsia="Calibri" w:hAnsi="David"/>
          <w:sz w:val="24"/>
          <w:rtl/>
        </w:rPr>
        <w:t xml:space="preserve"> </w:t>
      </w:r>
      <w:r w:rsidRPr="00A210E9">
        <w:rPr>
          <w:rFonts w:ascii="David" w:eastAsia="Calibri" w:hAnsi="David" w:hint="eastAsia"/>
          <w:sz w:val="24"/>
          <w:rtl/>
        </w:rPr>
        <w:t>בלבד</w:t>
      </w:r>
      <w:r w:rsidRPr="00A210E9">
        <w:rPr>
          <w:rFonts w:ascii="David" w:eastAsia="Calibri" w:hAnsi="David"/>
          <w:sz w:val="24"/>
          <w:rtl/>
        </w:rPr>
        <w:t xml:space="preserve"> (חניות של "30 זוז"), </w:t>
      </w:r>
      <w:r w:rsidRPr="00A210E9">
        <w:rPr>
          <w:rFonts w:ascii="David" w:eastAsia="Calibri" w:hAnsi="David" w:hint="cs"/>
          <w:sz w:val="24"/>
          <w:rtl/>
        </w:rPr>
        <w:t>מצוין</w:t>
      </w:r>
      <w:r w:rsidRPr="00A210E9">
        <w:rPr>
          <w:rFonts w:ascii="David" w:eastAsia="Calibri" w:hAnsi="David"/>
          <w:sz w:val="24"/>
          <w:rtl/>
        </w:rPr>
        <w:t xml:space="preserve"> </w:t>
      </w:r>
      <w:r w:rsidRPr="00A210E9">
        <w:rPr>
          <w:rFonts w:ascii="David" w:eastAsia="Calibri" w:hAnsi="David" w:hint="eastAsia"/>
          <w:sz w:val="24"/>
          <w:rtl/>
        </w:rPr>
        <w:t>כי</w:t>
      </w:r>
      <w:r w:rsidRPr="00A210E9">
        <w:rPr>
          <w:rFonts w:ascii="David" w:eastAsia="Calibri" w:hAnsi="David"/>
          <w:sz w:val="24"/>
          <w:rtl/>
        </w:rPr>
        <w:t xml:space="preserve"> </w:t>
      </w:r>
      <w:r w:rsidRPr="00A210E9">
        <w:rPr>
          <w:rFonts w:ascii="David" w:eastAsia="Calibri" w:hAnsi="David" w:hint="eastAsia"/>
          <w:sz w:val="24"/>
          <w:rtl/>
        </w:rPr>
        <w:t>ההגבלה</w:t>
      </w:r>
      <w:r w:rsidRPr="00A210E9">
        <w:rPr>
          <w:rFonts w:ascii="David" w:eastAsia="Calibri" w:hAnsi="David"/>
          <w:sz w:val="24"/>
          <w:rtl/>
        </w:rPr>
        <w:t xml:space="preserve"> </w:t>
      </w:r>
      <w:r w:rsidRPr="00A210E9">
        <w:rPr>
          <w:rFonts w:ascii="David" w:eastAsia="Calibri" w:hAnsi="David" w:hint="cs"/>
          <w:sz w:val="24"/>
          <w:rtl/>
        </w:rPr>
        <w:t>חלה גם על</w:t>
      </w:r>
      <w:r w:rsidRPr="00A210E9">
        <w:rPr>
          <w:rFonts w:ascii="David" w:eastAsia="Calibri" w:hAnsi="David"/>
          <w:sz w:val="24"/>
          <w:rtl/>
        </w:rPr>
        <w:t xml:space="preserve"> </w:t>
      </w:r>
      <w:r w:rsidRPr="00A210E9">
        <w:rPr>
          <w:rFonts w:ascii="David" w:eastAsia="Calibri" w:hAnsi="David" w:hint="eastAsia"/>
          <w:sz w:val="24"/>
          <w:rtl/>
        </w:rPr>
        <w:t>רכב</w:t>
      </w:r>
      <w:r w:rsidRPr="00A210E9">
        <w:rPr>
          <w:rFonts w:ascii="David" w:eastAsia="Calibri" w:hAnsi="David"/>
          <w:sz w:val="24"/>
          <w:rtl/>
        </w:rPr>
        <w:t xml:space="preserve"> </w:t>
      </w:r>
      <w:r w:rsidRPr="00A210E9">
        <w:rPr>
          <w:rFonts w:ascii="David" w:eastAsia="Calibri" w:hAnsi="David" w:hint="cs"/>
          <w:sz w:val="24"/>
          <w:rtl/>
        </w:rPr>
        <w:t xml:space="preserve">של אדם עם </w:t>
      </w:r>
      <w:r w:rsidRPr="00A210E9">
        <w:rPr>
          <w:rFonts w:ascii="David" w:eastAsia="Calibri" w:hAnsi="David" w:hint="eastAsia"/>
          <w:sz w:val="24"/>
          <w:rtl/>
        </w:rPr>
        <w:t>נכ</w:t>
      </w:r>
      <w:r w:rsidRPr="00A210E9">
        <w:rPr>
          <w:rFonts w:ascii="David" w:eastAsia="Calibri" w:hAnsi="David" w:hint="cs"/>
          <w:sz w:val="24"/>
          <w:rtl/>
        </w:rPr>
        <w:t>ות,</w:t>
      </w:r>
      <w:r w:rsidRPr="00A210E9">
        <w:rPr>
          <w:rFonts w:ascii="David" w:eastAsia="Calibri" w:hAnsi="David"/>
          <w:sz w:val="24"/>
          <w:rtl/>
        </w:rPr>
        <w:t xml:space="preserve"> </w:t>
      </w:r>
      <w:r w:rsidRPr="00A210E9">
        <w:rPr>
          <w:rFonts w:ascii="David" w:eastAsia="Calibri" w:hAnsi="David" w:hint="eastAsia"/>
          <w:sz w:val="24"/>
          <w:rtl/>
        </w:rPr>
        <w:t>ולדעת</w:t>
      </w:r>
      <w:r w:rsidRPr="00A210E9">
        <w:rPr>
          <w:rFonts w:ascii="David" w:eastAsia="Calibri" w:hAnsi="David"/>
          <w:sz w:val="24"/>
          <w:rtl/>
        </w:rPr>
        <w:t xml:space="preserve"> </w:t>
      </w:r>
      <w:r w:rsidRPr="00A210E9">
        <w:rPr>
          <w:rFonts w:ascii="David" w:eastAsia="Calibri" w:hAnsi="David" w:hint="eastAsia"/>
          <w:sz w:val="24"/>
          <w:rtl/>
        </w:rPr>
        <w:t>העיריה</w:t>
      </w:r>
      <w:r w:rsidRPr="00A210E9">
        <w:rPr>
          <w:rFonts w:ascii="David" w:eastAsia="Calibri" w:hAnsi="David"/>
          <w:sz w:val="24"/>
          <w:rtl/>
        </w:rPr>
        <w:t xml:space="preserve"> </w:t>
      </w:r>
      <w:r w:rsidRPr="00A210E9">
        <w:rPr>
          <w:rFonts w:ascii="David" w:eastAsia="Calibri" w:hAnsi="David" w:hint="eastAsia"/>
          <w:sz w:val="24"/>
          <w:rtl/>
        </w:rPr>
        <w:t>יש</w:t>
      </w:r>
      <w:r w:rsidRPr="00A210E9">
        <w:rPr>
          <w:rFonts w:ascii="David" w:eastAsia="Calibri" w:hAnsi="David"/>
          <w:sz w:val="24"/>
          <w:rtl/>
        </w:rPr>
        <w:t xml:space="preserve"> </w:t>
      </w:r>
      <w:r w:rsidRPr="00A210E9">
        <w:rPr>
          <w:rFonts w:ascii="David" w:eastAsia="Calibri" w:hAnsi="David" w:hint="eastAsia"/>
          <w:sz w:val="24"/>
          <w:rtl/>
        </w:rPr>
        <w:t>להותיר</w:t>
      </w:r>
      <w:r w:rsidRPr="00A210E9">
        <w:rPr>
          <w:rFonts w:ascii="David" w:eastAsia="Calibri" w:hAnsi="David"/>
          <w:sz w:val="24"/>
          <w:rtl/>
        </w:rPr>
        <w:t xml:space="preserve"> </w:t>
      </w:r>
      <w:r w:rsidRPr="00A210E9">
        <w:rPr>
          <w:rFonts w:ascii="David" w:eastAsia="Calibri" w:hAnsi="David" w:hint="eastAsia"/>
          <w:sz w:val="24"/>
          <w:rtl/>
        </w:rPr>
        <w:t>את</w:t>
      </w:r>
      <w:r w:rsidRPr="00A210E9">
        <w:rPr>
          <w:rFonts w:ascii="David" w:eastAsia="Calibri" w:hAnsi="David"/>
          <w:sz w:val="24"/>
          <w:rtl/>
        </w:rPr>
        <w:t xml:space="preserve"> </w:t>
      </w:r>
      <w:r w:rsidRPr="00A210E9">
        <w:rPr>
          <w:rFonts w:ascii="David" w:eastAsia="Calibri" w:hAnsi="David" w:hint="eastAsia"/>
          <w:sz w:val="24"/>
          <w:rtl/>
        </w:rPr>
        <w:t>הנוסח</w:t>
      </w:r>
      <w:r w:rsidRPr="00A210E9">
        <w:rPr>
          <w:rFonts w:ascii="David" w:eastAsia="Calibri" w:hAnsi="David"/>
          <w:sz w:val="24"/>
          <w:rtl/>
        </w:rPr>
        <w:t xml:space="preserve"> </w:t>
      </w:r>
      <w:r w:rsidRPr="00A210E9">
        <w:rPr>
          <w:rFonts w:ascii="David" w:eastAsia="Calibri" w:hAnsi="David" w:hint="eastAsia"/>
          <w:sz w:val="24"/>
          <w:rtl/>
        </w:rPr>
        <w:t>כפי</w:t>
      </w:r>
      <w:r w:rsidRPr="00A210E9">
        <w:rPr>
          <w:rFonts w:ascii="David" w:eastAsia="Calibri" w:hAnsi="David"/>
          <w:sz w:val="24"/>
          <w:rtl/>
        </w:rPr>
        <w:t xml:space="preserve"> </w:t>
      </w:r>
      <w:r w:rsidRPr="00A210E9">
        <w:rPr>
          <w:rFonts w:ascii="David" w:eastAsia="Calibri" w:hAnsi="David" w:hint="eastAsia"/>
          <w:sz w:val="24"/>
          <w:rtl/>
        </w:rPr>
        <w:t>שהוא</w:t>
      </w:r>
      <w:r w:rsidRPr="00A210E9">
        <w:rPr>
          <w:rFonts w:ascii="David" w:eastAsia="Calibri" w:hAnsi="David"/>
          <w:sz w:val="24"/>
          <w:rtl/>
        </w:rPr>
        <w:t>.</w:t>
      </w:r>
    </w:p>
    <w:p w:rsidR="00A210E9" w:rsidRPr="00A210E9" w:rsidP="00A210E9">
      <w:pPr>
        <w:keepNext/>
        <w:keepLines/>
        <w:spacing w:line="269" w:lineRule="auto"/>
        <w:ind w:left="-567"/>
        <w:rPr>
          <w:rFonts w:eastAsia="Calibri"/>
          <w:szCs w:val="20"/>
        </w:rPr>
      </w:pPr>
    </w:p>
    <w:p w:rsidR="00A210E9" w:rsidRPr="00A210E9" w:rsidP="00A210E9">
      <w:pPr>
        <w:spacing w:line="269" w:lineRule="auto"/>
        <w:rPr>
          <w:rFonts w:eastAsia="Calibri"/>
          <w:b/>
          <w:bCs/>
          <w:rtl/>
        </w:rPr>
      </w:pPr>
      <w:r w:rsidRPr="00A210E9">
        <w:rPr>
          <w:rFonts w:eastAsia="Calibri" w:hint="eastAsia"/>
          <w:b/>
          <w:bCs/>
          <w:rtl/>
        </w:rPr>
        <w:t>משרד</w:t>
      </w:r>
      <w:r w:rsidRPr="00A210E9">
        <w:rPr>
          <w:rFonts w:eastAsia="Calibri"/>
          <w:b/>
          <w:bCs/>
          <w:rtl/>
        </w:rPr>
        <w:t xml:space="preserve"> </w:t>
      </w:r>
      <w:r w:rsidRPr="00A210E9">
        <w:rPr>
          <w:rFonts w:eastAsia="Calibri" w:hint="eastAsia"/>
          <w:b/>
          <w:bCs/>
          <w:rtl/>
        </w:rPr>
        <w:t>מבקר</w:t>
      </w:r>
      <w:r w:rsidRPr="00A210E9">
        <w:rPr>
          <w:rFonts w:eastAsia="Calibri"/>
          <w:b/>
          <w:bCs/>
          <w:rtl/>
        </w:rPr>
        <w:t xml:space="preserve"> </w:t>
      </w:r>
      <w:r w:rsidRPr="00A210E9">
        <w:rPr>
          <w:rFonts w:eastAsia="Calibri" w:hint="eastAsia"/>
          <w:b/>
          <w:bCs/>
          <w:rtl/>
        </w:rPr>
        <w:t>המדינה</w:t>
      </w:r>
      <w:r w:rsidRPr="00A210E9">
        <w:rPr>
          <w:rFonts w:eastAsia="Calibri"/>
          <w:b/>
          <w:bCs/>
          <w:rtl/>
        </w:rPr>
        <w:t xml:space="preserve"> </w:t>
      </w:r>
      <w:r w:rsidRPr="00A210E9">
        <w:rPr>
          <w:rFonts w:eastAsia="Calibri" w:hint="eastAsia"/>
          <w:b/>
          <w:bCs/>
          <w:rtl/>
        </w:rPr>
        <w:t>ממליץ</w:t>
      </w:r>
      <w:r w:rsidRPr="00A210E9">
        <w:rPr>
          <w:rFonts w:eastAsia="Calibri"/>
          <w:b/>
          <w:bCs/>
          <w:rtl/>
        </w:rPr>
        <w:t xml:space="preserve"> </w:t>
      </w:r>
      <w:r w:rsidRPr="00A210E9">
        <w:rPr>
          <w:rFonts w:eastAsia="Calibri" w:hint="eastAsia"/>
          <w:b/>
          <w:bCs/>
          <w:rtl/>
        </w:rPr>
        <w:t>שמשרד</w:t>
      </w:r>
      <w:r w:rsidRPr="00A210E9">
        <w:rPr>
          <w:rFonts w:eastAsia="Calibri"/>
          <w:b/>
          <w:bCs/>
          <w:rtl/>
        </w:rPr>
        <w:t xml:space="preserve"> </w:t>
      </w:r>
      <w:r w:rsidRPr="00A210E9">
        <w:rPr>
          <w:rFonts w:eastAsia="Calibri" w:hint="eastAsia"/>
          <w:b/>
          <w:bCs/>
          <w:rtl/>
        </w:rPr>
        <w:t>התחבורה</w:t>
      </w:r>
      <w:r>
        <w:rPr>
          <w:rFonts w:eastAsia="Calibri"/>
          <w:b/>
          <w:bCs/>
          <w:vertAlign w:val="superscript"/>
          <w:rtl/>
        </w:rPr>
        <w:footnoteReference w:id="112"/>
      </w:r>
      <w:r w:rsidRPr="00A210E9">
        <w:rPr>
          <w:rFonts w:eastAsia="Calibri"/>
          <w:b/>
          <w:bCs/>
          <w:rtl/>
        </w:rPr>
        <w:t xml:space="preserve">, </w:t>
      </w:r>
      <w:r w:rsidRPr="00A210E9">
        <w:rPr>
          <w:rFonts w:eastAsia="Calibri" w:hint="eastAsia"/>
          <w:b/>
          <w:bCs/>
          <w:rtl/>
        </w:rPr>
        <w:t>משרד</w:t>
      </w:r>
      <w:r w:rsidRPr="00A210E9">
        <w:rPr>
          <w:rFonts w:eastAsia="Calibri"/>
          <w:b/>
          <w:bCs/>
          <w:rtl/>
        </w:rPr>
        <w:t xml:space="preserve"> </w:t>
      </w:r>
      <w:r w:rsidRPr="00A210E9">
        <w:rPr>
          <w:rFonts w:eastAsia="Calibri" w:hint="eastAsia"/>
          <w:b/>
          <w:bCs/>
          <w:rtl/>
        </w:rPr>
        <w:t>הפנים</w:t>
      </w:r>
      <w:r w:rsidRPr="00A210E9">
        <w:rPr>
          <w:rFonts w:eastAsia="Calibri" w:hint="cs"/>
          <w:b/>
          <w:bCs/>
          <w:rtl/>
        </w:rPr>
        <w:t xml:space="preserve"> (מתוקף סמכויותיו בתחום הבקרה התקציבית של גופי השלטון המקומי)</w:t>
      </w:r>
      <w:r w:rsidRPr="00A210E9">
        <w:rPr>
          <w:rFonts w:eastAsia="Calibri"/>
          <w:b/>
          <w:bCs/>
          <w:rtl/>
        </w:rPr>
        <w:t xml:space="preserve"> </w:t>
      </w:r>
      <w:r w:rsidRPr="00A210E9">
        <w:rPr>
          <w:rFonts w:eastAsia="Calibri" w:hint="cs"/>
          <w:b/>
          <w:bCs/>
          <w:rtl/>
        </w:rPr>
        <w:t xml:space="preserve">והרשויות המקומיות, בשיתוף עם </w:t>
      </w:r>
      <w:r w:rsidRPr="00A210E9">
        <w:rPr>
          <w:rFonts w:eastAsia="Calibri" w:hint="eastAsia"/>
          <w:b/>
          <w:bCs/>
          <w:rtl/>
        </w:rPr>
        <w:t>נציבות</w:t>
      </w:r>
      <w:r w:rsidRPr="00A210E9">
        <w:rPr>
          <w:rFonts w:eastAsia="Calibri"/>
          <w:b/>
          <w:bCs/>
          <w:rtl/>
        </w:rPr>
        <w:t xml:space="preserve"> </w:t>
      </w:r>
      <w:r w:rsidRPr="00A210E9">
        <w:rPr>
          <w:rFonts w:eastAsia="Calibri" w:hint="eastAsia"/>
          <w:b/>
          <w:bCs/>
          <w:rtl/>
        </w:rPr>
        <w:t>שוויון</w:t>
      </w:r>
      <w:r w:rsidRPr="00A210E9">
        <w:rPr>
          <w:rFonts w:eastAsia="Calibri"/>
          <w:b/>
          <w:bCs/>
          <w:rtl/>
        </w:rPr>
        <w:t xml:space="preserve"> </w:t>
      </w:r>
      <w:r w:rsidRPr="00A210E9">
        <w:rPr>
          <w:rFonts w:eastAsia="Calibri" w:hint="eastAsia"/>
          <w:b/>
          <w:bCs/>
          <w:rtl/>
        </w:rPr>
        <w:t>זכויות</w:t>
      </w:r>
      <w:r w:rsidRPr="00A210E9">
        <w:rPr>
          <w:rFonts w:eastAsia="Calibri"/>
          <w:b/>
          <w:bCs/>
          <w:rtl/>
        </w:rPr>
        <w:t xml:space="preserve"> ובהתייעצות עם </w:t>
      </w:r>
      <w:r w:rsidRPr="00A210E9">
        <w:rPr>
          <w:rFonts w:eastAsia="Calibri" w:hint="eastAsia"/>
          <w:b/>
          <w:bCs/>
          <w:rtl/>
        </w:rPr>
        <w:t>מש</w:t>
      </w:r>
      <w:r w:rsidRPr="00A210E9">
        <w:rPr>
          <w:rFonts w:eastAsia="Calibri"/>
          <w:b/>
          <w:bCs/>
          <w:rtl/>
        </w:rPr>
        <w:t>"ם</w:t>
      </w:r>
      <w:r w:rsidRPr="00A210E9">
        <w:rPr>
          <w:rFonts w:eastAsia="Calibri" w:hint="cs"/>
          <w:b/>
          <w:bCs/>
          <w:rtl/>
        </w:rPr>
        <w:t>,</w:t>
      </w:r>
      <w:r w:rsidRPr="00A210E9">
        <w:rPr>
          <w:rFonts w:eastAsia="Calibri"/>
          <w:b/>
          <w:bCs/>
          <w:rtl/>
        </w:rPr>
        <w:t xml:space="preserve"> </w:t>
      </w:r>
      <w:r w:rsidRPr="00A210E9">
        <w:rPr>
          <w:rFonts w:eastAsia="Calibri" w:hint="cs"/>
          <w:b/>
          <w:bCs/>
          <w:rtl/>
        </w:rPr>
        <w:t>יבחנו את הצורך במתן פטור למחזיקי תג חניה מתשלום עבור חניה בכחול לבן ואת הצורך להגביל את משך זמן החניה בחניות אלה, בהתחשב במגוון השיקולים. בהתאם לכך, יש לפעול להבהרת</w:t>
      </w:r>
      <w:r w:rsidRPr="00A210E9">
        <w:rPr>
          <w:rFonts w:eastAsia="Calibri"/>
          <w:b/>
          <w:bCs/>
          <w:rtl/>
        </w:rPr>
        <w:t xml:space="preserve"> הנורמה </w:t>
      </w:r>
      <w:r w:rsidRPr="00A210E9">
        <w:rPr>
          <w:rFonts w:eastAsia="Calibri" w:hint="cs"/>
          <w:b/>
          <w:bCs/>
          <w:rtl/>
        </w:rPr>
        <w:t>בנושאים אלה ב</w:t>
      </w:r>
      <w:r w:rsidRPr="00A210E9">
        <w:rPr>
          <w:rFonts w:eastAsia="Calibri"/>
          <w:b/>
          <w:bCs/>
          <w:rtl/>
        </w:rPr>
        <w:t>חקיקה ראשית או משנית, כך שת</w:t>
      </w:r>
      <w:r w:rsidRPr="00A210E9">
        <w:rPr>
          <w:rFonts w:eastAsia="Calibri" w:hint="cs"/>
          <w:b/>
          <w:bCs/>
          <w:rtl/>
        </w:rPr>
        <w:t>י</w:t>
      </w:r>
      <w:r w:rsidRPr="00A210E9">
        <w:rPr>
          <w:rFonts w:eastAsia="Calibri"/>
          <w:b/>
          <w:bCs/>
          <w:rtl/>
        </w:rPr>
        <w:t xml:space="preserve">קבע באופן מפורש ובהיר זכאותם </w:t>
      </w:r>
      <w:r w:rsidRPr="00A210E9">
        <w:rPr>
          <w:rFonts w:eastAsia="Calibri" w:hint="cs"/>
          <w:b/>
          <w:bCs/>
          <w:rtl/>
        </w:rPr>
        <w:t xml:space="preserve">או אי-זכאותם </w:t>
      </w:r>
      <w:r w:rsidRPr="00A210E9">
        <w:rPr>
          <w:rFonts w:eastAsia="Calibri"/>
          <w:b/>
          <w:bCs/>
          <w:rtl/>
        </w:rPr>
        <w:t>של בעלי תג</w:t>
      </w:r>
      <w:r w:rsidRPr="00A210E9">
        <w:rPr>
          <w:rFonts w:eastAsia="Calibri" w:hint="cs"/>
          <w:b/>
          <w:bCs/>
          <w:rtl/>
        </w:rPr>
        <w:t xml:space="preserve"> חניה</w:t>
      </w:r>
      <w:r w:rsidRPr="00A210E9">
        <w:rPr>
          <w:rFonts w:eastAsia="Calibri"/>
          <w:b/>
          <w:bCs/>
          <w:rtl/>
        </w:rPr>
        <w:t xml:space="preserve"> לחנות ללא תשלום בחני</w:t>
      </w:r>
      <w:r w:rsidRPr="00A210E9">
        <w:rPr>
          <w:rFonts w:eastAsia="Calibri" w:hint="cs"/>
          <w:b/>
          <w:bCs/>
          <w:rtl/>
        </w:rPr>
        <w:t>ה</w:t>
      </w:r>
      <w:r w:rsidRPr="00A210E9">
        <w:rPr>
          <w:rFonts w:eastAsia="Calibri"/>
          <w:b/>
          <w:bCs/>
          <w:rtl/>
        </w:rPr>
        <w:t xml:space="preserve"> </w:t>
      </w:r>
      <w:r w:rsidRPr="00A210E9">
        <w:rPr>
          <w:rFonts w:eastAsia="Calibri" w:hint="cs"/>
          <w:b/>
          <w:bCs/>
          <w:rtl/>
        </w:rPr>
        <w:t>ב</w:t>
      </w:r>
      <w:r w:rsidRPr="00A210E9">
        <w:rPr>
          <w:rFonts w:eastAsia="Calibri"/>
          <w:b/>
          <w:bCs/>
          <w:rtl/>
        </w:rPr>
        <w:t>כחול לבן</w:t>
      </w:r>
      <w:r w:rsidRPr="00A210E9">
        <w:rPr>
          <w:rFonts w:eastAsia="Calibri" w:hint="cs"/>
          <w:b/>
          <w:bCs/>
          <w:rtl/>
        </w:rPr>
        <w:t>,</w:t>
      </w:r>
      <w:r w:rsidRPr="00A210E9">
        <w:rPr>
          <w:rFonts w:eastAsia="Calibri"/>
          <w:b/>
          <w:bCs/>
          <w:rtl/>
        </w:rPr>
        <w:t xml:space="preserve"> </w:t>
      </w:r>
      <w:r w:rsidRPr="00A210E9">
        <w:rPr>
          <w:rFonts w:eastAsia="Calibri" w:hint="cs"/>
          <w:b/>
          <w:bCs/>
          <w:rtl/>
        </w:rPr>
        <w:t>ובכלל זה ייקבעו</w:t>
      </w:r>
      <w:r w:rsidRPr="00A210E9">
        <w:rPr>
          <w:rFonts w:eastAsia="Calibri"/>
          <w:b/>
          <w:bCs/>
          <w:rtl/>
        </w:rPr>
        <w:t xml:space="preserve"> התנאים לכך והיקף </w:t>
      </w:r>
      <w:r w:rsidRPr="00A210E9">
        <w:rPr>
          <w:rFonts w:eastAsia="Calibri" w:hint="eastAsia"/>
          <w:b/>
          <w:bCs/>
          <w:rtl/>
        </w:rPr>
        <w:t>התחולה</w:t>
      </w:r>
      <w:r w:rsidRPr="00A210E9">
        <w:rPr>
          <w:rFonts w:eastAsia="Calibri" w:hint="cs"/>
          <w:b/>
          <w:bCs/>
          <w:rtl/>
        </w:rPr>
        <w:t xml:space="preserve"> של הזכאות</w:t>
      </w:r>
      <w:r w:rsidRPr="00A210E9">
        <w:rPr>
          <w:rFonts w:eastAsia="Calibri"/>
          <w:b/>
          <w:bCs/>
          <w:rtl/>
        </w:rPr>
        <w:t xml:space="preserve">. </w:t>
      </w:r>
      <w:r w:rsidRPr="00A210E9">
        <w:rPr>
          <w:rFonts w:eastAsia="Calibri" w:hint="cs"/>
          <w:b/>
          <w:bCs/>
          <w:rtl/>
        </w:rPr>
        <w:t xml:space="preserve">אם יוחלט על צמצום הפטור מתשלום לבעלי תג חניה, ראוי לבחון מתן הטבות חלופיות לנזקקים לכך, באמצעות מנגנונים מתאימים ובשיתוף משרדי הממשלה הרלוונטיים, ובהתחשב גם במחויבויותיה של ישראל להוראות האמנה הבין-לאומית לזכויות אנשים עם מוגבלות בהקשר זה.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eastAsia"/>
          <w:rtl/>
        </w:rPr>
        <w:t>משרד</w:t>
      </w:r>
      <w:r w:rsidRPr="00A210E9">
        <w:rPr>
          <w:rFonts w:eastAsia="Calibri"/>
          <w:rtl/>
        </w:rPr>
        <w:t xml:space="preserve"> התחבורה כתב בתשובתו כי מקובל על</w:t>
      </w:r>
      <w:r w:rsidRPr="00A210E9">
        <w:rPr>
          <w:rFonts w:eastAsia="Calibri" w:hint="eastAsia"/>
          <w:rtl/>
        </w:rPr>
        <w:t>יו</w:t>
      </w:r>
      <w:r w:rsidRPr="00A210E9">
        <w:rPr>
          <w:rFonts w:eastAsia="Calibri"/>
          <w:rtl/>
        </w:rPr>
        <w:t xml:space="preserve"> כי להטבה זו עשויה להיות השפעה על התמריץ לבקשת תג ועל דפוסי השימוש בו. </w:t>
      </w:r>
      <w:r w:rsidRPr="00A210E9">
        <w:rPr>
          <w:rFonts w:eastAsia="Calibri" w:hint="eastAsia"/>
          <w:rtl/>
        </w:rPr>
        <w:t>הוא</w:t>
      </w:r>
      <w:r w:rsidRPr="00A210E9">
        <w:rPr>
          <w:rFonts w:eastAsia="Calibri"/>
          <w:rtl/>
        </w:rPr>
        <w:t xml:space="preserve"> ציין כי הוא פועל כבר עתה, במסגרת מהלך ההסדרה הכולל של תחום תגי ה</w:t>
      </w:r>
      <w:r w:rsidRPr="00A210E9">
        <w:rPr>
          <w:rFonts w:eastAsia="Calibri" w:hint="eastAsia"/>
          <w:rtl/>
        </w:rPr>
        <w:t>חניה</w:t>
      </w:r>
      <w:r w:rsidRPr="00A210E9">
        <w:rPr>
          <w:rFonts w:eastAsia="Calibri"/>
          <w:rtl/>
        </w:rPr>
        <w:t xml:space="preserve">, לצמצום היקף הזכאים לתג בהתאם למתווה המתגבש, </w:t>
      </w:r>
      <w:r w:rsidRPr="00A210E9">
        <w:rPr>
          <w:rFonts w:eastAsia="Calibri" w:hint="eastAsia"/>
          <w:rtl/>
        </w:rPr>
        <w:t>והדבר</w:t>
      </w:r>
      <w:r w:rsidRPr="00A210E9">
        <w:rPr>
          <w:rFonts w:eastAsia="Calibri"/>
          <w:rtl/>
        </w:rPr>
        <w:t xml:space="preserve"> צפוי גם לצמצם </w:t>
      </w:r>
      <w:r w:rsidRPr="00A210E9">
        <w:rPr>
          <w:rFonts w:eastAsia="Calibri" w:hint="cs"/>
          <w:rtl/>
        </w:rPr>
        <w:t>במידה ניכרת</w:t>
      </w:r>
      <w:r w:rsidRPr="00A210E9">
        <w:rPr>
          <w:rFonts w:eastAsia="Calibri"/>
          <w:rtl/>
        </w:rPr>
        <w:t xml:space="preserve"> את היקף התופעה של שימוש בהטבה זו בידי מי שאינם נמנים עם אוכלוסיית היעד שלשמה נועדה. </w:t>
      </w:r>
      <w:r w:rsidRPr="00A210E9">
        <w:rPr>
          <w:rFonts w:eastAsia="Calibri" w:hint="eastAsia"/>
          <w:rtl/>
        </w:rPr>
        <w:t>המשרד</w:t>
      </w:r>
      <w:r w:rsidRPr="00A210E9">
        <w:rPr>
          <w:rFonts w:eastAsia="Calibri"/>
          <w:rtl/>
        </w:rPr>
        <w:t xml:space="preserve"> הוסיף כי בשים לב לכך שמדובר בסוגיה </w:t>
      </w:r>
      <w:r w:rsidRPr="00A210E9">
        <w:rPr>
          <w:rFonts w:eastAsia="Calibri" w:hint="cs"/>
          <w:rtl/>
        </w:rPr>
        <w:t>הנוגעת</w:t>
      </w:r>
      <w:r w:rsidRPr="00A210E9">
        <w:rPr>
          <w:rFonts w:eastAsia="Calibri"/>
          <w:rtl/>
        </w:rPr>
        <w:t xml:space="preserve"> גם </w:t>
      </w:r>
      <w:r w:rsidRPr="00A210E9">
        <w:rPr>
          <w:rFonts w:eastAsia="Calibri" w:hint="cs"/>
          <w:rtl/>
        </w:rPr>
        <w:t>ל</w:t>
      </w:r>
      <w:r w:rsidRPr="00A210E9">
        <w:rPr>
          <w:rFonts w:eastAsia="Calibri"/>
          <w:rtl/>
        </w:rPr>
        <w:t xml:space="preserve">סמכויותיהם של משרד הפנים, הרשויות המקומיות ונציבות שוויון זכויות, עמדת המשרד היא כי נדרש בה מענה הסדרתי כולל, שיבחן את עצם הפטור, </w:t>
      </w:r>
      <w:r w:rsidRPr="00A210E9">
        <w:rPr>
          <w:rFonts w:eastAsia="Calibri" w:hint="cs"/>
          <w:rtl/>
        </w:rPr>
        <w:t xml:space="preserve">את </w:t>
      </w:r>
      <w:r w:rsidRPr="00A210E9">
        <w:rPr>
          <w:rFonts w:eastAsia="Calibri"/>
          <w:rtl/>
        </w:rPr>
        <w:t>היקפו, משך החניה ו</w:t>
      </w:r>
      <w:r w:rsidRPr="00A210E9">
        <w:rPr>
          <w:rFonts w:eastAsia="Calibri" w:hint="cs"/>
          <w:rtl/>
        </w:rPr>
        <w:t xml:space="preserve">את </w:t>
      </w:r>
      <w:r w:rsidRPr="00A210E9">
        <w:rPr>
          <w:rFonts w:eastAsia="Calibri"/>
          <w:rtl/>
        </w:rPr>
        <w:t>תשתיתו הנורמטיבית</w:t>
      </w:r>
      <w:r w:rsidRPr="00A210E9">
        <w:rPr>
          <w:rFonts w:eastAsia="Calibri" w:hint="cs"/>
          <w:rtl/>
        </w:rPr>
        <w:t xml:space="preserve"> של הפטור</w:t>
      </w:r>
      <w:r w:rsidRPr="00A210E9">
        <w:rPr>
          <w:rFonts w:eastAsia="Calibri"/>
          <w:rtl/>
        </w:rPr>
        <w:t>, לצורך קביעת נורמה ברורה ואחידה</w:t>
      </w:r>
      <w:r w:rsidRPr="00A210E9">
        <w:rPr>
          <w:rFonts w:eastAsia="Calibri" w:hint="cs"/>
          <w:rtl/>
        </w:rPr>
        <w:t xml:space="preserve"> בנושא</w:t>
      </w:r>
      <w:r w:rsidRPr="00A210E9">
        <w:rPr>
          <w:rFonts w:eastAsia="Calibri"/>
          <w:rtl/>
        </w:rPr>
        <w:t>.</w:t>
      </w:r>
    </w:p>
    <w:p w:rsidR="00A210E9" w:rsidRPr="00A210E9" w:rsidP="00A210E9">
      <w:pPr>
        <w:spacing w:line="269" w:lineRule="auto"/>
        <w:rPr>
          <w:rFonts w:eastAsia="Calibri"/>
          <w:b/>
          <w:bCs/>
          <w:rtl/>
        </w:rPr>
      </w:pPr>
    </w:p>
    <w:p w:rsidR="00A210E9" w:rsidRPr="00A210E9" w:rsidP="00A210E9">
      <w:pPr>
        <w:keepNext/>
        <w:keepLines/>
        <w:spacing w:line="269" w:lineRule="auto"/>
        <w:outlineLvl w:val="3"/>
        <w:rPr>
          <w:rFonts w:eastAsia="Times New Roman"/>
          <w:bCs/>
          <w:szCs w:val="26"/>
          <w:rtl/>
        </w:rPr>
      </w:pPr>
      <w:r w:rsidRPr="00A210E9">
        <w:rPr>
          <w:rFonts w:eastAsia="Times New Roman" w:hint="cs"/>
          <w:bCs/>
          <w:szCs w:val="26"/>
          <w:rtl/>
        </w:rPr>
        <w:t>מנגנון להקצאת מקום חניה אישי ברשות המקומית</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סעיף 4ד לחוק חניה לנכים עוסק בהקצאת מקום חניה אחד המתאים לצרכיו של אדם עם מוגבלות, העומד בקריטריונים הקבועים בחוק, בסמוך למקום מגוריו של אדם. החוק מחיל על הרשות המקומית את האחריות להקצות לאדם עם מוגבלות מקום חניה אישי במרחק שאינו עולה על 200 מטרים ממקום מגוריו, ואם לא נמצא מקום חניה במרחק זה אז במרחק שלא יעלה על 400 מטרים ממקום מגוריו.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מקום חניה הוא משאב ציבורי שנמצא במחסור באזורים רבים, ועם הקצאת חניה אישית לאדם מסוים שנושא תג חניה, רק אותו אדם רשאי לחנות במקום זה על כל המשתמע מכך לעניין משתמשי הדרך האחרים. לכן, על הרשות המקומית להיצמד לקריטריונים המוגדרים בחוק כדי לצמצם את בעיית המחסור במקומות חניה רגילים. </w:t>
      </w:r>
    </w:p>
    <w:p w:rsidR="00A210E9" w:rsidRPr="00A210E9" w:rsidP="00A210E9">
      <w:pPr>
        <w:spacing w:line="269" w:lineRule="auto"/>
        <w:rPr>
          <w:rFonts w:eastAsia="Calibri"/>
          <w:rtl/>
        </w:rPr>
      </w:pPr>
    </w:p>
    <w:p w:rsidR="00A210E9" w:rsidRPr="00A210E9" w:rsidP="00A210E9">
      <w:pPr>
        <w:keepNext/>
        <w:keepLines/>
        <w:spacing w:line="269" w:lineRule="auto"/>
        <w:outlineLvl w:val="4"/>
        <w:rPr>
          <w:rFonts w:eastAsia="Times New Roman"/>
          <w:bCs/>
          <w:spacing w:val="40"/>
          <w:rtl/>
        </w:rPr>
      </w:pPr>
      <w:r w:rsidRPr="00A210E9">
        <w:rPr>
          <w:rFonts w:eastAsia="Times New Roman" w:hint="cs"/>
          <w:bCs/>
          <w:spacing w:val="40"/>
          <w:rtl/>
        </w:rPr>
        <w:t>ריבוי חניות אישיות באזורים מסוימים</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Pr>
      </w:pPr>
      <w:r w:rsidRPr="00A210E9">
        <w:rPr>
          <w:rFonts w:eastAsia="Calibri" w:hint="cs"/>
          <w:rtl/>
        </w:rPr>
        <w:t xml:space="preserve">ריבוי חניות נכים אישיות באזורים מסוימים היא תופעה שניתן להבחין בה בחלק מהרשויות המקומיות. יש רחובות מסוימים, במקרים רבים במרכזי הערים (אך לא רק שם), שבהם יש שיעור גבוה של חניות אישיות והדבר יוצר בעיית חניה כללית; לדוגמה, בירושלים יש רחובות שבהם מרבית החניות מסומנות כחניות נכים אישיות, כמו רחובות ברניקי וניקרגואה. בפגישות עם עיריית ירושלים הובהר לצוות הביקורת שמצב זה קורה משום שיש אזורים בעיר של אוכלוסייה מבוגרת מאוד שזקוקה לחניה אישית. בחלק מהמקרים חניות אלה נשארות ריקות ברוב שעות היום, מכיוון שלעיתים מדובר באדם מבוגר או סיעודי שאינו נוהג, והרכב משרת ביום-יום את קרובי המשפחה של בעל התג.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eastAsia"/>
          <w:b/>
          <w:bCs/>
          <w:rtl/>
        </w:rPr>
        <w:t>במהלך</w:t>
      </w:r>
      <w:r w:rsidRPr="00A210E9">
        <w:rPr>
          <w:rFonts w:eastAsia="Calibri"/>
          <w:b/>
          <w:bCs/>
          <w:rtl/>
        </w:rPr>
        <w:t xml:space="preserve"> הביקורת נמצא כי בחלק מהרשויות המקומיות קיים מיפוי של מקומות החניה האישיים, </w:t>
      </w:r>
      <w:r w:rsidRPr="00A210E9">
        <w:rPr>
          <w:rFonts w:eastAsia="Calibri" w:hint="eastAsia"/>
          <w:b/>
          <w:bCs/>
          <w:rtl/>
        </w:rPr>
        <w:t>ובחלק</w:t>
      </w:r>
      <w:r w:rsidRPr="00A210E9">
        <w:rPr>
          <w:rFonts w:eastAsia="Calibri"/>
          <w:b/>
          <w:bCs/>
          <w:rtl/>
        </w:rPr>
        <w:t xml:space="preserve"> </w:t>
      </w:r>
      <w:r w:rsidRPr="00A210E9">
        <w:rPr>
          <w:rFonts w:eastAsia="Calibri" w:hint="eastAsia"/>
          <w:b/>
          <w:bCs/>
          <w:rtl/>
        </w:rPr>
        <w:t>מהן</w:t>
      </w:r>
      <w:r w:rsidRPr="00A210E9">
        <w:rPr>
          <w:rFonts w:eastAsia="Calibri"/>
          <w:b/>
          <w:bCs/>
          <w:rtl/>
        </w:rPr>
        <w:t xml:space="preserve"> המיפוי חלקי או לא מדויק. במסגרת הביקורת נבדקה צפיפות מקומות החניה האישיים באמצעות מערכת </w:t>
      </w:r>
      <w:r w:rsidRPr="00A210E9">
        <w:rPr>
          <w:rFonts w:eastAsia="Calibri"/>
          <w:b/>
          <w:bCs/>
        </w:rPr>
        <w:t>GIS</w:t>
      </w:r>
      <w:r w:rsidRPr="00A210E9">
        <w:rPr>
          <w:rFonts w:eastAsia="Calibri"/>
          <w:b/>
          <w:bCs/>
          <w:rtl/>
        </w:rPr>
        <w:t xml:space="preserve"> בעיריות ירושלים ותל אביב-יפו שבהן קיים מיפוי מלא של החניות האישיות בעיר</w:t>
      </w:r>
      <w:r>
        <w:rPr>
          <w:rFonts w:eastAsia="Calibri"/>
          <w:b/>
          <w:bCs/>
          <w:vertAlign w:val="superscript"/>
          <w:rtl/>
        </w:rPr>
        <w:footnoteReference w:id="113"/>
      </w:r>
      <w:r w:rsidRPr="00A210E9">
        <w:rPr>
          <w:rFonts w:eastAsia="Calibri"/>
          <w:b/>
          <w:bCs/>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בעיר תל אביב-יפו </w:t>
      </w:r>
      <w:bookmarkStart w:id="113" w:name="_Hlk219647557"/>
      <w:r w:rsidRPr="00A210E9">
        <w:rPr>
          <w:rFonts w:eastAsia="Calibri" w:hint="cs"/>
          <w:rtl/>
        </w:rPr>
        <w:t xml:space="preserve">צפיפות </w:t>
      </w:r>
      <w:bookmarkEnd w:id="113"/>
      <w:r w:rsidRPr="00A210E9">
        <w:rPr>
          <w:rFonts w:eastAsia="Calibri" w:hint="cs"/>
          <w:rtl/>
        </w:rPr>
        <w:t>החניות האישיות לשטח של 100 מ"ר נעה בין 1 ל-9. ב-64% מהאזורים</w:t>
      </w:r>
      <w:r>
        <w:rPr>
          <w:rFonts w:eastAsia="Calibri"/>
          <w:vertAlign w:val="superscript"/>
          <w:rtl/>
        </w:rPr>
        <w:footnoteReference w:id="114"/>
      </w:r>
      <w:r w:rsidRPr="00A210E9">
        <w:rPr>
          <w:rFonts w:eastAsia="Calibri" w:hint="cs"/>
          <w:rtl/>
        </w:rPr>
        <w:t xml:space="preserve"> הצפיפות היא חניה אחת ל-100 מ"ר, וב-22% מהאזורים הצפיפות היא 2 חניות. באזור אחד הצפיפות היא 7 חניות ל-100 מ"ר ובאזור אחד הצפיפות היא 9 חניות.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בחינת הנתונים בעיר ירושלים העלתה שצפיפות החניות האישיות גבוהה הרבה יותר ביחס לתל אביב-יפו - ב-49% מהאזורים</w:t>
      </w:r>
      <w:r>
        <w:rPr>
          <w:rFonts w:eastAsia="Calibri"/>
          <w:vertAlign w:val="superscript"/>
          <w:rtl/>
        </w:rPr>
        <w:footnoteReference w:id="115"/>
      </w:r>
      <w:r w:rsidRPr="00A210E9">
        <w:rPr>
          <w:rFonts w:eastAsia="Calibri" w:hint="cs"/>
          <w:rtl/>
        </w:rPr>
        <w:t xml:space="preserve"> הצפיפות היא חניה אחת ל-100 מ"ר, וב-22% מהאזורים הצפיפות היא 2 חניות. ב-11 אזורים הצפיפות היא 9 חניות ל-100 מ"ר, ב-23 אזורים הצפיפות גבוהה מ-9 חניות ובאחד האזורים היא אף מגיעה ל-46 חניות.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bookmarkStart w:id="114" w:name="_Hlk223607459"/>
      <w:r w:rsidRPr="00A210E9">
        <w:rPr>
          <w:rFonts w:eastAsia="Calibri"/>
          <w:b/>
          <w:bCs/>
          <w:rtl/>
        </w:rPr>
        <w:t xml:space="preserve">בהתאם לסעיף 4ה לחוק חניה לנכים, נתון לרשות המקומית שיקול דעת בהקצאת חניה אישית כאשר האדם עם המוגבלות אינו עומד בקריטריונים הקבועים בחוק להקצאה </w:t>
      </w:r>
      <w:r w:rsidRPr="00A210E9">
        <w:rPr>
          <w:rFonts w:eastAsia="Calibri" w:hint="cs"/>
          <w:b/>
          <w:bCs/>
          <w:rtl/>
        </w:rPr>
        <w:t>כאמור,</w:t>
      </w:r>
      <w:r w:rsidRPr="00A210E9">
        <w:rPr>
          <w:rFonts w:eastAsia="Calibri"/>
          <w:b/>
          <w:bCs/>
          <w:rtl/>
        </w:rPr>
        <w:t xml:space="preserve"> דבר אשר עשוי להשפיע על היקף החניות האישיות במרחב הציבורי</w:t>
      </w:r>
      <w:r w:rsidRPr="00A210E9">
        <w:rPr>
          <w:rFonts w:eastAsia="Calibri"/>
          <w:b/>
          <w:bCs/>
        </w:rPr>
        <w:t>.</w:t>
      </w:r>
      <w:r w:rsidRPr="00A210E9">
        <w:rPr>
          <w:rFonts w:eastAsia="Calibri" w:hint="cs"/>
          <w:b/>
          <w:bCs/>
          <w:rtl/>
        </w:rPr>
        <w:t xml:space="preserve"> מבדיקת הצפיפות שערך משרד מבקר המדינה עולה כי בעוד שהצפיפות המקסימלית של חניות אישיות בתל אביב-יפו היא 9 חניות </w:t>
      </w:r>
      <w:r w:rsidR="008A06B3">
        <w:rPr>
          <w:rFonts w:eastAsia="Calibri"/>
          <w:b/>
          <w:bCs/>
          <w:rtl/>
        </w:rPr>
        <w:br/>
      </w:r>
      <w:r w:rsidRPr="00A210E9">
        <w:rPr>
          <w:rFonts w:eastAsia="Calibri" w:hint="cs"/>
          <w:b/>
          <w:bCs/>
          <w:rtl/>
        </w:rPr>
        <w:t xml:space="preserve">ל-100 מ"ר, ואף זאת באזור אחד בלבד, הרי בירושלים הצפיפות המקסימלית מגיעה ל-46 חניות ל-100 מ"ר, כאשר ב-23 אזורים הצפיפות גבוהה מ-9 חניות. הקצאה של חניות אישיות גורעת חניות רגילות במרחב הציבורי, ועל כן צפיפות גבוהה של חניות אישיות עלולה ליצור בעיות חניה קשות באזור.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 xml:space="preserve">מכאן, שבכל הקשור לחניות האישיות הניתנות על פי שיקול דעת, </w:t>
      </w:r>
      <w:r w:rsidRPr="00A210E9">
        <w:rPr>
          <w:rFonts w:eastAsia="Calibri" w:hint="eastAsia"/>
          <w:b/>
          <w:bCs/>
          <w:rtl/>
        </w:rPr>
        <w:t>למי</w:t>
      </w:r>
      <w:r w:rsidRPr="00A210E9">
        <w:rPr>
          <w:rFonts w:eastAsia="Calibri" w:hint="cs"/>
          <w:b/>
          <w:bCs/>
          <w:rtl/>
        </w:rPr>
        <w:t xml:space="preserve"> שלא עומד בקריטריונים הקבועים בחוק, ראוי בעת ההחלטה במקרים כאלה לבחון גם את רמת הצפיפות האזורית והשפעתה על צרכי החניה הכלליים באזור.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ascii="David" w:eastAsia="Calibri" w:hAnsi="David"/>
          <w:sz w:val="24"/>
          <w:rtl/>
        </w:rPr>
      </w:pPr>
      <w:r w:rsidRPr="00A210E9">
        <w:rPr>
          <w:rFonts w:eastAsia="Calibri" w:hint="cs"/>
          <w:rtl/>
        </w:rPr>
        <w:t xml:space="preserve">מרכז השלטון האזורי כתב בתשובתו: "קיימת </w:t>
      </w:r>
      <w:r w:rsidRPr="00A210E9">
        <w:rPr>
          <w:rFonts w:ascii="David" w:eastAsia="Calibri" w:hAnsi="David"/>
          <w:sz w:val="24"/>
          <w:rtl/>
        </w:rPr>
        <w:t>שונות מהותית ומבדלת בין הצפיפות העירונית לבין המרחב הכפרי. במושבים ובקיבוצים</w:t>
      </w:r>
      <w:r w:rsidRPr="00A210E9">
        <w:rPr>
          <w:rFonts w:ascii="David" w:eastAsia="Calibri" w:hAnsi="David"/>
          <w:sz w:val="24"/>
        </w:rPr>
        <w:t>,</w:t>
      </w:r>
      <w:r w:rsidRPr="00A210E9">
        <w:rPr>
          <w:rFonts w:eastAsia="Calibri" w:hint="cs"/>
          <w:rtl/>
        </w:rPr>
        <w:t xml:space="preserve"> </w:t>
      </w:r>
      <w:r w:rsidRPr="00A210E9">
        <w:rPr>
          <w:rFonts w:ascii="David" w:eastAsia="Calibri" w:hAnsi="David"/>
          <w:sz w:val="24"/>
          <w:rtl/>
        </w:rPr>
        <w:t>המאופיינים בבנייה צמודת קרקע ובמרחקים פיזיים גדולים, אין מצוקת חניה או צפיפות המחייבת שינוי</w:t>
      </w:r>
      <w:r w:rsidRPr="00A210E9">
        <w:rPr>
          <w:rFonts w:eastAsia="Calibri" w:hint="cs"/>
          <w:rtl/>
        </w:rPr>
        <w:t xml:space="preserve"> </w:t>
      </w:r>
      <w:r w:rsidRPr="00A210E9">
        <w:rPr>
          <w:rFonts w:ascii="David" w:eastAsia="Calibri" w:hAnsi="David"/>
          <w:sz w:val="24"/>
          <w:rtl/>
        </w:rPr>
        <w:t xml:space="preserve">במדיניות הקצאת המשאבים או האכיפה. </w:t>
      </w:r>
      <w:r w:rsidRPr="00A210E9">
        <w:rPr>
          <w:rFonts w:ascii="David" w:eastAsia="Calibri" w:hAnsi="David" w:hint="cs"/>
          <w:sz w:val="24"/>
          <w:rtl/>
        </w:rPr>
        <w:t>אנו סבורים</w:t>
      </w:r>
      <w:r w:rsidRPr="00A210E9">
        <w:rPr>
          <w:rFonts w:ascii="David" w:eastAsia="Calibri" w:hAnsi="David"/>
          <w:sz w:val="24"/>
          <w:rtl/>
        </w:rPr>
        <w:t xml:space="preserve"> כי כל יוזמה להחלת מודלים עירוניים של אכיפה</w:t>
      </w:r>
      <w:r w:rsidRPr="00A210E9">
        <w:rPr>
          <w:rFonts w:eastAsia="Calibri" w:hint="cs"/>
          <w:rtl/>
        </w:rPr>
        <w:t xml:space="preserve"> </w:t>
      </w:r>
      <w:r w:rsidRPr="00A210E9">
        <w:rPr>
          <w:rFonts w:ascii="David" w:eastAsia="Calibri" w:hAnsi="David"/>
          <w:sz w:val="24"/>
          <w:rtl/>
        </w:rPr>
        <w:t>והסדרת חניה ביישובים שבהם המציאות בשטח אינה מצדיקה זאת, מחייבת התייחסות מבדלת המאפשרת</w:t>
      </w:r>
      <w:r w:rsidRPr="00A210E9">
        <w:rPr>
          <w:rFonts w:eastAsia="Calibri" w:hint="cs"/>
          <w:rtl/>
        </w:rPr>
        <w:t xml:space="preserve"> </w:t>
      </w:r>
      <w:r w:rsidRPr="00A210E9">
        <w:rPr>
          <w:rFonts w:ascii="David" w:eastAsia="Calibri" w:hAnsi="David"/>
          <w:sz w:val="24"/>
          <w:rtl/>
        </w:rPr>
        <w:t>גמישות ניהולית של המועצה האזורית בהתאמה לצרכי הקהילה</w:t>
      </w:r>
      <w:r w:rsidRPr="00A210E9">
        <w:rPr>
          <w:rFonts w:ascii="David" w:eastAsia="Calibri" w:hAnsi="David" w:hint="cs"/>
          <w:sz w:val="24"/>
          <w:rtl/>
        </w:rPr>
        <w:t>"</w:t>
      </w:r>
      <w:r w:rsidRPr="00A210E9">
        <w:rPr>
          <w:rFonts w:ascii="David" w:eastAsia="Calibri" w:hAnsi="David"/>
          <w:sz w:val="24"/>
        </w:rPr>
        <w:t>.</w:t>
      </w:r>
      <w:bookmarkEnd w:id="114"/>
    </w:p>
    <w:p w:rsidR="00A210E9" w:rsidRPr="00A210E9" w:rsidP="00A210E9">
      <w:pPr>
        <w:spacing w:line="269" w:lineRule="auto"/>
        <w:rPr>
          <w:rFonts w:eastAsia="Calibri"/>
          <w:b/>
          <w:bCs/>
          <w:rtl/>
        </w:rPr>
      </w:pPr>
    </w:p>
    <w:p w:rsidR="00A210E9" w:rsidRPr="00A210E9" w:rsidP="00A210E9">
      <w:pPr>
        <w:keepNext/>
        <w:keepLines/>
        <w:spacing w:line="269" w:lineRule="auto"/>
        <w:outlineLvl w:val="4"/>
        <w:rPr>
          <w:rFonts w:eastAsia="Times New Roman"/>
          <w:bCs/>
          <w:spacing w:val="40"/>
          <w:rtl/>
        </w:rPr>
      </w:pPr>
      <w:r w:rsidRPr="00A210E9">
        <w:rPr>
          <w:rFonts w:eastAsia="Times New Roman" w:hint="cs"/>
          <w:bCs/>
          <w:spacing w:val="40"/>
          <w:rtl/>
        </w:rPr>
        <w:t>תהליך ההקצאה</w:t>
      </w:r>
    </w:p>
    <w:p w:rsidR="00A210E9" w:rsidRPr="00A210E9" w:rsidP="00A210E9">
      <w:pPr>
        <w:rPr>
          <w:rFonts w:eastAsia="Calibri"/>
          <w:rtl/>
        </w:rPr>
      </w:pPr>
    </w:p>
    <w:p w:rsidR="00A210E9" w:rsidRPr="00A210E9" w:rsidP="00A210E9">
      <w:pPr>
        <w:keepNext/>
        <w:keepLines/>
        <w:spacing w:line="269" w:lineRule="auto"/>
        <w:outlineLvl w:val="5"/>
        <w:rPr>
          <w:rFonts w:eastAsia="Times New Roman"/>
          <w:spacing w:val="40"/>
          <w:rtl/>
        </w:rPr>
      </w:pPr>
      <w:r w:rsidRPr="00A210E9">
        <w:rPr>
          <w:rFonts w:eastAsia="Times New Roman" w:hint="cs"/>
          <w:spacing w:val="40"/>
          <w:rtl/>
        </w:rPr>
        <w:t>הקריטריונים להקצאת חניה אישית לאדם עם מוגבלות</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הקריטריונים להקצאת חניה אישית על פי חוק חניה לנכים הם</w:t>
      </w:r>
      <w:r w:rsidRPr="00A210E9">
        <w:rPr>
          <w:rFonts w:eastAsia="Calibri"/>
        </w:rPr>
        <w:t xml:space="preserve"> </w:t>
      </w:r>
      <w:r w:rsidRPr="00A210E9">
        <w:rPr>
          <w:rFonts w:eastAsia="Calibri" w:hint="cs"/>
          <w:rtl/>
        </w:rPr>
        <w:t>היותו של האדם עם מוגבלות עיוור או אדם שרופא שהוסמך לאשר נכות על פי דין אישר לגביו אחת מהחלופות האלה: דרגת נכותו מגיעה ל-90% לפחות ותנועתו בדרכים בלי רכב עלולה לערער את מצב בריאותו; אדם המוגבל בהליכה וזקוק לכיסא גלגלים לצורך ניידותו; אדם עם מוגבלות הזקוק לרכב כאמצעי תנועה בגלל רגליו הנכות. לזה מתווסף התנאי שלאדם עם מוגבלות אין מקום חניה הנמצא בשימושו הבלעדי באופן קבוע, ובכלל זה חניה הצמודה למקום מגוריו ובלבד שהיא מותאמת לצרכיו.</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סעיף 4ה לחוק חניה לנכים מקנה לרשות המקומית את האפשרות להפעיל שיקול דעת כאשר אדם עם מוגבלות אינו עומד בקריטריונים שמציב החוק לחובת הקצאת מקום חניה אישי, ולהחליט אם חרף אי-עמידתו של האדם עם מוגבלות בקריטריונים, הקצאת חניה אישית מוצדקת בנסיבות העניין, וזאת בהתחשב בדרגת הנכות של האדם עם מוגבלות ומידת השפעתה על ניידותו. </w:t>
      </w:r>
    </w:p>
    <w:p w:rsidR="00A210E9" w:rsidRPr="00A210E9" w:rsidP="00C21358">
      <w:pPr>
        <w:keepNext/>
        <w:keepLines/>
        <w:spacing w:after="120" w:line="269" w:lineRule="auto"/>
        <w:jc w:val="center"/>
        <w:rPr>
          <w:rFonts w:eastAsia="Calibri"/>
          <w:rtl/>
        </w:rPr>
      </w:pPr>
      <w:r w:rsidRPr="00A210E9">
        <w:rPr>
          <w:rFonts w:eastAsia="Calibri" w:hint="cs"/>
          <w:rtl/>
        </w:rPr>
        <w:t xml:space="preserve">תרשים 14: </w:t>
      </w:r>
      <w:r w:rsidRPr="00A210E9">
        <w:rPr>
          <w:rFonts w:eastAsia="Calibri" w:hint="cs"/>
          <w:b/>
          <w:bCs/>
          <w:rtl/>
        </w:rPr>
        <w:t>הקצאת חניה אישית לאדם עם מוגבלות</w:t>
      </w:r>
    </w:p>
    <w:p w:rsidR="00A210E9" w:rsidRPr="00A210E9" w:rsidP="00A210E9">
      <w:pPr>
        <w:spacing w:line="269" w:lineRule="auto"/>
        <w:ind w:left="-1"/>
        <w:jc w:val="center"/>
        <w:rPr>
          <w:rFonts w:eastAsia="Calibri"/>
          <w:rtl/>
        </w:rPr>
      </w:pPr>
      <w:r w:rsidRPr="00A210E9">
        <w:rPr>
          <w:rFonts w:eastAsia="Calibri"/>
          <w:noProof/>
        </w:rPr>
        <w:drawing>
          <wp:inline distT="0" distB="0" distL="0" distR="0">
            <wp:extent cx="5219065" cy="6752900"/>
            <wp:effectExtent l="0" t="0" r="635" b="0"/>
            <wp:docPr id="15" name="תמונה 15" descr="בתרשים ניתן לראות את את הקריטריונים להקצאת חניה אישית לאדם עם מוגבלו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35"/>
                    <a:srcRect t="6394" b="967"/>
                    <a:stretch>
                      <a:fillRect/>
                    </a:stretch>
                  </pic:blipFill>
                  <pic:spPr bwMode="auto">
                    <a:xfrm>
                      <a:off x="0" y="0"/>
                      <a:ext cx="5219700" cy="675372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A210E9" w:rsidRPr="00A210E9" w:rsidP="00A210E9">
      <w:pPr>
        <w:spacing w:line="269" w:lineRule="auto"/>
        <w:ind w:left="-1"/>
        <w:rPr>
          <w:rFonts w:eastAsia="Calibri"/>
          <w:szCs w:val="20"/>
          <w:rtl/>
        </w:rPr>
      </w:pPr>
      <w:r w:rsidRPr="00A210E9">
        <w:rPr>
          <w:rFonts w:eastAsia="Calibri" w:hint="cs"/>
          <w:szCs w:val="20"/>
          <w:rtl/>
        </w:rPr>
        <w:t>על פי חוק חניה לנכים, בעיבוד משרד מבקר המדינה.</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משרד מבקר המדינה בדק בכמה רשויות מקומיות את שיקול הדעת של הרשות המקומית בבואה להחליט על הקצאת מקום חניה אישי, כמפורט בלוח שלהלן: </w:t>
      </w:r>
    </w:p>
    <w:p w:rsidR="00A210E9" w:rsidRPr="00A210E9" w:rsidP="00A210E9">
      <w:pPr>
        <w:keepNext/>
        <w:keepLines/>
        <w:spacing w:line="269" w:lineRule="auto"/>
        <w:ind w:left="-567"/>
        <w:rPr>
          <w:rFonts w:eastAsia="Calibri"/>
          <w:szCs w:val="20"/>
          <w:rtl/>
        </w:rPr>
      </w:pPr>
    </w:p>
    <w:p w:rsidR="00141DC3">
      <w:pPr>
        <w:bidi w:val="0"/>
        <w:spacing w:after="200" w:line="276" w:lineRule="auto"/>
        <w:rPr>
          <w:rFonts w:eastAsia="Calibri"/>
          <w:rtl/>
        </w:rPr>
      </w:pPr>
      <w:r>
        <w:rPr>
          <w:rFonts w:eastAsia="Calibri"/>
          <w:rtl/>
        </w:rPr>
        <w:br w:type="page"/>
      </w:r>
    </w:p>
    <w:p w:rsidR="00A210E9" w:rsidRPr="00A210E9" w:rsidP="00A210E9">
      <w:pPr>
        <w:keepNext/>
        <w:keepLines/>
        <w:spacing w:line="269" w:lineRule="auto"/>
        <w:jc w:val="center"/>
        <w:rPr>
          <w:rFonts w:eastAsia="Calibri"/>
          <w:rtl/>
        </w:rPr>
      </w:pPr>
      <w:r w:rsidRPr="00A210E9">
        <w:rPr>
          <w:rFonts w:eastAsia="Calibri" w:hint="cs"/>
          <w:rtl/>
        </w:rPr>
        <w:t xml:space="preserve">לוח 7: </w:t>
      </w:r>
      <w:r w:rsidRPr="00A210E9">
        <w:rPr>
          <w:rFonts w:eastAsia="Calibri" w:hint="cs"/>
          <w:b/>
          <w:bCs/>
          <w:noProof/>
          <w:rtl/>
        </w:rPr>
        <w:t>הקצאת חניה אישית -</w:t>
      </w:r>
      <w:r w:rsidRPr="00A210E9">
        <w:rPr>
          <w:rFonts w:eastAsia="Calibri" w:hint="cs"/>
          <w:noProof/>
          <w:rtl/>
        </w:rPr>
        <w:t xml:space="preserve"> </w:t>
      </w:r>
      <w:r w:rsidRPr="00A210E9">
        <w:rPr>
          <w:rFonts w:eastAsia="Calibri" w:hint="cs"/>
          <w:b/>
          <w:bCs/>
          <w:rtl/>
        </w:rPr>
        <w:t>השוואה בין ארבע רשויות מקומיות</w:t>
      </w:r>
      <w:r w:rsidRPr="00A210E9">
        <w:rPr>
          <w:rFonts w:eastAsia="Calibri" w:hint="cs"/>
          <w:rtl/>
        </w:rPr>
        <w:t xml:space="preserve"> </w:t>
      </w:r>
    </w:p>
    <w:tbl>
      <w:tblPr>
        <w:tblStyle w:val="TableGrid"/>
        <w:bidiVisual/>
        <w:tblW w:w="0" w:type="auto"/>
        <w:jc w:val="center"/>
        <w:tblLook w:val="04A0"/>
      </w:tblPr>
      <w:tblGrid>
        <w:gridCol w:w="1101"/>
        <w:gridCol w:w="1745"/>
        <w:gridCol w:w="1369"/>
        <w:gridCol w:w="1892"/>
        <w:gridCol w:w="2103"/>
      </w:tblGrid>
      <w:tr w:rsidTr="00A157C9">
        <w:tblPrEx>
          <w:tblW w:w="0" w:type="auto"/>
          <w:jc w:val="center"/>
          <w:tblLook w:val="04A0"/>
        </w:tblPrEx>
        <w:trPr>
          <w:tblHeader/>
          <w:jc w:val="center"/>
        </w:trPr>
        <w:tc>
          <w:tcPr>
            <w:tcW w:w="0" w:type="auto"/>
          </w:tcPr>
          <w:p w:rsidR="00A210E9" w:rsidRPr="00141DC3" w:rsidP="00A210E9">
            <w:pPr>
              <w:spacing w:line="269" w:lineRule="auto"/>
              <w:jc w:val="center"/>
              <w:rPr>
                <w:rFonts w:ascii="David" w:eastAsia="Calibri" w:hAnsi="David"/>
                <w:b/>
                <w:bCs/>
                <w:sz w:val="21"/>
                <w:szCs w:val="21"/>
                <w:rtl/>
              </w:rPr>
            </w:pPr>
            <w:bookmarkStart w:id="115" w:name="_Hlk199058997"/>
          </w:p>
        </w:tc>
        <w:tc>
          <w:tcPr>
            <w:tcW w:w="0" w:type="auto"/>
          </w:tcPr>
          <w:p w:rsidR="00A210E9" w:rsidRPr="00141DC3" w:rsidP="00A210E9">
            <w:pPr>
              <w:spacing w:line="269" w:lineRule="auto"/>
              <w:jc w:val="center"/>
              <w:rPr>
                <w:rFonts w:ascii="David" w:eastAsia="Calibri" w:hAnsi="David"/>
                <w:b/>
                <w:bCs/>
                <w:sz w:val="21"/>
                <w:szCs w:val="21"/>
                <w:rtl/>
              </w:rPr>
            </w:pPr>
            <w:r w:rsidRPr="00141DC3">
              <w:rPr>
                <w:rFonts w:ascii="David" w:eastAsia="Calibri" w:hAnsi="David" w:hint="cs"/>
                <w:b/>
                <w:bCs/>
                <w:sz w:val="21"/>
                <w:szCs w:val="21"/>
                <w:rtl/>
              </w:rPr>
              <w:t>עיריית רעננה</w:t>
            </w:r>
          </w:p>
        </w:tc>
        <w:tc>
          <w:tcPr>
            <w:tcW w:w="0" w:type="auto"/>
          </w:tcPr>
          <w:p w:rsidR="00A210E9" w:rsidRPr="00141DC3" w:rsidP="00A210E9">
            <w:pPr>
              <w:spacing w:line="269" w:lineRule="auto"/>
              <w:jc w:val="center"/>
              <w:rPr>
                <w:rFonts w:ascii="David" w:eastAsia="Calibri" w:hAnsi="David"/>
                <w:b/>
                <w:bCs/>
                <w:sz w:val="21"/>
                <w:szCs w:val="21"/>
                <w:rtl/>
              </w:rPr>
            </w:pPr>
            <w:r w:rsidRPr="00141DC3">
              <w:rPr>
                <w:rFonts w:ascii="David" w:eastAsia="Calibri" w:hAnsi="David" w:hint="cs"/>
                <w:b/>
                <w:bCs/>
                <w:sz w:val="21"/>
                <w:szCs w:val="21"/>
                <w:rtl/>
              </w:rPr>
              <w:t>עיריית ירושלים</w:t>
            </w:r>
          </w:p>
        </w:tc>
        <w:tc>
          <w:tcPr>
            <w:tcW w:w="0" w:type="auto"/>
          </w:tcPr>
          <w:p w:rsidR="00A210E9" w:rsidRPr="00141DC3" w:rsidP="00A210E9">
            <w:pPr>
              <w:spacing w:line="269" w:lineRule="auto"/>
              <w:jc w:val="center"/>
              <w:rPr>
                <w:rFonts w:ascii="David" w:eastAsia="Calibri" w:hAnsi="David"/>
                <w:b/>
                <w:bCs/>
                <w:sz w:val="21"/>
                <w:szCs w:val="21"/>
                <w:rtl/>
              </w:rPr>
            </w:pPr>
            <w:r w:rsidRPr="00141DC3">
              <w:rPr>
                <w:rFonts w:ascii="David" w:eastAsia="Calibri" w:hAnsi="David" w:hint="cs"/>
                <w:b/>
                <w:bCs/>
                <w:sz w:val="21"/>
                <w:szCs w:val="21"/>
                <w:rtl/>
              </w:rPr>
              <w:t>עיריית תל אביב-יפו</w:t>
            </w:r>
          </w:p>
        </w:tc>
        <w:tc>
          <w:tcPr>
            <w:tcW w:w="0" w:type="auto"/>
          </w:tcPr>
          <w:p w:rsidR="00A210E9" w:rsidRPr="00141DC3" w:rsidP="00A210E9">
            <w:pPr>
              <w:spacing w:line="269" w:lineRule="auto"/>
              <w:jc w:val="center"/>
              <w:rPr>
                <w:rFonts w:ascii="David" w:eastAsia="Calibri" w:hAnsi="David"/>
                <w:b/>
                <w:bCs/>
                <w:sz w:val="21"/>
                <w:szCs w:val="21"/>
                <w:rtl/>
              </w:rPr>
            </w:pPr>
            <w:r w:rsidRPr="00141DC3">
              <w:rPr>
                <w:rFonts w:ascii="David" w:eastAsia="Calibri" w:hAnsi="David" w:hint="cs"/>
                <w:b/>
                <w:bCs/>
                <w:sz w:val="21"/>
                <w:szCs w:val="21"/>
                <w:rtl/>
              </w:rPr>
              <w:t>עיריית חיפה</w:t>
            </w:r>
          </w:p>
        </w:tc>
      </w:tr>
      <w:bookmarkEnd w:id="115"/>
      <w:tr w:rsidTr="00A157C9">
        <w:tblPrEx>
          <w:tblW w:w="0" w:type="auto"/>
          <w:jc w:val="center"/>
          <w:tblLook w:val="04A0"/>
        </w:tblPrEx>
        <w:trPr>
          <w:jc w:val="center"/>
        </w:trPr>
        <w:tc>
          <w:tcPr>
            <w:tcW w:w="0" w:type="auto"/>
          </w:tcPr>
          <w:p w:rsidR="00A210E9" w:rsidRPr="00141DC3" w:rsidP="00A210E9">
            <w:pPr>
              <w:spacing w:line="269" w:lineRule="auto"/>
              <w:jc w:val="left"/>
              <w:rPr>
                <w:rFonts w:ascii="David" w:eastAsia="Calibri" w:hAnsi="David"/>
                <w:sz w:val="21"/>
                <w:szCs w:val="21"/>
                <w:rtl/>
              </w:rPr>
            </w:pPr>
            <w:r w:rsidRPr="00141DC3">
              <w:rPr>
                <w:rFonts w:ascii="David" w:eastAsia="Calibri" w:hAnsi="David" w:hint="cs"/>
                <w:sz w:val="21"/>
                <w:szCs w:val="21"/>
                <w:rtl/>
              </w:rPr>
              <w:t>מקרים שבהם העירייה מפעילה שיקול דעת</w:t>
            </w:r>
          </w:p>
        </w:tc>
        <w:tc>
          <w:tcPr>
            <w:tcW w:w="0" w:type="auto"/>
          </w:tcPr>
          <w:p w:rsidR="00A210E9" w:rsidRPr="00141DC3" w:rsidP="00A210E9">
            <w:pPr>
              <w:spacing w:line="269" w:lineRule="auto"/>
              <w:jc w:val="left"/>
              <w:rPr>
                <w:rFonts w:ascii="David" w:eastAsia="Calibri" w:hAnsi="David"/>
                <w:sz w:val="21"/>
                <w:szCs w:val="21"/>
              </w:rPr>
            </w:pPr>
            <w:r w:rsidRPr="00141DC3">
              <w:rPr>
                <w:rFonts w:ascii="David" w:eastAsia="Calibri" w:hAnsi="David" w:hint="cs"/>
                <w:sz w:val="21"/>
                <w:szCs w:val="21"/>
                <w:rtl/>
              </w:rPr>
              <w:t xml:space="preserve">כל בקשה מופנית לעובדת סוציאלית מטעם מחלקת הרווחה בעירייה. העובדת הסוציאלית בודקת אם האדם עם מוגבלות עומד בקריטריונים שבחוק. אם הוא אינו עומד בקריטריונים נבדק אם יש מקום לשקול שיקולים נוספים על פי שיקול הדעת של העירייה </w:t>
            </w:r>
          </w:p>
        </w:tc>
        <w:tc>
          <w:tcPr>
            <w:tcW w:w="0" w:type="auto"/>
          </w:tcPr>
          <w:p w:rsidR="00A210E9" w:rsidRPr="00141DC3" w:rsidP="00A210E9">
            <w:pPr>
              <w:spacing w:line="269" w:lineRule="auto"/>
              <w:jc w:val="left"/>
              <w:rPr>
                <w:rFonts w:ascii="David" w:eastAsia="Calibri" w:hAnsi="David"/>
                <w:sz w:val="21"/>
                <w:szCs w:val="21"/>
                <w:rtl/>
              </w:rPr>
            </w:pPr>
            <w:r w:rsidRPr="00141DC3">
              <w:rPr>
                <w:rFonts w:ascii="David" w:eastAsia="Calibri" w:hAnsi="David" w:hint="cs"/>
                <w:sz w:val="21"/>
                <w:szCs w:val="21"/>
                <w:rtl/>
              </w:rPr>
              <w:t xml:space="preserve"> 60% </w:t>
            </w:r>
            <w:r w:rsidRPr="00141DC3">
              <w:rPr>
                <w:rFonts w:eastAsia="Calibri" w:hint="cs"/>
                <w:sz w:val="21"/>
                <w:szCs w:val="21"/>
                <w:rtl/>
              </w:rPr>
              <w:t>-</w:t>
            </w:r>
            <w:r w:rsidRPr="00141DC3">
              <w:rPr>
                <w:rFonts w:ascii="David" w:eastAsia="Calibri" w:hAnsi="David" w:hint="cs"/>
                <w:sz w:val="21"/>
                <w:szCs w:val="21"/>
                <w:rtl/>
              </w:rPr>
              <w:t xml:space="preserve"> 89% נכות </w:t>
            </w:r>
            <w:r w:rsidRPr="00141DC3">
              <w:rPr>
                <w:rFonts w:eastAsia="Calibri" w:hint="cs"/>
                <w:sz w:val="21"/>
                <w:szCs w:val="21"/>
                <w:rtl/>
              </w:rPr>
              <w:t>(הטווח שבו אדם יכול להיות זכאי לתג חניה, אך לא להיות זכאי להקצאת חניה אישית על פי החוק</w:t>
            </w:r>
            <w:r w:rsidRPr="00141DC3">
              <w:rPr>
                <w:rFonts w:ascii="David" w:eastAsia="Calibri" w:hAnsi="David" w:hint="cs"/>
                <w:sz w:val="21"/>
                <w:szCs w:val="21"/>
                <w:rtl/>
              </w:rPr>
              <w:t>;</w:t>
            </w:r>
          </w:p>
          <w:p w:rsidR="00A210E9" w:rsidRPr="00141DC3" w:rsidP="00A210E9">
            <w:pPr>
              <w:spacing w:line="269" w:lineRule="auto"/>
              <w:jc w:val="left"/>
              <w:rPr>
                <w:rFonts w:ascii="David" w:eastAsia="Calibri" w:hAnsi="David"/>
                <w:sz w:val="21"/>
                <w:szCs w:val="21"/>
                <w:rtl/>
              </w:rPr>
            </w:pPr>
            <w:r w:rsidRPr="00141DC3">
              <w:rPr>
                <w:rFonts w:ascii="David" w:eastAsia="Calibri" w:hAnsi="David" w:hint="cs"/>
                <w:sz w:val="21"/>
                <w:szCs w:val="21"/>
                <w:rtl/>
              </w:rPr>
              <w:t xml:space="preserve">מ-40% ניידות לפי הביטוח הלאומי </w:t>
            </w:r>
          </w:p>
        </w:tc>
        <w:tc>
          <w:tcPr>
            <w:tcW w:w="0" w:type="auto"/>
          </w:tcPr>
          <w:p w:rsidR="00A210E9" w:rsidRPr="00141DC3" w:rsidP="00A210E9">
            <w:pPr>
              <w:spacing w:line="269" w:lineRule="auto"/>
              <w:jc w:val="left"/>
              <w:rPr>
                <w:rFonts w:ascii="David" w:eastAsia="Calibri" w:hAnsi="David"/>
                <w:sz w:val="21"/>
                <w:szCs w:val="21"/>
                <w:rtl/>
              </w:rPr>
            </w:pPr>
            <w:r w:rsidRPr="00141DC3">
              <w:rPr>
                <w:rFonts w:ascii="David" w:eastAsia="Calibri" w:hAnsi="David" w:hint="cs"/>
                <w:sz w:val="21"/>
                <w:szCs w:val="21"/>
                <w:rtl/>
              </w:rPr>
              <w:t>אדם עם מוגבלות שאינו עומד בקריטריונים שמציב החוק מופנה לוועדת חריגים הבוחנת כל מקרה לגופו ומפעילה שיקול דעת לפי נסיבות העניין, בהתחשב במצבו הבריאותי של הפונה ובשיקולים נוספים, למשל אם האדם עם מוגבלות נוהג בעצמו ומתנייד באופן עצמאי או שהוא מקבל עזרה חיצונית (כגון עובד זר)</w:t>
            </w:r>
            <w:r>
              <w:rPr>
                <w:rFonts w:ascii="David" w:eastAsia="Calibri" w:hAnsi="David"/>
                <w:sz w:val="21"/>
                <w:szCs w:val="21"/>
                <w:vertAlign w:val="superscript"/>
                <w:rtl/>
              </w:rPr>
              <w:footnoteReference w:id="116"/>
            </w:r>
          </w:p>
        </w:tc>
        <w:tc>
          <w:tcPr>
            <w:tcW w:w="0" w:type="auto"/>
          </w:tcPr>
          <w:p w:rsidR="00A210E9" w:rsidRPr="00141DC3" w:rsidP="00A210E9">
            <w:pPr>
              <w:spacing w:line="269" w:lineRule="auto"/>
              <w:jc w:val="left"/>
              <w:rPr>
                <w:rFonts w:ascii="David" w:eastAsia="Calibri" w:hAnsi="David"/>
                <w:sz w:val="21"/>
                <w:szCs w:val="21"/>
                <w:rtl/>
              </w:rPr>
            </w:pPr>
            <w:r w:rsidRPr="00141DC3">
              <w:rPr>
                <w:rFonts w:ascii="David" w:eastAsia="Calibri" w:hAnsi="David" w:hint="cs"/>
                <w:sz w:val="21"/>
                <w:szCs w:val="21"/>
                <w:rtl/>
              </w:rPr>
              <w:t xml:space="preserve">העירייה מוסיפה לקריטריונים שמציב החוק גם 60% ניידות מהביטוח הלאומי. קריטריון זה מצביע לדעתה על קושי בהליכה כפי שמופיע בהגדרת "נכה" בחוק חניה לנכים. עניינו של אדם שאינו עומד באחוזי הניידות </w:t>
            </w:r>
            <w:r w:rsidRPr="00141DC3">
              <w:rPr>
                <w:rFonts w:ascii="David" w:eastAsia="Calibri" w:hAnsi="David" w:hint="eastAsia"/>
                <w:sz w:val="21"/>
                <w:szCs w:val="21"/>
                <w:rtl/>
              </w:rPr>
              <w:t>מופנה</w:t>
            </w:r>
            <w:r w:rsidRPr="00141DC3">
              <w:rPr>
                <w:rFonts w:ascii="David" w:eastAsia="Calibri" w:hAnsi="David"/>
                <w:sz w:val="21"/>
                <w:szCs w:val="21"/>
                <w:rtl/>
              </w:rPr>
              <w:t xml:space="preserve"> </w:t>
            </w:r>
            <w:r w:rsidRPr="00141DC3">
              <w:rPr>
                <w:rFonts w:ascii="David" w:eastAsia="Calibri" w:hAnsi="David" w:hint="eastAsia"/>
                <w:sz w:val="21"/>
                <w:szCs w:val="21"/>
                <w:rtl/>
              </w:rPr>
              <w:t>לדיון</w:t>
            </w:r>
            <w:r w:rsidRPr="00141DC3">
              <w:rPr>
                <w:rFonts w:ascii="David" w:eastAsia="Calibri" w:hAnsi="David"/>
                <w:sz w:val="21"/>
                <w:szCs w:val="21"/>
                <w:rtl/>
              </w:rPr>
              <w:t xml:space="preserve"> </w:t>
            </w:r>
            <w:r w:rsidRPr="00141DC3">
              <w:rPr>
                <w:rFonts w:ascii="David" w:eastAsia="Calibri" w:hAnsi="David" w:hint="eastAsia"/>
                <w:sz w:val="21"/>
                <w:szCs w:val="21"/>
                <w:rtl/>
              </w:rPr>
              <w:t>בוועדה</w:t>
            </w:r>
            <w:r w:rsidRPr="00141DC3">
              <w:rPr>
                <w:rFonts w:ascii="David" w:eastAsia="Calibri" w:hAnsi="David"/>
                <w:sz w:val="21"/>
                <w:szCs w:val="21"/>
                <w:rtl/>
              </w:rPr>
              <w:t xml:space="preserve"> </w:t>
            </w:r>
            <w:r w:rsidRPr="00141DC3">
              <w:rPr>
                <w:rFonts w:ascii="David" w:eastAsia="Calibri" w:hAnsi="David" w:hint="eastAsia"/>
                <w:sz w:val="21"/>
                <w:szCs w:val="21"/>
                <w:rtl/>
              </w:rPr>
              <w:t>מקצועית</w:t>
            </w:r>
            <w:r w:rsidRPr="00141DC3">
              <w:rPr>
                <w:rFonts w:ascii="David" w:eastAsia="Calibri" w:hAnsi="David"/>
                <w:sz w:val="21"/>
                <w:szCs w:val="21"/>
                <w:rtl/>
              </w:rPr>
              <w:t xml:space="preserve"> </w:t>
            </w:r>
            <w:r w:rsidRPr="00141DC3">
              <w:rPr>
                <w:rFonts w:ascii="David" w:eastAsia="Calibri" w:hAnsi="David" w:hint="eastAsia"/>
                <w:sz w:val="21"/>
                <w:szCs w:val="21"/>
                <w:rtl/>
              </w:rPr>
              <w:t>ייעודית</w:t>
            </w:r>
            <w:r w:rsidRPr="00141DC3">
              <w:rPr>
                <w:rFonts w:ascii="David" w:eastAsia="Calibri" w:hAnsi="David"/>
                <w:sz w:val="21"/>
                <w:szCs w:val="21"/>
                <w:rtl/>
              </w:rPr>
              <w:t>, ולע</w:t>
            </w:r>
            <w:r w:rsidRPr="00141DC3">
              <w:rPr>
                <w:rFonts w:ascii="David" w:eastAsia="Calibri" w:hAnsi="David" w:hint="cs"/>
                <w:sz w:val="21"/>
                <w:szCs w:val="21"/>
                <w:rtl/>
              </w:rPr>
              <w:t>י</w:t>
            </w:r>
            <w:r w:rsidRPr="00141DC3">
              <w:rPr>
                <w:rFonts w:ascii="David" w:eastAsia="Calibri" w:hAnsi="David"/>
                <w:sz w:val="21"/>
                <w:szCs w:val="21"/>
                <w:rtl/>
              </w:rPr>
              <w:t>תים גם</w:t>
            </w:r>
            <w:r w:rsidRPr="00141DC3">
              <w:rPr>
                <w:rFonts w:ascii="David" w:eastAsia="Calibri" w:hAnsi="David" w:hint="cs"/>
                <w:sz w:val="21"/>
                <w:szCs w:val="21"/>
                <w:rtl/>
              </w:rPr>
              <w:t xml:space="preserve"> לדיון</w:t>
            </w:r>
            <w:r w:rsidRPr="00141DC3">
              <w:rPr>
                <w:rFonts w:ascii="David" w:eastAsia="Calibri" w:hAnsi="David"/>
                <w:sz w:val="21"/>
                <w:szCs w:val="21"/>
                <w:rtl/>
              </w:rPr>
              <w:t xml:space="preserve"> </w:t>
            </w:r>
            <w:r w:rsidRPr="00141DC3">
              <w:rPr>
                <w:rFonts w:ascii="David" w:eastAsia="Calibri" w:hAnsi="David" w:hint="cs"/>
                <w:sz w:val="21"/>
                <w:szCs w:val="21"/>
                <w:rtl/>
              </w:rPr>
              <w:t>ב</w:t>
            </w:r>
            <w:r w:rsidRPr="00141DC3">
              <w:rPr>
                <w:rFonts w:ascii="David" w:eastAsia="Calibri" w:hAnsi="David" w:hint="eastAsia"/>
                <w:sz w:val="21"/>
                <w:szCs w:val="21"/>
                <w:rtl/>
              </w:rPr>
              <w:t>וועדת</w:t>
            </w:r>
            <w:r w:rsidRPr="00141DC3">
              <w:rPr>
                <w:rFonts w:ascii="David" w:eastAsia="Calibri" w:hAnsi="David"/>
                <w:sz w:val="21"/>
                <w:szCs w:val="21"/>
                <w:rtl/>
              </w:rPr>
              <w:t xml:space="preserve"> </w:t>
            </w:r>
            <w:r w:rsidRPr="00141DC3">
              <w:rPr>
                <w:rFonts w:ascii="David" w:eastAsia="Calibri" w:hAnsi="David" w:hint="eastAsia"/>
                <w:sz w:val="21"/>
                <w:szCs w:val="21"/>
                <w:rtl/>
              </w:rPr>
              <w:t>חריגים</w:t>
            </w:r>
            <w:r w:rsidRPr="00141DC3">
              <w:rPr>
                <w:rFonts w:ascii="David" w:eastAsia="Calibri" w:hAnsi="David"/>
                <w:sz w:val="21"/>
                <w:szCs w:val="21"/>
                <w:rtl/>
              </w:rPr>
              <w:t xml:space="preserve">. </w:t>
            </w:r>
            <w:r w:rsidRPr="00141DC3">
              <w:rPr>
                <w:rFonts w:ascii="David" w:eastAsia="Calibri" w:hAnsi="David" w:hint="cs"/>
                <w:sz w:val="21"/>
                <w:szCs w:val="21"/>
                <w:rtl/>
              </w:rPr>
              <w:t>הרופאה בוחנת הן</w:t>
            </w:r>
            <w:r w:rsidRPr="00141DC3">
              <w:rPr>
                <w:rFonts w:ascii="David" w:eastAsia="Calibri" w:hAnsi="David"/>
                <w:sz w:val="21"/>
                <w:szCs w:val="21"/>
                <w:rtl/>
              </w:rPr>
              <w:t xml:space="preserve"> ליקויים בניידות </w:t>
            </w:r>
            <w:r w:rsidRPr="00141DC3">
              <w:rPr>
                <w:rFonts w:ascii="David" w:eastAsia="Calibri" w:hAnsi="David" w:hint="cs"/>
                <w:sz w:val="21"/>
                <w:szCs w:val="21"/>
                <w:rtl/>
              </w:rPr>
              <w:t>והן</w:t>
            </w:r>
            <w:r w:rsidRPr="00141DC3">
              <w:rPr>
                <w:rFonts w:ascii="David" w:eastAsia="Calibri" w:hAnsi="David"/>
                <w:sz w:val="21"/>
                <w:szCs w:val="21"/>
                <w:rtl/>
              </w:rPr>
              <w:t xml:space="preserve"> </w:t>
            </w:r>
            <w:r w:rsidRPr="00141DC3">
              <w:rPr>
                <w:rFonts w:ascii="David" w:eastAsia="Calibri" w:hAnsi="David" w:hint="eastAsia"/>
                <w:sz w:val="21"/>
                <w:szCs w:val="21"/>
                <w:rtl/>
              </w:rPr>
              <w:t>מצבים</w:t>
            </w:r>
            <w:r w:rsidRPr="00141DC3">
              <w:rPr>
                <w:rFonts w:ascii="David" w:eastAsia="Calibri" w:hAnsi="David"/>
                <w:sz w:val="21"/>
                <w:szCs w:val="21"/>
                <w:rtl/>
              </w:rPr>
              <w:t xml:space="preserve"> </w:t>
            </w:r>
            <w:r w:rsidRPr="00141DC3">
              <w:rPr>
                <w:rFonts w:ascii="David" w:eastAsia="Calibri" w:hAnsi="David" w:hint="eastAsia"/>
                <w:sz w:val="21"/>
                <w:szCs w:val="21"/>
                <w:rtl/>
              </w:rPr>
              <w:t>רפואיים</w:t>
            </w:r>
            <w:r w:rsidRPr="00141DC3">
              <w:rPr>
                <w:rFonts w:ascii="David" w:eastAsia="Calibri" w:hAnsi="David"/>
                <w:sz w:val="21"/>
                <w:szCs w:val="21"/>
                <w:rtl/>
              </w:rPr>
              <w:t xml:space="preserve"> </w:t>
            </w:r>
            <w:r w:rsidRPr="00141DC3">
              <w:rPr>
                <w:rFonts w:ascii="David" w:eastAsia="Calibri" w:hAnsi="David" w:hint="eastAsia"/>
                <w:sz w:val="21"/>
                <w:szCs w:val="21"/>
                <w:rtl/>
              </w:rPr>
              <w:t>נוספים</w:t>
            </w:r>
            <w:r w:rsidRPr="00141DC3">
              <w:rPr>
                <w:rFonts w:ascii="David" w:eastAsia="Calibri" w:hAnsi="David" w:hint="cs"/>
                <w:sz w:val="21"/>
                <w:szCs w:val="21"/>
                <w:rtl/>
              </w:rPr>
              <w:t>,</w:t>
            </w:r>
            <w:r w:rsidRPr="00141DC3">
              <w:rPr>
                <w:rFonts w:ascii="David" w:eastAsia="Calibri" w:hAnsi="David"/>
                <w:sz w:val="21"/>
                <w:szCs w:val="21"/>
                <w:rtl/>
              </w:rPr>
              <w:t xml:space="preserve"> </w:t>
            </w:r>
            <w:r w:rsidRPr="00141DC3">
              <w:rPr>
                <w:rFonts w:ascii="David" w:eastAsia="Calibri" w:hAnsi="David" w:hint="eastAsia"/>
                <w:sz w:val="21"/>
                <w:szCs w:val="21"/>
                <w:rtl/>
              </w:rPr>
              <w:t>וחוות</w:t>
            </w:r>
            <w:r w:rsidRPr="00141DC3">
              <w:rPr>
                <w:rFonts w:ascii="David" w:eastAsia="Calibri" w:hAnsi="David"/>
                <w:sz w:val="21"/>
                <w:szCs w:val="21"/>
                <w:rtl/>
              </w:rPr>
              <w:t xml:space="preserve"> </w:t>
            </w:r>
            <w:r w:rsidRPr="00141DC3">
              <w:rPr>
                <w:rFonts w:ascii="David" w:eastAsia="Calibri" w:hAnsi="David" w:hint="eastAsia"/>
                <w:sz w:val="21"/>
                <w:szCs w:val="21"/>
                <w:rtl/>
              </w:rPr>
              <w:t>דעתה</w:t>
            </w:r>
            <w:r w:rsidRPr="00141DC3">
              <w:rPr>
                <w:rFonts w:ascii="David" w:eastAsia="Calibri" w:hAnsi="David"/>
                <w:sz w:val="21"/>
                <w:szCs w:val="21"/>
                <w:rtl/>
              </w:rPr>
              <w:t xml:space="preserve"> </w:t>
            </w:r>
            <w:r w:rsidRPr="00141DC3">
              <w:rPr>
                <w:rFonts w:ascii="David" w:eastAsia="Calibri" w:hAnsi="David" w:hint="cs"/>
                <w:sz w:val="21"/>
                <w:szCs w:val="21"/>
                <w:rtl/>
              </w:rPr>
              <w:t xml:space="preserve">היא </w:t>
            </w:r>
            <w:r w:rsidRPr="00141DC3">
              <w:rPr>
                <w:rFonts w:ascii="David" w:eastAsia="Calibri" w:hAnsi="David"/>
                <w:sz w:val="21"/>
                <w:szCs w:val="21"/>
                <w:rtl/>
              </w:rPr>
              <w:t>אחד השיקולים</w:t>
            </w:r>
            <w:r w:rsidRPr="00141DC3">
              <w:rPr>
                <w:rFonts w:ascii="David" w:eastAsia="Calibri" w:hAnsi="David" w:hint="cs"/>
                <w:sz w:val="21"/>
                <w:szCs w:val="21"/>
                <w:rtl/>
              </w:rPr>
              <w:t xml:space="preserve"> שלפיהם מתקבלת</w:t>
            </w:r>
            <w:r w:rsidRPr="00141DC3">
              <w:rPr>
                <w:rFonts w:ascii="David" w:eastAsia="Calibri" w:hAnsi="David"/>
                <w:sz w:val="21"/>
                <w:szCs w:val="21"/>
                <w:rtl/>
              </w:rPr>
              <w:t xml:space="preserve"> </w:t>
            </w:r>
            <w:r w:rsidRPr="00141DC3">
              <w:rPr>
                <w:rFonts w:ascii="David" w:eastAsia="Calibri" w:hAnsi="David" w:hint="eastAsia"/>
                <w:sz w:val="21"/>
                <w:szCs w:val="21"/>
                <w:rtl/>
              </w:rPr>
              <w:t>החלטת</w:t>
            </w:r>
            <w:r w:rsidRPr="00141DC3">
              <w:rPr>
                <w:rFonts w:ascii="David" w:eastAsia="Calibri" w:hAnsi="David"/>
                <w:sz w:val="21"/>
                <w:szCs w:val="21"/>
                <w:rtl/>
              </w:rPr>
              <w:t xml:space="preserve"> </w:t>
            </w:r>
            <w:r w:rsidRPr="00141DC3">
              <w:rPr>
                <w:rFonts w:ascii="David" w:eastAsia="Calibri" w:hAnsi="David" w:hint="eastAsia"/>
                <w:sz w:val="21"/>
                <w:szCs w:val="21"/>
                <w:rtl/>
              </w:rPr>
              <w:t>הוועדה</w:t>
            </w:r>
            <w:r w:rsidRPr="00141DC3">
              <w:rPr>
                <w:rFonts w:ascii="David" w:eastAsia="Calibri" w:hAnsi="David" w:hint="cs"/>
                <w:sz w:val="21"/>
                <w:szCs w:val="21"/>
                <w:rtl/>
              </w:rPr>
              <w:t xml:space="preserve">*. </w:t>
            </w:r>
          </w:p>
        </w:tc>
      </w:tr>
      <w:tr w:rsidTr="00A157C9">
        <w:tblPrEx>
          <w:tblW w:w="0" w:type="auto"/>
          <w:jc w:val="center"/>
          <w:tblLook w:val="04A0"/>
        </w:tblPrEx>
        <w:trPr>
          <w:jc w:val="center"/>
        </w:trPr>
        <w:tc>
          <w:tcPr>
            <w:tcW w:w="0" w:type="auto"/>
          </w:tcPr>
          <w:p w:rsidR="00A210E9" w:rsidRPr="00141DC3" w:rsidP="00A210E9">
            <w:pPr>
              <w:spacing w:line="269" w:lineRule="auto"/>
              <w:jc w:val="left"/>
              <w:rPr>
                <w:rFonts w:ascii="David" w:eastAsia="Calibri" w:hAnsi="David"/>
                <w:sz w:val="21"/>
                <w:szCs w:val="21"/>
                <w:rtl/>
              </w:rPr>
            </w:pPr>
            <w:r w:rsidRPr="00141DC3">
              <w:rPr>
                <w:rFonts w:ascii="David" w:eastAsia="Calibri" w:hAnsi="David" w:hint="cs"/>
                <w:sz w:val="21"/>
                <w:szCs w:val="21"/>
                <w:rtl/>
              </w:rPr>
              <w:t>אנשי מקצוע שהעירייה נעזרת בהם בהפעלת שיקול הדעת להקצאת החניה</w:t>
            </w:r>
          </w:p>
        </w:tc>
        <w:tc>
          <w:tcPr>
            <w:tcW w:w="0" w:type="auto"/>
          </w:tcPr>
          <w:p w:rsidR="00A210E9" w:rsidRPr="00141DC3" w:rsidP="00A210E9">
            <w:pPr>
              <w:spacing w:line="269" w:lineRule="auto"/>
              <w:jc w:val="left"/>
              <w:rPr>
                <w:rFonts w:ascii="David" w:eastAsia="Calibri" w:hAnsi="David"/>
                <w:sz w:val="21"/>
                <w:szCs w:val="21"/>
                <w:rtl/>
              </w:rPr>
            </w:pPr>
            <w:r w:rsidRPr="00141DC3">
              <w:rPr>
                <w:rFonts w:ascii="David" w:eastAsia="Calibri" w:hAnsi="David" w:hint="cs"/>
                <w:sz w:val="21"/>
                <w:szCs w:val="21"/>
                <w:rtl/>
              </w:rPr>
              <w:t xml:space="preserve">עובדת סוציאלית </w:t>
            </w:r>
          </w:p>
          <w:p w:rsidR="00A210E9" w:rsidRPr="00141DC3" w:rsidP="00A210E9">
            <w:pPr>
              <w:spacing w:line="269" w:lineRule="auto"/>
              <w:jc w:val="left"/>
              <w:rPr>
                <w:rFonts w:ascii="David" w:eastAsia="Calibri" w:hAnsi="David"/>
                <w:sz w:val="21"/>
                <w:szCs w:val="21"/>
                <w:rtl/>
              </w:rPr>
            </w:pPr>
            <w:r w:rsidRPr="00141DC3">
              <w:rPr>
                <w:rFonts w:ascii="David" w:eastAsia="Calibri" w:hAnsi="David" w:hint="cs"/>
                <w:sz w:val="21"/>
                <w:szCs w:val="21"/>
                <w:rtl/>
              </w:rPr>
              <w:t>בהתבסס על אישורים רפואיים, לרבות אישור מרופא משפחה</w:t>
            </w:r>
          </w:p>
        </w:tc>
        <w:tc>
          <w:tcPr>
            <w:tcW w:w="0" w:type="auto"/>
          </w:tcPr>
          <w:p w:rsidR="00A210E9" w:rsidRPr="00141DC3" w:rsidP="00A210E9">
            <w:pPr>
              <w:spacing w:line="269" w:lineRule="auto"/>
              <w:jc w:val="left"/>
              <w:rPr>
                <w:rFonts w:ascii="David" w:eastAsia="Calibri" w:hAnsi="David"/>
                <w:sz w:val="21"/>
                <w:szCs w:val="21"/>
                <w:rtl/>
              </w:rPr>
            </w:pPr>
            <w:r w:rsidRPr="00141DC3">
              <w:rPr>
                <w:rFonts w:ascii="David" w:eastAsia="Calibri" w:hAnsi="David" w:hint="cs"/>
                <w:sz w:val="21"/>
                <w:szCs w:val="21"/>
                <w:rtl/>
              </w:rPr>
              <w:t>רופאה תעסוקתית</w:t>
            </w:r>
          </w:p>
          <w:p w:rsidR="00A210E9" w:rsidRPr="00141DC3" w:rsidP="00A210E9">
            <w:pPr>
              <w:spacing w:line="269" w:lineRule="auto"/>
              <w:jc w:val="left"/>
              <w:rPr>
                <w:rFonts w:ascii="David" w:eastAsia="Calibri" w:hAnsi="David"/>
                <w:sz w:val="21"/>
                <w:szCs w:val="21"/>
                <w:rtl/>
              </w:rPr>
            </w:pPr>
            <w:r w:rsidRPr="00141DC3">
              <w:rPr>
                <w:rFonts w:ascii="David" w:eastAsia="Calibri" w:hAnsi="David" w:hint="cs"/>
                <w:sz w:val="21"/>
                <w:szCs w:val="21"/>
                <w:rtl/>
              </w:rPr>
              <w:t>בהתבסס על אישורים מרופאים מקצועיים</w:t>
            </w:r>
          </w:p>
        </w:tc>
        <w:tc>
          <w:tcPr>
            <w:tcW w:w="0" w:type="auto"/>
          </w:tcPr>
          <w:p w:rsidR="00A210E9" w:rsidRPr="00141DC3" w:rsidP="00A210E9">
            <w:pPr>
              <w:spacing w:line="269" w:lineRule="auto"/>
              <w:jc w:val="left"/>
              <w:rPr>
                <w:rFonts w:eastAsia="Calibri"/>
                <w:sz w:val="21"/>
                <w:szCs w:val="21"/>
                <w:rtl/>
              </w:rPr>
            </w:pPr>
            <w:r w:rsidRPr="00141DC3">
              <w:rPr>
                <w:rFonts w:eastAsia="Calibri" w:hint="cs"/>
                <w:sz w:val="21"/>
                <w:szCs w:val="21"/>
                <w:rtl/>
              </w:rPr>
              <w:t>התייעצות עם רופא אורתופד, בהתבסס על חוות דעת מקצועית מרופא מומחה, בתחומי האורתופדיה, הנוירולוגיה או כירורגיית כלי דם, המתייחסת לתפקוד ולכושר הניידות של המבקש, לרבות בדיקה של טווחי התנועה</w:t>
            </w:r>
            <w:r>
              <w:rPr>
                <w:rFonts w:eastAsia="Calibri"/>
                <w:sz w:val="21"/>
                <w:szCs w:val="21"/>
                <w:vertAlign w:val="superscript"/>
                <w:rtl/>
              </w:rPr>
              <w:footnoteReference w:id="117"/>
            </w:r>
            <w:r w:rsidRPr="00141DC3">
              <w:rPr>
                <w:rFonts w:eastAsia="Calibri" w:hint="cs"/>
                <w:sz w:val="21"/>
                <w:szCs w:val="21"/>
                <w:rtl/>
              </w:rPr>
              <w:t xml:space="preserve"> </w:t>
            </w:r>
          </w:p>
        </w:tc>
        <w:tc>
          <w:tcPr>
            <w:tcW w:w="0" w:type="auto"/>
          </w:tcPr>
          <w:p w:rsidR="00A210E9" w:rsidRPr="00141DC3" w:rsidP="00A210E9">
            <w:pPr>
              <w:spacing w:line="269" w:lineRule="auto"/>
              <w:jc w:val="left"/>
              <w:rPr>
                <w:rFonts w:ascii="David" w:eastAsia="Calibri" w:hAnsi="David"/>
                <w:sz w:val="21"/>
                <w:szCs w:val="21"/>
                <w:rtl/>
              </w:rPr>
            </w:pPr>
            <w:r w:rsidRPr="00141DC3">
              <w:rPr>
                <w:rFonts w:ascii="David" w:eastAsia="Calibri" w:hAnsi="David" w:hint="eastAsia"/>
                <w:sz w:val="21"/>
                <w:szCs w:val="21"/>
                <w:rtl/>
              </w:rPr>
              <w:t>רופאה</w:t>
            </w:r>
            <w:r w:rsidRPr="00141DC3">
              <w:rPr>
                <w:rFonts w:ascii="David" w:eastAsia="Calibri" w:hAnsi="David"/>
                <w:sz w:val="21"/>
                <w:szCs w:val="21"/>
                <w:rtl/>
              </w:rPr>
              <w:t xml:space="preserve"> מומחית בכירו</w:t>
            </w:r>
            <w:r w:rsidRPr="00141DC3">
              <w:rPr>
                <w:rFonts w:ascii="David" w:eastAsia="Calibri" w:hAnsi="David" w:hint="eastAsia"/>
                <w:sz w:val="21"/>
                <w:szCs w:val="21"/>
                <w:rtl/>
              </w:rPr>
              <w:t>ר</w:t>
            </w:r>
            <w:r w:rsidRPr="00141DC3">
              <w:rPr>
                <w:rFonts w:ascii="David" w:eastAsia="Calibri" w:hAnsi="David"/>
                <w:sz w:val="21"/>
                <w:szCs w:val="21"/>
                <w:rtl/>
              </w:rPr>
              <w:t>גיה כללית וברפואה דחופה ומנהלת מחלקה לרפואה דחופה בבית חולים. כמו כן, עברה הכשרה מיוחדת מטעם הביטוח הלאומי לקביעת ליקויים ו</w:t>
            </w:r>
            <w:r w:rsidRPr="00141DC3">
              <w:rPr>
                <w:rFonts w:ascii="David" w:eastAsia="Calibri" w:hAnsi="David" w:hint="cs"/>
                <w:sz w:val="21"/>
                <w:szCs w:val="21"/>
                <w:rtl/>
              </w:rPr>
              <w:t>שיעורי</w:t>
            </w:r>
            <w:r w:rsidRPr="00141DC3">
              <w:rPr>
                <w:rFonts w:ascii="David" w:eastAsia="Calibri" w:hAnsi="David"/>
                <w:sz w:val="21"/>
                <w:szCs w:val="21"/>
                <w:rtl/>
              </w:rPr>
              <w:t xml:space="preserve"> נכות</w:t>
            </w:r>
            <w:r w:rsidRPr="00141DC3">
              <w:rPr>
                <w:rFonts w:ascii="David" w:eastAsia="Calibri" w:hAnsi="David" w:hint="cs"/>
                <w:sz w:val="21"/>
                <w:szCs w:val="21"/>
                <w:rtl/>
              </w:rPr>
              <w:t>.</w:t>
            </w:r>
            <w:r w:rsidRPr="00141DC3">
              <w:rPr>
                <w:rFonts w:ascii="David" w:eastAsia="Calibri" w:hAnsi="David"/>
                <w:sz w:val="21"/>
                <w:szCs w:val="21"/>
                <w:rtl/>
              </w:rPr>
              <w:t xml:space="preserve"> במידת הצורך </w:t>
            </w:r>
            <w:r w:rsidRPr="00141DC3">
              <w:rPr>
                <w:rFonts w:ascii="David" w:eastAsia="Calibri" w:hAnsi="David" w:hint="eastAsia"/>
                <w:sz w:val="21"/>
                <w:szCs w:val="21"/>
                <w:rtl/>
              </w:rPr>
              <w:t>הרופאה</w:t>
            </w:r>
            <w:r w:rsidRPr="00141DC3">
              <w:rPr>
                <w:rFonts w:ascii="David" w:eastAsia="Calibri" w:hAnsi="David"/>
                <w:sz w:val="21"/>
                <w:szCs w:val="21"/>
                <w:rtl/>
              </w:rPr>
              <w:t xml:space="preserve"> מתייעצת עם רופאים מתחומי רפואה שונים.</w:t>
            </w:r>
          </w:p>
        </w:tc>
      </w:tr>
      <w:tr w:rsidTr="00A157C9">
        <w:tblPrEx>
          <w:tblW w:w="0" w:type="auto"/>
          <w:jc w:val="center"/>
          <w:tblLook w:val="04A0"/>
        </w:tblPrEx>
        <w:trPr>
          <w:jc w:val="center"/>
        </w:trPr>
        <w:tc>
          <w:tcPr>
            <w:tcW w:w="0" w:type="auto"/>
          </w:tcPr>
          <w:p w:rsidR="00A210E9" w:rsidRPr="00141DC3" w:rsidP="00A210E9">
            <w:pPr>
              <w:spacing w:line="269" w:lineRule="auto"/>
              <w:jc w:val="left"/>
              <w:rPr>
                <w:rFonts w:ascii="David" w:eastAsia="Calibri" w:hAnsi="David"/>
                <w:sz w:val="21"/>
                <w:szCs w:val="21"/>
                <w:rtl/>
              </w:rPr>
            </w:pPr>
            <w:r w:rsidRPr="00141DC3">
              <w:rPr>
                <w:rFonts w:ascii="David" w:eastAsia="Calibri" w:hAnsi="David" w:hint="cs"/>
                <w:sz w:val="21"/>
                <w:szCs w:val="21"/>
                <w:rtl/>
              </w:rPr>
              <w:t>ביקור בשטח מטעם העירייה</w:t>
            </w:r>
          </w:p>
        </w:tc>
        <w:tc>
          <w:tcPr>
            <w:tcW w:w="0" w:type="auto"/>
          </w:tcPr>
          <w:p w:rsidR="00A210E9" w:rsidRPr="00141DC3" w:rsidP="00A210E9">
            <w:pPr>
              <w:spacing w:line="269" w:lineRule="auto"/>
              <w:jc w:val="left"/>
              <w:rPr>
                <w:rFonts w:ascii="David" w:eastAsia="Calibri" w:hAnsi="David"/>
                <w:sz w:val="21"/>
                <w:szCs w:val="21"/>
                <w:rtl/>
              </w:rPr>
            </w:pPr>
            <w:r w:rsidRPr="00141DC3">
              <w:rPr>
                <w:rFonts w:ascii="David" w:eastAsia="Calibri" w:hAnsi="David" w:hint="cs"/>
                <w:sz w:val="21"/>
                <w:szCs w:val="21"/>
                <w:rtl/>
              </w:rPr>
              <w:t xml:space="preserve">טופס מקוון ולעיתים ביקור שטח של נציג העירייה כדי להתרשם ממצבו של האדם עם מוגבלות ולוודא שאכן אין חניה פרטית הצמודה למקום מגוריו </w:t>
            </w:r>
          </w:p>
        </w:tc>
        <w:tc>
          <w:tcPr>
            <w:tcW w:w="0" w:type="auto"/>
          </w:tcPr>
          <w:p w:rsidR="00A210E9" w:rsidRPr="00141DC3" w:rsidP="00A210E9">
            <w:pPr>
              <w:spacing w:line="269" w:lineRule="auto"/>
              <w:jc w:val="left"/>
              <w:rPr>
                <w:rFonts w:ascii="David" w:eastAsia="Calibri" w:hAnsi="David"/>
                <w:sz w:val="21"/>
                <w:szCs w:val="21"/>
                <w:rtl/>
              </w:rPr>
            </w:pPr>
            <w:r w:rsidRPr="00141DC3">
              <w:rPr>
                <w:rFonts w:ascii="David" w:eastAsia="Calibri" w:hAnsi="David" w:hint="cs"/>
                <w:sz w:val="21"/>
                <w:szCs w:val="21"/>
                <w:rtl/>
              </w:rPr>
              <w:t xml:space="preserve">טופס מקוון וביקור שטח של נציג העירייה כדי להתרשם ממצבו של האדם עם מוגבלות וממקום מגוריו ולוודא שאכן אין חניה פרטית הצמודה למקום מגוריו </w:t>
            </w:r>
          </w:p>
        </w:tc>
        <w:tc>
          <w:tcPr>
            <w:tcW w:w="0" w:type="auto"/>
          </w:tcPr>
          <w:p w:rsidR="00A210E9" w:rsidRPr="00141DC3" w:rsidP="00A210E9">
            <w:pPr>
              <w:spacing w:line="269" w:lineRule="auto"/>
              <w:jc w:val="left"/>
              <w:rPr>
                <w:rFonts w:ascii="David" w:eastAsia="Calibri" w:hAnsi="David"/>
                <w:sz w:val="21"/>
                <w:szCs w:val="21"/>
                <w:rtl/>
              </w:rPr>
            </w:pPr>
            <w:r w:rsidRPr="00141DC3">
              <w:rPr>
                <w:rFonts w:ascii="David" w:eastAsia="Calibri" w:hAnsi="David" w:hint="cs"/>
                <w:sz w:val="21"/>
                <w:szCs w:val="21"/>
                <w:rtl/>
              </w:rPr>
              <w:t xml:space="preserve">טופס מקוון, משלוח מכתב, דוא"ל, פקס או הגשה פיזית למשרדי העירייה. במקרה שבו נמצא שלמבקש קיימת חניה פרטית, אך לטענתו היא אינה נגישה, אחראי נגישות עירוני בודק אם אכן כך (הבדיקה נעשית רק כאשר המבקש בעצמו נוהג ברכב). </w:t>
            </w:r>
          </w:p>
        </w:tc>
        <w:tc>
          <w:tcPr>
            <w:tcW w:w="0" w:type="auto"/>
          </w:tcPr>
          <w:p w:rsidR="00A210E9" w:rsidRPr="00141DC3" w:rsidP="00A210E9">
            <w:pPr>
              <w:spacing w:line="269" w:lineRule="auto"/>
              <w:jc w:val="left"/>
              <w:rPr>
                <w:rFonts w:ascii="David" w:eastAsia="Calibri" w:hAnsi="David"/>
                <w:sz w:val="21"/>
                <w:szCs w:val="21"/>
                <w:rtl/>
              </w:rPr>
            </w:pPr>
            <w:r w:rsidRPr="00141DC3">
              <w:rPr>
                <w:rFonts w:ascii="David" w:eastAsia="Calibri" w:hAnsi="David" w:hint="cs"/>
                <w:sz w:val="21"/>
                <w:szCs w:val="21"/>
                <w:rtl/>
              </w:rPr>
              <w:t xml:space="preserve">טופס מקוון או פקס או הגשה פיזית. </w:t>
            </w:r>
            <w:r w:rsidRPr="00141DC3">
              <w:rPr>
                <w:rFonts w:ascii="David" w:eastAsia="Calibri" w:hAnsi="David"/>
                <w:sz w:val="21"/>
                <w:szCs w:val="21"/>
                <w:rtl/>
              </w:rPr>
              <w:t>העיר</w:t>
            </w:r>
            <w:r w:rsidRPr="00141DC3">
              <w:rPr>
                <w:rFonts w:ascii="David" w:eastAsia="Calibri" w:hAnsi="David" w:hint="eastAsia"/>
                <w:sz w:val="21"/>
                <w:szCs w:val="21"/>
                <w:rtl/>
              </w:rPr>
              <w:t>י</w:t>
            </w:r>
            <w:r w:rsidRPr="00141DC3">
              <w:rPr>
                <w:rFonts w:ascii="David" w:eastAsia="Calibri" w:hAnsi="David"/>
                <w:sz w:val="21"/>
                <w:szCs w:val="21"/>
                <w:rtl/>
              </w:rPr>
              <w:t>יה מבצעת ביקורי</w:t>
            </w:r>
            <w:r w:rsidRPr="00141DC3">
              <w:rPr>
                <w:rFonts w:ascii="David" w:eastAsia="Calibri" w:hAnsi="David" w:hint="cs"/>
                <w:sz w:val="21"/>
                <w:szCs w:val="21"/>
                <w:rtl/>
              </w:rPr>
              <w:t>ם</w:t>
            </w:r>
            <w:r w:rsidRPr="00141DC3">
              <w:rPr>
                <w:rFonts w:ascii="David" w:eastAsia="Calibri" w:hAnsi="David"/>
                <w:sz w:val="21"/>
                <w:szCs w:val="21"/>
                <w:rtl/>
              </w:rPr>
              <w:t xml:space="preserve"> </w:t>
            </w:r>
            <w:r w:rsidRPr="00141DC3">
              <w:rPr>
                <w:rFonts w:ascii="David" w:eastAsia="Calibri" w:hAnsi="David" w:hint="cs"/>
                <w:sz w:val="21"/>
                <w:szCs w:val="21"/>
                <w:rtl/>
              </w:rPr>
              <w:t>ב</w:t>
            </w:r>
            <w:r w:rsidRPr="00141DC3">
              <w:rPr>
                <w:rFonts w:ascii="David" w:eastAsia="Calibri" w:hAnsi="David"/>
                <w:sz w:val="21"/>
                <w:szCs w:val="21"/>
                <w:rtl/>
              </w:rPr>
              <w:t>שטח, לדוגמ</w:t>
            </w:r>
            <w:r w:rsidRPr="00141DC3">
              <w:rPr>
                <w:rFonts w:ascii="David" w:eastAsia="Calibri" w:hAnsi="David" w:hint="cs"/>
                <w:sz w:val="21"/>
                <w:szCs w:val="21"/>
                <w:rtl/>
              </w:rPr>
              <w:t xml:space="preserve">ה כדי לבחון אם יש </w:t>
            </w:r>
            <w:r w:rsidRPr="00141DC3">
              <w:rPr>
                <w:rFonts w:ascii="David" w:eastAsia="Calibri" w:hAnsi="David"/>
                <w:sz w:val="21"/>
                <w:szCs w:val="21"/>
                <w:rtl/>
              </w:rPr>
              <w:t xml:space="preserve">חניה פרטית </w:t>
            </w:r>
            <w:r w:rsidRPr="00141DC3">
              <w:rPr>
                <w:rFonts w:ascii="David" w:eastAsia="Calibri" w:hAnsi="David" w:hint="eastAsia"/>
                <w:sz w:val="21"/>
                <w:szCs w:val="21"/>
                <w:rtl/>
              </w:rPr>
              <w:t>ו</w:t>
            </w:r>
            <w:r w:rsidRPr="00141DC3">
              <w:rPr>
                <w:rFonts w:ascii="David" w:eastAsia="Calibri" w:hAnsi="David" w:hint="cs"/>
                <w:sz w:val="21"/>
                <w:szCs w:val="21"/>
                <w:rtl/>
              </w:rPr>
              <w:t xml:space="preserve">אם היא מותאמת </w:t>
            </w:r>
            <w:r w:rsidRPr="00141DC3">
              <w:rPr>
                <w:rFonts w:ascii="David" w:eastAsia="Calibri" w:hAnsi="David"/>
                <w:sz w:val="21"/>
                <w:szCs w:val="21"/>
                <w:rtl/>
              </w:rPr>
              <w:t>לצ</w:t>
            </w:r>
            <w:r w:rsidRPr="00141DC3">
              <w:rPr>
                <w:rFonts w:ascii="David" w:eastAsia="Calibri" w:hAnsi="David" w:hint="cs"/>
                <w:sz w:val="21"/>
                <w:szCs w:val="21"/>
                <w:rtl/>
              </w:rPr>
              <w:t>ו</w:t>
            </w:r>
            <w:r w:rsidRPr="00141DC3">
              <w:rPr>
                <w:rFonts w:ascii="David" w:eastAsia="Calibri" w:hAnsi="David"/>
                <w:sz w:val="21"/>
                <w:szCs w:val="21"/>
                <w:rtl/>
              </w:rPr>
              <w:t>רכי ה</w:t>
            </w:r>
            <w:r w:rsidRPr="00141DC3">
              <w:rPr>
                <w:rFonts w:ascii="David" w:eastAsia="Calibri" w:hAnsi="David" w:hint="eastAsia"/>
                <w:sz w:val="21"/>
                <w:szCs w:val="21"/>
                <w:rtl/>
              </w:rPr>
              <w:t>פונה</w:t>
            </w:r>
            <w:r w:rsidRPr="00141DC3">
              <w:rPr>
                <w:rFonts w:ascii="David" w:eastAsia="Calibri" w:hAnsi="David"/>
                <w:sz w:val="21"/>
                <w:szCs w:val="21"/>
                <w:rtl/>
              </w:rPr>
              <w:t xml:space="preserve">, מצב הרחוב </w:t>
            </w:r>
            <w:r w:rsidRPr="00141DC3">
              <w:rPr>
                <w:rFonts w:ascii="David" w:eastAsia="Calibri" w:hAnsi="David" w:hint="cs"/>
                <w:sz w:val="21"/>
                <w:szCs w:val="21"/>
                <w:rtl/>
              </w:rPr>
              <w:t>ש</w:t>
            </w:r>
            <w:r w:rsidRPr="00141DC3">
              <w:rPr>
                <w:rFonts w:ascii="David" w:eastAsia="Calibri" w:hAnsi="David"/>
                <w:sz w:val="21"/>
                <w:szCs w:val="21"/>
                <w:rtl/>
              </w:rPr>
              <w:t xml:space="preserve">בו מבוקשת החניה מבחינת האפשרות להקצות </w:t>
            </w:r>
            <w:r w:rsidRPr="00141DC3">
              <w:rPr>
                <w:rFonts w:ascii="David" w:eastAsia="Calibri" w:hAnsi="David" w:hint="eastAsia"/>
                <w:sz w:val="21"/>
                <w:szCs w:val="21"/>
                <w:rtl/>
              </w:rPr>
              <w:t>חניה</w:t>
            </w:r>
            <w:r w:rsidRPr="00141DC3">
              <w:rPr>
                <w:rFonts w:ascii="David" w:eastAsia="Calibri" w:hAnsi="David"/>
                <w:sz w:val="21"/>
                <w:szCs w:val="21"/>
                <w:rtl/>
              </w:rPr>
              <w:t xml:space="preserve"> אישית בשטח ציבורי. </w:t>
            </w:r>
          </w:p>
          <w:p w:rsidR="00A210E9" w:rsidRPr="00141DC3" w:rsidP="00A210E9">
            <w:pPr>
              <w:spacing w:line="269" w:lineRule="auto"/>
              <w:jc w:val="left"/>
              <w:rPr>
                <w:rFonts w:ascii="David" w:eastAsia="Calibri" w:hAnsi="David"/>
                <w:b/>
                <w:bCs/>
                <w:sz w:val="21"/>
                <w:szCs w:val="21"/>
                <w:rtl/>
              </w:rPr>
            </w:pPr>
          </w:p>
        </w:tc>
      </w:tr>
    </w:tbl>
    <w:p w:rsidR="00A210E9" w:rsidRPr="00A210E9" w:rsidP="00A210E9">
      <w:pPr>
        <w:spacing w:line="269" w:lineRule="auto"/>
        <w:rPr>
          <w:rFonts w:eastAsia="Calibri"/>
          <w:szCs w:val="20"/>
          <w:rtl/>
        </w:rPr>
      </w:pPr>
      <w:r w:rsidRPr="00A210E9">
        <w:rPr>
          <w:rFonts w:eastAsia="Calibri" w:hint="eastAsia"/>
          <w:szCs w:val="20"/>
          <w:rtl/>
        </w:rPr>
        <w:t>על</w:t>
      </w:r>
      <w:r w:rsidRPr="00A210E9">
        <w:rPr>
          <w:rFonts w:eastAsia="Calibri"/>
          <w:szCs w:val="20"/>
          <w:rtl/>
        </w:rPr>
        <w:t xml:space="preserve"> פי מידע שנמסר למשרד מבקר המדינה על ידי העיריות, בעיבוד משרד מבקר המדינה.</w:t>
      </w:r>
    </w:p>
    <w:p w:rsidR="00A210E9" w:rsidRPr="00A210E9" w:rsidP="00A210E9">
      <w:pPr>
        <w:spacing w:line="269" w:lineRule="auto"/>
        <w:rPr>
          <w:rFonts w:eastAsia="Calibri"/>
          <w:szCs w:val="20"/>
          <w:rtl/>
        </w:rPr>
      </w:pPr>
      <w:r w:rsidRPr="00A210E9">
        <w:rPr>
          <w:rFonts w:eastAsia="Calibri"/>
          <w:szCs w:val="20"/>
          <w:rtl/>
        </w:rPr>
        <w:t xml:space="preserve">* </w:t>
      </w:r>
      <w:r w:rsidRPr="00A210E9">
        <w:rPr>
          <w:rFonts w:eastAsia="Calibri" w:hint="eastAsia"/>
          <w:szCs w:val="20"/>
          <w:rtl/>
        </w:rPr>
        <w:t>עיריית</w:t>
      </w:r>
      <w:r w:rsidRPr="00A210E9">
        <w:rPr>
          <w:rFonts w:eastAsia="Calibri"/>
          <w:szCs w:val="20"/>
          <w:rtl/>
        </w:rPr>
        <w:t xml:space="preserve"> </w:t>
      </w:r>
      <w:r w:rsidRPr="00A210E9">
        <w:rPr>
          <w:rFonts w:eastAsia="Calibri" w:hint="eastAsia"/>
          <w:szCs w:val="20"/>
          <w:rtl/>
        </w:rPr>
        <w:t>חיפה</w:t>
      </w:r>
      <w:r w:rsidRPr="00A210E9">
        <w:rPr>
          <w:rFonts w:eastAsia="Calibri"/>
          <w:szCs w:val="20"/>
          <w:rtl/>
        </w:rPr>
        <w:t xml:space="preserve"> כתבה בתשובתה כי </w:t>
      </w:r>
      <w:r w:rsidRPr="00A210E9">
        <w:rPr>
          <w:rFonts w:ascii="David" w:eastAsia="Calibri" w:hAnsi="David" w:hint="eastAsia"/>
          <w:szCs w:val="20"/>
          <w:rtl/>
        </w:rPr>
        <w:t>בימים</w:t>
      </w:r>
      <w:r w:rsidRPr="00A210E9">
        <w:rPr>
          <w:rFonts w:ascii="David" w:eastAsia="Calibri" w:hAnsi="David"/>
          <w:szCs w:val="20"/>
          <w:rtl/>
        </w:rPr>
        <w:t xml:space="preserve"> אלה </w:t>
      </w:r>
      <w:r w:rsidRPr="00A210E9">
        <w:rPr>
          <w:rFonts w:ascii="David" w:eastAsia="Calibri" w:hAnsi="David" w:hint="eastAsia"/>
          <w:szCs w:val="20"/>
          <w:rtl/>
        </w:rPr>
        <w:t>היא</w:t>
      </w:r>
      <w:r w:rsidRPr="00A210E9">
        <w:rPr>
          <w:rFonts w:ascii="David" w:eastAsia="Calibri" w:hAnsi="David"/>
          <w:szCs w:val="20"/>
          <w:rtl/>
        </w:rPr>
        <w:t xml:space="preserve"> מגבשת מדיניות ונוהל מעודכן בנושא ובוחנת בכלל זה את סף הדרישות ו</w:t>
      </w:r>
      <w:r w:rsidRPr="00A210E9">
        <w:rPr>
          <w:rFonts w:ascii="David" w:eastAsia="Calibri" w:hAnsi="David" w:hint="cs"/>
          <w:szCs w:val="20"/>
          <w:rtl/>
        </w:rPr>
        <w:t xml:space="preserve">את </w:t>
      </w:r>
      <w:r w:rsidRPr="00A210E9">
        <w:rPr>
          <w:rFonts w:ascii="David" w:eastAsia="Calibri" w:hAnsi="David"/>
          <w:szCs w:val="20"/>
          <w:rtl/>
        </w:rPr>
        <w:t>אופן הפעלת שקול הדעת</w:t>
      </w:r>
      <w:r w:rsidRPr="00A210E9">
        <w:rPr>
          <w:rFonts w:eastAsia="Calibri"/>
          <w:szCs w:val="20"/>
          <w:rtl/>
        </w:rPr>
        <w:t>.</w:t>
      </w:r>
    </w:p>
    <w:p w:rsidR="00A210E9" w:rsidRPr="00A210E9" w:rsidP="00A210E9">
      <w:pPr>
        <w:spacing w:line="269" w:lineRule="auto"/>
        <w:rPr>
          <w:rFonts w:eastAsia="Calibri"/>
          <w:b/>
          <w:bCs/>
          <w:rtl/>
        </w:rPr>
      </w:pPr>
      <w:r w:rsidRPr="00A210E9">
        <w:rPr>
          <w:rFonts w:eastAsia="Calibri" w:hint="eastAsia"/>
          <w:b/>
          <w:bCs/>
          <w:rtl/>
        </w:rPr>
        <w:t>כפי</w:t>
      </w:r>
      <w:r w:rsidRPr="00A210E9">
        <w:rPr>
          <w:rFonts w:eastAsia="Calibri"/>
          <w:b/>
          <w:bCs/>
          <w:rtl/>
        </w:rPr>
        <w:t xml:space="preserve"> שניתן לראות בלוח, </w:t>
      </w:r>
      <w:r w:rsidRPr="00A210E9">
        <w:rPr>
          <w:rFonts w:eastAsia="Calibri" w:hint="eastAsia"/>
          <w:b/>
          <w:bCs/>
          <w:rtl/>
        </w:rPr>
        <w:t>קיימת</w:t>
      </w:r>
      <w:r w:rsidRPr="00A210E9">
        <w:rPr>
          <w:rFonts w:eastAsia="Calibri"/>
          <w:b/>
          <w:bCs/>
          <w:rtl/>
        </w:rPr>
        <w:t xml:space="preserve"> שונות רבה בקריטריונים ובשיקול הדעת שהרשויות המקומיות מפעילות </w:t>
      </w:r>
      <w:r w:rsidRPr="00A210E9">
        <w:rPr>
          <w:rFonts w:eastAsia="Calibri" w:hint="eastAsia"/>
          <w:b/>
          <w:bCs/>
          <w:rtl/>
        </w:rPr>
        <w:t>בבואן</w:t>
      </w:r>
      <w:r w:rsidRPr="00A210E9">
        <w:rPr>
          <w:rFonts w:eastAsia="Calibri"/>
          <w:b/>
          <w:bCs/>
          <w:rtl/>
        </w:rPr>
        <w:t xml:space="preserve"> להחליט </w:t>
      </w:r>
      <w:r w:rsidRPr="00A210E9">
        <w:rPr>
          <w:rFonts w:eastAsia="Calibri" w:hint="eastAsia"/>
          <w:b/>
          <w:bCs/>
          <w:rtl/>
        </w:rPr>
        <w:t>על</w:t>
      </w:r>
      <w:r w:rsidRPr="00A210E9">
        <w:rPr>
          <w:rFonts w:eastAsia="Calibri"/>
          <w:b/>
          <w:bCs/>
          <w:rtl/>
        </w:rPr>
        <w:t xml:space="preserve"> הקצאת חניה אישית לאדם עם מוגבלות. לדוגמ</w:t>
      </w:r>
      <w:r w:rsidRPr="00A210E9">
        <w:rPr>
          <w:rFonts w:eastAsia="Calibri" w:hint="cs"/>
          <w:b/>
          <w:bCs/>
          <w:rtl/>
        </w:rPr>
        <w:t>ה,</w:t>
      </w:r>
      <w:r w:rsidRPr="00A210E9">
        <w:rPr>
          <w:rFonts w:eastAsia="Calibri"/>
          <w:b/>
          <w:bCs/>
          <w:rtl/>
        </w:rPr>
        <w:t xml:space="preserve"> בעיריית ירושלים, אדם עם מוגבלות שאחוזי הנכות שלו הם 60% - 89% ו</w:t>
      </w:r>
      <w:r w:rsidRPr="00A210E9">
        <w:rPr>
          <w:rFonts w:eastAsia="Calibri" w:hint="cs"/>
          <w:b/>
          <w:bCs/>
          <w:rtl/>
        </w:rPr>
        <w:t xml:space="preserve">הוא אינו </w:t>
      </w:r>
      <w:r w:rsidRPr="00A210E9">
        <w:rPr>
          <w:rFonts w:eastAsia="Calibri"/>
          <w:b/>
          <w:bCs/>
          <w:rtl/>
        </w:rPr>
        <w:t xml:space="preserve">עומד בקריטריונים שמציב החוק, </w:t>
      </w:r>
      <w:r w:rsidRPr="00A210E9">
        <w:rPr>
          <w:rFonts w:eastAsia="Calibri" w:hint="eastAsia"/>
          <w:b/>
          <w:bCs/>
          <w:rtl/>
        </w:rPr>
        <w:t>יופנה</w:t>
      </w:r>
      <w:r w:rsidRPr="00A210E9">
        <w:rPr>
          <w:rFonts w:eastAsia="Calibri"/>
          <w:b/>
          <w:bCs/>
          <w:rtl/>
        </w:rPr>
        <w:t xml:space="preserve"> </w:t>
      </w:r>
      <w:r w:rsidRPr="00A210E9">
        <w:rPr>
          <w:rFonts w:eastAsia="Calibri" w:hint="eastAsia"/>
          <w:b/>
          <w:bCs/>
          <w:rtl/>
        </w:rPr>
        <w:t>לוועדת</w:t>
      </w:r>
      <w:r w:rsidRPr="00A210E9">
        <w:rPr>
          <w:rFonts w:eastAsia="Calibri"/>
          <w:b/>
          <w:bCs/>
          <w:rtl/>
        </w:rPr>
        <w:t xml:space="preserve"> חריגים. </w:t>
      </w:r>
      <w:r w:rsidRPr="00A210E9">
        <w:rPr>
          <w:rFonts w:eastAsia="Calibri" w:hint="eastAsia"/>
          <w:b/>
          <w:bCs/>
          <w:rtl/>
        </w:rPr>
        <w:t>אם</w:t>
      </w:r>
      <w:r w:rsidRPr="00A210E9">
        <w:rPr>
          <w:rFonts w:eastAsia="Calibri"/>
          <w:b/>
          <w:bCs/>
          <w:rtl/>
        </w:rPr>
        <w:t xml:space="preserve"> </w:t>
      </w:r>
      <w:r w:rsidRPr="00A210E9">
        <w:rPr>
          <w:rFonts w:eastAsia="Calibri" w:hint="eastAsia"/>
          <w:b/>
          <w:bCs/>
          <w:rtl/>
        </w:rPr>
        <w:t>הביטוח הלאומי</w:t>
      </w:r>
      <w:r w:rsidRPr="00A210E9">
        <w:rPr>
          <w:rFonts w:eastAsia="Calibri"/>
          <w:b/>
          <w:bCs/>
          <w:rtl/>
        </w:rPr>
        <w:t xml:space="preserve"> </w:t>
      </w:r>
      <w:r w:rsidRPr="00A210E9">
        <w:rPr>
          <w:rFonts w:eastAsia="Calibri" w:hint="cs"/>
          <w:b/>
          <w:bCs/>
          <w:rtl/>
        </w:rPr>
        <w:t xml:space="preserve">אישר לו </w:t>
      </w:r>
      <w:r w:rsidRPr="00A210E9">
        <w:rPr>
          <w:rFonts w:eastAsia="Calibri"/>
          <w:b/>
          <w:bCs/>
          <w:rtl/>
        </w:rPr>
        <w:t xml:space="preserve">40% </w:t>
      </w:r>
      <w:r w:rsidRPr="00A210E9">
        <w:rPr>
          <w:rFonts w:eastAsia="Calibri" w:hint="eastAsia"/>
          <w:b/>
          <w:bCs/>
          <w:rtl/>
        </w:rPr>
        <w:t>ניידות</w:t>
      </w:r>
      <w:r w:rsidRPr="00A210E9">
        <w:rPr>
          <w:rFonts w:eastAsia="Calibri"/>
          <w:b/>
          <w:bCs/>
          <w:rtl/>
        </w:rPr>
        <w:t xml:space="preserve"> </w:t>
      </w:r>
      <w:r w:rsidRPr="00A210E9">
        <w:rPr>
          <w:rFonts w:eastAsia="Calibri" w:hint="eastAsia"/>
          <w:b/>
          <w:bCs/>
          <w:rtl/>
        </w:rPr>
        <w:t>ומעלה</w:t>
      </w:r>
      <w:r w:rsidRPr="00A210E9">
        <w:rPr>
          <w:rFonts w:eastAsia="Calibri"/>
          <w:b/>
          <w:bCs/>
          <w:rtl/>
        </w:rPr>
        <w:t xml:space="preserve"> </w:t>
      </w:r>
      <w:r w:rsidRPr="00A210E9">
        <w:rPr>
          <w:rFonts w:eastAsia="Calibri" w:hint="eastAsia"/>
          <w:b/>
          <w:bCs/>
          <w:rtl/>
        </w:rPr>
        <w:t>הוא</w:t>
      </w:r>
      <w:r w:rsidRPr="00A210E9">
        <w:rPr>
          <w:rFonts w:eastAsia="Calibri"/>
          <w:b/>
          <w:bCs/>
          <w:rtl/>
        </w:rPr>
        <w:t xml:space="preserve"> </w:t>
      </w:r>
      <w:r w:rsidRPr="00A210E9">
        <w:rPr>
          <w:rFonts w:eastAsia="Calibri" w:hint="eastAsia"/>
          <w:b/>
          <w:bCs/>
          <w:rtl/>
        </w:rPr>
        <w:t>יהיה</w:t>
      </w:r>
      <w:r w:rsidRPr="00A210E9">
        <w:rPr>
          <w:rFonts w:eastAsia="Calibri"/>
          <w:b/>
          <w:bCs/>
          <w:rtl/>
        </w:rPr>
        <w:t xml:space="preserve"> </w:t>
      </w:r>
      <w:r w:rsidRPr="00A210E9">
        <w:rPr>
          <w:rFonts w:eastAsia="Calibri" w:hint="eastAsia"/>
          <w:b/>
          <w:bCs/>
          <w:rtl/>
        </w:rPr>
        <w:t>זכאי</w:t>
      </w:r>
      <w:r w:rsidRPr="00A210E9">
        <w:rPr>
          <w:rFonts w:eastAsia="Calibri"/>
          <w:b/>
          <w:bCs/>
          <w:rtl/>
        </w:rPr>
        <w:t xml:space="preserve"> </w:t>
      </w:r>
      <w:r w:rsidRPr="00A210E9">
        <w:rPr>
          <w:rFonts w:eastAsia="Calibri" w:hint="eastAsia"/>
          <w:b/>
          <w:bCs/>
          <w:rtl/>
        </w:rPr>
        <w:t>לקבל</w:t>
      </w:r>
      <w:r w:rsidRPr="00A210E9">
        <w:rPr>
          <w:rFonts w:eastAsia="Calibri"/>
          <w:b/>
          <w:bCs/>
          <w:rtl/>
        </w:rPr>
        <w:t xml:space="preserve"> </w:t>
      </w:r>
      <w:r w:rsidRPr="00A210E9">
        <w:rPr>
          <w:rFonts w:eastAsia="Calibri" w:hint="eastAsia"/>
          <w:b/>
          <w:bCs/>
          <w:rtl/>
        </w:rPr>
        <w:t>חניה</w:t>
      </w:r>
      <w:r w:rsidRPr="00A210E9">
        <w:rPr>
          <w:rFonts w:eastAsia="Calibri"/>
          <w:b/>
          <w:bCs/>
          <w:rtl/>
        </w:rPr>
        <w:t xml:space="preserve"> </w:t>
      </w:r>
      <w:r w:rsidRPr="00A210E9">
        <w:rPr>
          <w:rFonts w:eastAsia="Calibri" w:hint="eastAsia"/>
          <w:b/>
          <w:bCs/>
          <w:rtl/>
        </w:rPr>
        <w:t>אישית</w:t>
      </w:r>
      <w:r w:rsidRPr="00A210E9">
        <w:rPr>
          <w:rFonts w:eastAsia="Calibri" w:hint="cs"/>
          <w:b/>
          <w:bCs/>
          <w:rtl/>
        </w:rPr>
        <w:t xml:space="preserve"> משום שלפי שיקול דעתה של העירייה 40% ניידות הם קריטריון מספיק להקצאת חניה אישית</w:t>
      </w:r>
      <w:r w:rsidRPr="00A210E9">
        <w:rPr>
          <w:rFonts w:eastAsia="Calibri"/>
          <w:b/>
          <w:bCs/>
          <w:rtl/>
        </w:rPr>
        <w:t xml:space="preserve">. </w:t>
      </w:r>
      <w:r w:rsidRPr="00A210E9">
        <w:rPr>
          <w:rFonts w:eastAsia="Calibri" w:hint="eastAsia"/>
          <w:b/>
          <w:bCs/>
          <w:rtl/>
        </w:rPr>
        <w:t>לעומת</w:t>
      </w:r>
      <w:r w:rsidRPr="00A210E9">
        <w:rPr>
          <w:rFonts w:eastAsia="Calibri"/>
          <w:b/>
          <w:bCs/>
          <w:rtl/>
        </w:rPr>
        <w:t xml:space="preserve"> </w:t>
      </w:r>
      <w:r w:rsidRPr="00A210E9">
        <w:rPr>
          <w:rFonts w:eastAsia="Calibri" w:hint="eastAsia"/>
          <w:b/>
          <w:bCs/>
          <w:rtl/>
        </w:rPr>
        <w:t>זאת</w:t>
      </w:r>
      <w:r w:rsidRPr="00A210E9">
        <w:rPr>
          <w:rFonts w:eastAsia="Calibri"/>
          <w:b/>
          <w:bCs/>
          <w:rtl/>
        </w:rPr>
        <w:t xml:space="preserve">, </w:t>
      </w:r>
      <w:r w:rsidRPr="00A210E9">
        <w:rPr>
          <w:rFonts w:eastAsia="Calibri" w:hint="eastAsia"/>
          <w:b/>
          <w:bCs/>
          <w:rtl/>
        </w:rPr>
        <w:t>בעיריית</w:t>
      </w:r>
      <w:r w:rsidRPr="00A210E9">
        <w:rPr>
          <w:rFonts w:eastAsia="Calibri"/>
          <w:b/>
          <w:bCs/>
          <w:rtl/>
        </w:rPr>
        <w:t xml:space="preserve"> </w:t>
      </w:r>
      <w:r w:rsidRPr="00A210E9">
        <w:rPr>
          <w:rFonts w:eastAsia="Calibri" w:hint="eastAsia"/>
          <w:b/>
          <w:bCs/>
          <w:rtl/>
        </w:rPr>
        <w:t>חיפה</w:t>
      </w:r>
      <w:r w:rsidRPr="00A210E9">
        <w:rPr>
          <w:rFonts w:eastAsia="Calibri" w:hint="cs"/>
          <w:b/>
          <w:bCs/>
          <w:rtl/>
        </w:rPr>
        <w:t>,</w:t>
      </w:r>
      <w:r w:rsidRPr="00A210E9">
        <w:rPr>
          <w:rFonts w:eastAsia="Calibri" w:hint="eastAsia"/>
          <w:b/>
          <w:bCs/>
          <w:rtl/>
        </w:rPr>
        <w:t xml:space="preserve"> כבר</w:t>
      </w:r>
      <w:r w:rsidRPr="00A210E9">
        <w:rPr>
          <w:rFonts w:eastAsia="Calibri"/>
          <w:b/>
          <w:bCs/>
          <w:rtl/>
        </w:rPr>
        <w:t xml:space="preserve"> </w:t>
      </w:r>
      <w:r w:rsidRPr="00A210E9">
        <w:rPr>
          <w:rFonts w:eastAsia="Calibri" w:hint="eastAsia"/>
          <w:b/>
          <w:bCs/>
          <w:rtl/>
        </w:rPr>
        <w:t>בשלב</w:t>
      </w:r>
      <w:r w:rsidRPr="00A210E9">
        <w:rPr>
          <w:rFonts w:eastAsia="Calibri"/>
          <w:b/>
          <w:bCs/>
          <w:rtl/>
        </w:rPr>
        <w:t xml:space="preserve"> </w:t>
      </w:r>
      <w:r w:rsidRPr="00A210E9">
        <w:rPr>
          <w:rFonts w:eastAsia="Calibri" w:hint="cs"/>
          <w:b/>
          <w:bCs/>
          <w:rtl/>
        </w:rPr>
        <w:t xml:space="preserve">בחינת </w:t>
      </w:r>
      <w:r w:rsidRPr="00A210E9">
        <w:rPr>
          <w:rFonts w:eastAsia="Calibri" w:hint="eastAsia"/>
          <w:b/>
          <w:bCs/>
          <w:rtl/>
        </w:rPr>
        <w:t>הקריטריונים</w:t>
      </w:r>
      <w:r w:rsidRPr="00A210E9">
        <w:rPr>
          <w:rFonts w:eastAsia="Calibri"/>
          <w:b/>
          <w:bCs/>
          <w:rtl/>
        </w:rPr>
        <w:t xml:space="preserve">, </w:t>
      </w:r>
      <w:r w:rsidRPr="00A210E9">
        <w:rPr>
          <w:rFonts w:eastAsia="Calibri" w:hint="eastAsia"/>
          <w:b/>
          <w:bCs/>
          <w:rtl/>
        </w:rPr>
        <w:t>ללא</w:t>
      </w:r>
      <w:r w:rsidRPr="00A210E9">
        <w:rPr>
          <w:rFonts w:eastAsia="Calibri"/>
          <w:b/>
          <w:bCs/>
          <w:rtl/>
        </w:rPr>
        <w:t xml:space="preserve"> </w:t>
      </w:r>
      <w:r w:rsidRPr="00A210E9">
        <w:rPr>
          <w:rFonts w:eastAsia="Calibri" w:hint="eastAsia"/>
          <w:b/>
          <w:bCs/>
          <w:rtl/>
        </w:rPr>
        <w:t>קשר</w:t>
      </w:r>
      <w:r w:rsidRPr="00A210E9">
        <w:rPr>
          <w:rFonts w:eastAsia="Calibri"/>
          <w:b/>
          <w:bCs/>
          <w:rtl/>
        </w:rPr>
        <w:t xml:space="preserve"> </w:t>
      </w:r>
      <w:r w:rsidRPr="00A210E9">
        <w:rPr>
          <w:rFonts w:eastAsia="Calibri" w:hint="eastAsia"/>
          <w:b/>
          <w:bCs/>
          <w:rtl/>
        </w:rPr>
        <w:t>לוועדת</w:t>
      </w:r>
      <w:r w:rsidRPr="00A210E9">
        <w:rPr>
          <w:rFonts w:eastAsia="Calibri"/>
          <w:b/>
          <w:bCs/>
          <w:rtl/>
        </w:rPr>
        <w:t xml:space="preserve"> </w:t>
      </w:r>
      <w:r w:rsidRPr="00A210E9">
        <w:rPr>
          <w:rFonts w:eastAsia="Calibri" w:hint="eastAsia"/>
          <w:b/>
          <w:bCs/>
          <w:rtl/>
        </w:rPr>
        <w:t>חריגים</w:t>
      </w:r>
      <w:r w:rsidRPr="00A210E9">
        <w:rPr>
          <w:rFonts w:eastAsia="Calibri"/>
          <w:b/>
          <w:bCs/>
          <w:rtl/>
        </w:rPr>
        <w:t xml:space="preserve">, </w:t>
      </w:r>
      <w:r w:rsidRPr="00A210E9">
        <w:rPr>
          <w:rFonts w:eastAsia="Calibri" w:hint="eastAsia"/>
          <w:b/>
          <w:bCs/>
          <w:rtl/>
        </w:rPr>
        <w:t>מ</w:t>
      </w:r>
      <w:r w:rsidRPr="00A210E9">
        <w:rPr>
          <w:rFonts w:eastAsia="Calibri" w:hint="cs"/>
          <w:b/>
          <w:bCs/>
          <w:rtl/>
        </w:rPr>
        <w:t>ו</w:t>
      </w:r>
      <w:r w:rsidRPr="00A210E9">
        <w:rPr>
          <w:rFonts w:eastAsia="Calibri" w:hint="eastAsia"/>
          <w:b/>
          <w:bCs/>
          <w:rtl/>
        </w:rPr>
        <w:t>תנ</w:t>
      </w:r>
      <w:r w:rsidRPr="00A210E9">
        <w:rPr>
          <w:rFonts w:eastAsia="Calibri" w:hint="cs"/>
          <w:b/>
          <w:bCs/>
          <w:rtl/>
        </w:rPr>
        <w:t>ית</w:t>
      </w:r>
      <w:r w:rsidRPr="00A210E9">
        <w:rPr>
          <w:rFonts w:eastAsia="Calibri"/>
          <w:b/>
          <w:bCs/>
          <w:rtl/>
        </w:rPr>
        <w:t xml:space="preserve"> </w:t>
      </w:r>
      <w:r w:rsidRPr="00A210E9">
        <w:rPr>
          <w:rFonts w:eastAsia="Calibri" w:hint="eastAsia"/>
          <w:b/>
          <w:bCs/>
          <w:rtl/>
        </w:rPr>
        <w:t>הקצאת</w:t>
      </w:r>
      <w:r w:rsidRPr="00A210E9">
        <w:rPr>
          <w:rFonts w:eastAsia="Calibri"/>
          <w:b/>
          <w:bCs/>
          <w:rtl/>
        </w:rPr>
        <w:t xml:space="preserve"> </w:t>
      </w:r>
      <w:r w:rsidRPr="00A210E9">
        <w:rPr>
          <w:rFonts w:eastAsia="Calibri" w:hint="eastAsia"/>
          <w:b/>
          <w:bCs/>
          <w:rtl/>
        </w:rPr>
        <w:t>החניה</w:t>
      </w:r>
      <w:r w:rsidRPr="00A210E9">
        <w:rPr>
          <w:rFonts w:eastAsia="Calibri"/>
          <w:b/>
          <w:bCs/>
          <w:rtl/>
        </w:rPr>
        <w:t xml:space="preserve"> </w:t>
      </w:r>
      <w:r w:rsidRPr="00A210E9">
        <w:rPr>
          <w:rFonts w:eastAsia="Calibri" w:hint="eastAsia"/>
          <w:b/>
          <w:bCs/>
          <w:rtl/>
        </w:rPr>
        <w:t>האישית</w:t>
      </w:r>
      <w:r w:rsidRPr="00A210E9">
        <w:rPr>
          <w:rFonts w:eastAsia="Calibri"/>
          <w:b/>
          <w:bCs/>
          <w:rtl/>
        </w:rPr>
        <w:t xml:space="preserve"> </w:t>
      </w:r>
      <w:r w:rsidRPr="00A210E9">
        <w:rPr>
          <w:rFonts w:eastAsia="Calibri" w:hint="eastAsia"/>
          <w:b/>
          <w:bCs/>
          <w:rtl/>
        </w:rPr>
        <w:t>ב</w:t>
      </w:r>
      <w:r w:rsidRPr="00A210E9">
        <w:rPr>
          <w:rFonts w:eastAsia="Calibri"/>
          <w:b/>
          <w:bCs/>
          <w:rtl/>
        </w:rPr>
        <w:t xml:space="preserve">-60% </w:t>
      </w:r>
      <w:r w:rsidRPr="00A210E9">
        <w:rPr>
          <w:rFonts w:eastAsia="Calibri" w:hint="eastAsia"/>
          <w:b/>
          <w:bCs/>
          <w:rtl/>
        </w:rPr>
        <w:t>ניידות</w:t>
      </w:r>
      <w:r w:rsidRPr="00A210E9">
        <w:rPr>
          <w:rFonts w:eastAsia="Calibri"/>
          <w:b/>
          <w:bCs/>
          <w:rtl/>
        </w:rPr>
        <w:t xml:space="preserve"> </w:t>
      </w:r>
      <w:r w:rsidRPr="00A210E9">
        <w:rPr>
          <w:rFonts w:eastAsia="Calibri" w:hint="eastAsia"/>
          <w:b/>
          <w:bCs/>
          <w:rtl/>
        </w:rPr>
        <w:t>מהביטוח הלאומי</w:t>
      </w:r>
      <w:r w:rsidRPr="00A210E9">
        <w:rPr>
          <w:rFonts w:eastAsia="Calibri"/>
          <w:b/>
          <w:bCs/>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eastAsia"/>
          <w:b/>
          <w:bCs/>
          <w:rtl/>
        </w:rPr>
        <w:t>כשבוחנים</w:t>
      </w:r>
      <w:r w:rsidRPr="00A210E9">
        <w:rPr>
          <w:rFonts w:eastAsia="Calibri"/>
          <w:b/>
          <w:bCs/>
          <w:rtl/>
        </w:rPr>
        <w:t xml:space="preserve"> </w:t>
      </w:r>
      <w:r w:rsidRPr="00A210E9">
        <w:rPr>
          <w:rFonts w:eastAsia="Calibri" w:hint="eastAsia"/>
          <w:b/>
          <w:bCs/>
          <w:rtl/>
        </w:rPr>
        <w:t>את</w:t>
      </w:r>
      <w:r w:rsidRPr="00A210E9">
        <w:rPr>
          <w:rFonts w:eastAsia="Calibri"/>
          <w:b/>
          <w:bCs/>
          <w:rtl/>
        </w:rPr>
        <w:t xml:space="preserve"> </w:t>
      </w:r>
      <w:r w:rsidRPr="00A210E9">
        <w:rPr>
          <w:rFonts w:eastAsia="Calibri" w:hint="eastAsia"/>
          <w:b/>
          <w:bCs/>
          <w:rtl/>
        </w:rPr>
        <w:t>אופן</w:t>
      </w:r>
      <w:r w:rsidRPr="00A210E9">
        <w:rPr>
          <w:rFonts w:eastAsia="Calibri"/>
          <w:b/>
          <w:bCs/>
          <w:rtl/>
        </w:rPr>
        <w:t xml:space="preserve"> </w:t>
      </w:r>
      <w:r w:rsidRPr="00A210E9">
        <w:rPr>
          <w:rFonts w:eastAsia="Calibri" w:hint="eastAsia"/>
          <w:b/>
          <w:bCs/>
          <w:rtl/>
        </w:rPr>
        <w:t>הפעולה</w:t>
      </w:r>
      <w:r w:rsidRPr="00A210E9">
        <w:rPr>
          <w:rFonts w:eastAsia="Calibri"/>
          <w:b/>
          <w:bCs/>
          <w:rtl/>
        </w:rPr>
        <w:t xml:space="preserve"> </w:t>
      </w:r>
      <w:r w:rsidRPr="00A210E9">
        <w:rPr>
          <w:rFonts w:eastAsia="Calibri" w:hint="eastAsia"/>
          <w:b/>
          <w:bCs/>
          <w:rtl/>
        </w:rPr>
        <w:t>של</w:t>
      </w:r>
      <w:r w:rsidRPr="00A210E9">
        <w:rPr>
          <w:rFonts w:eastAsia="Calibri"/>
          <w:b/>
          <w:bCs/>
          <w:rtl/>
        </w:rPr>
        <w:t xml:space="preserve"> </w:t>
      </w:r>
      <w:r w:rsidRPr="00A210E9">
        <w:rPr>
          <w:rFonts w:eastAsia="Calibri" w:hint="eastAsia"/>
          <w:b/>
          <w:bCs/>
          <w:rtl/>
        </w:rPr>
        <w:t>כל</w:t>
      </w:r>
      <w:r w:rsidRPr="00A210E9">
        <w:rPr>
          <w:rFonts w:eastAsia="Calibri"/>
          <w:b/>
          <w:bCs/>
          <w:rtl/>
        </w:rPr>
        <w:t xml:space="preserve"> </w:t>
      </w:r>
      <w:r w:rsidRPr="00A210E9">
        <w:rPr>
          <w:rFonts w:eastAsia="Calibri" w:hint="eastAsia"/>
          <w:b/>
          <w:bCs/>
          <w:rtl/>
        </w:rPr>
        <w:t>רשות</w:t>
      </w:r>
      <w:r w:rsidRPr="00A210E9">
        <w:rPr>
          <w:rFonts w:eastAsia="Calibri"/>
          <w:b/>
          <w:bCs/>
          <w:rtl/>
        </w:rPr>
        <w:t xml:space="preserve"> </w:t>
      </w:r>
      <w:r w:rsidRPr="00A210E9">
        <w:rPr>
          <w:rFonts w:eastAsia="Calibri" w:hint="eastAsia"/>
          <w:b/>
          <w:bCs/>
          <w:rtl/>
        </w:rPr>
        <w:t>ורשות</w:t>
      </w:r>
      <w:r w:rsidRPr="00A210E9">
        <w:rPr>
          <w:rFonts w:eastAsia="Calibri" w:hint="cs"/>
          <w:b/>
          <w:bCs/>
          <w:rtl/>
        </w:rPr>
        <w:t xml:space="preserve"> מקומית</w:t>
      </w:r>
      <w:r w:rsidRPr="00A210E9">
        <w:rPr>
          <w:rFonts w:eastAsia="Calibri"/>
          <w:b/>
          <w:bCs/>
          <w:rtl/>
        </w:rPr>
        <w:t xml:space="preserve"> </w:t>
      </w:r>
      <w:r w:rsidRPr="00A210E9">
        <w:rPr>
          <w:rFonts w:eastAsia="Calibri" w:hint="eastAsia"/>
          <w:b/>
          <w:bCs/>
          <w:rtl/>
        </w:rPr>
        <w:t>ניתן</w:t>
      </w:r>
      <w:r w:rsidRPr="00A210E9">
        <w:rPr>
          <w:rFonts w:eastAsia="Calibri"/>
          <w:b/>
          <w:bCs/>
          <w:rtl/>
        </w:rPr>
        <w:t xml:space="preserve"> </w:t>
      </w:r>
      <w:r w:rsidRPr="00A210E9">
        <w:rPr>
          <w:rFonts w:eastAsia="Calibri" w:hint="eastAsia"/>
          <w:b/>
          <w:bCs/>
          <w:rtl/>
        </w:rPr>
        <w:t>להבחין</w:t>
      </w:r>
      <w:r w:rsidRPr="00A210E9">
        <w:rPr>
          <w:rFonts w:eastAsia="Calibri"/>
          <w:b/>
          <w:bCs/>
          <w:rtl/>
        </w:rPr>
        <w:t xml:space="preserve"> </w:t>
      </w:r>
      <w:r w:rsidRPr="00A210E9">
        <w:rPr>
          <w:rFonts w:eastAsia="Calibri" w:hint="eastAsia"/>
          <w:b/>
          <w:bCs/>
          <w:rtl/>
        </w:rPr>
        <w:t>שאין</w:t>
      </w:r>
      <w:r w:rsidRPr="00A210E9">
        <w:rPr>
          <w:rFonts w:eastAsia="Calibri"/>
          <w:b/>
          <w:bCs/>
          <w:rtl/>
        </w:rPr>
        <w:t xml:space="preserve"> </w:t>
      </w:r>
      <w:r w:rsidRPr="00A210E9">
        <w:rPr>
          <w:rFonts w:eastAsia="Calibri" w:hint="eastAsia"/>
          <w:b/>
          <w:bCs/>
          <w:rtl/>
        </w:rPr>
        <w:t>פרמטרים</w:t>
      </w:r>
      <w:r w:rsidRPr="00A210E9">
        <w:rPr>
          <w:rFonts w:eastAsia="Calibri"/>
          <w:b/>
          <w:bCs/>
          <w:rtl/>
        </w:rPr>
        <w:t xml:space="preserve"> </w:t>
      </w:r>
      <w:r w:rsidRPr="00A210E9">
        <w:rPr>
          <w:rFonts w:eastAsia="Calibri" w:hint="eastAsia"/>
          <w:b/>
          <w:bCs/>
          <w:rtl/>
        </w:rPr>
        <w:t>קבועים</w:t>
      </w:r>
      <w:r w:rsidRPr="00A210E9">
        <w:rPr>
          <w:rFonts w:eastAsia="Calibri"/>
          <w:b/>
          <w:bCs/>
          <w:rtl/>
        </w:rPr>
        <w:t xml:space="preserve"> </w:t>
      </w:r>
      <w:r w:rsidRPr="00A210E9">
        <w:rPr>
          <w:rFonts w:eastAsia="Calibri" w:hint="eastAsia"/>
          <w:b/>
          <w:bCs/>
          <w:rtl/>
        </w:rPr>
        <w:t>שעל</w:t>
      </w:r>
      <w:r w:rsidRPr="00A210E9">
        <w:rPr>
          <w:rFonts w:eastAsia="Calibri"/>
          <w:b/>
          <w:bCs/>
          <w:rtl/>
        </w:rPr>
        <w:t xml:space="preserve"> </w:t>
      </w:r>
      <w:r w:rsidRPr="00A210E9">
        <w:rPr>
          <w:rFonts w:eastAsia="Calibri" w:hint="eastAsia"/>
          <w:b/>
          <w:bCs/>
          <w:rtl/>
        </w:rPr>
        <w:t>פי</w:t>
      </w:r>
      <w:r w:rsidRPr="00A210E9">
        <w:rPr>
          <w:rFonts w:eastAsia="Calibri" w:hint="cs"/>
          <w:b/>
          <w:bCs/>
          <w:rtl/>
        </w:rPr>
        <w:t>הם</w:t>
      </w:r>
      <w:r w:rsidRPr="00A210E9">
        <w:rPr>
          <w:rFonts w:eastAsia="Calibri"/>
          <w:b/>
          <w:bCs/>
          <w:rtl/>
        </w:rPr>
        <w:t xml:space="preserve"> </w:t>
      </w:r>
      <w:r w:rsidRPr="00A210E9">
        <w:rPr>
          <w:rFonts w:eastAsia="Calibri" w:hint="eastAsia"/>
          <w:b/>
          <w:bCs/>
          <w:rtl/>
        </w:rPr>
        <w:t>הרשויות</w:t>
      </w:r>
      <w:r w:rsidRPr="00A210E9">
        <w:rPr>
          <w:rFonts w:eastAsia="Calibri"/>
          <w:b/>
          <w:bCs/>
          <w:rtl/>
        </w:rPr>
        <w:t xml:space="preserve"> </w:t>
      </w:r>
      <w:r w:rsidRPr="00A210E9">
        <w:rPr>
          <w:rFonts w:eastAsia="Calibri" w:hint="eastAsia"/>
          <w:b/>
          <w:bCs/>
          <w:rtl/>
        </w:rPr>
        <w:t>המקומיות</w:t>
      </w:r>
      <w:r w:rsidRPr="00A210E9">
        <w:rPr>
          <w:rFonts w:eastAsia="Calibri"/>
          <w:b/>
          <w:bCs/>
          <w:rtl/>
        </w:rPr>
        <w:t xml:space="preserve"> </w:t>
      </w:r>
      <w:r w:rsidRPr="00A210E9">
        <w:rPr>
          <w:rFonts w:eastAsia="Calibri" w:hint="eastAsia"/>
          <w:b/>
          <w:bCs/>
          <w:rtl/>
        </w:rPr>
        <w:t>מקצות</w:t>
      </w:r>
      <w:r w:rsidRPr="00A210E9">
        <w:rPr>
          <w:rFonts w:eastAsia="Calibri"/>
          <w:b/>
          <w:bCs/>
          <w:rtl/>
        </w:rPr>
        <w:t xml:space="preserve"> </w:t>
      </w:r>
      <w:r w:rsidRPr="00A210E9">
        <w:rPr>
          <w:rFonts w:eastAsia="Calibri" w:hint="eastAsia"/>
          <w:b/>
          <w:bCs/>
          <w:rtl/>
        </w:rPr>
        <w:t>חניה</w:t>
      </w:r>
      <w:r w:rsidRPr="00A210E9">
        <w:rPr>
          <w:rFonts w:eastAsia="Calibri"/>
          <w:b/>
          <w:bCs/>
          <w:rtl/>
        </w:rPr>
        <w:t xml:space="preserve"> </w:t>
      </w:r>
      <w:r w:rsidRPr="00A210E9">
        <w:rPr>
          <w:rFonts w:eastAsia="Calibri" w:hint="eastAsia"/>
          <w:b/>
          <w:bCs/>
          <w:rtl/>
        </w:rPr>
        <w:t>אישית</w:t>
      </w:r>
      <w:r w:rsidRPr="00A210E9">
        <w:rPr>
          <w:rFonts w:eastAsia="Calibri"/>
          <w:b/>
          <w:bCs/>
          <w:rtl/>
        </w:rPr>
        <w:t xml:space="preserve"> </w:t>
      </w:r>
      <w:r w:rsidRPr="00A210E9">
        <w:rPr>
          <w:rFonts w:eastAsia="Calibri" w:hint="eastAsia"/>
          <w:b/>
          <w:bCs/>
          <w:rtl/>
        </w:rPr>
        <w:t>לאדם עם מוגבלות</w:t>
      </w:r>
      <w:r w:rsidRPr="00A210E9">
        <w:rPr>
          <w:rFonts w:eastAsia="Calibri" w:hint="cs"/>
          <w:b/>
          <w:bCs/>
          <w:rtl/>
        </w:rPr>
        <w:t>,</w:t>
      </w:r>
      <w:r w:rsidRPr="00A210E9">
        <w:rPr>
          <w:rFonts w:eastAsia="Calibri"/>
          <w:b/>
          <w:bCs/>
          <w:rtl/>
        </w:rPr>
        <w:t xml:space="preserve"> וכל רשות </w:t>
      </w:r>
      <w:r w:rsidRPr="00A210E9">
        <w:rPr>
          <w:rFonts w:eastAsia="Calibri" w:hint="cs"/>
          <w:b/>
          <w:bCs/>
          <w:rtl/>
        </w:rPr>
        <w:t xml:space="preserve">מקומית </w:t>
      </w:r>
      <w:r w:rsidRPr="00A210E9">
        <w:rPr>
          <w:rFonts w:eastAsia="Calibri"/>
          <w:b/>
          <w:bCs/>
          <w:rtl/>
        </w:rPr>
        <w:t>פיתחה לעצמה מנגנון אחר וקריטריונים אחרים</w:t>
      </w:r>
      <w:r w:rsidRPr="00A210E9">
        <w:rPr>
          <w:rFonts w:eastAsia="Calibri" w:hint="cs"/>
          <w:b/>
          <w:bCs/>
          <w:rtl/>
        </w:rPr>
        <w:t xml:space="preserve"> להקצאה כאמור. כל הרשויות המקומיות שנבדקו במסגרת הביקורת נעזרות באנשי מקצוע בבואן להחליט על הקצאת חניה אישית לאדם עם מוגבלות, אך כל רשות נעזרת באנשי מקצוע מתחום אחר - עובד סוציאלי, רופא תעסוקתי, אורתופד </w:t>
      </w:r>
      <w:r w:rsidRPr="00A210E9">
        <w:rPr>
          <w:rFonts w:eastAsia="Calibri" w:hint="eastAsia"/>
          <w:b/>
          <w:bCs/>
          <w:rtl/>
        </w:rPr>
        <w:t>או</w:t>
      </w:r>
      <w:r w:rsidRPr="00A210E9">
        <w:rPr>
          <w:rFonts w:eastAsia="Calibri"/>
          <w:b/>
          <w:bCs/>
          <w:rtl/>
        </w:rPr>
        <w:t xml:space="preserve"> </w:t>
      </w:r>
      <w:r w:rsidRPr="00A210E9">
        <w:rPr>
          <w:rFonts w:eastAsia="Calibri" w:hint="eastAsia"/>
          <w:b/>
          <w:bCs/>
          <w:rtl/>
        </w:rPr>
        <w:t>מומחית</w:t>
      </w:r>
      <w:r w:rsidRPr="00A210E9">
        <w:rPr>
          <w:rFonts w:eastAsia="Calibri"/>
          <w:b/>
          <w:bCs/>
          <w:rtl/>
        </w:rPr>
        <w:t xml:space="preserve"> </w:t>
      </w:r>
      <w:r w:rsidRPr="00A210E9">
        <w:rPr>
          <w:rFonts w:eastAsia="Calibri" w:hint="eastAsia"/>
          <w:b/>
          <w:bCs/>
          <w:rtl/>
        </w:rPr>
        <w:t>בכירורגיה</w:t>
      </w:r>
      <w:r w:rsidRPr="00A210E9">
        <w:rPr>
          <w:rFonts w:eastAsia="Calibri"/>
          <w:b/>
          <w:bCs/>
          <w:rtl/>
        </w:rPr>
        <w:t xml:space="preserve"> </w:t>
      </w:r>
      <w:r w:rsidRPr="00A210E9">
        <w:rPr>
          <w:rFonts w:eastAsia="Calibri" w:hint="eastAsia"/>
          <w:b/>
          <w:bCs/>
          <w:rtl/>
        </w:rPr>
        <w:t>כללית</w:t>
      </w:r>
      <w:r w:rsidRPr="00A210E9">
        <w:rPr>
          <w:rFonts w:eastAsia="Calibri"/>
          <w:b/>
          <w:bCs/>
          <w:rtl/>
        </w:rPr>
        <w:t xml:space="preserve"> </w:t>
      </w:r>
      <w:r w:rsidRPr="00A210E9">
        <w:rPr>
          <w:rFonts w:eastAsia="Calibri" w:hint="eastAsia"/>
          <w:b/>
          <w:bCs/>
          <w:rtl/>
        </w:rPr>
        <w:t>ורפואה</w:t>
      </w:r>
      <w:r w:rsidRPr="00A210E9">
        <w:rPr>
          <w:rFonts w:eastAsia="Calibri"/>
          <w:b/>
          <w:bCs/>
          <w:rtl/>
        </w:rPr>
        <w:t xml:space="preserve"> </w:t>
      </w:r>
      <w:r w:rsidRPr="00A210E9">
        <w:rPr>
          <w:rFonts w:eastAsia="Calibri" w:hint="eastAsia"/>
          <w:b/>
          <w:bCs/>
          <w:rtl/>
        </w:rPr>
        <w:t>דחופה</w:t>
      </w:r>
      <w:r w:rsidRPr="00A210E9">
        <w:rPr>
          <w:rFonts w:eastAsia="Calibri" w:hint="cs"/>
          <w:b/>
          <w:bCs/>
          <w:rtl/>
        </w:rPr>
        <w:t xml:space="preserve">. בחלק מהרשויות המקומיות לצורך קבלת החלטה הרופאים מתבססים על אישורים מרופאים מקצועיים בלבד, ורשויות אחרות מסתפקות באישור רפואי מרופא משפחה. </w:t>
      </w:r>
      <w:r w:rsidRPr="00A210E9">
        <w:rPr>
          <w:rFonts w:eastAsia="Calibri" w:hint="eastAsia"/>
          <w:b/>
          <w:bCs/>
          <w:rtl/>
        </w:rPr>
        <w:t>כל</w:t>
      </w:r>
      <w:r w:rsidRPr="00A210E9">
        <w:rPr>
          <w:rFonts w:eastAsia="Calibri"/>
          <w:b/>
          <w:bCs/>
          <w:rtl/>
        </w:rPr>
        <w:t xml:space="preserve"> </w:t>
      </w:r>
      <w:r w:rsidRPr="00A210E9">
        <w:rPr>
          <w:rFonts w:eastAsia="Calibri" w:hint="eastAsia"/>
          <w:b/>
          <w:bCs/>
          <w:rtl/>
        </w:rPr>
        <w:t>הרשויות</w:t>
      </w:r>
      <w:r w:rsidRPr="00A210E9">
        <w:rPr>
          <w:rFonts w:eastAsia="Calibri"/>
          <w:b/>
          <w:bCs/>
          <w:rtl/>
        </w:rPr>
        <w:t xml:space="preserve"> </w:t>
      </w:r>
      <w:r w:rsidRPr="00A210E9">
        <w:rPr>
          <w:rFonts w:eastAsia="Calibri" w:hint="eastAsia"/>
          <w:b/>
          <w:bCs/>
          <w:rtl/>
        </w:rPr>
        <w:t>שנבדקו</w:t>
      </w:r>
      <w:r w:rsidRPr="00A210E9">
        <w:rPr>
          <w:rFonts w:eastAsia="Calibri"/>
          <w:b/>
          <w:bCs/>
          <w:rtl/>
        </w:rPr>
        <w:t xml:space="preserve"> </w:t>
      </w:r>
      <w:r w:rsidRPr="00A210E9">
        <w:rPr>
          <w:rFonts w:eastAsia="Calibri" w:hint="eastAsia"/>
          <w:b/>
          <w:bCs/>
          <w:rtl/>
        </w:rPr>
        <w:t>מבצעות</w:t>
      </w:r>
      <w:r w:rsidRPr="00A210E9">
        <w:rPr>
          <w:rFonts w:eastAsia="Calibri"/>
          <w:b/>
          <w:bCs/>
          <w:rtl/>
        </w:rPr>
        <w:t xml:space="preserve"> ביקור שטח אצל מבקש החניה האישית במטרה להתרשם ממצבו ולוודא שאכן אין הוא מחזיק בחניה פרטית הצמודה </w:t>
      </w:r>
      <w:r w:rsidRPr="00A210E9">
        <w:rPr>
          <w:rFonts w:eastAsia="Calibri" w:hint="eastAsia"/>
          <w:b/>
          <w:bCs/>
          <w:rtl/>
        </w:rPr>
        <w:t>למקום</w:t>
      </w:r>
      <w:r w:rsidRPr="00A210E9">
        <w:rPr>
          <w:rFonts w:eastAsia="Calibri"/>
          <w:b/>
          <w:bCs/>
          <w:rtl/>
        </w:rPr>
        <w:t xml:space="preserve"> </w:t>
      </w:r>
      <w:r w:rsidRPr="00A210E9">
        <w:rPr>
          <w:rFonts w:eastAsia="Calibri" w:hint="eastAsia"/>
          <w:b/>
          <w:bCs/>
          <w:rtl/>
        </w:rPr>
        <w:t>מגוריו</w:t>
      </w:r>
      <w:r w:rsidRPr="00A210E9">
        <w:rPr>
          <w:rFonts w:eastAsia="Calibri"/>
          <w:b/>
          <w:bCs/>
          <w:rtl/>
        </w:rPr>
        <w:t xml:space="preserve"> ומותאמת לצרכיו. </w:t>
      </w:r>
    </w:p>
    <w:p w:rsidR="00A210E9" w:rsidRPr="00A210E9" w:rsidP="00A210E9">
      <w:pPr>
        <w:spacing w:line="269" w:lineRule="auto"/>
        <w:rPr>
          <w:rFonts w:eastAsia="Calibri"/>
          <w:b/>
          <w:bCs/>
          <w:rtl/>
        </w:rPr>
      </w:pPr>
    </w:p>
    <w:p w:rsidR="00A210E9" w:rsidRPr="00A210E9" w:rsidP="00A210E9">
      <w:pPr>
        <w:keepNext/>
        <w:keepLines/>
        <w:spacing w:line="269" w:lineRule="auto"/>
        <w:outlineLvl w:val="5"/>
        <w:rPr>
          <w:rFonts w:eastAsia="Times New Roman"/>
          <w:spacing w:val="40"/>
          <w:rtl/>
        </w:rPr>
      </w:pPr>
      <w:r w:rsidRPr="00A210E9">
        <w:rPr>
          <w:rFonts w:eastAsia="Times New Roman" w:hint="cs"/>
          <w:spacing w:val="40"/>
          <w:rtl/>
        </w:rPr>
        <w:t>רכב מזכה לחניה אישית</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חוק חניה לנכים מגדיר "רכב מזכה" כרכב שלגביו הוכיח האדם עם מוגבלות, להנחת דעתה של רשות הרישוי, כי הוא עומד לשימושו האישי דרך קבע</w:t>
      </w:r>
      <w:r>
        <w:rPr>
          <w:rFonts w:eastAsia="Calibri"/>
          <w:vertAlign w:val="superscript"/>
          <w:rtl/>
        </w:rPr>
        <w:footnoteReference w:id="118"/>
      </w:r>
      <w:r w:rsidRPr="00A210E9">
        <w:rPr>
          <w:rFonts w:eastAsia="Calibri" w:hint="cs"/>
          <w:rtl/>
        </w:rPr>
        <w:t xml:space="preserve">. על פי החוק, תקצה הרשות המקומית מקום חניה אישי לרכב מזכה אחד (מבין שניים אפשריים) של אדם עם מוגבלות המתגורר בתחומה הנושא תג חניה. לצורך הקצאת חניה אישית הרשות המקומית מציבה תמרור עם מספר הרכב של האדם עם מוגבלות. לרוב יהיה מדובר במספר רכב אחד, אך ייתכנו מקרים שבהם רשויות מקומיות מאשרות לרשום על השלט את שני מספרי הרישוי של הרכבים המקושרים לתג החניה, כך שכל אחד משני הרכבים יוכל לחנות בחניה האישית שהוקצתה.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בטבלה שלהלן מובאות דוגמאות כיצד רשויות מקומיות שונות נוהגות בעניין זה:</w:t>
      </w:r>
    </w:p>
    <w:p w:rsidR="00A210E9" w:rsidRPr="00A210E9" w:rsidP="00A210E9">
      <w:pPr>
        <w:keepNext/>
        <w:keepLines/>
        <w:spacing w:line="269" w:lineRule="auto"/>
        <w:ind w:left="-567"/>
        <w:rPr>
          <w:rFonts w:eastAsia="Calibri"/>
          <w:szCs w:val="20"/>
          <w:rtl/>
        </w:rPr>
      </w:pPr>
    </w:p>
    <w:p w:rsidR="00A210E9" w:rsidRPr="00A210E9" w:rsidP="00A210E9">
      <w:pPr>
        <w:keepNext/>
        <w:keepLines/>
        <w:spacing w:line="269" w:lineRule="auto"/>
        <w:jc w:val="center"/>
        <w:rPr>
          <w:rFonts w:eastAsia="Calibri"/>
          <w:b/>
          <w:bCs/>
          <w:rtl/>
        </w:rPr>
      </w:pPr>
      <w:r w:rsidRPr="00A210E9">
        <w:rPr>
          <w:rFonts w:eastAsia="Calibri" w:hint="cs"/>
          <w:rtl/>
        </w:rPr>
        <w:t>לוח 8:</w:t>
      </w:r>
      <w:r w:rsidRPr="00A210E9">
        <w:rPr>
          <w:rFonts w:eastAsia="Calibri" w:hint="cs"/>
          <w:b/>
          <w:bCs/>
          <w:rtl/>
        </w:rPr>
        <w:t xml:space="preserve"> הגדרת רכב מזכה לצורך הקצאת חניה אישית</w:t>
      </w:r>
    </w:p>
    <w:tbl>
      <w:tblPr>
        <w:tblStyle w:val="TableGrid"/>
        <w:bidiVisual/>
        <w:tblW w:w="0" w:type="auto"/>
        <w:tblInd w:w="-5" w:type="dxa"/>
        <w:tblLook w:val="04A0"/>
      </w:tblPr>
      <w:tblGrid>
        <w:gridCol w:w="1454"/>
        <w:gridCol w:w="1681"/>
        <w:gridCol w:w="3403"/>
        <w:gridCol w:w="1677"/>
      </w:tblGrid>
      <w:tr w:rsidTr="00A157C9">
        <w:tblPrEx>
          <w:tblW w:w="0" w:type="auto"/>
          <w:tblInd w:w="-5" w:type="dxa"/>
          <w:tblLook w:val="04A0"/>
        </w:tblPrEx>
        <w:trPr>
          <w:tblHeader/>
        </w:trPr>
        <w:tc>
          <w:tcPr>
            <w:tcW w:w="0" w:type="auto"/>
          </w:tcPr>
          <w:p w:rsidR="00A210E9" w:rsidRPr="00A210E9" w:rsidP="00A210E9">
            <w:pPr>
              <w:spacing w:line="269" w:lineRule="auto"/>
              <w:jc w:val="center"/>
              <w:rPr>
                <w:rFonts w:ascii="David" w:eastAsia="Calibri" w:hAnsi="David"/>
                <w:b/>
                <w:bCs/>
                <w:sz w:val="22"/>
                <w:szCs w:val="22"/>
                <w:rtl/>
              </w:rPr>
            </w:pPr>
            <w:r w:rsidRPr="00A210E9">
              <w:rPr>
                <w:rFonts w:ascii="David" w:eastAsia="Calibri" w:hAnsi="David" w:hint="cs"/>
                <w:b/>
                <w:bCs/>
                <w:sz w:val="22"/>
                <w:szCs w:val="22"/>
                <w:rtl/>
              </w:rPr>
              <w:t>עיריית רעננה</w:t>
            </w:r>
          </w:p>
        </w:tc>
        <w:tc>
          <w:tcPr>
            <w:tcW w:w="0" w:type="auto"/>
          </w:tcPr>
          <w:p w:rsidR="00A210E9" w:rsidRPr="00A210E9" w:rsidP="00A210E9">
            <w:pPr>
              <w:spacing w:line="269" w:lineRule="auto"/>
              <w:jc w:val="center"/>
              <w:rPr>
                <w:rFonts w:ascii="David" w:eastAsia="Calibri" w:hAnsi="David"/>
                <w:b/>
                <w:bCs/>
                <w:sz w:val="22"/>
                <w:szCs w:val="22"/>
                <w:rtl/>
              </w:rPr>
            </w:pPr>
            <w:r w:rsidRPr="00A210E9">
              <w:rPr>
                <w:rFonts w:ascii="David" w:eastAsia="Calibri" w:hAnsi="David" w:hint="cs"/>
                <w:b/>
                <w:bCs/>
                <w:sz w:val="22"/>
                <w:szCs w:val="22"/>
                <w:rtl/>
              </w:rPr>
              <w:t>עיריית ירושלים</w:t>
            </w:r>
          </w:p>
        </w:tc>
        <w:tc>
          <w:tcPr>
            <w:tcW w:w="0" w:type="auto"/>
          </w:tcPr>
          <w:p w:rsidR="00A210E9" w:rsidRPr="00A210E9" w:rsidP="00A210E9">
            <w:pPr>
              <w:spacing w:line="269" w:lineRule="auto"/>
              <w:jc w:val="center"/>
              <w:rPr>
                <w:rFonts w:ascii="David" w:eastAsia="Calibri" w:hAnsi="David"/>
                <w:b/>
                <w:bCs/>
                <w:sz w:val="22"/>
                <w:szCs w:val="22"/>
                <w:rtl/>
              </w:rPr>
            </w:pPr>
            <w:r w:rsidRPr="00A210E9">
              <w:rPr>
                <w:rFonts w:ascii="David" w:eastAsia="Calibri" w:hAnsi="David" w:hint="cs"/>
                <w:b/>
                <w:bCs/>
                <w:sz w:val="22"/>
                <w:szCs w:val="22"/>
                <w:rtl/>
              </w:rPr>
              <w:t>עיריית תל אביב</w:t>
            </w:r>
          </w:p>
        </w:tc>
        <w:tc>
          <w:tcPr>
            <w:tcW w:w="0" w:type="auto"/>
          </w:tcPr>
          <w:p w:rsidR="00A210E9" w:rsidRPr="00A210E9" w:rsidP="00A210E9">
            <w:pPr>
              <w:spacing w:line="269" w:lineRule="auto"/>
              <w:jc w:val="center"/>
              <w:rPr>
                <w:rFonts w:ascii="David" w:eastAsia="Calibri" w:hAnsi="David"/>
                <w:b/>
                <w:bCs/>
                <w:sz w:val="22"/>
                <w:szCs w:val="22"/>
                <w:rtl/>
              </w:rPr>
            </w:pPr>
            <w:r w:rsidRPr="00A210E9">
              <w:rPr>
                <w:rFonts w:ascii="David" w:eastAsia="Calibri" w:hAnsi="David" w:hint="cs"/>
                <w:b/>
                <w:bCs/>
                <w:sz w:val="22"/>
                <w:szCs w:val="22"/>
                <w:rtl/>
              </w:rPr>
              <w:t>עיריית חיפה</w:t>
            </w:r>
          </w:p>
        </w:tc>
      </w:tr>
      <w:tr w:rsidTr="00A157C9">
        <w:tblPrEx>
          <w:tblW w:w="0" w:type="auto"/>
          <w:tblInd w:w="-5" w:type="dxa"/>
          <w:tblLook w:val="04A0"/>
        </w:tblPrEx>
        <w:tc>
          <w:tcPr>
            <w:tcW w:w="0" w:type="auto"/>
          </w:tcPr>
          <w:p w:rsidR="00A210E9" w:rsidRPr="00A210E9" w:rsidP="00A210E9">
            <w:pPr>
              <w:spacing w:line="269" w:lineRule="auto"/>
              <w:jc w:val="left"/>
              <w:rPr>
                <w:rFonts w:ascii="David" w:eastAsia="Calibri" w:hAnsi="David"/>
                <w:sz w:val="22"/>
                <w:szCs w:val="22"/>
                <w:rtl/>
              </w:rPr>
            </w:pPr>
            <w:r w:rsidRPr="00A210E9">
              <w:rPr>
                <w:rFonts w:ascii="David" w:eastAsia="Calibri" w:hAnsi="David" w:hint="cs"/>
                <w:sz w:val="22"/>
                <w:szCs w:val="22"/>
                <w:rtl/>
              </w:rPr>
              <w:t>רכב אחד ובמקרים נדירים שני רכבים (לדוגמה, הורים לילד עם מוגבלות)</w:t>
            </w:r>
          </w:p>
        </w:tc>
        <w:tc>
          <w:tcPr>
            <w:tcW w:w="0" w:type="auto"/>
          </w:tcPr>
          <w:p w:rsidR="00A210E9" w:rsidRPr="00A210E9" w:rsidP="00A210E9">
            <w:pPr>
              <w:spacing w:line="269" w:lineRule="auto"/>
              <w:jc w:val="left"/>
              <w:rPr>
                <w:rFonts w:eastAsia="Calibri"/>
                <w:sz w:val="22"/>
                <w:szCs w:val="22"/>
              </w:rPr>
            </w:pPr>
            <w:r w:rsidRPr="00A210E9">
              <w:rPr>
                <w:rFonts w:ascii="David" w:eastAsia="Calibri" w:hAnsi="David" w:hint="cs"/>
                <w:sz w:val="22"/>
                <w:szCs w:val="22"/>
                <w:rtl/>
              </w:rPr>
              <w:t xml:space="preserve">לרוב* </w:t>
            </w:r>
            <w:r w:rsidRPr="00A210E9">
              <w:rPr>
                <w:rFonts w:ascii="David" w:eastAsia="Calibri" w:hAnsi="David"/>
                <w:sz w:val="22"/>
                <w:szCs w:val="22"/>
                <w:rtl/>
              </w:rPr>
              <w:t>מס</w:t>
            </w:r>
            <w:r w:rsidRPr="00A210E9">
              <w:rPr>
                <w:rFonts w:ascii="David" w:eastAsia="Calibri" w:hAnsi="David" w:hint="cs"/>
                <w:sz w:val="22"/>
                <w:szCs w:val="22"/>
                <w:rtl/>
              </w:rPr>
              <w:t>פר</w:t>
            </w:r>
            <w:r w:rsidRPr="00A210E9">
              <w:rPr>
                <w:rFonts w:ascii="David" w:eastAsia="Calibri" w:hAnsi="David"/>
                <w:sz w:val="22"/>
                <w:szCs w:val="22"/>
                <w:rtl/>
              </w:rPr>
              <w:t xml:space="preserve"> רישוי אחד </w:t>
            </w:r>
            <w:r w:rsidRPr="00A210E9">
              <w:rPr>
                <w:rFonts w:ascii="David" w:eastAsia="Calibri" w:hAnsi="David" w:hint="cs"/>
                <w:sz w:val="22"/>
                <w:szCs w:val="22"/>
                <w:rtl/>
              </w:rPr>
              <w:t xml:space="preserve">על גבי </w:t>
            </w:r>
            <w:r w:rsidRPr="00A210E9">
              <w:rPr>
                <w:rFonts w:ascii="David" w:eastAsia="Calibri" w:hAnsi="David"/>
                <w:sz w:val="22"/>
                <w:szCs w:val="22"/>
                <w:rtl/>
              </w:rPr>
              <w:t>התמרור, למעט מקרים שמובאים לוועדת חריגים (כל מקרה לגופו</w:t>
            </w:r>
            <w:r w:rsidRPr="00A210E9">
              <w:rPr>
                <w:rFonts w:ascii="David" w:eastAsia="Calibri" w:hAnsi="David" w:hint="cs"/>
                <w:sz w:val="22"/>
                <w:szCs w:val="22"/>
                <w:rtl/>
              </w:rPr>
              <w:t>)</w:t>
            </w:r>
            <w:r w:rsidRPr="00A210E9">
              <w:rPr>
                <w:rFonts w:ascii="David" w:eastAsia="Calibri" w:hAnsi="David"/>
                <w:color w:val="215F9A"/>
                <w:sz w:val="22"/>
                <w:szCs w:val="22"/>
                <w:rtl/>
              </w:rPr>
              <w:t>.</w:t>
            </w:r>
          </w:p>
          <w:p w:rsidR="00A210E9" w:rsidRPr="00A210E9" w:rsidP="00A210E9">
            <w:pPr>
              <w:spacing w:line="269" w:lineRule="auto"/>
              <w:jc w:val="left"/>
              <w:rPr>
                <w:rFonts w:ascii="David" w:eastAsia="Calibri" w:hAnsi="David"/>
                <w:b/>
                <w:bCs/>
                <w:sz w:val="22"/>
                <w:szCs w:val="22"/>
                <w:rtl/>
              </w:rPr>
            </w:pPr>
          </w:p>
        </w:tc>
        <w:tc>
          <w:tcPr>
            <w:tcW w:w="0" w:type="auto"/>
          </w:tcPr>
          <w:p w:rsidR="00A210E9" w:rsidRPr="00A210E9" w:rsidP="00A210E9">
            <w:pPr>
              <w:spacing w:line="269" w:lineRule="auto"/>
              <w:jc w:val="left"/>
              <w:rPr>
                <w:rFonts w:ascii="David" w:eastAsia="Calibri" w:hAnsi="David"/>
                <w:sz w:val="22"/>
                <w:szCs w:val="22"/>
                <w:rtl/>
              </w:rPr>
            </w:pPr>
            <w:r w:rsidRPr="00A210E9">
              <w:rPr>
                <w:rFonts w:ascii="David" w:eastAsia="Calibri" w:hAnsi="David" w:hint="cs"/>
                <w:sz w:val="22"/>
                <w:szCs w:val="22"/>
                <w:rtl/>
              </w:rPr>
              <w:t>בעבר שני מספרי רישוי לבקשת האדם עם מוגבלות. כיום, מספר רישוי אחד, לפי הוראות החוק. עדיין קיימים תמרורים עם שני מספרי רישוי שהעירייה לא דרשה את החלפתם באופן אקטיבי מהאנשים עם מוגבלות שקיבלו אותם בעבר, אך בכל החלפה או שינוי ייערך תיקון ויוצב תמרור עם מספר רישוי אחד בלבד</w:t>
            </w:r>
          </w:p>
        </w:tc>
        <w:tc>
          <w:tcPr>
            <w:tcW w:w="0" w:type="auto"/>
          </w:tcPr>
          <w:p w:rsidR="00A210E9" w:rsidRPr="00A210E9" w:rsidP="00A210E9">
            <w:pPr>
              <w:spacing w:line="269" w:lineRule="auto"/>
              <w:jc w:val="left"/>
              <w:rPr>
                <w:rFonts w:ascii="David" w:eastAsia="Calibri" w:hAnsi="David"/>
                <w:sz w:val="22"/>
                <w:szCs w:val="22"/>
                <w:rtl/>
              </w:rPr>
            </w:pPr>
            <w:r w:rsidRPr="00A210E9">
              <w:rPr>
                <w:rFonts w:ascii="David" w:eastAsia="Calibri" w:hAnsi="David" w:hint="cs"/>
                <w:sz w:val="22"/>
                <w:szCs w:val="22"/>
                <w:rtl/>
              </w:rPr>
              <w:t>רכב אחד, אלא אם מדובר בהורים לילד עם מוגבלות - במקרה כזה ניתן לרכב בודד של כל הורה (שני רכבים).</w:t>
            </w:r>
          </w:p>
          <w:p w:rsidR="00A210E9" w:rsidRPr="00A210E9" w:rsidP="00A210E9">
            <w:pPr>
              <w:spacing w:line="269" w:lineRule="auto"/>
              <w:jc w:val="left"/>
              <w:rPr>
                <w:rFonts w:ascii="David" w:eastAsia="Calibri" w:hAnsi="David"/>
                <w:sz w:val="22"/>
                <w:szCs w:val="22"/>
                <w:rtl/>
              </w:rPr>
            </w:pPr>
          </w:p>
          <w:p w:rsidR="00A210E9" w:rsidRPr="00A210E9" w:rsidP="00A210E9">
            <w:pPr>
              <w:spacing w:line="269" w:lineRule="auto"/>
              <w:jc w:val="left"/>
              <w:rPr>
                <w:rFonts w:ascii="David" w:eastAsia="Calibri" w:hAnsi="David"/>
                <w:sz w:val="22"/>
                <w:szCs w:val="22"/>
                <w:rtl/>
              </w:rPr>
            </w:pPr>
          </w:p>
        </w:tc>
      </w:tr>
    </w:tbl>
    <w:p w:rsidR="00A210E9" w:rsidRPr="00A210E9" w:rsidP="00A210E9">
      <w:pPr>
        <w:spacing w:line="269" w:lineRule="auto"/>
        <w:rPr>
          <w:rFonts w:eastAsia="Calibri"/>
          <w:szCs w:val="20"/>
          <w:rtl/>
        </w:rPr>
      </w:pPr>
      <w:r w:rsidRPr="00A210E9">
        <w:rPr>
          <w:rFonts w:eastAsia="Calibri" w:hint="cs"/>
          <w:szCs w:val="20"/>
          <w:rtl/>
        </w:rPr>
        <w:t>המקור: רשויות מקומיות רעננה, ירושלים, תל אביב-יפו, חיפה.</w:t>
      </w:r>
    </w:p>
    <w:p w:rsidR="00A210E9" w:rsidRPr="00A210E9" w:rsidP="00A210E9">
      <w:pPr>
        <w:spacing w:line="269" w:lineRule="auto"/>
        <w:rPr>
          <w:rFonts w:eastAsia="Calibri"/>
          <w:szCs w:val="20"/>
          <w:rtl/>
        </w:rPr>
      </w:pPr>
      <w:r w:rsidRPr="00A210E9">
        <w:rPr>
          <w:rFonts w:eastAsia="Calibri"/>
          <w:szCs w:val="20"/>
          <w:rtl/>
        </w:rPr>
        <w:t xml:space="preserve">* </w:t>
      </w:r>
      <w:r w:rsidRPr="00A210E9">
        <w:rPr>
          <w:rFonts w:eastAsia="Calibri" w:hint="eastAsia"/>
          <w:szCs w:val="20"/>
          <w:rtl/>
        </w:rPr>
        <w:t>על</w:t>
      </w:r>
      <w:r w:rsidRPr="00A210E9">
        <w:rPr>
          <w:rFonts w:eastAsia="Calibri"/>
          <w:szCs w:val="20"/>
          <w:rtl/>
        </w:rPr>
        <w:t xml:space="preserve"> פי הערכת העירייה, מדובר </w:t>
      </w:r>
      <w:r w:rsidRPr="00A210E9">
        <w:rPr>
          <w:rFonts w:eastAsia="Calibri" w:hint="eastAsia"/>
          <w:szCs w:val="20"/>
          <w:rtl/>
        </w:rPr>
        <w:t>ב</w:t>
      </w:r>
      <w:r w:rsidRPr="00A210E9">
        <w:rPr>
          <w:rFonts w:eastAsia="Calibri" w:hint="cs"/>
          <w:szCs w:val="20"/>
          <w:rtl/>
        </w:rPr>
        <w:t>יותר מ-</w:t>
      </w:r>
      <w:r w:rsidRPr="00A210E9">
        <w:rPr>
          <w:rFonts w:eastAsia="Calibri"/>
          <w:szCs w:val="20"/>
          <w:rtl/>
        </w:rPr>
        <w:t xml:space="preserve">90% מהחניות האישיות.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Pr>
      </w:pPr>
      <w:r w:rsidRPr="00A210E9">
        <w:rPr>
          <w:rFonts w:eastAsia="Calibri" w:hint="cs"/>
          <w:rtl/>
        </w:rPr>
        <w:t xml:space="preserve">כפי שניתן לראות בלוח, ברוב המקרים רכב מזכה יוגדר כרכב אחד שרשאי לחנות בחניה אישית, למעט במקרים ספציפיים שהאישור ניתן עבור שני רכבים, לדוגמה כשמדובר בהורים לילד עם מוגבלות אשר מסיעים אותו לסירוגין. </w:t>
      </w:r>
    </w:p>
    <w:p w:rsidR="00A210E9" w:rsidRPr="00A210E9" w:rsidP="00A210E9">
      <w:pPr>
        <w:spacing w:line="269" w:lineRule="auto"/>
        <w:rPr>
          <w:rFonts w:eastAsia="Calibri"/>
          <w:rtl/>
        </w:rPr>
      </w:pPr>
    </w:p>
    <w:p w:rsidR="00A210E9" w:rsidRPr="00A210E9" w:rsidP="00A210E9">
      <w:pPr>
        <w:keepNext/>
        <w:keepLines/>
        <w:spacing w:line="269" w:lineRule="auto"/>
        <w:outlineLvl w:val="5"/>
        <w:rPr>
          <w:rFonts w:eastAsia="Times New Roman"/>
          <w:spacing w:val="40"/>
          <w:rtl/>
        </w:rPr>
      </w:pPr>
      <w:bookmarkStart w:id="116" w:name="_Hlk219649530"/>
      <w:bookmarkStart w:id="117" w:name="_Hlk219649505"/>
      <w:r w:rsidRPr="00A210E9">
        <w:rPr>
          <w:rFonts w:eastAsia="Times New Roman" w:hint="eastAsia"/>
          <w:spacing w:val="40"/>
          <w:rtl/>
        </w:rPr>
        <w:t>תוקף</w:t>
      </w:r>
      <w:r w:rsidRPr="00A210E9">
        <w:rPr>
          <w:rFonts w:eastAsia="Times New Roman" w:hint="cs"/>
          <w:spacing w:val="40"/>
          <w:rtl/>
        </w:rPr>
        <w:t xml:space="preserve"> הזכאות לחניה אישית</w:t>
      </w:r>
    </w:p>
    <w:bookmarkEnd w:id="116"/>
    <w:bookmarkEnd w:id="117"/>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גם בעניין תוקף זכאות האדם עם מוגבלות למקום חניה אישי נמצא כי קיימת שונות בין הרשויות המקומיות שנבדקו במהלך הביקורת. </w:t>
      </w:r>
      <w:r w:rsidRPr="00A210E9">
        <w:rPr>
          <w:rFonts w:eastAsia="Calibri" w:hint="eastAsia"/>
          <w:rtl/>
        </w:rPr>
        <w:t>בתל</w:t>
      </w:r>
      <w:r w:rsidRPr="00A210E9">
        <w:rPr>
          <w:rFonts w:eastAsia="Calibri" w:hint="cs"/>
          <w:rtl/>
        </w:rPr>
        <w:t xml:space="preserve"> אביב תוקף הזכאות הוא לצמיתות, אלא אם יש תאריך תוקף לתג החניה או שאחוזי הנכות לא נקבעו לצמיתות. במקרה כזה יצטרך האדם עם מוגבלות לחדש את הזכאות שלו באמצעות שליחת מסמכים מעודכנים. דוגמא לכך היא חולים אונקולוגים שעבורם תקופת הזכאות היא בין חצי שנה לשנה, ולאחריה על האדם עם מוגבלות לשלוח לרשות המקומית מסמכים רפואיים עדכניים כדי לחדש את זכאותו. רשויות מקומיות אחרות נוהגות להגביל את תוקף הזכאות, למשל עיריית רעננה מקצה את החניות האישיות לתקופה של שלוש שנים, גם אם אחוזי הנכות הם לצמיתות, ובתום התקופה יש לשלוח שוב את המסמכים הרפואיים לעירייה במטרה לשמר את הזכאות לחניה אישית. </w:t>
      </w:r>
      <w:r w:rsidRPr="00A210E9">
        <w:rPr>
          <w:rFonts w:eastAsia="Calibri" w:hint="eastAsia"/>
          <w:rtl/>
        </w:rPr>
        <w:t>עיריית</w:t>
      </w:r>
      <w:r w:rsidRPr="00A210E9">
        <w:rPr>
          <w:rFonts w:eastAsia="Calibri"/>
          <w:rtl/>
        </w:rPr>
        <w:t xml:space="preserve"> </w:t>
      </w:r>
      <w:r w:rsidRPr="00A210E9">
        <w:rPr>
          <w:rFonts w:eastAsia="Calibri" w:hint="eastAsia"/>
          <w:rtl/>
        </w:rPr>
        <w:t>חיפה</w:t>
      </w:r>
      <w:r w:rsidRPr="00A210E9">
        <w:rPr>
          <w:rFonts w:eastAsia="Calibri"/>
          <w:rtl/>
        </w:rPr>
        <w:t xml:space="preserve"> </w:t>
      </w:r>
      <w:r w:rsidRPr="00A210E9">
        <w:rPr>
          <w:rFonts w:eastAsia="Calibri" w:hint="eastAsia"/>
          <w:rtl/>
        </w:rPr>
        <w:t>מקצה</w:t>
      </w:r>
      <w:r w:rsidRPr="00A210E9">
        <w:rPr>
          <w:rFonts w:eastAsia="Calibri"/>
          <w:rtl/>
        </w:rPr>
        <w:t xml:space="preserve"> </w:t>
      </w:r>
      <w:r w:rsidRPr="00A210E9">
        <w:rPr>
          <w:rFonts w:eastAsia="Calibri" w:hint="eastAsia"/>
          <w:rtl/>
        </w:rPr>
        <w:t>גם</w:t>
      </w:r>
      <w:r w:rsidRPr="00A210E9">
        <w:rPr>
          <w:rFonts w:eastAsia="Calibri"/>
          <w:rtl/>
        </w:rPr>
        <w:t xml:space="preserve"> </w:t>
      </w:r>
      <w:r w:rsidRPr="00A210E9">
        <w:rPr>
          <w:rFonts w:eastAsia="Calibri" w:hint="eastAsia"/>
          <w:rtl/>
        </w:rPr>
        <w:t>היא</w:t>
      </w:r>
      <w:r w:rsidRPr="00A210E9">
        <w:rPr>
          <w:rFonts w:eastAsia="Calibri"/>
          <w:rtl/>
        </w:rPr>
        <w:t xml:space="preserve"> </w:t>
      </w:r>
      <w:r w:rsidRPr="00A210E9">
        <w:rPr>
          <w:rFonts w:eastAsia="Calibri" w:hint="eastAsia"/>
          <w:rtl/>
        </w:rPr>
        <w:t>את</w:t>
      </w:r>
      <w:r w:rsidRPr="00A210E9">
        <w:rPr>
          <w:rFonts w:eastAsia="Calibri"/>
          <w:rtl/>
        </w:rPr>
        <w:t xml:space="preserve"> </w:t>
      </w:r>
      <w:r w:rsidRPr="00A210E9">
        <w:rPr>
          <w:rFonts w:eastAsia="Calibri" w:hint="eastAsia"/>
          <w:rtl/>
        </w:rPr>
        <w:t>החניה</w:t>
      </w:r>
      <w:r w:rsidRPr="00A210E9">
        <w:rPr>
          <w:rFonts w:eastAsia="Calibri"/>
          <w:rtl/>
        </w:rPr>
        <w:t xml:space="preserve"> </w:t>
      </w:r>
      <w:r w:rsidRPr="00A210E9">
        <w:rPr>
          <w:rFonts w:eastAsia="Calibri" w:hint="eastAsia"/>
          <w:rtl/>
        </w:rPr>
        <w:t>לשלוש</w:t>
      </w:r>
      <w:r w:rsidRPr="00A210E9">
        <w:rPr>
          <w:rFonts w:eastAsia="Calibri"/>
          <w:rtl/>
        </w:rPr>
        <w:t xml:space="preserve"> </w:t>
      </w:r>
      <w:r w:rsidRPr="00A210E9">
        <w:rPr>
          <w:rFonts w:eastAsia="Calibri" w:hint="eastAsia"/>
          <w:rtl/>
        </w:rPr>
        <w:t>שנים</w:t>
      </w:r>
      <w:r w:rsidRPr="00A210E9">
        <w:rPr>
          <w:rFonts w:eastAsia="Calibri"/>
          <w:rtl/>
        </w:rPr>
        <w:t xml:space="preserve">, </w:t>
      </w:r>
      <w:r w:rsidRPr="00A210E9">
        <w:rPr>
          <w:rFonts w:eastAsia="Calibri" w:hint="eastAsia"/>
          <w:rtl/>
        </w:rPr>
        <w:t>על</w:t>
      </w:r>
      <w:r w:rsidRPr="00A210E9">
        <w:rPr>
          <w:rFonts w:eastAsia="Calibri"/>
          <w:rtl/>
        </w:rPr>
        <w:t xml:space="preserve"> פי נוהל: "מאחר ומדובר במשאב ציבורי מוגבל שיש לבחון את נסיבות הקצאתו בפרקי זמן סבירים לרשות שינוי נסיבות, הליכים תכנוניים ותחבורתיים, שיקולי מדיניות </w:t>
      </w:r>
      <w:r w:rsidRPr="00A210E9">
        <w:rPr>
          <w:rFonts w:eastAsia="Calibri" w:hint="eastAsia"/>
          <w:rtl/>
        </w:rPr>
        <w:t>וכיוצ</w:t>
      </w:r>
      <w:r w:rsidRPr="00A210E9">
        <w:rPr>
          <w:rFonts w:eastAsia="Calibri" w:hint="cs"/>
          <w:rtl/>
        </w:rPr>
        <w:t>"</w:t>
      </w:r>
      <w:r w:rsidRPr="00A210E9">
        <w:rPr>
          <w:rFonts w:eastAsia="Calibri" w:hint="eastAsia"/>
          <w:rtl/>
        </w:rPr>
        <w:t>ב</w:t>
      </w:r>
      <w:r w:rsidRPr="00A210E9">
        <w:rPr>
          <w:rFonts w:eastAsia="Calibri"/>
          <w:rtl/>
        </w:rPr>
        <w:t>"</w:t>
      </w:r>
      <w:r>
        <w:rPr>
          <w:rFonts w:eastAsia="Calibri"/>
          <w:vertAlign w:val="superscript"/>
          <w:rtl/>
        </w:rPr>
        <w:footnoteReference w:id="119"/>
      </w:r>
      <w:r w:rsidRPr="00A210E9">
        <w:rPr>
          <w:rFonts w:eastAsia="Calibri"/>
          <w:rtl/>
        </w:rPr>
        <w:t>.</w:t>
      </w:r>
      <w:r w:rsidRPr="00A210E9">
        <w:rPr>
          <w:rFonts w:eastAsia="Calibri" w:hint="cs"/>
          <w:rtl/>
        </w:rPr>
        <w:t xml:space="preserve"> בעיריית ירושלים פרק הזמן לזכאות לחניה אישית הוא לפי המלצת הרופא שסיפק לאדם עם מוגבלות את המסמכים הרפואיים.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כמו בסוגיית רכב מזכה, גם לגבי חידוש הזכאות לחניית נכה אישית הקריטריונים לשימור הזכאות אינם זהים בין הרשויות המקומיות השונות, וכל רשות קובעת לעצמה קריטריונים משלה. </w:t>
      </w:r>
    </w:p>
    <w:p w:rsidR="00A210E9" w:rsidRPr="00A210E9" w:rsidP="00A210E9">
      <w:pPr>
        <w:spacing w:line="269" w:lineRule="auto"/>
        <w:rPr>
          <w:rFonts w:eastAsia="Calibri"/>
          <w:rtl/>
        </w:rPr>
      </w:pPr>
    </w:p>
    <w:p w:rsidR="00A210E9" w:rsidRPr="00A210E9" w:rsidP="00A210E9">
      <w:pPr>
        <w:keepNext/>
        <w:keepLines/>
        <w:spacing w:line="269" w:lineRule="auto"/>
        <w:outlineLvl w:val="5"/>
        <w:rPr>
          <w:rFonts w:eastAsia="Times New Roman"/>
          <w:spacing w:val="40"/>
          <w:rtl/>
        </w:rPr>
      </w:pPr>
      <w:r w:rsidRPr="00A210E9">
        <w:rPr>
          <w:rFonts w:eastAsia="Times New Roman" w:hint="cs"/>
          <w:spacing w:val="40"/>
          <w:rtl/>
        </w:rPr>
        <w:t xml:space="preserve">ביטול חניה אישית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יש מקרים שבהם חניית נכה אישית אמורה להתבטל, למשל במקרה שבו משרד התחבורה מבטל תג חניה או במקרה שהאדם עם מוגבלות נפטר, עבר דירה או עבר להתגורר במוסד סיעודי. כדי שהרשות המקומית תוכל לבטל חניות אישיות שאין בהן יותר צורך, עליה לקבל מידע על שינויים במקום מגוריו או במצבו של האדם עם מוגבלות מגורמים אחרים.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בבדיקה שעשה משרד מבקר המדינה בכמה רשויות מקומיות עלה כי חלק מהן משתמשות במידע מוסמך לגבי נפטרים. לדוגמה, עיריית ירושלים מתעדכנת בנושא באמצעות דוח נפטרים שמגיע אליה אחת לשבועיים, בעיריית תל אביב-יפו מתקבלים נתונים בנושא אחת לחודש, בעיריית חיפה ממפים אחת לשנתיים את כל תגי החניה האישית ומוודאים שהאדם עם מוגבלות שהתג משויך לו עודו בחיים, וכי כתובת מגוריו - תואמת לכתובת שבה הוקצתה החניה. לעומת זאת, מעיריית רעננה נמסר כי באפשרותה להתעדכן בדבר פטירתו של אדם עם מוגבלות רק במועד חידוש זכאותו לחניה אישית, המתבצע מדי שלוש שנים.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לגבי כל הרשויות המקומיות שנבדקו נמצא כי אין ממשק בינן לבין משרד התחבורה, המאפשר להן להתעדכן כאשר משרד התחבורה מבטל תג חניה, והחניה האישית ממשיכה לעמוד לרשות האדם עם מוגבלות אף שהוא כבר אינו זכאי לה. אף על פי שבנושא אכיפה קיים ממשק בין משרד התחבורה לרשויות המקומיות באמצעות מאגר תגי חניה, המתעדכן מדי 24 שעות, הרשויות המקומיות אינן משתמשות במאגר זה לצורכי הקצאת חניה אישית; זאת, מכיוון שמאגר תגי חניה מקושר למספר רכב ולא למספר תעודת הזהות של האדם עם מוגבלות, שהוא הנתון המשמש לצורך הקצאת חניה אישית. עיריית תל אביב-יפו מסרה למשרד מבקר המדינה במרץ 2025 שממשק שיאפשר להן לקבל מידע לגבי תגי חניה שבוטלו ויקשר בין מידע זה למידע על חניות אישיות מצוי בפיתוח, וכי מידע על מקרים שבהם בוטל תג חניה שהוקצה לו מקום חניה אישית מגיע כיום לעירייה מהאדם עם מוגבלות עצמו, </w:t>
      </w:r>
      <w:r w:rsidRPr="00A210E9">
        <w:rPr>
          <w:rFonts w:eastAsia="Calibri" w:hint="eastAsia"/>
          <w:rtl/>
        </w:rPr>
        <w:t>מתלונות</w:t>
      </w:r>
      <w:r w:rsidRPr="00A210E9">
        <w:rPr>
          <w:rFonts w:eastAsia="Calibri"/>
          <w:rtl/>
        </w:rPr>
        <w:t xml:space="preserve"> שכנים</w:t>
      </w:r>
      <w:bookmarkStart w:id="118" w:name="_Hlk222415249"/>
      <w:r w:rsidRPr="00A210E9">
        <w:rPr>
          <w:rFonts w:eastAsia="Calibri"/>
          <w:rtl/>
        </w:rPr>
        <w:t>,</w:t>
      </w:r>
      <w:bookmarkEnd w:id="118"/>
      <w:r w:rsidRPr="00A210E9">
        <w:rPr>
          <w:rFonts w:eastAsia="Calibri"/>
          <w:rtl/>
        </w:rPr>
        <w:t xml:space="preserve"> </w:t>
      </w:r>
      <w:r w:rsidRPr="00A210E9">
        <w:rPr>
          <w:rFonts w:eastAsia="Calibri" w:hint="cs"/>
          <w:rtl/>
        </w:rPr>
        <w:t xml:space="preserve">וכן מאגף הפיקוח של העירייה באופן ספורדי כאשר מתגלה להם בשטח מקרה שכזה. יש רשויות מקומיות נוספות, כגון עיריות רעננה, </w:t>
      </w:r>
      <w:r w:rsidRPr="00A210E9">
        <w:rPr>
          <w:rFonts w:eastAsia="Calibri" w:hint="eastAsia"/>
          <w:rtl/>
        </w:rPr>
        <w:t>חיפה</w:t>
      </w:r>
      <w:r w:rsidRPr="00A210E9">
        <w:rPr>
          <w:rFonts w:eastAsia="Calibri" w:hint="cs"/>
          <w:rtl/>
        </w:rPr>
        <w:t xml:space="preserve"> וירושלים, שניזונות מתלונות שכנים במקרה שבו האדם עם מוגבלות נפטר, והם מעדכנים את הרשות מכיוון שהם מעוניינים שתתפנה חניה נוספת ברחוב.  </w:t>
      </w:r>
    </w:p>
    <w:p w:rsidR="00A210E9" w:rsidRPr="00A210E9" w:rsidP="00A210E9">
      <w:pPr>
        <w:spacing w:line="269" w:lineRule="auto"/>
        <w:rPr>
          <w:rFonts w:eastAsia="Calibri"/>
          <w:b/>
          <w:bCs/>
          <w:rtl/>
        </w:rPr>
      </w:pPr>
      <w:bookmarkStart w:id="119" w:name="_Hlk223884581"/>
      <w:r w:rsidRPr="00A210E9">
        <w:rPr>
          <w:rFonts w:eastAsia="Calibri" w:hint="cs"/>
          <w:b/>
          <w:bCs/>
          <w:rtl/>
        </w:rPr>
        <w:t xml:space="preserve">בביקורת עלה כי לא קיים ממשק מידע בין משרד התחבורה לבין הרשויות המקומיות, שדרכו הרשויות המקומיות יכולות להתעדכן בזמן אמת לגבי מקרים שבהם תג החניה בוטל או פג תוקפו. </w:t>
      </w:r>
    </w:p>
    <w:bookmarkEnd w:id="119"/>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eastAsia"/>
          <w:b/>
          <w:bCs/>
          <w:rtl/>
        </w:rPr>
        <w:t>מומלץ</w:t>
      </w:r>
      <w:r w:rsidRPr="00A210E9">
        <w:rPr>
          <w:rFonts w:eastAsia="Calibri"/>
          <w:b/>
          <w:bCs/>
          <w:rtl/>
        </w:rPr>
        <w:t xml:space="preserve"> שמשרד התחבורה</w:t>
      </w:r>
      <w:r w:rsidRPr="00A210E9">
        <w:rPr>
          <w:rFonts w:eastAsia="Calibri" w:hint="cs"/>
          <w:b/>
          <w:bCs/>
          <w:rtl/>
        </w:rPr>
        <w:t xml:space="preserve"> ייצור </w:t>
      </w:r>
      <w:r w:rsidRPr="00A210E9">
        <w:rPr>
          <w:rFonts w:eastAsia="Calibri"/>
          <w:b/>
          <w:bCs/>
          <w:rtl/>
        </w:rPr>
        <w:t>ממשק בי</w:t>
      </w:r>
      <w:r w:rsidRPr="00A210E9">
        <w:rPr>
          <w:rFonts w:eastAsia="Calibri" w:hint="cs"/>
          <w:b/>
          <w:bCs/>
          <w:rtl/>
        </w:rPr>
        <w:t>נו</w:t>
      </w:r>
      <w:r w:rsidRPr="00A210E9">
        <w:rPr>
          <w:rFonts w:eastAsia="Calibri"/>
          <w:b/>
          <w:bCs/>
          <w:rtl/>
        </w:rPr>
        <w:t xml:space="preserve"> לבין כלל הרשויות המקומיות</w:t>
      </w:r>
      <w:r w:rsidRPr="00A210E9">
        <w:rPr>
          <w:rFonts w:eastAsia="Calibri" w:hint="cs"/>
          <w:b/>
          <w:bCs/>
          <w:rtl/>
        </w:rPr>
        <w:t>,</w:t>
      </w:r>
      <w:r w:rsidRPr="00A210E9">
        <w:rPr>
          <w:rFonts w:eastAsia="Calibri"/>
          <w:b/>
          <w:bCs/>
          <w:rtl/>
        </w:rPr>
        <w:t xml:space="preserve"> </w:t>
      </w:r>
      <w:r w:rsidRPr="00A210E9">
        <w:rPr>
          <w:rFonts w:eastAsia="Calibri" w:hint="cs"/>
          <w:b/>
          <w:bCs/>
          <w:rtl/>
        </w:rPr>
        <w:t xml:space="preserve">שבאמצעותו </w:t>
      </w:r>
      <w:r w:rsidRPr="00A210E9">
        <w:rPr>
          <w:rFonts w:eastAsia="Calibri"/>
          <w:b/>
          <w:bCs/>
          <w:rtl/>
        </w:rPr>
        <w:t xml:space="preserve">ניתן למפות את תגי </w:t>
      </w:r>
      <w:r w:rsidRPr="00A210E9">
        <w:rPr>
          <w:rFonts w:eastAsia="Calibri" w:hint="cs"/>
          <w:b/>
          <w:bCs/>
          <w:rtl/>
        </w:rPr>
        <w:t>החניה</w:t>
      </w:r>
      <w:r w:rsidRPr="00A210E9">
        <w:rPr>
          <w:rFonts w:eastAsia="Calibri"/>
          <w:b/>
          <w:bCs/>
          <w:rtl/>
        </w:rPr>
        <w:t xml:space="preserve"> שבתוקף על פי </w:t>
      </w:r>
      <w:r w:rsidRPr="00A210E9">
        <w:rPr>
          <w:rFonts w:eastAsia="Calibri" w:hint="cs"/>
          <w:b/>
          <w:bCs/>
          <w:rtl/>
        </w:rPr>
        <w:t xml:space="preserve">מספרי </w:t>
      </w:r>
      <w:r w:rsidRPr="00A210E9">
        <w:rPr>
          <w:rFonts w:eastAsia="Calibri"/>
          <w:b/>
          <w:bCs/>
          <w:rtl/>
        </w:rPr>
        <w:t>תעודות הזהות של האנשים עם מוגבלות ולא רק על פי מספרי הרישוי של הרכבים.</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ind w:left="-1"/>
        <w:rPr>
          <w:rFonts w:eastAsia="Calibri"/>
          <w:rtl/>
        </w:rPr>
      </w:pPr>
      <w:r w:rsidRPr="00A210E9">
        <w:rPr>
          <w:rFonts w:eastAsia="Calibri" w:hint="cs"/>
          <w:rtl/>
        </w:rPr>
        <w:t xml:space="preserve">עיריית נתניה כתבה בתשובתה </w:t>
      </w:r>
      <w:r w:rsidRPr="00A210E9">
        <w:rPr>
          <w:rFonts w:eastAsia="Calibri" w:hint="eastAsia"/>
          <w:rtl/>
        </w:rPr>
        <w:t>ממרץ</w:t>
      </w:r>
      <w:r w:rsidRPr="00A210E9">
        <w:rPr>
          <w:rFonts w:eastAsia="Calibri"/>
          <w:rtl/>
        </w:rPr>
        <w:t xml:space="preserve"> 2026</w:t>
      </w:r>
      <w:r w:rsidRPr="00A210E9">
        <w:rPr>
          <w:rFonts w:eastAsia="Calibri" w:hint="cs"/>
          <w:rtl/>
        </w:rPr>
        <w:t xml:space="preserve"> </w:t>
      </w:r>
      <w:r w:rsidRPr="00A210E9">
        <w:rPr>
          <w:rFonts w:eastAsia="Calibri"/>
          <w:rtl/>
        </w:rPr>
        <w:t xml:space="preserve">(להלן - </w:t>
      </w:r>
      <w:r w:rsidRPr="00A210E9">
        <w:rPr>
          <w:rFonts w:eastAsia="Calibri" w:hint="eastAsia"/>
          <w:rtl/>
        </w:rPr>
        <w:t>תשובת</w:t>
      </w:r>
      <w:r w:rsidRPr="00A210E9">
        <w:rPr>
          <w:rFonts w:eastAsia="Calibri"/>
          <w:rtl/>
        </w:rPr>
        <w:t xml:space="preserve"> </w:t>
      </w:r>
      <w:r w:rsidRPr="00A210E9">
        <w:rPr>
          <w:rFonts w:eastAsia="Calibri" w:hint="eastAsia"/>
          <w:rtl/>
        </w:rPr>
        <w:t>עיריית</w:t>
      </w:r>
      <w:r w:rsidRPr="00A210E9">
        <w:rPr>
          <w:rFonts w:eastAsia="Calibri"/>
          <w:rtl/>
        </w:rPr>
        <w:t xml:space="preserve"> </w:t>
      </w:r>
      <w:r w:rsidRPr="00A210E9">
        <w:rPr>
          <w:rFonts w:eastAsia="Calibri" w:hint="eastAsia"/>
          <w:rtl/>
        </w:rPr>
        <w:t>נתניה</w:t>
      </w:r>
      <w:r w:rsidRPr="00A210E9">
        <w:rPr>
          <w:rFonts w:eastAsia="Calibri"/>
          <w:rtl/>
        </w:rPr>
        <w:t>)</w:t>
      </w:r>
      <w:r w:rsidRPr="00A210E9">
        <w:rPr>
          <w:rFonts w:eastAsia="Calibri" w:hint="cs"/>
          <w:rtl/>
        </w:rPr>
        <w:t xml:space="preserve"> כי יש ליצור </w:t>
      </w:r>
      <w:r w:rsidRPr="00A210E9">
        <w:rPr>
          <w:rFonts w:eastAsia="Calibri"/>
          <w:rtl/>
        </w:rPr>
        <w:t xml:space="preserve">מערכת סנכרון בזמן אמת בין משרד התחבורה </w:t>
      </w:r>
      <w:r w:rsidRPr="00A210E9">
        <w:rPr>
          <w:rFonts w:eastAsia="Calibri" w:hint="cs"/>
          <w:rtl/>
        </w:rPr>
        <w:t>ל</w:t>
      </w:r>
      <w:r w:rsidRPr="00A210E9">
        <w:rPr>
          <w:rFonts w:eastAsia="Calibri"/>
          <w:rtl/>
        </w:rPr>
        <w:t>רשויות, שתמנע כפילויות ושימוש בתגים שאינם בתוקף</w:t>
      </w:r>
      <w:r w:rsidRPr="00A210E9">
        <w:rPr>
          <w:rFonts w:eastAsia="Calibri" w:hint="cs"/>
          <w:rtl/>
        </w:rPr>
        <w:t xml:space="preserve">. </w:t>
      </w:r>
      <w:r w:rsidRPr="00A210E9">
        <w:rPr>
          <w:rFonts w:eastAsia="Calibri" w:hint="eastAsia"/>
          <w:rtl/>
        </w:rPr>
        <w:t>משרד</w:t>
      </w:r>
      <w:r w:rsidRPr="00A210E9">
        <w:rPr>
          <w:rFonts w:eastAsia="Calibri"/>
          <w:rtl/>
        </w:rPr>
        <w:t xml:space="preserve"> התחבורה </w:t>
      </w:r>
      <w:r w:rsidRPr="00A210E9">
        <w:rPr>
          <w:rFonts w:eastAsia="Calibri" w:hint="eastAsia"/>
          <w:rtl/>
        </w:rPr>
        <w:t>כתב</w:t>
      </w:r>
      <w:r w:rsidRPr="00A210E9">
        <w:rPr>
          <w:rFonts w:eastAsia="Calibri"/>
          <w:rtl/>
        </w:rPr>
        <w:t xml:space="preserve"> בתשובתו כי הוא מקבל כי נדרש להרחיב, להסדיר ולשכלל את הממשקים הקיימים, באופן שיאפשר העברת מידע רחבה, שוטפת ואחידה יותר לכלל הרשויות המקומיות. </w:t>
      </w:r>
      <w:r w:rsidRPr="00A210E9">
        <w:rPr>
          <w:rFonts w:eastAsia="Calibri" w:hint="eastAsia"/>
          <w:rtl/>
        </w:rPr>
        <w:t>משרד</w:t>
      </w:r>
      <w:r w:rsidRPr="00A210E9">
        <w:rPr>
          <w:rFonts w:eastAsia="Calibri"/>
          <w:rtl/>
        </w:rPr>
        <w:t xml:space="preserve"> </w:t>
      </w:r>
      <w:r w:rsidRPr="00A210E9">
        <w:rPr>
          <w:rFonts w:eastAsia="Calibri" w:hint="cs"/>
          <w:rtl/>
        </w:rPr>
        <w:t xml:space="preserve">התחבורה </w:t>
      </w:r>
      <w:r w:rsidRPr="00A210E9">
        <w:rPr>
          <w:rFonts w:eastAsia="Calibri"/>
          <w:rtl/>
        </w:rPr>
        <w:t xml:space="preserve">ציין </w:t>
      </w:r>
      <w:r w:rsidRPr="00A210E9">
        <w:rPr>
          <w:rFonts w:eastAsia="Calibri" w:hint="cs"/>
          <w:rtl/>
        </w:rPr>
        <w:t xml:space="preserve">עוד </w:t>
      </w:r>
      <w:r w:rsidRPr="00A210E9">
        <w:rPr>
          <w:rFonts w:eastAsia="Calibri"/>
          <w:rtl/>
        </w:rPr>
        <w:t>כי בהתאם לכך, אגף טכנולוגיות דיגיטליות ומידע פועל לאפיון צ</w:t>
      </w:r>
      <w:r w:rsidRPr="00A210E9">
        <w:rPr>
          <w:rFonts w:eastAsia="Calibri" w:hint="cs"/>
          <w:rtl/>
        </w:rPr>
        <w:t>ו</w:t>
      </w:r>
      <w:r w:rsidRPr="00A210E9">
        <w:rPr>
          <w:rFonts w:eastAsia="Calibri"/>
          <w:rtl/>
        </w:rPr>
        <w:t xml:space="preserve">רכי הרשויות ולקידום </w:t>
      </w:r>
      <w:r w:rsidRPr="00A210E9">
        <w:rPr>
          <w:rFonts w:eastAsia="Calibri" w:hint="cs"/>
          <w:rtl/>
        </w:rPr>
        <w:t>ה</w:t>
      </w:r>
      <w:r w:rsidRPr="00A210E9">
        <w:rPr>
          <w:rFonts w:eastAsia="Calibri"/>
          <w:rtl/>
        </w:rPr>
        <w:t xml:space="preserve">פיתוח </w:t>
      </w:r>
      <w:r w:rsidRPr="00A210E9">
        <w:rPr>
          <w:rFonts w:eastAsia="Calibri" w:hint="cs"/>
          <w:rtl/>
        </w:rPr>
        <w:t xml:space="preserve">של </w:t>
      </w:r>
      <w:r w:rsidRPr="00A210E9">
        <w:rPr>
          <w:rFonts w:eastAsia="Calibri"/>
          <w:rtl/>
        </w:rPr>
        <w:t>ממשקים מתקדמים במסגרת המערכת הרפואית החדשה</w:t>
      </w:r>
      <w:r>
        <w:rPr>
          <w:rFonts w:eastAsia="Calibri"/>
          <w:vertAlign w:val="superscript"/>
          <w:rtl/>
        </w:rPr>
        <w:footnoteReference w:id="120"/>
      </w:r>
      <w:r w:rsidRPr="00A210E9">
        <w:rPr>
          <w:rFonts w:eastAsia="Calibri" w:hint="cs"/>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מרכז השלטון האזורי כתב בתשובתו שהוא תומך ביצירת ממשק מידע ישיר בין משרדי הממשלה לרשויות, אך זאת ככלי עזר בלבד שיושם ברמה הממשלתית. עוד ציין שהקמת ממשקי עבודה ממוחשבים ומערכות נתונים מחייבת השקעה מינהלית ותקציבית ניכרת, ולנוכח זאת יש להקצות תקצוב ממשלתי מלא וייעודי לשם הקמתן. מרכז השלטון האזורי מתנגד שהמועצות האזוריות יישאו בעלויות הפיתוח, התחזוקה או כוח האדם הנדרש לתפעול ממשקים אלו, וכן הוא מתנגד לכך שיוטל על המועצות נטל בירוקרטי, או כלכלי נוסף שאינו מחויב על פי דין. </w:t>
      </w:r>
    </w:p>
    <w:p w:rsidR="00A210E9" w:rsidRPr="00A210E9" w:rsidP="00A210E9">
      <w:pPr>
        <w:spacing w:line="269" w:lineRule="auto"/>
        <w:rPr>
          <w:rFonts w:eastAsia="Calibri"/>
          <w:rtl/>
        </w:rPr>
      </w:pPr>
    </w:p>
    <w:p w:rsidR="00A210E9" w:rsidRPr="00A210E9" w:rsidP="00A210E9">
      <w:pPr>
        <w:spacing w:line="269" w:lineRule="auto"/>
        <w:jc w:val="center"/>
        <w:rPr>
          <w:rFonts w:ascii="Arial" w:eastAsia="Calibri" w:hAnsi="Arial" w:cs="Arial"/>
          <w:sz w:val="36"/>
          <w:rtl/>
        </w:rPr>
      </w:pPr>
      <w:r w:rsidRPr="00A210E9">
        <w:rPr>
          <w:rFonts w:ascii="Segoe UI Symbol" w:eastAsia="Calibri" w:hAnsi="Segoe UI Symbol" w:cs="Segoe UI Symbol" w:hint="cs"/>
          <w:sz w:val="36"/>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 xml:space="preserve">בביקורת עלה כי בין הערים הגדולות קיימת שונות גבוהה בצפיפות החניות האישיות המוקצות לבעלי תג חניה. בהיעדר הסדרה והנחיות אחידות קיימת גם שונות בין הרשויות המקומיות בתהליך הקצאת חניה אישית, בקריטריונים ובבדיקות שהן מבצעות בבואן להחליט על הקצאה כאמור. כמו כן, קיימת שונות בנוגע לתוקף הזכאות לחניה אישית ולקריטריונים לשימור הזכאות.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ניתן לומר שעשויה להיות לגיטימציה לשונות בין הרשויות המקומיות בקביעת הפרמטרים להקצאת חניה אישית, בין היתר בגלל שמאפייני הערים שונים זה מזה מבחינת צפיפות, קיומן או היעדרן של חניות פרטיות בבניינים, גיל ממוצע של האוכלוסייה ומצוקת חניה. החוק מאפשר לרשות מקומית להפעיל שיקול דעת במקרים שאדם אינו עומד בקריטריונים שמציב החוק להקצאת חניה אישית. עם זאת, יש מקום לבחון רמה מסוימת של אחידות כדי שבכל זאת תהיה קביעת הפרמטרים שוויונית, ולא ייווצ</w:t>
      </w:r>
      <w:r w:rsidRPr="00A210E9">
        <w:rPr>
          <w:rFonts w:eastAsia="Calibri" w:hint="eastAsia"/>
          <w:b/>
          <w:bCs/>
          <w:rtl/>
        </w:rPr>
        <w:t>ר</w:t>
      </w:r>
      <w:r w:rsidRPr="00A210E9">
        <w:rPr>
          <w:rFonts w:eastAsia="Calibri" w:hint="cs"/>
          <w:b/>
          <w:bCs/>
          <w:rtl/>
        </w:rPr>
        <w:t xml:space="preserve"> מצב שבו הפרמטרים שהרשויות המקומיות שוקלות יהיו שונים כאשר מדובר בשתי רשויות בעלי מאפיינים דומים.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eastAsia"/>
          <w:rtl/>
        </w:rPr>
        <w:t>מש</w:t>
      </w:r>
      <w:r w:rsidRPr="00A210E9">
        <w:rPr>
          <w:rFonts w:eastAsia="Calibri"/>
          <w:rtl/>
        </w:rPr>
        <w:t xml:space="preserve">"ם כתב בתשובתו </w:t>
      </w:r>
      <w:r w:rsidRPr="00A210E9">
        <w:rPr>
          <w:rFonts w:eastAsia="Calibri" w:hint="eastAsia"/>
          <w:rtl/>
        </w:rPr>
        <w:t>כי</w:t>
      </w:r>
      <w:r w:rsidRPr="00A210E9">
        <w:rPr>
          <w:rFonts w:eastAsia="Calibri"/>
          <w:rtl/>
        </w:rPr>
        <w:t xml:space="preserve"> הוא רואה חשיבות במתן מרב הגמישות וחופש הפעולה לרשויות המקומיות, בהתאם למדיניות ניהול המרחב הציבורי של הרשות ופוטנציאל השימוש בשטחים הציבוריים למטרות חניה (רגילה וחניית נכים) </w:t>
      </w:r>
      <w:r w:rsidRPr="00A210E9">
        <w:rPr>
          <w:rFonts w:eastAsia="Calibri" w:hint="cs"/>
          <w:rtl/>
        </w:rPr>
        <w:t>ברשויות אלה</w:t>
      </w:r>
      <w:r w:rsidRPr="00A210E9">
        <w:rPr>
          <w:rFonts w:eastAsia="Calibri"/>
          <w:rtl/>
        </w:rPr>
        <w:t xml:space="preserve">. </w:t>
      </w:r>
      <w:r w:rsidRPr="00A210E9">
        <w:rPr>
          <w:rFonts w:eastAsia="Calibri" w:hint="eastAsia"/>
          <w:rtl/>
        </w:rPr>
        <w:t>לדעת</w:t>
      </w:r>
      <w:r w:rsidRPr="00A210E9">
        <w:rPr>
          <w:rFonts w:eastAsia="Calibri"/>
          <w:rtl/>
        </w:rPr>
        <w:t xml:space="preserve"> </w:t>
      </w:r>
      <w:r w:rsidRPr="00A210E9">
        <w:rPr>
          <w:rFonts w:eastAsia="Calibri" w:hint="eastAsia"/>
          <w:rtl/>
        </w:rPr>
        <w:t>מש</w:t>
      </w:r>
      <w:r w:rsidRPr="00A210E9">
        <w:rPr>
          <w:rFonts w:eastAsia="Calibri"/>
          <w:rtl/>
        </w:rPr>
        <w:t xml:space="preserve">"ם, יש לתת </w:t>
      </w:r>
      <w:r w:rsidRPr="00A210E9">
        <w:rPr>
          <w:rFonts w:eastAsia="Calibri" w:hint="cs"/>
          <w:rtl/>
        </w:rPr>
        <w:t xml:space="preserve">לרשויות </w:t>
      </w:r>
      <w:r w:rsidRPr="00A210E9">
        <w:rPr>
          <w:rFonts w:eastAsia="Calibri"/>
          <w:rtl/>
        </w:rPr>
        <w:t>הנחיות אחידות ב</w:t>
      </w:r>
      <w:r w:rsidRPr="00A210E9">
        <w:rPr>
          <w:rFonts w:eastAsia="Calibri" w:hint="cs"/>
          <w:rtl/>
        </w:rPr>
        <w:t>נוגע</w:t>
      </w:r>
      <w:r w:rsidRPr="00A210E9">
        <w:rPr>
          <w:rFonts w:eastAsia="Calibri"/>
          <w:rtl/>
        </w:rPr>
        <w:t xml:space="preserve"> לסימון חניית הנכה (לפי סוגי החניות שייקבעו), </w:t>
      </w:r>
      <w:r w:rsidRPr="00A210E9">
        <w:rPr>
          <w:rFonts w:eastAsia="Calibri" w:hint="eastAsia"/>
          <w:rtl/>
        </w:rPr>
        <w:t>וב</w:t>
      </w:r>
      <w:r w:rsidRPr="00A210E9">
        <w:rPr>
          <w:rFonts w:eastAsia="Calibri"/>
          <w:rtl/>
        </w:rPr>
        <w:t>נושאים בסיסיים ביותר, תוך השארת מרב שיקול הדעת</w:t>
      </w:r>
      <w:r w:rsidRPr="00A210E9">
        <w:rPr>
          <w:rFonts w:eastAsia="Calibri" w:hint="cs"/>
          <w:rtl/>
        </w:rPr>
        <w:t xml:space="preserve"> לרשויות</w:t>
      </w:r>
      <w:r w:rsidRPr="00A210E9">
        <w:rPr>
          <w:rFonts w:eastAsia="Calibri"/>
          <w:rtl/>
        </w:rPr>
        <w:t xml:space="preserve"> בכל הנוגע למדיניות </w:t>
      </w:r>
      <w:r w:rsidRPr="00A210E9">
        <w:rPr>
          <w:rFonts w:eastAsia="Calibri" w:hint="cs"/>
          <w:rtl/>
        </w:rPr>
        <w:t>הקצאת החניות</w:t>
      </w:r>
      <w:r w:rsidRPr="00A210E9">
        <w:rPr>
          <w:rFonts w:eastAsia="Calibri"/>
          <w:rtl/>
        </w:rPr>
        <w:t>.</w:t>
      </w:r>
    </w:p>
    <w:bookmarkEnd w:id="99"/>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 xml:space="preserve">משרד </w:t>
      </w:r>
      <w:r w:rsidRPr="00A210E9">
        <w:rPr>
          <w:rFonts w:eastAsia="Calibri"/>
          <w:b/>
          <w:bCs/>
          <w:rtl/>
        </w:rPr>
        <w:t xml:space="preserve">מבקר המדינה ממליץ </w:t>
      </w:r>
      <w:r w:rsidRPr="00A210E9">
        <w:rPr>
          <w:rFonts w:ascii="David" w:eastAsia="Calibri" w:hAnsi="David"/>
          <w:b/>
          <w:bCs/>
          <w:sz w:val="24"/>
          <w:rtl/>
        </w:rPr>
        <w:t>למשרד</w:t>
      </w:r>
      <w:r w:rsidRPr="00A210E9">
        <w:rPr>
          <w:rFonts w:eastAsia="Calibri"/>
          <w:b/>
          <w:bCs/>
          <w:rtl/>
        </w:rPr>
        <w:t xml:space="preserve"> התחבורה </w:t>
      </w:r>
      <w:r w:rsidRPr="00A210E9">
        <w:rPr>
          <w:rFonts w:eastAsia="Calibri" w:hint="cs"/>
          <w:b/>
          <w:bCs/>
          <w:rtl/>
        </w:rPr>
        <w:t xml:space="preserve">ולמשרד </w:t>
      </w:r>
      <w:r w:rsidRPr="00A210E9">
        <w:rPr>
          <w:rFonts w:eastAsia="Calibri"/>
          <w:b/>
          <w:bCs/>
          <w:rtl/>
        </w:rPr>
        <w:t>הפנים</w:t>
      </w:r>
      <w:r w:rsidRPr="00A210E9">
        <w:rPr>
          <w:rFonts w:eastAsia="Calibri" w:hint="cs"/>
          <w:b/>
          <w:bCs/>
          <w:rtl/>
        </w:rPr>
        <w:t xml:space="preserve"> מתוקף סמכויותיו בתחומי התכנון והפיתוח המרחבי</w:t>
      </w:r>
      <w:r w:rsidRPr="00A210E9">
        <w:rPr>
          <w:rFonts w:eastAsia="Calibri"/>
          <w:b/>
          <w:bCs/>
          <w:rtl/>
        </w:rPr>
        <w:t>, בשיתוף הרשויות המקומיות</w:t>
      </w:r>
      <w:r w:rsidRPr="00A210E9">
        <w:rPr>
          <w:rFonts w:eastAsia="Calibri" w:hint="cs"/>
          <w:b/>
          <w:bCs/>
          <w:rtl/>
        </w:rPr>
        <w:t xml:space="preserve">, בהתייעצות עם </w:t>
      </w:r>
      <w:r w:rsidRPr="00A210E9">
        <w:rPr>
          <w:rFonts w:eastAsia="Calibri"/>
          <w:b/>
          <w:bCs/>
          <w:rtl/>
        </w:rPr>
        <w:t xml:space="preserve">נציבות שוויון זכויות, </w:t>
      </w:r>
      <w:r w:rsidRPr="00A210E9">
        <w:rPr>
          <w:rFonts w:eastAsia="Calibri" w:hint="cs"/>
          <w:b/>
          <w:bCs/>
          <w:rtl/>
        </w:rPr>
        <w:t>עם מש"ם ותוך שמיעת</w:t>
      </w:r>
      <w:r w:rsidRPr="00A210E9">
        <w:rPr>
          <w:rFonts w:eastAsia="Calibri"/>
          <w:b/>
          <w:bCs/>
          <w:rtl/>
        </w:rPr>
        <w:t xml:space="preserve"> ארגונים המייצגים אנשים עם מוגבלות</w:t>
      </w:r>
      <w:r w:rsidRPr="00A210E9">
        <w:rPr>
          <w:rFonts w:eastAsia="Calibri" w:hint="cs"/>
          <w:b/>
          <w:bCs/>
          <w:rtl/>
        </w:rPr>
        <w:t xml:space="preserve">, לנתח את נושא הקצאת חניה אישית לבעלי תג חניה, את הסיבות לשונות הגבוהה בין הערים השונות בצפיפות החניות האישיות לבעלי תג חניה, ולבחון את מרחב שיקול הדעת שהרשויות המקומיות רשאיות להפעיל בנושא, ואם יש לגבש עבורן הנחיות אחידות. </w:t>
      </w:r>
    </w:p>
    <w:p w:rsidR="00A210E9" w:rsidRPr="00A210E9" w:rsidP="00A210E9">
      <w:pPr>
        <w:spacing w:line="269" w:lineRule="auto"/>
        <w:rPr>
          <w:rFonts w:eastAsia="Calibri"/>
          <w:b/>
          <w:bCs/>
          <w:rtl/>
        </w:rPr>
      </w:pPr>
      <w:r w:rsidRPr="00A210E9">
        <w:rPr>
          <w:rFonts w:eastAsia="Calibri" w:hint="cs"/>
          <w:b/>
          <w:bCs/>
          <w:rtl/>
        </w:rPr>
        <w:t xml:space="preserve">כמו כן, מומלץ שמשרד התחבורה ייצור </w:t>
      </w:r>
      <w:r w:rsidRPr="00A210E9">
        <w:rPr>
          <w:rFonts w:eastAsia="Calibri"/>
          <w:b/>
          <w:bCs/>
          <w:rtl/>
        </w:rPr>
        <w:t>ממשק בי</w:t>
      </w:r>
      <w:r w:rsidRPr="00A210E9">
        <w:rPr>
          <w:rFonts w:eastAsia="Calibri" w:hint="cs"/>
          <w:b/>
          <w:bCs/>
          <w:rtl/>
        </w:rPr>
        <w:t>נו</w:t>
      </w:r>
      <w:r w:rsidRPr="00A210E9">
        <w:rPr>
          <w:rFonts w:eastAsia="Calibri"/>
          <w:b/>
          <w:bCs/>
          <w:rtl/>
        </w:rPr>
        <w:t xml:space="preserve"> לבין כלל הרשויות המקומיות</w:t>
      </w:r>
      <w:r w:rsidRPr="00A210E9">
        <w:rPr>
          <w:rFonts w:eastAsia="Calibri" w:hint="cs"/>
          <w:b/>
          <w:bCs/>
          <w:rtl/>
        </w:rPr>
        <w:t>,</w:t>
      </w:r>
      <w:r w:rsidRPr="00A210E9">
        <w:rPr>
          <w:rFonts w:eastAsia="Calibri"/>
          <w:b/>
          <w:bCs/>
          <w:rtl/>
        </w:rPr>
        <w:t xml:space="preserve"> ש</w:t>
      </w:r>
      <w:r w:rsidRPr="00A210E9">
        <w:rPr>
          <w:rFonts w:eastAsia="Calibri" w:hint="cs"/>
          <w:b/>
          <w:bCs/>
          <w:rtl/>
        </w:rPr>
        <w:t>באמצעותו</w:t>
      </w:r>
      <w:r w:rsidRPr="00A210E9">
        <w:rPr>
          <w:rFonts w:eastAsia="Calibri"/>
          <w:b/>
          <w:bCs/>
          <w:rtl/>
        </w:rPr>
        <w:t xml:space="preserve"> ניתן למפות את תגי </w:t>
      </w:r>
      <w:r w:rsidRPr="00A210E9">
        <w:rPr>
          <w:rFonts w:eastAsia="Calibri" w:hint="cs"/>
          <w:b/>
          <w:bCs/>
          <w:rtl/>
        </w:rPr>
        <w:t>החניה</w:t>
      </w:r>
      <w:r w:rsidRPr="00A210E9">
        <w:rPr>
          <w:rFonts w:eastAsia="Calibri"/>
          <w:b/>
          <w:bCs/>
          <w:rtl/>
        </w:rPr>
        <w:t xml:space="preserve"> שבתוקף על פי </w:t>
      </w:r>
      <w:r w:rsidRPr="00A210E9">
        <w:rPr>
          <w:rFonts w:eastAsia="Calibri" w:hint="cs"/>
          <w:b/>
          <w:bCs/>
          <w:rtl/>
        </w:rPr>
        <w:t xml:space="preserve">מספרי </w:t>
      </w:r>
      <w:r w:rsidRPr="00A210E9">
        <w:rPr>
          <w:rFonts w:eastAsia="Calibri"/>
          <w:b/>
          <w:bCs/>
          <w:rtl/>
        </w:rPr>
        <w:t xml:space="preserve">תעודות הזהות של האנשים עם מוגבלות ולא רק על פי מספרי הרישוי של הרכבים. ממשק זה עשוי למנוע מקרים של שימוש בחניה אישית על ידי אדם שבוטל תג </w:t>
      </w:r>
      <w:r w:rsidRPr="00A210E9">
        <w:rPr>
          <w:rFonts w:eastAsia="Calibri" w:hint="cs"/>
          <w:b/>
          <w:bCs/>
          <w:rtl/>
        </w:rPr>
        <w:t>החניה</w:t>
      </w:r>
      <w:r w:rsidRPr="00A210E9">
        <w:rPr>
          <w:rFonts w:eastAsia="Calibri"/>
          <w:b/>
          <w:bCs/>
          <w:rtl/>
        </w:rPr>
        <w:t xml:space="preserve"> </w:t>
      </w:r>
      <w:r w:rsidRPr="00A210E9">
        <w:rPr>
          <w:rFonts w:eastAsia="Calibri" w:hint="cs"/>
          <w:b/>
          <w:bCs/>
          <w:rtl/>
        </w:rPr>
        <w:t>ש</w:t>
      </w:r>
      <w:r w:rsidRPr="00A210E9">
        <w:rPr>
          <w:rFonts w:eastAsia="Calibri"/>
          <w:b/>
          <w:bCs/>
          <w:rtl/>
        </w:rPr>
        <w:t>לו ו</w:t>
      </w:r>
      <w:r w:rsidRPr="00A210E9">
        <w:rPr>
          <w:rFonts w:eastAsia="Calibri" w:hint="cs"/>
          <w:b/>
          <w:bCs/>
          <w:rtl/>
        </w:rPr>
        <w:t xml:space="preserve">הוא </w:t>
      </w:r>
      <w:r w:rsidRPr="00A210E9">
        <w:rPr>
          <w:rFonts w:eastAsia="Calibri"/>
          <w:b/>
          <w:bCs/>
          <w:rtl/>
        </w:rPr>
        <w:t xml:space="preserve">אינו זכאי עוד לחניה אישית. </w:t>
      </w:r>
      <w:r w:rsidRPr="00A210E9">
        <w:rPr>
          <w:rFonts w:eastAsia="Calibri" w:hint="cs"/>
          <w:b/>
          <w:bCs/>
          <w:rtl/>
        </w:rPr>
        <w:t xml:space="preserve">עוד מומלץ שהם ינחו את </w:t>
      </w:r>
      <w:r w:rsidRPr="00A210E9">
        <w:rPr>
          <w:rFonts w:eastAsia="Calibri"/>
          <w:b/>
          <w:bCs/>
          <w:rtl/>
        </w:rPr>
        <w:t xml:space="preserve">כלל הרשויות המקומיות להתעדכן מול מרשם האוכלוסין אחת לתקופה </w:t>
      </w:r>
      <w:r w:rsidRPr="00A210E9">
        <w:rPr>
          <w:rFonts w:eastAsia="Calibri" w:hint="cs"/>
          <w:b/>
          <w:bCs/>
          <w:rtl/>
        </w:rPr>
        <w:t>כדי</w:t>
      </w:r>
      <w:r w:rsidRPr="00A210E9">
        <w:rPr>
          <w:rFonts w:eastAsia="Calibri"/>
          <w:b/>
          <w:bCs/>
          <w:rtl/>
        </w:rPr>
        <w:t xml:space="preserve"> לאתר מקרים שבהם מוקצית חניה אישית לאדם שנפטר ומשפחתו לא עדכנה את הרשות המקומית, או מקרים </w:t>
      </w:r>
      <w:r w:rsidRPr="00A210E9">
        <w:rPr>
          <w:rFonts w:eastAsia="Calibri" w:hint="cs"/>
          <w:b/>
          <w:bCs/>
          <w:rtl/>
        </w:rPr>
        <w:t>ש</w:t>
      </w:r>
      <w:r w:rsidRPr="00A210E9">
        <w:rPr>
          <w:rFonts w:eastAsia="Calibri"/>
          <w:b/>
          <w:bCs/>
          <w:rtl/>
        </w:rPr>
        <w:t>בהם בעל החניה שינה את כתובת</w:t>
      </w:r>
      <w:r w:rsidRPr="00A210E9">
        <w:rPr>
          <w:rFonts w:eastAsia="Calibri" w:hint="cs"/>
          <w:b/>
          <w:bCs/>
          <w:rtl/>
        </w:rPr>
        <w:t xml:space="preserve"> המגורים.</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eastAsia"/>
          <w:rtl/>
        </w:rPr>
        <w:t>עיריית</w:t>
      </w:r>
      <w:r w:rsidRPr="00A210E9">
        <w:rPr>
          <w:rFonts w:eastAsia="Calibri"/>
          <w:rtl/>
        </w:rPr>
        <w:t xml:space="preserve"> ירושלים כתבה בתשובתה כי היא מקבלת את הערות דוח הביקורת ואת הצורך בהמשך מעבר ממודל תגובתי המבוסס בעיקר על פניות תושבים, למודל עירוני רחב יותר הנשען על נתונים, תכנון ובקרה. </w:t>
      </w:r>
      <w:r w:rsidRPr="00A210E9">
        <w:rPr>
          <w:rFonts w:eastAsia="Calibri" w:hint="eastAsia"/>
          <w:rtl/>
        </w:rPr>
        <w:t>בהתאם</w:t>
      </w:r>
      <w:r w:rsidRPr="00A210E9">
        <w:rPr>
          <w:rFonts w:eastAsia="Calibri"/>
          <w:rtl/>
        </w:rPr>
        <w:t xml:space="preserve"> </w:t>
      </w:r>
      <w:r w:rsidRPr="00A210E9">
        <w:rPr>
          <w:rFonts w:eastAsia="Calibri" w:hint="eastAsia"/>
          <w:rtl/>
        </w:rPr>
        <w:t>לכך</w:t>
      </w:r>
      <w:r w:rsidRPr="00A210E9">
        <w:rPr>
          <w:rFonts w:eastAsia="Calibri"/>
          <w:rtl/>
        </w:rPr>
        <w:t xml:space="preserve">, </w:t>
      </w:r>
      <w:r w:rsidRPr="00A210E9">
        <w:rPr>
          <w:rFonts w:eastAsia="Calibri" w:hint="eastAsia"/>
          <w:rtl/>
        </w:rPr>
        <w:t>העירייה</w:t>
      </w:r>
      <w:r w:rsidRPr="00A210E9">
        <w:rPr>
          <w:rFonts w:eastAsia="Calibri"/>
          <w:rtl/>
        </w:rPr>
        <w:t xml:space="preserve"> </w:t>
      </w:r>
      <w:r w:rsidRPr="00A210E9">
        <w:rPr>
          <w:rFonts w:eastAsia="Calibri" w:hint="eastAsia"/>
          <w:rtl/>
        </w:rPr>
        <w:t>תפעל</w:t>
      </w:r>
      <w:r w:rsidRPr="00A210E9">
        <w:rPr>
          <w:rFonts w:eastAsia="Calibri"/>
          <w:rtl/>
        </w:rPr>
        <w:t xml:space="preserve"> </w:t>
      </w:r>
      <w:r w:rsidRPr="00A210E9">
        <w:rPr>
          <w:rFonts w:eastAsia="Calibri" w:hint="eastAsia"/>
          <w:rtl/>
        </w:rPr>
        <w:t>לקידום</w:t>
      </w:r>
      <w:r w:rsidRPr="00A210E9">
        <w:rPr>
          <w:rFonts w:eastAsia="Calibri"/>
          <w:rtl/>
        </w:rPr>
        <w:t xml:space="preserve"> </w:t>
      </w:r>
      <w:r w:rsidRPr="00A210E9">
        <w:rPr>
          <w:rFonts w:eastAsia="Calibri" w:hint="eastAsia"/>
          <w:rtl/>
        </w:rPr>
        <w:t>תהליכים</w:t>
      </w:r>
      <w:r w:rsidRPr="00A210E9">
        <w:rPr>
          <w:rFonts w:eastAsia="Calibri"/>
          <w:rtl/>
        </w:rPr>
        <w:t xml:space="preserve"> </w:t>
      </w:r>
      <w:r w:rsidRPr="00A210E9">
        <w:rPr>
          <w:rFonts w:eastAsia="Calibri" w:hint="eastAsia"/>
          <w:rtl/>
        </w:rPr>
        <w:t>שיחזקו</w:t>
      </w:r>
      <w:r w:rsidRPr="00A210E9">
        <w:rPr>
          <w:rFonts w:eastAsia="Calibri"/>
          <w:rtl/>
        </w:rPr>
        <w:t xml:space="preserve"> </w:t>
      </w:r>
      <w:r w:rsidRPr="00A210E9">
        <w:rPr>
          <w:rFonts w:eastAsia="Calibri" w:hint="eastAsia"/>
          <w:rtl/>
        </w:rPr>
        <w:t>את</w:t>
      </w:r>
      <w:r w:rsidRPr="00A210E9">
        <w:rPr>
          <w:rFonts w:eastAsia="Calibri"/>
          <w:rtl/>
        </w:rPr>
        <w:t xml:space="preserve"> </w:t>
      </w:r>
      <w:r w:rsidRPr="00A210E9">
        <w:rPr>
          <w:rFonts w:eastAsia="Calibri" w:hint="eastAsia"/>
          <w:rtl/>
        </w:rPr>
        <w:t>יכולת</w:t>
      </w:r>
      <w:r w:rsidRPr="00A210E9">
        <w:rPr>
          <w:rFonts w:eastAsia="Calibri"/>
          <w:rtl/>
        </w:rPr>
        <w:t xml:space="preserve"> </w:t>
      </w:r>
      <w:r w:rsidRPr="00A210E9">
        <w:rPr>
          <w:rFonts w:eastAsia="Calibri" w:hint="eastAsia"/>
          <w:rtl/>
        </w:rPr>
        <w:t>הניהול</w:t>
      </w:r>
      <w:r w:rsidRPr="00A210E9">
        <w:rPr>
          <w:rFonts w:eastAsia="Calibri"/>
          <w:rtl/>
        </w:rPr>
        <w:t xml:space="preserve">, </w:t>
      </w:r>
      <w:r w:rsidRPr="00A210E9">
        <w:rPr>
          <w:rFonts w:eastAsia="Calibri" w:hint="eastAsia"/>
          <w:rtl/>
        </w:rPr>
        <w:t>המיפוי</w:t>
      </w:r>
      <w:r w:rsidRPr="00A210E9">
        <w:rPr>
          <w:rFonts w:eastAsia="Calibri"/>
          <w:rtl/>
        </w:rPr>
        <w:t xml:space="preserve"> </w:t>
      </w:r>
      <w:r w:rsidRPr="00A210E9">
        <w:rPr>
          <w:rFonts w:eastAsia="Calibri" w:hint="eastAsia"/>
          <w:rtl/>
        </w:rPr>
        <w:t>והתכנון</w:t>
      </w:r>
      <w:r w:rsidRPr="00A210E9">
        <w:rPr>
          <w:rFonts w:eastAsia="Calibri"/>
          <w:rtl/>
        </w:rPr>
        <w:t xml:space="preserve"> </w:t>
      </w:r>
      <w:r w:rsidRPr="00A210E9">
        <w:rPr>
          <w:rFonts w:eastAsia="Calibri" w:hint="eastAsia"/>
          <w:rtl/>
        </w:rPr>
        <w:t>של</w:t>
      </w:r>
      <w:r w:rsidRPr="00A210E9">
        <w:rPr>
          <w:rFonts w:eastAsia="Calibri"/>
          <w:rtl/>
        </w:rPr>
        <w:t xml:space="preserve"> </w:t>
      </w:r>
      <w:r w:rsidRPr="00A210E9">
        <w:rPr>
          <w:rFonts w:eastAsia="Calibri" w:hint="eastAsia"/>
          <w:rtl/>
        </w:rPr>
        <w:t>תחום</w:t>
      </w:r>
      <w:r w:rsidRPr="00A210E9">
        <w:rPr>
          <w:rFonts w:eastAsia="Calibri"/>
          <w:rtl/>
        </w:rPr>
        <w:t xml:space="preserve"> </w:t>
      </w:r>
      <w:r w:rsidRPr="00A210E9">
        <w:rPr>
          <w:rFonts w:eastAsia="Calibri" w:hint="eastAsia"/>
          <w:rtl/>
        </w:rPr>
        <w:t>חניות</w:t>
      </w:r>
      <w:r w:rsidRPr="00A210E9">
        <w:rPr>
          <w:rFonts w:eastAsia="Calibri"/>
          <w:rtl/>
        </w:rPr>
        <w:t xml:space="preserve"> </w:t>
      </w:r>
      <w:r w:rsidRPr="00A210E9">
        <w:rPr>
          <w:rFonts w:eastAsia="Calibri" w:hint="eastAsia"/>
          <w:rtl/>
        </w:rPr>
        <w:t>נכים</w:t>
      </w:r>
      <w:r w:rsidRPr="00A210E9">
        <w:rPr>
          <w:rFonts w:eastAsia="Calibri"/>
          <w:rtl/>
        </w:rPr>
        <w:t xml:space="preserve"> </w:t>
      </w:r>
      <w:r w:rsidRPr="00A210E9">
        <w:rPr>
          <w:rFonts w:eastAsia="Calibri" w:hint="eastAsia"/>
          <w:rtl/>
        </w:rPr>
        <w:t>בעיר</w:t>
      </w:r>
      <w:r w:rsidRPr="00A210E9">
        <w:rPr>
          <w:rFonts w:eastAsia="Calibri"/>
          <w:rtl/>
        </w:rPr>
        <w:t xml:space="preserve">, </w:t>
      </w:r>
      <w:r w:rsidRPr="00A210E9">
        <w:rPr>
          <w:rFonts w:eastAsia="Calibri" w:hint="eastAsia"/>
          <w:rtl/>
        </w:rPr>
        <w:t>לרבות</w:t>
      </w:r>
      <w:r w:rsidRPr="00A210E9">
        <w:rPr>
          <w:rFonts w:eastAsia="Calibri"/>
          <w:rtl/>
        </w:rPr>
        <w:t xml:space="preserve"> </w:t>
      </w:r>
      <w:r w:rsidRPr="00A210E9">
        <w:rPr>
          <w:rFonts w:eastAsia="Calibri" w:hint="eastAsia"/>
          <w:rtl/>
        </w:rPr>
        <w:t>בחינת</w:t>
      </w:r>
      <w:r w:rsidRPr="00A210E9">
        <w:rPr>
          <w:rFonts w:eastAsia="Calibri"/>
          <w:rtl/>
        </w:rPr>
        <w:t xml:space="preserve"> </w:t>
      </w:r>
      <w:r w:rsidRPr="00A210E9">
        <w:rPr>
          <w:rFonts w:eastAsia="Calibri" w:hint="eastAsia"/>
          <w:rtl/>
        </w:rPr>
        <w:t>מנגנוני</w:t>
      </w:r>
      <w:r w:rsidRPr="00A210E9">
        <w:rPr>
          <w:rFonts w:eastAsia="Calibri"/>
          <w:rtl/>
        </w:rPr>
        <w:t xml:space="preserve"> </w:t>
      </w:r>
      <w:r w:rsidRPr="00A210E9">
        <w:rPr>
          <w:rFonts w:eastAsia="Calibri" w:hint="eastAsia"/>
          <w:rtl/>
        </w:rPr>
        <w:t>בקרה</w:t>
      </w:r>
      <w:r w:rsidRPr="00A210E9">
        <w:rPr>
          <w:rFonts w:eastAsia="Calibri"/>
          <w:rtl/>
        </w:rPr>
        <w:t xml:space="preserve">, </w:t>
      </w:r>
      <w:r w:rsidRPr="00A210E9">
        <w:rPr>
          <w:rFonts w:eastAsia="Calibri" w:hint="eastAsia"/>
          <w:rtl/>
        </w:rPr>
        <w:t>הרחבת</w:t>
      </w:r>
      <w:r w:rsidRPr="00A210E9">
        <w:rPr>
          <w:rFonts w:eastAsia="Calibri"/>
          <w:rtl/>
        </w:rPr>
        <w:t xml:space="preserve"> </w:t>
      </w:r>
      <w:r w:rsidRPr="00A210E9">
        <w:rPr>
          <w:rFonts w:eastAsia="Calibri" w:hint="eastAsia"/>
          <w:rtl/>
        </w:rPr>
        <w:t>כלי</w:t>
      </w:r>
      <w:r w:rsidRPr="00A210E9">
        <w:rPr>
          <w:rFonts w:eastAsia="Calibri"/>
          <w:rtl/>
        </w:rPr>
        <w:t xml:space="preserve"> </w:t>
      </w:r>
      <w:r w:rsidRPr="00A210E9">
        <w:rPr>
          <w:rFonts w:eastAsia="Calibri" w:hint="eastAsia"/>
          <w:rtl/>
        </w:rPr>
        <w:t>האכיפה</w:t>
      </w:r>
      <w:r w:rsidRPr="00A210E9">
        <w:rPr>
          <w:rFonts w:eastAsia="Calibri"/>
          <w:rtl/>
        </w:rPr>
        <w:t xml:space="preserve"> ושיפור התיאום בין כלל הגורמים העירוניים הרלוונטיים.</w:t>
      </w:r>
      <w:r w:rsidRPr="00A210E9">
        <w:rPr>
          <w:rFonts w:eastAsia="Calibri" w:hint="cs"/>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מש"ם כתב בתשובתו כי </w:t>
      </w:r>
      <w:r w:rsidRPr="00A210E9">
        <w:rPr>
          <w:rFonts w:eastAsia="Calibri"/>
          <w:rtl/>
        </w:rPr>
        <w:t>חשוב</w:t>
      </w:r>
      <w:r w:rsidRPr="00A210E9">
        <w:rPr>
          <w:rFonts w:eastAsia="Calibri" w:hint="cs"/>
          <w:rtl/>
        </w:rPr>
        <w:t xml:space="preserve"> </w:t>
      </w:r>
      <w:r w:rsidRPr="00A210E9">
        <w:rPr>
          <w:rFonts w:eastAsia="Calibri"/>
          <w:rtl/>
        </w:rPr>
        <w:t xml:space="preserve">ונכון לייצר מאגר מידע </w:t>
      </w:r>
      <w:r w:rsidRPr="00A210E9">
        <w:rPr>
          <w:rFonts w:eastAsia="Calibri" w:hint="cs"/>
          <w:rtl/>
        </w:rPr>
        <w:t>עם ממשקים</w:t>
      </w:r>
      <w:r w:rsidRPr="00A210E9">
        <w:rPr>
          <w:rFonts w:eastAsia="Calibri"/>
          <w:rtl/>
        </w:rPr>
        <w:t xml:space="preserve"> בין משרד התחבורה ורשות האוכלוסין וההגירה לבין</w:t>
      </w:r>
      <w:r w:rsidRPr="00A210E9">
        <w:rPr>
          <w:rFonts w:eastAsia="Calibri" w:hint="cs"/>
          <w:rtl/>
        </w:rPr>
        <w:t xml:space="preserve"> </w:t>
      </w:r>
      <w:r w:rsidRPr="00A210E9">
        <w:rPr>
          <w:rFonts w:eastAsia="Calibri"/>
          <w:rtl/>
        </w:rPr>
        <w:t xml:space="preserve">כלל הרשויות המקומיות </w:t>
      </w:r>
      <w:r w:rsidRPr="00A210E9">
        <w:rPr>
          <w:rFonts w:eastAsia="Calibri" w:hint="cs"/>
          <w:rtl/>
        </w:rPr>
        <w:t>(</w:t>
      </w:r>
      <w:r w:rsidRPr="00A210E9">
        <w:rPr>
          <w:rFonts w:eastAsia="Calibri"/>
          <w:rtl/>
        </w:rPr>
        <w:t>לרבות בינן לבין עצמן</w:t>
      </w:r>
      <w:r w:rsidRPr="00A210E9">
        <w:rPr>
          <w:rFonts w:eastAsia="Calibri" w:hint="cs"/>
          <w:rtl/>
        </w:rPr>
        <w:t>)</w:t>
      </w:r>
      <w:r w:rsidRPr="00A210E9">
        <w:rPr>
          <w:rFonts w:eastAsia="Calibri"/>
          <w:rtl/>
        </w:rPr>
        <w:t>, שעל פיו ניתן יהיה למפות את</w:t>
      </w:r>
      <w:r w:rsidRPr="00A210E9">
        <w:rPr>
          <w:rFonts w:eastAsia="Calibri" w:hint="cs"/>
          <w:rtl/>
        </w:rPr>
        <w:t xml:space="preserve"> </w:t>
      </w:r>
      <w:r w:rsidRPr="00A210E9">
        <w:rPr>
          <w:rFonts w:eastAsia="Calibri"/>
          <w:rtl/>
        </w:rPr>
        <w:t>תגי החניה שבתוקף על פי מספרי</w:t>
      </w:r>
      <w:r w:rsidRPr="00A210E9">
        <w:rPr>
          <w:rFonts w:eastAsia="Calibri" w:hint="cs"/>
          <w:rtl/>
        </w:rPr>
        <w:t xml:space="preserve"> </w:t>
      </w:r>
      <w:r w:rsidRPr="00A210E9">
        <w:rPr>
          <w:rFonts w:eastAsia="Calibri"/>
          <w:rtl/>
        </w:rPr>
        <w:t>הזהות של האנשים עם מוגבלות, ולא רק על</w:t>
      </w:r>
      <w:r w:rsidRPr="00A210E9">
        <w:rPr>
          <w:rFonts w:eastAsia="Calibri" w:hint="cs"/>
          <w:rtl/>
        </w:rPr>
        <w:t xml:space="preserve"> </w:t>
      </w:r>
      <w:r w:rsidRPr="00A210E9">
        <w:rPr>
          <w:rFonts w:eastAsia="Calibri"/>
          <w:rtl/>
        </w:rPr>
        <w:t xml:space="preserve">פי מספרי הרישוי של הרכבים, </w:t>
      </w:r>
      <w:r w:rsidRPr="00A210E9">
        <w:rPr>
          <w:rFonts w:eastAsia="Calibri" w:hint="cs"/>
          <w:rtl/>
        </w:rPr>
        <w:t xml:space="preserve">וזאת </w:t>
      </w:r>
      <w:r w:rsidRPr="00A210E9">
        <w:rPr>
          <w:rFonts w:eastAsia="Calibri"/>
          <w:rtl/>
        </w:rPr>
        <w:t xml:space="preserve">לצורך איתור מקרים שבהם </w:t>
      </w:r>
      <w:r w:rsidRPr="00A210E9">
        <w:rPr>
          <w:rFonts w:eastAsia="Calibri" w:hint="cs"/>
          <w:rtl/>
        </w:rPr>
        <w:t xml:space="preserve">על הרשות המקומית לבטל חניות אישיות. מש"ם ציין כי </w:t>
      </w:r>
      <w:r w:rsidRPr="00A210E9">
        <w:rPr>
          <w:rFonts w:eastAsia="Calibri"/>
          <w:rtl/>
        </w:rPr>
        <w:t>שקיפות המידע ועדכונו בזמן אמת</w:t>
      </w:r>
      <w:r w:rsidRPr="00A210E9">
        <w:rPr>
          <w:rFonts w:eastAsia="Calibri" w:hint="cs"/>
          <w:rtl/>
        </w:rPr>
        <w:t xml:space="preserve"> </w:t>
      </w:r>
      <w:r w:rsidRPr="00A210E9">
        <w:rPr>
          <w:rFonts w:eastAsia="Calibri"/>
          <w:rtl/>
        </w:rPr>
        <w:t>יבטיחו כי משאבי הציבור יוקצו</w:t>
      </w:r>
      <w:r w:rsidRPr="00A210E9">
        <w:rPr>
          <w:rFonts w:eastAsia="Calibri" w:hint="cs"/>
          <w:rtl/>
        </w:rPr>
        <w:t xml:space="preserve"> </w:t>
      </w:r>
      <w:r w:rsidRPr="00A210E9">
        <w:rPr>
          <w:rFonts w:eastAsia="Calibri"/>
          <w:rtl/>
        </w:rPr>
        <w:t>בדיוק למי שזקוק לה</w:t>
      </w:r>
      <w:r w:rsidRPr="00A210E9">
        <w:rPr>
          <w:rFonts w:eastAsia="Calibri" w:hint="cs"/>
          <w:rtl/>
        </w:rPr>
        <w:t>ם</w:t>
      </w:r>
      <w:r w:rsidRPr="00A210E9">
        <w:rPr>
          <w:rFonts w:eastAsia="Calibri"/>
          <w:rtl/>
        </w:rPr>
        <w:t>.</w:t>
      </w:r>
      <w:r w:rsidRPr="00A210E9">
        <w:rPr>
          <w:rFonts w:eastAsia="Calibri" w:hint="cs"/>
          <w:rtl/>
        </w:rPr>
        <w:t xml:space="preserve"> מש"ם הוסיף כי הוא </w:t>
      </w:r>
      <w:r w:rsidRPr="00A210E9">
        <w:rPr>
          <w:rFonts w:eastAsia="Calibri"/>
          <w:rtl/>
        </w:rPr>
        <w:t>יצר פלטפורמה דיגיטלית לניהול הממשקים</w:t>
      </w:r>
      <w:r w:rsidRPr="00A210E9">
        <w:rPr>
          <w:rFonts w:eastAsia="Calibri" w:hint="cs"/>
          <w:rtl/>
        </w:rPr>
        <w:t xml:space="preserve"> </w:t>
      </w:r>
      <w:r w:rsidRPr="00A210E9">
        <w:rPr>
          <w:rFonts w:eastAsia="Calibri"/>
          <w:rtl/>
        </w:rPr>
        <w:t>של הרשות המקומית עם תושביה</w:t>
      </w:r>
      <w:r w:rsidRPr="00A210E9">
        <w:rPr>
          <w:rFonts w:eastAsia="Calibri" w:hint="cs"/>
          <w:rtl/>
        </w:rPr>
        <w:t xml:space="preserve">, המאפשרת גם פיתוח </w:t>
      </w:r>
      <w:r w:rsidRPr="00A210E9">
        <w:rPr>
          <w:rFonts w:eastAsia="Calibri"/>
          <w:rtl/>
        </w:rPr>
        <w:t xml:space="preserve">מהיר </w:t>
      </w:r>
      <w:r w:rsidRPr="00A210E9">
        <w:rPr>
          <w:rFonts w:eastAsia="Calibri" w:hint="cs"/>
          <w:rtl/>
        </w:rPr>
        <w:t xml:space="preserve">ופשוט </w:t>
      </w:r>
      <w:r w:rsidRPr="00A210E9">
        <w:rPr>
          <w:rFonts w:eastAsia="Calibri"/>
          <w:rtl/>
        </w:rPr>
        <w:t>של פתרונות מותאמים</w:t>
      </w:r>
      <w:r w:rsidRPr="00A210E9">
        <w:rPr>
          <w:rFonts w:eastAsia="Calibri" w:hint="cs"/>
          <w:rtl/>
        </w:rPr>
        <w:t xml:space="preserve">, אוטומציות וכיו"ב. עם זאת, מש"ם הוסיף בתשובתו כי יש לתקצב את הקמת המאגר והממשקים שיידרשו לו </w:t>
      </w:r>
      <w:r w:rsidRPr="00A210E9">
        <w:rPr>
          <w:rFonts w:eastAsia="Calibri"/>
          <w:rtl/>
        </w:rPr>
        <w:t>מתקציב המדינה</w:t>
      </w:r>
      <w:r w:rsidRPr="00A210E9">
        <w:rPr>
          <w:rFonts w:eastAsia="Calibri" w:hint="cs"/>
          <w:rtl/>
        </w:rPr>
        <w:t>.</w:t>
      </w:r>
    </w:p>
    <w:p w:rsidR="00A210E9" w:rsidRPr="00A210E9" w:rsidP="00A210E9">
      <w:pPr>
        <w:spacing w:line="269" w:lineRule="auto"/>
        <w:rPr>
          <w:rFonts w:eastAsia="Calibri"/>
          <w:rtl/>
        </w:rPr>
      </w:pPr>
    </w:p>
    <w:p w:rsidR="00A210E9" w:rsidRPr="00A210E9" w:rsidP="00A210E9">
      <w:pPr>
        <w:keepNext/>
        <w:keepLines/>
        <w:spacing w:line="269" w:lineRule="auto"/>
        <w:outlineLvl w:val="2"/>
        <w:rPr>
          <w:rFonts w:eastAsia="Times New Roman"/>
          <w:bCs/>
          <w:szCs w:val="28"/>
          <w:u w:val="single"/>
          <w:rtl/>
        </w:rPr>
      </w:pPr>
      <w:r w:rsidRPr="00A210E9">
        <w:rPr>
          <w:rFonts w:eastAsia="Times New Roman" w:hint="cs"/>
          <w:bCs/>
          <w:szCs w:val="28"/>
          <w:u w:val="single"/>
          <w:rtl/>
        </w:rPr>
        <w:t xml:space="preserve">אכיפה של הרשויות המקומיות ומשטרת ישראל בנוגע לשימוש בתג חניה </w:t>
      </w:r>
    </w:p>
    <w:p w:rsidR="00A210E9" w:rsidRPr="00673C9C" w:rsidP="00673C9C">
      <w:pPr>
        <w:spacing w:line="269" w:lineRule="auto"/>
        <w:rPr>
          <w:rFonts w:ascii="David" w:eastAsia="Calibri" w:hAnsi="David"/>
          <w:sz w:val="24"/>
          <w:rtl/>
        </w:rPr>
      </w:pPr>
    </w:p>
    <w:p w:rsidR="00A210E9" w:rsidRPr="00A210E9" w:rsidP="00A210E9">
      <w:pPr>
        <w:keepNext/>
        <w:keepLines/>
        <w:spacing w:line="269" w:lineRule="auto"/>
        <w:outlineLvl w:val="3"/>
        <w:rPr>
          <w:rFonts w:eastAsia="Times New Roman"/>
          <w:bCs/>
          <w:szCs w:val="26"/>
          <w:rtl/>
        </w:rPr>
      </w:pPr>
      <w:r w:rsidRPr="00A210E9">
        <w:rPr>
          <w:rFonts w:eastAsia="Times New Roman" w:hint="cs"/>
          <w:bCs/>
          <w:szCs w:val="26"/>
          <w:rtl/>
        </w:rPr>
        <w:t>חוסר זמינות בחניות נכים</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ascii="David" w:eastAsia="Calibri" w:hAnsi="David"/>
          <w:sz w:val="24"/>
          <w:rtl/>
        </w:rPr>
      </w:pPr>
      <w:r w:rsidRPr="00A210E9">
        <w:rPr>
          <w:rFonts w:ascii="David" w:eastAsia="Calibri" w:hAnsi="David" w:hint="cs"/>
          <w:sz w:val="24"/>
          <w:rtl/>
        </w:rPr>
        <w:t xml:space="preserve">שנים רבות </w:t>
      </w:r>
      <w:r w:rsidRPr="00A210E9">
        <w:rPr>
          <w:rFonts w:ascii="David" w:eastAsia="Calibri" w:hAnsi="David"/>
          <w:sz w:val="24"/>
          <w:rtl/>
        </w:rPr>
        <w:t>הולכת ומחריפה בעי</w:t>
      </w:r>
      <w:r w:rsidRPr="00A210E9">
        <w:rPr>
          <w:rFonts w:ascii="David" w:eastAsia="Calibri" w:hAnsi="David" w:hint="cs"/>
          <w:sz w:val="24"/>
          <w:rtl/>
        </w:rPr>
        <w:t>ית</w:t>
      </w:r>
      <w:r w:rsidRPr="00A210E9">
        <w:rPr>
          <w:rFonts w:ascii="David" w:eastAsia="Calibri" w:hAnsi="David"/>
          <w:sz w:val="24"/>
          <w:rtl/>
        </w:rPr>
        <w:t xml:space="preserve"> חוסר זמינות</w:t>
      </w:r>
      <w:r w:rsidRPr="00A210E9">
        <w:rPr>
          <w:rFonts w:ascii="David" w:eastAsia="Calibri" w:hAnsi="David" w:hint="cs"/>
          <w:sz w:val="24"/>
          <w:rtl/>
        </w:rPr>
        <w:t xml:space="preserve"> של</w:t>
      </w:r>
      <w:r w:rsidRPr="00A210E9">
        <w:rPr>
          <w:rFonts w:ascii="David" w:eastAsia="Calibri" w:hAnsi="David"/>
          <w:sz w:val="24"/>
          <w:rtl/>
        </w:rPr>
        <w:t xml:space="preserve"> חניות נכים</w:t>
      </w:r>
      <w:r w:rsidRPr="00A210E9">
        <w:rPr>
          <w:rFonts w:ascii="David" w:eastAsia="Calibri" w:hAnsi="David" w:hint="cs"/>
          <w:sz w:val="24"/>
          <w:rtl/>
        </w:rPr>
        <w:t>, וזאת בין היתר בשל העלייה במספר תגי החניה ובמספר הרכבים המקושרים אליהם</w:t>
      </w:r>
      <w:r w:rsidRPr="00A210E9">
        <w:rPr>
          <w:rFonts w:ascii="David" w:eastAsia="Calibri" w:hAnsi="David"/>
          <w:sz w:val="24"/>
          <w:rtl/>
        </w:rPr>
        <w:t>. בעלי תג חניה מתקשים למצוא מקום חניה פנוי, גם באזורים שאמורים להיות נגישים עבורם</w:t>
      </w:r>
      <w:r w:rsidRPr="00A210E9">
        <w:rPr>
          <w:rFonts w:ascii="David" w:eastAsia="Calibri" w:hAnsi="David" w:hint="cs"/>
          <w:sz w:val="24"/>
          <w:rtl/>
        </w:rPr>
        <w:t xml:space="preserve">, מכיוון שהחניות </w:t>
      </w:r>
      <w:r w:rsidRPr="00A210E9">
        <w:rPr>
          <w:rFonts w:ascii="David" w:eastAsia="Calibri" w:hAnsi="David"/>
          <w:sz w:val="24"/>
          <w:rtl/>
        </w:rPr>
        <w:t xml:space="preserve">תפוסות לעיתים </w:t>
      </w:r>
      <w:r w:rsidRPr="00A210E9">
        <w:rPr>
          <w:rFonts w:ascii="David" w:eastAsia="Calibri" w:hAnsi="David" w:hint="cs"/>
          <w:sz w:val="24"/>
          <w:rtl/>
        </w:rPr>
        <w:t>גם</w:t>
      </w:r>
      <w:r w:rsidRPr="00A210E9">
        <w:rPr>
          <w:rFonts w:ascii="David" w:eastAsia="Calibri" w:hAnsi="David"/>
          <w:sz w:val="24"/>
          <w:rtl/>
        </w:rPr>
        <w:t xml:space="preserve"> על ידי רכבים </w:t>
      </w:r>
      <w:r w:rsidRPr="00A210E9">
        <w:rPr>
          <w:rFonts w:ascii="David" w:eastAsia="Calibri" w:hAnsi="David" w:hint="cs"/>
          <w:sz w:val="24"/>
          <w:rtl/>
        </w:rPr>
        <w:t xml:space="preserve">המקושרים לתג, מבלי שהאדם עם מוגבלות היה נוכח בנסיעה. כבר בשנת 2010, במכתב שנשלח מאגף הרישוי במשרד התחבורה לסמנכ"ל התנועה, ליועצת המשפטית ולמבקרת הפנימית במשרד התחבורה, צוין שמספר האזרחים המחזיקים בתג חניה אינה פרופורציונלית ביחס למקומות החניה במדינה וביחס למספר הנהגים בעלי רישיון נהיגה. עוד צוין ש"מצב זה יוצר אבסורד שאנשים עם מוגבלות אשר באמת זקוקים למקומות חניה, לא נהנים מהם". </w:t>
      </w:r>
      <w:r w:rsidRPr="00A210E9">
        <w:rPr>
          <w:rFonts w:eastAsia="Calibri" w:hint="cs"/>
          <w:rtl/>
        </w:rPr>
        <w:t xml:space="preserve">צוות הביקורת שוחח עם עמותות וארגונים רלוונטיים שונים - נגישות ישראל, איל"ן, יד לילד המיוחד, הצעד הבא - ארגון קטועי גפיים וארגון נכי ישראל - וכן עם כמה אנשים עם מוגבלות. כולם העידו על קושי רב במציאת חניה נגישה פנויה לאנשים עם מוגבלות שזקוקים לה. </w:t>
      </w:r>
    </w:p>
    <w:p w:rsidR="00A210E9" w:rsidRPr="00A210E9" w:rsidP="00A210E9">
      <w:pPr>
        <w:keepNext/>
        <w:keepLines/>
        <w:spacing w:line="269" w:lineRule="auto"/>
        <w:ind w:left="-567"/>
        <w:rPr>
          <w:rFonts w:eastAsia="Calibri"/>
          <w:szCs w:val="20"/>
          <w:rtl/>
        </w:rPr>
      </w:pPr>
    </w:p>
    <w:p w:rsidR="00A210E9" w:rsidRPr="00A210E9" w:rsidP="00A210E9">
      <w:pPr>
        <w:keepNext/>
        <w:keepLines/>
        <w:spacing w:line="269" w:lineRule="auto"/>
        <w:rPr>
          <w:rFonts w:ascii="David" w:eastAsia="Calibri" w:hAnsi="David"/>
          <w:sz w:val="24"/>
          <w:rtl/>
        </w:rPr>
      </w:pPr>
      <w:r w:rsidRPr="00A210E9">
        <w:rPr>
          <w:rFonts w:ascii="David" w:eastAsia="Calibri" w:hAnsi="David"/>
          <w:sz w:val="24"/>
          <w:rtl/>
        </w:rPr>
        <w:t>זאת ועוד, מן הדיונים בוועדות הכנסת המוזכרים בדוח זה עולה כי אף שנדונה בהם סוגיית השימוש לרעה בתגי חניה, אין בנמצא גוף המחזיק בנתונים באשר להיקפה. בפועל, נטען כי רכבים עושים שימוש בתג וחונים בחניות נכים או במקומות אסורים גם כאשר אינם מסיעים את האדם עם המוגבלות שבעבורו הונפק התג. שיוך של עד שני כלי רכב לכל תג חניה מחזק את הטענה בדבר שימוש לרעה, שכן הוא מאפשר שימוש מקביל בתג בידי מי שאינם בעלי הזכאות המקורית</w:t>
      </w:r>
      <w:r w:rsidRPr="00A210E9">
        <w:rPr>
          <w:rFonts w:ascii="David" w:eastAsia="Calibri" w:hAnsi="David"/>
          <w:sz w:val="24"/>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ascii="David" w:eastAsia="Calibri" w:hAnsi="David"/>
          <w:sz w:val="24"/>
          <w:rtl/>
        </w:rPr>
      </w:pPr>
      <w:r w:rsidRPr="00A210E9">
        <w:rPr>
          <w:rFonts w:ascii="David" w:eastAsia="Calibri" w:hAnsi="David" w:hint="cs"/>
          <w:sz w:val="24"/>
          <w:rtl/>
        </w:rPr>
        <w:t xml:space="preserve">במאי 2024 פנו עמותת נגישות ישראל, עמותת נכה, לא חצי בן אדם וארגון נכי צה"ל למנכ"ל משרד התחבורה וציינו כי בשל ריבוי תגי חניה יש חוסר בזמינות חניות הנכים. בין היתר, נכתב בפנייה: "בשנים האחרונות מתקיימת תופעה של עלייה חדשה במתן תגי חניה, במקרים רבים גם לכאלה שלא באמת נדרשים. עם השנים נוצר מצב בלתי אפשרי, שאין לנכים חניות פנויות וזמינות. מצב זה פוגע בראש ובראשונה בנו האנשים עם המוגבלויות הקשות בניידות. </w:t>
      </w:r>
      <w:r w:rsidRPr="00A210E9">
        <w:rPr>
          <w:rFonts w:ascii="David" w:eastAsia="Calibri" w:hAnsi="David"/>
          <w:sz w:val="24"/>
          <w:rtl/>
        </w:rPr>
        <w:t>כיום בישראל 1 מתוך 6 רכבים מחזיק בתג</w:t>
      </w:r>
      <w:r w:rsidRPr="00A210E9">
        <w:rPr>
          <w:rFonts w:ascii="David" w:eastAsia="Calibri" w:hAnsi="David" w:hint="cs"/>
          <w:sz w:val="24"/>
          <w:rtl/>
        </w:rPr>
        <w:t xml:space="preserve"> [חניה]</w:t>
      </w:r>
      <w:r w:rsidRPr="00A210E9">
        <w:rPr>
          <w:rFonts w:ascii="David" w:eastAsia="Calibri" w:hAnsi="David"/>
          <w:sz w:val="24"/>
          <w:rtl/>
        </w:rPr>
        <w:t>, חלקם מחזיקים</w:t>
      </w:r>
      <w:r w:rsidRPr="00A210E9">
        <w:rPr>
          <w:rFonts w:ascii="David" w:eastAsia="Calibri" w:hAnsi="David" w:hint="cs"/>
          <w:sz w:val="24"/>
          <w:rtl/>
        </w:rPr>
        <w:t xml:space="preserve"> </w:t>
      </w:r>
      <w:r w:rsidRPr="00A210E9">
        <w:rPr>
          <w:rFonts w:ascii="David" w:eastAsia="Calibri" w:hAnsi="David"/>
          <w:sz w:val="24"/>
          <w:rtl/>
        </w:rPr>
        <w:t xml:space="preserve">בו </w:t>
      </w:r>
      <w:r w:rsidRPr="00A210E9">
        <w:rPr>
          <w:rFonts w:ascii="David" w:eastAsia="Calibri" w:hAnsi="David" w:hint="cs"/>
          <w:sz w:val="24"/>
          <w:rtl/>
        </w:rPr>
        <w:t xml:space="preserve">שלא </w:t>
      </w:r>
      <w:r w:rsidRPr="00A210E9">
        <w:rPr>
          <w:rFonts w:ascii="David" w:eastAsia="Calibri" w:hAnsi="David"/>
          <w:sz w:val="24"/>
          <w:rtl/>
        </w:rPr>
        <w:t>לצורך ועושים שימוש לא ראוי בתג</w:t>
      </w:r>
      <w:r w:rsidRPr="00A210E9">
        <w:rPr>
          <w:rFonts w:ascii="David" w:eastAsia="Calibri" w:hAnsi="David" w:hint="cs"/>
          <w:sz w:val="24"/>
          <w:rtl/>
        </w:rPr>
        <w:t xml:space="preserve">". בפנייה צוין כי הדבר פוגע ביכולת הנגישות וגורם למציאות חיים בלתי אפשרית עבור אנשים עם מוגבלות.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ascii="David" w:eastAsia="Calibri" w:hAnsi="David" w:hint="cs"/>
          <w:sz w:val="24"/>
          <w:rtl/>
        </w:rPr>
        <w:t>בפנייה נוספת של עמותת נגישות ישראל ליו"ר ועדת הכלכלה של הכנסת בפברואר 2025, בנוגע לאותה סוגיה, נכתב שבשל ריבוי תגי חניה "אלה שחייבים לניידותם חניות נכים זמינות בפועל נפגעים מאוד מהמציאות כיום בה בלתי אפשרי למצוא חניית נכה פנויה וזמינה. עובדה שגורמת לרבים להימנע מיציאה מהבית... עברנו את הקו האדום, וחייבים בשינוי". העמותה ציינה כי היא פועלת מול משרד התחבורה, יחד עם ארגונים נוספים, כדי להביא לשינוי של ממש במצב הקיים. בין היתר, העמותה ממליצה לשנות את הקריטריונים ואת אופן אישור הזכאות בוועדות השונות, ליצור תג טכנולוגי אישי, להגדיל את הקנסות ולהרחיב את האכיפה. העמותה הוסיפה: "</w:t>
      </w:r>
      <w:r w:rsidRPr="00A210E9">
        <w:rPr>
          <w:rFonts w:ascii="David" w:eastAsia="Calibri" w:hAnsi="David"/>
          <w:sz w:val="24"/>
          <w:rtl/>
        </w:rPr>
        <w:t>אנחנו מצטרפים לפניית חברי הכנסת לוועדה לפעול ולסייע למשרד התחבורה לחולל שינוי מהותי ונדרש</w:t>
      </w:r>
      <w:r w:rsidRPr="00A210E9">
        <w:rPr>
          <w:rFonts w:ascii="David" w:eastAsia="Calibri" w:hAnsi="David" w:hint="cs"/>
          <w:sz w:val="24"/>
          <w:rtl/>
        </w:rPr>
        <w:t>"</w:t>
      </w:r>
      <w:r w:rsidRPr="00A210E9">
        <w:rPr>
          <w:rFonts w:ascii="David" w:eastAsia="Calibri" w:hAnsi="David"/>
          <w:sz w:val="24"/>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גם משרד התחבורה נדרש לנושא זה. בסקר</w:t>
      </w:r>
      <w:r>
        <w:rPr>
          <w:rFonts w:eastAsia="Calibri"/>
          <w:vertAlign w:val="superscript"/>
        </w:rPr>
        <w:footnoteReference w:id="121"/>
      </w:r>
      <w:r w:rsidRPr="00A210E9">
        <w:rPr>
          <w:rFonts w:eastAsia="Calibri" w:hint="cs"/>
          <w:rtl/>
        </w:rPr>
        <w:t xml:space="preserve"> שערך המשרד בקרב 1,000 נשאלים נמצא ש-69% מהם סבורים שבני משפחה של אנשים עם מוגבלות משתמשים בתג חניה גם כאשר האדם עם מוגבלות אינו נמצא ברכב</w:t>
      </w:r>
      <w:r>
        <w:rPr>
          <w:rFonts w:eastAsia="Calibri"/>
          <w:vertAlign w:val="superscript"/>
          <w:rtl/>
        </w:rPr>
        <w:footnoteReference w:id="122"/>
      </w:r>
      <w:r w:rsidRPr="00A210E9">
        <w:rPr>
          <w:rFonts w:eastAsia="Calibri" w:hint="cs"/>
          <w:rtl/>
        </w:rPr>
        <w:t xml:space="preserve">. </w:t>
      </w:r>
      <w:r w:rsidRPr="00A210E9">
        <w:rPr>
          <w:rFonts w:ascii="David" w:eastAsia="Calibri" w:hAnsi="David" w:hint="cs"/>
          <w:rtl/>
        </w:rPr>
        <w:t>מדובר בשיעור גבוה במיוחד המעיד על שכיחות התופעה ועל האתגרים הגדולים הקיימים באכיפת השימוש בתגי חניה.</w:t>
      </w:r>
      <w:r w:rsidRPr="00A210E9">
        <w:rPr>
          <w:rFonts w:eastAsia="Calibri" w:hint="cs"/>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מנהל תכנון ופיתוח תשתיות שבמשרד התחבורה והבטיחות בדרכים פרסם במרץ 2023 את התוכנית הלאומית לחניה. בתוכנית</w:t>
      </w:r>
      <w:r>
        <w:rPr>
          <w:rFonts w:eastAsia="Calibri"/>
          <w:sz w:val="24"/>
          <w:vertAlign w:val="superscript"/>
          <w:rtl/>
        </w:rPr>
        <w:footnoteReference w:id="123"/>
      </w:r>
      <w:r w:rsidRPr="00A210E9">
        <w:rPr>
          <w:rFonts w:eastAsia="Calibri" w:hint="cs"/>
          <w:rtl/>
        </w:rPr>
        <w:t xml:space="preserve"> נכתב כי </w:t>
      </w:r>
      <w:r w:rsidRPr="00A210E9">
        <w:rPr>
          <w:rFonts w:eastAsia="Calibri"/>
          <w:rtl/>
        </w:rPr>
        <w:t>ניצול לרעה של תגי חניה הוא תופעה נפוצה שפוגעת לא רק באוכלוסיית האנשים עם מוגבלות אלא גם בציבור הרחב.</w:t>
      </w:r>
      <w:r w:rsidRPr="00A210E9">
        <w:rPr>
          <w:rFonts w:eastAsia="Calibri" w:hint="cs"/>
          <w:rtl/>
        </w:rPr>
        <w:t xml:space="preserve"> עוד נכתב כי</w:t>
      </w:r>
      <w:r w:rsidRPr="00A210E9">
        <w:rPr>
          <w:rFonts w:eastAsia="Calibri"/>
          <w:rtl/>
        </w:rPr>
        <w:t xml:space="preserve"> מחקרים</w:t>
      </w:r>
      <w:r w:rsidRPr="00A210E9">
        <w:rPr>
          <w:rFonts w:eastAsia="Calibri" w:hint="cs"/>
          <w:rtl/>
        </w:rPr>
        <w:t xml:space="preserve"> בעולם</w:t>
      </w:r>
      <w:r w:rsidRPr="00A210E9">
        <w:rPr>
          <w:rFonts w:eastAsia="Calibri"/>
          <w:rtl/>
        </w:rPr>
        <w:t xml:space="preserve"> </w:t>
      </w:r>
      <w:r w:rsidRPr="00A210E9">
        <w:rPr>
          <w:rFonts w:eastAsia="Calibri" w:hint="cs"/>
          <w:rtl/>
        </w:rPr>
        <w:t>העריכו</w:t>
      </w:r>
      <w:r w:rsidRPr="00A210E9">
        <w:rPr>
          <w:rFonts w:eastAsia="Calibri"/>
          <w:rtl/>
        </w:rPr>
        <w:t xml:space="preserve"> ש</w:t>
      </w:r>
      <w:r w:rsidRPr="00A210E9">
        <w:rPr>
          <w:rFonts w:eastAsia="Calibri" w:hint="cs"/>
          <w:rtl/>
        </w:rPr>
        <w:t>ב</w:t>
      </w:r>
      <w:r w:rsidRPr="00A210E9">
        <w:rPr>
          <w:rFonts w:eastAsia="Calibri"/>
          <w:rtl/>
        </w:rPr>
        <w:t>כ-</w:t>
      </w:r>
      <w:r w:rsidRPr="00A210E9">
        <w:rPr>
          <w:rFonts w:eastAsia="Calibri" w:hint="cs"/>
          <w:rtl/>
        </w:rPr>
        <w:t>50% - 90%</w:t>
      </w:r>
      <w:r w:rsidRPr="00A210E9">
        <w:rPr>
          <w:rFonts w:eastAsia="Calibri"/>
          <w:rtl/>
        </w:rPr>
        <w:t xml:space="preserve"> מהמקרים </w:t>
      </w:r>
      <w:r w:rsidRPr="00A210E9">
        <w:rPr>
          <w:rFonts w:eastAsia="Calibri" w:hint="cs"/>
          <w:rtl/>
        </w:rPr>
        <w:t>נעשה</w:t>
      </w:r>
      <w:r w:rsidRPr="00A210E9">
        <w:rPr>
          <w:rFonts w:eastAsia="Calibri"/>
          <w:rtl/>
        </w:rPr>
        <w:t xml:space="preserve"> שימוש </w:t>
      </w:r>
      <w:r w:rsidRPr="00A210E9">
        <w:rPr>
          <w:rFonts w:eastAsia="Calibri" w:hint="cs"/>
          <w:rtl/>
        </w:rPr>
        <w:t xml:space="preserve">שלא כחוק </w:t>
      </w:r>
      <w:r w:rsidRPr="00A210E9">
        <w:rPr>
          <w:rFonts w:eastAsia="Calibri"/>
          <w:rtl/>
        </w:rPr>
        <w:t xml:space="preserve">בתגי חניה, דבר שפוגע </w:t>
      </w:r>
      <w:r w:rsidRPr="00A210E9">
        <w:rPr>
          <w:rFonts w:eastAsia="Calibri" w:hint="cs"/>
          <w:rtl/>
        </w:rPr>
        <w:t xml:space="preserve">באוכלוסיית האנשים עם מוגבלות שמתקשה במציאת חניה פנויה עבורם, מסכן את בטיחות משתמשי הדרך ואף פוגע </w:t>
      </w:r>
      <w:r w:rsidRPr="00A210E9">
        <w:rPr>
          <w:rFonts w:eastAsia="Calibri"/>
          <w:rtl/>
        </w:rPr>
        <w:t>ב</w:t>
      </w:r>
      <w:r w:rsidRPr="00A210E9">
        <w:rPr>
          <w:rFonts w:eastAsia="Calibri" w:hint="cs"/>
          <w:rtl/>
        </w:rPr>
        <w:t xml:space="preserve">הכנסות הרשויות </w:t>
      </w:r>
      <w:r w:rsidRPr="00A210E9">
        <w:rPr>
          <w:rFonts w:eastAsia="Calibri"/>
          <w:rtl/>
        </w:rPr>
        <w:t>המקומיות.</w:t>
      </w:r>
      <w:r w:rsidRPr="00A210E9">
        <w:rPr>
          <w:rFonts w:eastAsia="Calibri" w:hint="cs"/>
          <w:sz w:val="24"/>
          <w:rtl/>
        </w:rPr>
        <w:t xml:space="preserve"> כמו כן, שימוש בתג חניה שלא כדין על ידי אדם שאינו מחזיק בתג היא אחת העבירות שקשה יותר לאוכפה.</w:t>
      </w:r>
      <w:r w:rsidRPr="00A210E9">
        <w:rPr>
          <w:rFonts w:eastAsia="Calibri" w:hint="cs"/>
          <w:rtl/>
        </w:rPr>
        <w:t xml:space="preserve"> </w:t>
      </w:r>
      <w:r w:rsidRPr="00A210E9">
        <w:rPr>
          <w:rFonts w:eastAsia="Calibri" w:hint="cs"/>
          <w:sz w:val="24"/>
          <w:rtl/>
        </w:rPr>
        <w:t>על פי התוכנית, הניסיון הבין-לאומי מלמד שמדיניות מיטבית להבטחת נגישות לאנשים עם מוגבלות מצד אחד, ושאינה מנוצלת לרעה מצד שני, נשענת בין היתר על אכיפה וענישה יעילות, לרבות החרמת תגי חניה שנעשה בהם שימוש שלא כדין. בשל הרגישות הרבה של הנושא קיים קושי של ממש לאכוף שימוש שלא כדין בתג חניה תקף, שכן יש צורך בנוכחות מיידית של פקח ברגע הגעתו של הרכב למקום. דוגמה לכך היא העיר טורונטו בקנדה, שם קיימת יוזמה שבה פועלים פקחים ייעודיים לטיפול בנושא המסייעים להבטיח אכיפה יעילה יותר.</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עיריית נתניה כתבה בתשובתה כי </w:t>
      </w:r>
      <w:r w:rsidRPr="00A210E9">
        <w:rPr>
          <w:rFonts w:eastAsia="Calibri"/>
          <w:rtl/>
        </w:rPr>
        <w:t>המקור לביקוש הגובר</w:t>
      </w:r>
      <w:r w:rsidRPr="00A210E9">
        <w:rPr>
          <w:rFonts w:eastAsia="Calibri" w:hint="cs"/>
          <w:rtl/>
        </w:rPr>
        <w:t>,</w:t>
      </w:r>
      <w:r w:rsidRPr="00A210E9">
        <w:rPr>
          <w:rFonts w:eastAsia="Calibri"/>
          <w:rtl/>
        </w:rPr>
        <w:t xml:space="preserve"> ולעיתים לתחושת חוסר הצדק בחלוקת המשאב המצומצם </w:t>
      </w:r>
      <w:r w:rsidRPr="00A210E9">
        <w:rPr>
          <w:rFonts w:eastAsia="Calibri" w:hint="cs"/>
          <w:rtl/>
        </w:rPr>
        <w:t>של חניות נכים,</w:t>
      </w:r>
      <w:r w:rsidRPr="00A210E9">
        <w:rPr>
          <w:rFonts w:eastAsia="Calibri"/>
          <w:rtl/>
        </w:rPr>
        <w:t xml:space="preserve"> נעוץ בפער שבין הקריטריונים הרפואיים </w:t>
      </w:r>
      <w:r w:rsidRPr="00A210E9">
        <w:rPr>
          <w:rFonts w:eastAsia="Calibri" w:hint="cs"/>
          <w:rtl/>
        </w:rPr>
        <w:t>ו</w:t>
      </w:r>
      <w:r w:rsidRPr="00A210E9">
        <w:rPr>
          <w:rFonts w:eastAsia="Calibri"/>
          <w:rtl/>
        </w:rPr>
        <w:t>בין המציאות התנועתית בשטח</w:t>
      </w:r>
      <w:r w:rsidRPr="00A210E9">
        <w:rPr>
          <w:rFonts w:eastAsia="Calibri" w:hint="cs"/>
          <w:rtl/>
        </w:rPr>
        <w:t xml:space="preserve">, וכי </w:t>
      </w:r>
      <w:r w:rsidRPr="00A210E9">
        <w:rPr>
          <w:rFonts w:eastAsia="Calibri"/>
          <w:rtl/>
        </w:rPr>
        <w:t>ייתכן ש</w:t>
      </w:r>
      <w:r w:rsidRPr="00A210E9">
        <w:rPr>
          <w:rFonts w:eastAsia="Calibri" w:hint="cs"/>
          <w:rtl/>
        </w:rPr>
        <w:t>יש</w:t>
      </w:r>
      <w:r w:rsidRPr="00A210E9">
        <w:rPr>
          <w:rFonts w:eastAsia="Calibri"/>
          <w:rtl/>
        </w:rPr>
        <w:t xml:space="preserve"> צורך ברפורמה ב</w:t>
      </w:r>
      <w:r w:rsidRPr="00A210E9">
        <w:rPr>
          <w:rFonts w:eastAsia="Calibri" w:hint="cs"/>
          <w:rtl/>
        </w:rPr>
        <w:t xml:space="preserve">עניין </w:t>
      </w:r>
      <w:r w:rsidRPr="00A210E9">
        <w:rPr>
          <w:rFonts w:eastAsia="Calibri"/>
          <w:rtl/>
        </w:rPr>
        <w:t xml:space="preserve">אופן </w:t>
      </w:r>
      <w:r w:rsidRPr="00A210E9">
        <w:rPr>
          <w:rFonts w:eastAsia="Calibri" w:hint="cs"/>
          <w:rtl/>
        </w:rPr>
        <w:t>מתן</w:t>
      </w:r>
      <w:r w:rsidRPr="00A210E9">
        <w:rPr>
          <w:rFonts w:eastAsia="Calibri"/>
          <w:rtl/>
        </w:rPr>
        <w:t xml:space="preserve"> האישורים:</w:t>
      </w:r>
      <w:r w:rsidRPr="00A210E9">
        <w:rPr>
          <w:rFonts w:eastAsia="Calibri" w:hint="cs"/>
          <w:rtl/>
        </w:rPr>
        <w:t xml:space="preserve"> </w:t>
      </w:r>
      <w:r w:rsidRPr="00A210E9">
        <w:rPr>
          <w:rFonts w:eastAsia="Calibri"/>
          <w:rtl/>
        </w:rPr>
        <w:t xml:space="preserve">יש </w:t>
      </w:r>
      <w:r w:rsidRPr="00A210E9">
        <w:rPr>
          <w:rFonts w:eastAsia="Calibri" w:hint="cs"/>
          <w:rtl/>
        </w:rPr>
        <w:t>לבצע הבחנה</w:t>
      </w:r>
      <w:r w:rsidRPr="00A210E9">
        <w:rPr>
          <w:rFonts w:eastAsia="Calibri"/>
          <w:rtl/>
        </w:rPr>
        <w:t xml:space="preserve"> מובהקת יותר בין מוגבלות בניידות הדורשת חניה צמודה</w:t>
      </w:r>
      <w:r w:rsidRPr="00A210E9">
        <w:rPr>
          <w:rFonts w:eastAsia="Calibri" w:hint="cs"/>
          <w:rtl/>
        </w:rPr>
        <w:t xml:space="preserve"> ו</w:t>
      </w:r>
      <w:r w:rsidRPr="00A210E9">
        <w:rPr>
          <w:rFonts w:eastAsia="Calibri"/>
          <w:rtl/>
        </w:rPr>
        <w:t>בין מוגבלויות אחרות</w:t>
      </w:r>
      <w:r w:rsidRPr="00A210E9">
        <w:rPr>
          <w:rFonts w:eastAsia="Calibri" w:hint="cs"/>
          <w:rtl/>
        </w:rPr>
        <w:t>,</w:t>
      </w:r>
      <w:r w:rsidRPr="00A210E9">
        <w:rPr>
          <w:rFonts w:eastAsia="Calibri"/>
          <w:rtl/>
        </w:rPr>
        <w:t xml:space="preserve"> שאינן מחייבות בהכרח קרבה פיזית ליעד</w:t>
      </w:r>
      <w:r w:rsidRPr="00A210E9">
        <w:rPr>
          <w:rFonts w:eastAsia="Calibri" w:hint="cs"/>
          <w:rtl/>
        </w:rPr>
        <w:t xml:space="preserve">; </w:t>
      </w:r>
      <w:r w:rsidRPr="00A210E9">
        <w:rPr>
          <w:rFonts w:eastAsia="Calibri"/>
          <w:rtl/>
        </w:rPr>
        <w:t xml:space="preserve">על המדינה </w:t>
      </w:r>
      <w:r w:rsidRPr="00A210E9">
        <w:rPr>
          <w:rFonts w:eastAsia="Calibri" w:hint="cs"/>
          <w:rtl/>
        </w:rPr>
        <w:t>להנהיג</w:t>
      </w:r>
      <w:r w:rsidRPr="00A210E9">
        <w:rPr>
          <w:rFonts w:eastAsia="Calibri"/>
          <w:rtl/>
        </w:rPr>
        <w:t xml:space="preserve"> סטנדרט אחיד לבחינת הזכאות, כדי להבטיח שהתג י</w:t>
      </w:r>
      <w:r w:rsidRPr="00A210E9">
        <w:rPr>
          <w:rFonts w:eastAsia="Calibri" w:hint="cs"/>
          <w:rtl/>
        </w:rPr>
        <w:t>וענק</w:t>
      </w:r>
      <w:r w:rsidRPr="00A210E9">
        <w:rPr>
          <w:rFonts w:eastAsia="Calibri"/>
          <w:rtl/>
        </w:rPr>
        <w:t xml:space="preserve"> לאלו </w:t>
      </w:r>
      <w:r w:rsidRPr="00A210E9">
        <w:rPr>
          <w:rFonts w:eastAsia="Calibri" w:hint="cs"/>
          <w:rtl/>
        </w:rPr>
        <w:t>שהוא חיוני עבורם</w:t>
      </w:r>
      <w:r w:rsidRPr="00A210E9">
        <w:rPr>
          <w:rFonts w:eastAsia="Calibri"/>
          <w:rtl/>
        </w:rPr>
        <w:t>.</w:t>
      </w:r>
      <w:r w:rsidRPr="00A210E9">
        <w:rPr>
          <w:rFonts w:eastAsia="Calibri" w:hint="cs"/>
          <w:rtl/>
        </w:rPr>
        <w:t xml:space="preserve"> לשם כך על המדינה </w:t>
      </w:r>
      <w:r w:rsidRPr="00A210E9">
        <w:rPr>
          <w:rFonts w:eastAsia="Calibri"/>
          <w:rtl/>
        </w:rPr>
        <w:t>להחליט</w:t>
      </w:r>
      <w:r w:rsidRPr="00A210E9">
        <w:rPr>
          <w:rFonts w:eastAsia="Calibri" w:hint="cs"/>
          <w:rtl/>
        </w:rPr>
        <w:t xml:space="preserve"> </w:t>
      </w:r>
      <w:r w:rsidRPr="00A210E9">
        <w:rPr>
          <w:rFonts w:eastAsia="Calibri"/>
          <w:rtl/>
        </w:rPr>
        <w:t xml:space="preserve">אם תג חניה הוא זכות אוטומטית </w:t>
      </w:r>
      <w:r w:rsidRPr="00A210E9">
        <w:rPr>
          <w:rFonts w:eastAsia="Calibri" w:hint="cs"/>
          <w:rtl/>
        </w:rPr>
        <w:t xml:space="preserve">המוקנית לאדם עם </w:t>
      </w:r>
      <w:r w:rsidRPr="00A210E9">
        <w:rPr>
          <w:rFonts w:eastAsia="Calibri"/>
          <w:rtl/>
        </w:rPr>
        <w:t>כל רמת נכות, או משאב מוגבל המיועד למקרים קשים בלבד</w:t>
      </w:r>
      <w:r w:rsidRPr="00A210E9">
        <w:rPr>
          <w:rFonts w:eastAsia="Calibri" w:hint="cs"/>
          <w:rtl/>
        </w:rPr>
        <w:t xml:space="preserve">. העירייה ציינה כי </w:t>
      </w:r>
      <w:r w:rsidRPr="00A210E9">
        <w:rPr>
          <w:rFonts w:eastAsia="Calibri"/>
          <w:rtl/>
        </w:rPr>
        <w:t xml:space="preserve">כדי </w:t>
      </w:r>
      <w:r w:rsidRPr="00A210E9">
        <w:rPr>
          <w:rFonts w:eastAsia="Calibri" w:hint="cs"/>
          <w:rtl/>
        </w:rPr>
        <w:t xml:space="preserve">שהרשויות המקומיות יוכלו </w:t>
      </w:r>
      <w:r w:rsidRPr="00A210E9">
        <w:rPr>
          <w:rFonts w:eastAsia="Calibri"/>
          <w:rtl/>
        </w:rPr>
        <w:t xml:space="preserve">להעניק </w:t>
      </w:r>
      <w:r w:rsidRPr="00A210E9">
        <w:rPr>
          <w:rFonts w:eastAsia="Calibri" w:hint="cs"/>
          <w:rtl/>
        </w:rPr>
        <w:t xml:space="preserve">שירות לתושב עם מוגבלות באופן הוגן וביעילות, </w:t>
      </w:r>
      <w:r w:rsidRPr="00A210E9">
        <w:rPr>
          <w:rFonts w:eastAsia="Calibri"/>
          <w:rtl/>
        </w:rPr>
        <w:t>על המדינה</w:t>
      </w:r>
      <w:r w:rsidRPr="00A210E9">
        <w:rPr>
          <w:rFonts w:eastAsia="Calibri" w:hint="cs"/>
          <w:rtl/>
        </w:rPr>
        <w:t xml:space="preserve"> לקבל </w:t>
      </w:r>
      <w:r w:rsidRPr="00A210E9">
        <w:rPr>
          <w:rFonts w:eastAsia="Calibri"/>
          <w:rtl/>
        </w:rPr>
        <w:t>אחריות</w:t>
      </w:r>
      <w:r w:rsidRPr="00A210E9">
        <w:rPr>
          <w:rFonts w:eastAsia="Calibri" w:hint="cs"/>
          <w:rtl/>
        </w:rPr>
        <w:t xml:space="preserve"> ל"</w:t>
      </w:r>
      <w:r w:rsidRPr="00A210E9">
        <w:rPr>
          <w:rFonts w:eastAsia="Calibri"/>
          <w:rtl/>
        </w:rPr>
        <w:t>שער הכניסה</w:t>
      </w:r>
      <w:r w:rsidRPr="00A210E9">
        <w:rPr>
          <w:rFonts w:eastAsia="Calibri" w:hint="cs"/>
          <w:rtl/>
        </w:rPr>
        <w:t>"</w:t>
      </w:r>
      <w:r w:rsidRPr="00A210E9">
        <w:rPr>
          <w:rFonts w:eastAsia="Calibri"/>
          <w:rtl/>
        </w:rPr>
        <w:t xml:space="preserve">, קרי, </w:t>
      </w:r>
      <w:r w:rsidRPr="00A210E9">
        <w:rPr>
          <w:rFonts w:eastAsia="Calibri" w:hint="cs"/>
          <w:rtl/>
        </w:rPr>
        <w:t>ל</w:t>
      </w:r>
      <w:r w:rsidRPr="00A210E9">
        <w:rPr>
          <w:rFonts w:eastAsia="Calibri"/>
          <w:rtl/>
        </w:rPr>
        <w:t xml:space="preserve">תהליך הנפקת האישורים הרפואיים.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עיריית ירושלים כתבה בתשובתה ממאי 2026 כי הרשויות המקומיות בכלל, ועיריית ירושלים בפרט, מתמודדות עם מורכבות רבה לנוכח הגידול הניכר במספר תגי החניה והרכבים המשויכים להם, לצד היעדר אסדרה ארצית מלאה ואחידה בתחום. כמו כן</w:t>
      </w:r>
      <w:r w:rsidRPr="00A210E9">
        <w:rPr>
          <w:rFonts w:eastAsia="Calibri"/>
          <w:rtl/>
        </w:rPr>
        <w:t xml:space="preserve"> </w:t>
      </w:r>
      <w:r w:rsidRPr="00A210E9">
        <w:rPr>
          <w:rFonts w:eastAsia="Calibri" w:hint="eastAsia"/>
          <w:rtl/>
        </w:rPr>
        <w:t>ציינה</w:t>
      </w:r>
      <w:r w:rsidRPr="00A210E9">
        <w:rPr>
          <w:rFonts w:eastAsia="Calibri"/>
          <w:rtl/>
        </w:rPr>
        <w:t xml:space="preserve"> </w:t>
      </w:r>
      <w:r w:rsidRPr="00A210E9">
        <w:rPr>
          <w:rFonts w:eastAsia="Calibri" w:hint="eastAsia"/>
          <w:rtl/>
        </w:rPr>
        <w:t>העירייה</w:t>
      </w:r>
      <w:r w:rsidRPr="00A210E9">
        <w:rPr>
          <w:rFonts w:eastAsia="Calibri"/>
          <w:rtl/>
        </w:rPr>
        <w:t xml:space="preserve"> </w:t>
      </w:r>
      <w:r w:rsidRPr="00A210E9">
        <w:rPr>
          <w:rFonts w:eastAsia="Calibri" w:hint="eastAsia"/>
          <w:rtl/>
        </w:rPr>
        <w:t>כי</w:t>
      </w:r>
      <w:r w:rsidRPr="00A210E9">
        <w:rPr>
          <w:rFonts w:eastAsia="Calibri"/>
          <w:rtl/>
        </w:rPr>
        <w:t xml:space="preserve"> </w:t>
      </w:r>
      <w:r w:rsidRPr="00A210E9">
        <w:rPr>
          <w:rFonts w:eastAsia="Calibri" w:hint="eastAsia"/>
          <w:rtl/>
        </w:rPr>
        <w:t>אגף</w:t>
      </w:r>
      <w:r w:rsidRPr="00A210E9">
        <w:rPr>
          <w:rFonts w:eastAsia="Calibri"/>
          <w:rtl/>
        </w:rPr>
        <w:t xml:space="preserve"> </w:t>
      </w:r>
      <w:r w:rsidRPr="00A210E9">
        <w:rPr>
          <w:rFonts w:eastAsia="Calibri" w:hint="eastAsia"/>
          <w:rtl/>
        </w:rPr>
        <w:t>האכיפה</w:t>
      </w:r>
      <w:r w:rsidRPr="00A210E9">
        <w:rPr>
          <w:rFonts w:eastAsia="Calibri"/>
          <w:rtl/>
        </w:rPr>
        <w:t xml:space="preserve"> </w:t>
      </w:r>
      <w:r w:rsidRPr="00A210E9">
        <w:rPr>
          <w:rFonts w:eastAsia="Calibri" w:hint="eastAsia"/>
          <w:rtl/>
        </w:rPr>
        <w:t>הגביר</w:t>
      </w:r>
      <w:r w:rsidRPr="00A210E9">
        <w:rPr>
          <w:rFonts w:eastAsia="Calibri"/>
          <w:rtl/>
        </w:rPr>
        <w:t xml:space="preserve"> </w:t>
      </w:r>
      <w:r w:rsidRPr="00A210E9">
        <w:rPr>
          <w:rFonts w:eastAsia="Calibri" w:hint="cs"/>
          <w:rtl/>
        </w:rPr>
        <w:t>במידה ניכרת</w:t>
      </w:r>
      <w:r w:rsidRPr="00A210E9">
        <w:rPr>
          <w:rFonts w:eastAsia="Calibri"/>
          <w:rtl/>
        </w:rPr>
        <w:t xml:space="preserve"> </w:t>
      </w:r>
      <w:r w:rsidRPr="00A210E9">
        <w:rPr>
          <w:rFonts w:eastAsia="Calibri" w:hint="eastAsia"/>
          <w:rtl/>
        </w:rPr>
        <w:t>את</w:t>
      </w:r>
      <w:r w:rsidRPr="00A210E9">
        <w:rPr>
          <w:rFonts w:eastAsia="Calibri"/>
          <w:rtl/>
        </w:rPr>
        <w:t xml:space="preserve"> </w:t>
      </w:r>
      <w:r w:rsidRPr="00A210E9">
        <w:rPr>
          <w:rFonts w:eastAsia="Calibri" w:hint="eastAsia"/>
          <w:rtl/>
        </w:rPr>
        <w:t>פעילותו</w:t>
      </w:r>
      <w:r w:rsidRPr="00A210E9">
        <w:rPr>
          <w:rFonts w:eastAsia="Calibri"/>
          <w:rtl/>
        </w:rPr>
        <w:t xml:space="preserve"> </w:t>
      </w:r>
      <w:r w:rsidRPr="00A210E9">
        <w:rPr>
          <w:rFonts w:eastAsia="Calibri" w:hint="eastAsia"/>
          <w:rtl/>
        </w:rPr>
        <w:t>בשטח</w:t>
      </w:r>
      <w:r w:rsidRPr="00A210E9">
        <w:rPr>
          <w:rFonts w:eastAsia="Calibri"/>
          <w:rtl/>
        </w:rPr>
        <w:t xml:space="preserve">, </w:t>
      </w:r>
      <w:r w:rsidRPr="00A210E9">
        <w:rPr>
          <w:rFonts w:eastAsia="Calibri" w:hint="eastAsia"/>
          <w:rtl/>
        </w:rPr>
        <w:t>בין</w:t>
      </w:r>
      <w:r w:rsidRPr="00A210E9">
        <w:rPr>
          <w:rFonts w:eastAsia="Calibri"/>
          <w:rtl/>
        </w:rPr>
        <w:t xml:space="preserve"> </w:t>
      </w:r>
      <w:r w:rsidRPr="00A210E9">
        <w:rPr>
          <w:rFonts w:eastAsia="Calibri" w:hint="eastAsia"/>
          <w:rtl/>
        </w:rPr>
        <w:t>היתר</w:t>
      </w:r>
      <w:r w:rsidRPr="00A210E9">
        <w:rPr>
          <w:rFonts w:eastAsia="Calibri"/>
          <w:rtl/>
        </w:rPr>
        <w:t xml:space="preserve"> </w:t>
      </w:r>
      <w:r w:rsidRPr="00A210E9">
        <w:rPr>
          <w:rFonts w:eastAsia="Calibri" w:hint="eastAsia"/>
          <w:rtl/>
        </w:rPr>
        <w:t>באמצעות</w:t>
      </w:r>
      <w:r w:rsidRPr="00A210E9">
        <w:rPr>
          <w:rFonts w:eastAsia="Calibri"/>
          <w:rtl/>
        </w:rPr>
        <w:t xml:space="preserve"> </w:t>
      </w:r>
      <w:r w:rsidRPr="00A210E9">
        <w:rPr>
          <w:rFonts w:eastAsia="Calibri" w:hint="eastAsia"/>
          <w:rtl/>
        </w:rPr>
        <w:t>הרחבת</w:t>
      </w:r>
      <w:r w:rsidRPr="00A210E9">
        <w:rPr>
          <w:rFonts w:eastAsia="Calibri"/>
          <w:rtl/>
        </w:rPr>
        <w:t xml:space="preserve"> </w:t>
      </w:r>
      <w:r w:rsidRPr="00A210E9">
        <w:rPr>
          <w:rFonts w:eastAsia="Calibri" w:hint="eastAsia"/>
          <w:rtl/>
        </w:rPr>
        <w:t>מערך</w:t>
      </w:r>
      <w:r w:rsidRPr="00A210E9">
        <w:rPr>
          <w:rFonts w:eastAsia="Calibri"/>
          <w:rtl/>
        </w:rPr>
        <w:t xml:space="preserve"> </w:t>
      </w:r>
      <w:r w:rsidRPr="00A210E9">
        <w:rPr>
          <w:rFonts w:eastAsia="Calibri" w:hint="eastAsia"/>
          <w:rtl/>
        </w:rPr>
        <w:t>האכיפה</w:t>
      </w:r>
      <w:r w:rsidRPr="00A210E9">
        <w:rPr>
          <w:rFonts w:eastAsia="Calibri"/>
          <w:rtl/>
        </w:rPr>
        <w:t xml:space="preserve">, </w:t>
      </w:r>
      <w:r w:rsidRPr="00A210E9">
        <w:rPr>
          <w:rFonts w:eastAsia="Calibri" w:hint="eastAsia"/>
          <w:rtl/>
        </w:rPr>
        <w:t>שילוב</w:t>
      </w:r>
      <w:r w:rsidRPr="00A210E9">
        <w:rPr>
          <w:rFonts w:eastAsia="Calibri"/>
          <w:rtl/>
        </w:rPr>
        <w:t xml:space="preserve"> </w:t>
      </w:r>
      <w:r w:rsidRPr="00A210E9">
        <w:rPr>
          <w:rFonts w:eastAsia="Calibri" w:hint="eastAsia"/>
          <w:rtl/>
        </w:rPr>
        <w:t>אמצעים</w:t>
      </w:r>
      <w:r w:rsidRPr="00A210E9">
        <w:rPr>
          <w:rFonts w:eastAsia="Calibri"/>
          <w:rtl/>
        </w:rPr>
        <w:t xml:space="preserve"> </w:t>
      </w:r>
      <w:r w:rsidRPr="00A210E9">
        <w:rPr>
          <w:rFonts w:eastAsia="Calibri" w:hint="eastAsia"/>
          <w:rtl/>
        </w:rPr>
        <w:t>טכנולוגיים</w:t>
      </w:r>
      <w:r w:rsidRPr="00A210E9">
        <w:rPr>
          <w:rFonts w:eastAsia="Calibri"/>
          <w:rtl/>
        </w:rPr>
        <w:t xml:space="preserve"> </w:t>
      </w:r>
      <w:r w:rsidRPr="00A210E9">
        <w:rPr>
          <w:rFonts w:eastAsia="Calibri" w:hint="eastAsia"/>
          <w:rtl/>
        </w:rPr>
        <w:t>מתקדמים</w:t>
      </w:r>
      <w:r w:rsidRPr="00A210E9">
        <w:rPr>
          <w:rFonts w:eastAsia="Calibri"/>
          <w:rtl/>
        </w:rPr>
        <w:t xml:space="preserve"> </w:t>
      </w:r>
      <w:r w:rsidRPr="00A210E9">
        <w:rPr>
          <w:rFonts w:eastAsia="Calibri" w:hint="eastAsia"/>
          <w:rtl/>
        </w:rPr>
        <w:t>והגדלה</w:t>
      </w:r>
      <w:r w:rsidRPr="00A210E9">
        <w:rPr>
          <w:rFonts w:eastAsia="Calibri"/>
          <w:rtl/>
        </w:rPr>
        <w:t xml:space="preserve"> </w:t>
      </w:r>
      <w:r w:rsidRPr="00A210E9">
        <w:rPr>
          <w:rFonts w:eastAsia="Calibri" w:hint="eastAsia"/>
          <w:rtl/>
        </w:rPr>
        <w:t>עקבית</w:t>
      </w:r>
      <w:r w:rsidRPr="00A210E9">
        <w:rPr>
          <w:rFonts w:eastAsia="Calibri"/>
          <w:rtl/>
        </w:rPr>
        <w:t xml:space="preserve"> </w:t>
      </w:r>
      <w:r w:rsidRPr="00A210E9">
        <w:rPr>
          <w:rFonts w:eastAsia="Calibri" w:hint="eastAsia"/>
          <w:rtl/>
        </w:rPr>
        <w:t>של</w:t>
      </w:r>
      <w:r w:rsidRPr="00A210E9">
        <w:rPr>
          <w:rFonts w:eastAsia="Calibri"/>
          <w:rtl/>
        </w:rPr>
        <w:t xml:space="preserve"> </w:t>
      </w:r>
      <w:r w:rsidRPr="00A210E9">
        <w:rPr>
          <w:rFonts w:eastAsia="Calibri" w:hint="eastAsia"/>
          <w:rtl/>
        </w:rPr>
        <w:t>היקפי</w:t>
      </w:r>
      <w:r w:rsidRPr="00A210E9">
        <w:rPr>
          <w:rFonts w:eastAsia="Calibri"/>
          <w:rtl/>
        </w:rPr>
        <w:t xml:space="preserve"> </w:t>
      </w:r>
      <w:r w:rsidRPr="00A210E9">
        <w:rPr>
          <w:rFonts w:eastAsia="Calibri" w:hint="eastAsia"/>
          <w:rtl/>
        </w:rPr>
        <w:t>האכיפה</w:t>
      </w:r>
      <w:r w:rsidRPr="00A210E9">
        <w:rPr>
          <w:rFonts w:eastAsia="Calibri"/>
          <w:rtl/>
        </w:rPr>
        <w:t xml:space="preserve"> </w:t>
      </w:r>
      <w:r w:rsidRPr="00A210E9">
        <w:rPr>
          <w:rFonts w:eastAsia="Calibri" w:hint="eastAsia"/>
          <w:rtl/>
        </w:rPr>
        <w:t>בשנים</w:t>
      </w:r>
      <w:r w:rsidRPr="00A210E9">
        <w:rPr>
          <w:rFonts w:eastAsia="Calibri"/>
          <w:rtl/>
        </w:rPr>
        <w:t xml:space="preserve"> </w:t>
      </w:r>
      <w:r w:rsidRPr="00A210E9">
        <w:rPr>
          <w:rFonts w:eastAsia="Calibri" w:hint="eastAsia"/>
          <w:rtl/>
        </w:rPr>
        <w:t>האחרונות</w:t>
      </w:r>
      <w:r w:rsidRPr="00A210E9">
        <w:rPr>
          <w:rFonts w:eastAsia="Calibri" w:hint="cs"/>
          <w:rtl/>
        </w:rPr>
        <w:t xml:space="preserve">. </w:t>
      </w:r>
    </w:p>
    <w:p w:rsidR="00A210E9" w:rsidRPr="00A210E9" w:rsidP="00A210E9">
      <w:pPr>
        <w:spacing w:line="269" w:lineRule="auto"/>
        <w:rPr>
          <w:rFonts w:eastAsia="Calibri"/>
          <w:rtl/>
        </w:rPr>
      </w:pPr>
    </w:p>
    <w:p w:rsidR="00A210E9" w:rsidRPr="00A210E9" w:rsidP="00A210E9">
      <w:pPr>
        <w:keepNext/>
        <w:keepLines/>
        <w:spacing w:line="269" w:lineRule="auto"/>
        <w:outlineLvl w:val="3"/>
        <w:rPr>
          <w:rFonts w:eastAsia="Times New Roman"/>
          <w:bCs/>
          <w:szCs w:val="26"/>
          <w:rtl/>
        </w:rPr>
      </w:pPr>
      <w:r w:rsidRPr="00A210E9">
        <w:rPr>
          <w:rFonts w:eastAsia="Times New Roman" w:hint="cs"/>
          <w:bCs/>
          <w:szCs w:val="26"/>
          <w:rtl/>
        </w:rPr>
        <w:t>סוגי עבירות בעניין חניות נכים</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חניה בחניית נכים שלא כדין היא עבירת תעבורה. עבירות התעבורה הן עבירות פליליות הנכללות בקטגוריה של אחריות קפידה, כך שהתביעה אינה צריכה להוכיח קיומה של מחשבה פלילית או רשלנות של מבצע העבירה, אלא די בהוכחה כי התקיים היסוד העובדתי. עבירות חניה הן עבירות קנס (ברירת משפט). סעיפים 228 - 230 לחוק סדר הדין הפלילי (נוסח משולב), התשמ"ב-1982, מקנים סמכות מקבילה לשוטר ולפקח רשות מקומית באכיפת עבירות תעבורה שהעונש עליהן הוא קנס, כאשר לחלופין הנהג יכול לבקש להישפט. </w:t>
      </w:r>
    </w:p>
    <w:p w:rsidR="00A210E9" w:rsidRPr="00A210E9" w:rsidP="00A210E9">
      <w:pPr>
        <w:keepNext/>
        <w:keepLines/>
        <w:spacing w:line="269" w:lineRule="auto"/>
        <w:ind w:left="-567"/>
        <w:rPr>
          <w:rFonts w:eastAsia="Calibri"/>
          <w:szCs w:val="20"/>
          <w:rtl/>
        </w:rPr>
      </w:pPr>
      <w:r w:rsidRPr="00A210E9">
        <w:rPr>
          <w:rFonts w:eastAsia="Calibri" w:hint="cs"/>
          <w:szCs w:val="20"/>
          <w:rtl/>
        </w:rPr>
        <w:t xml:space="preserve"> </w:t>
      </w:r>
    </w:p>
    <w:p w:rsidR="00A210E9" w:rsidRPr="00A210E9" w:rsidP="00A210E9">
      <w:pPr>
        <w:spacing w:line="269" w:lineRule="auto"/>
        <w:rPr>
          <w:rFonts w:eastAsia="Calibri"/>
          <w:rtl/>
        </w:rPr>
      </w:pPr>
      <w:r w:rsidRPr="00A210E9">
        <w:rPr>
          <w:rFonts w:eastAsia="Calibri" w:hint="cs"/>
          <w:rtl/>
        </w:rPr>
        <w:t>ביולי 2020 פרסם לראשונה אגף התנועה במשטרת ישראל את "נוהל מדיניות האכיפה הזרמת התנועה ומתווה תלת"ן" מס' 02.231.01. מאז עודכן הנוהל כמה פעמים, והעדכון האחרון נעשה ב-1.9.25. לפי סעיף 8(א) לנוהל, "משטרת ישראל תמקד את פעילות האכיפה בתחומי הדרך (כבישים, רחובות, מדרכות) וככלל תימנע מביצוע פעולות אכיפת תנועה בשטחים פרטיים (חניונים של קניונים, מתחמי מגורים וכו')". אשר לעבירות חניה, נכתב בסעיף 8(ד)</w:t>
      </w:r>
      <w:r w:rsidRPr="00A210E9">
        <w:rPr>
          <w:rFonts w:eastAsia="Calibri" w:hint="cs"/>
        </w:rPr>
        <w:t xml:space="preserve"> </w:t>
      </w:r>
      <w:r w:rsidRPr="00A210E9">
        <w:rPr>
          <w:rFonts w:eastAsia="Calibri" w:hint="cs"/>
          <w:rtl/>
        </w:rPr>
        <w:t xml:space="preserve">לנוהל: "ככלל, </w:t>
      </w:r>
      <w:r w:rsidRPr="00A210E9">
        <w:rPr>
          <w:rFonts w:eastAsia="Calibri"/>
          <w:rtl/>
        </w:rPr>
        <w:t xml:space="preserve">אכיפת עבירות חניה יופנו לטיפול פקחי הרשות המקומית </w:t>
      </w:r>
      <w:r w:rsidRPr="00A210E9">
        <w:rPr>
          <w:rFonts w:eastAsia="Calibri" w:hint="cs"/>
          <w:rtl/>
        </w:rPr>
        <w:t>(</w:t>
      </w:r>
      <w:r w:rsidRPr="00A210E9">
        <w:rPr>
          <w:rFonts w:eastAsia="Calibri"/>
          <w:rtl/>
        </w:rPr>
        <w:t>ככל שישנם</w:t>
      </w:r>
      <w:r w:rsidRPr="00A210E9">
        <w:rPr>
          <w:rFonts w:eastAsia="Calibri" w:hint="cs"/>
          <w:rtl/>
        </w:rPr>
        <w:t>)</w:t>
      </w:r>
      <w:r w:rsidRPr="00A210E9">
        <w:rPr>
          <w:rFonts w:eastAsia="Calibri"/>
          <w:rtl/>
        </w:rPr>
        <w:t>, יחד עם זאת</w:t>
      </w:r>
      <w:r w:rsidRPr="00A210E9">
        <w:rPr>
          <w:rFonts w:eastAsia="Calibri" w:hint="cs"/>
          <w:rtl/>
        </w:rPr>
        <w:t xml:space="preserve"> </w:t>
      </w:r>
      <w:r w:rsidRPr="00A210E9">
        <w:rPr>
          <w:rFonts w:eastAsia="Calibri"/>
          <w:rtl/>
        </w:rPr>
        <w:t>המשטרה תמקד אכיפה בעבירות חניה במקרים בהם נגרם סיכון למשתמשי הדרך והפרעה</w:t>
      </w:r>
      <w:r w:rsidRPr="00A210E9">
        <w:rPr>
          <w:rFonts w:eastAsia="Calibri" w:hint="cs"/>
          <w:rtl/>
        </w:rPr>
        <w:t xml:space="preserve"> </w:t>
      </w:r>
      <w:r w:rsidRPr="00A210E9">
        <w:rPr>
          <w:rFonts w:eastAsia="Calibri"/>
          <w:rtl/>
        </w:rPr>
        <w:t>משמעותית להזרמת התנועה</w:t>
      </w:r>
      <w:r w:rsidRPr="00A210E9">
        <w:rPr>
          <w:rFonts w:eastAsia="Calibri" w:hint="cs"/>
          <w:rtl/>
        </w:rPr>
        <w:t xml:space="preserve">". בפברואר 2025 כתב אגף התנועה למשרד מבקר המדינה כי על פי הנוהל האמור המשטרה ממקדת אכיפה בעבירות משפיעות ועבירות הגורמות תאונות דרכים וכן בצירים משפיעים. המשטרה הוסיפה כי מדיניותה היא להימנע מאכיפה במקומות פרטיים ולהותיר את מלאכת האכיפה בידי הרשות המקומית. עוד כתבה המשטרה כי היא ממליצה שהרשות המקומית היא זו שתמקד את אכיפתה בין היתר וביתר שאת בעבירות חניה.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אגף התנועה מסר למשרד מבקר המדינה באוקטובר 2025 כי לפני פרסום הנוהל על עדכוניו לא הייתה מדיניות מסודרת לאכיפת עבירות תנועה בנוהלי האגף. עם זאת, נשמעו מדי פעם בפעם קריאות לצאת במבצעי אכיפת עבירות חניה בחניית נכים. בנוהל המעודכן מ-1.9.25, המפרט את מדיניות האכיפה, נקבע כי עבירות חניה בחניית נכים או חסימת רכבים השייכים לאנשים עם מוגבלות ייחשבו כעבירות בריונות, וזאת בניגוד לנהלים הקודמים שבהם היה ניתן להמיר דוחות לאזהרה. על כן, מאז פרסום העדכון האחרון של הנוהל, המדיניות הנוגעת לעבירות חניה בחניית נכים מחמירה יותר ולפיה לא ניתן להמיר דוחות לאזהרה. </w:t>
      </w:r>
    </w:p>
    <w:p w:rsidR="00A210E9" w:rsidRPr="00A210E9" w:rsidP="00A210E9">
      <w:pPr>
        <w:keepNext/>
        <w:keepLines/>
        <w:spacing w:line="269" w:lineRule="auto"/>
        <w:ind w:left="-567"/>
        <w:rPr>
          <w:rFonts w:eastAsia="Calibri"/>
          <w:szCs w:val="20"/>
          <w:rtl/>
        </w:rPr>
      </w:pPr>
    </w:p>
    <w:p w:rsidR="00A210E9" w:rsidRPr="00A210E9" w:rsidP="00A210E9">
      <w:pPr>
        <w:keepNext/>
        <w:keepLines/>
        <w:spacing w:line="269" w:lineRule="auto"/>
        <w:outlineLvl w:val="3"/>
        <w:rPr>
          <w:rFonts w:eastAsia="Times New Roman"/>
          <w:bCs/>
          <w:szCs w:val="26"/>
          <w:rtl/>
        </w:rPr>
      </w:pPr>
      <w:r w:rsidRPr="00A210E9">
        <w:rPr>
          <w:rFonts w:eastAsia="Times New Roman" w:hint="cs"/>
          <w:bCs/>
          <w:szCs w:val="26"/>
          <w:rtl/>
        </w:rPr>
        <w:t>עבירות הנוגעות לחניה בחניית נכים</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העבירות הנוגעות לחניה בהקשר של תגי חניה הן:</w:t>
      </w:r>
    </w:p>
    <w:p w:rsidR="00A210E9" w:rsidRPr="00A210E9" w:rsidP="00A210E9">
      <w:pPr>
        <w:numPr>
          <w:ilvl w:val="0"/>
          <w:numId w:val="22"/>
        </w:numPr>
        <w:spacing w:line="269" w:lineRule="auto"/>
        <w:contextualSpacing/>
        <w:rPr>
          <w:rFonts w:eastAsia="Calibri"/>
        </w:rPr>
      </w:pPr>
      <w:r w:rsidRPr="00A210E9">
        <w:rPr>
          <w:rFonts w:eastAsia="Calibri" w:hint="cs"/>
          <w:rtl/>
        </w:rPr>
        <w:t xml:space="preserve">חניה של רכב לא מורשה בחניית נכים. </w:t>
      </w:r>
    </w:p>
    <w:p w:rsidR="00A210E9" w:rsidRPr="00A210E9" w:rsidP="00A210E9">
      <w:pPr>
        <w:numPr>
          <w:ilvl w:val="0"/>
          <w:numId w:val="22"/>
        </w:numPr>
        <w:spacing w:line="269" w:lineRule="auto"/>
        <w:contextualSpacing/>
        <w:rPr>
          <w:rFonts w:eastAsia="Calibri"/>
        </w:rPr>
      </w:pPr>
      <w:r w:rsidRPr="00A210E9">
        <w:rPr>
          <w:rFonts w:eastAsia="Calibri" w:hint="cs"/>
          <w:rtl/>
        </w:rPr>
        <w:t>חניה בחניית נכים בעת שהרכב אינו משרת את האדם עם מוגבלות.</w:t>
      </w:r>
    </w:p>
    <w:p w:rsidR="00A210E9" w:rsidRPr="00A210E9" w:rsidP="00A210E9">
      <w:pPr>
        <w:numPr>
          <w:ilvl w:val="0"/>
          <w:numId w:val="22"/>
        </w:numPr>
        <w:spacing w:line="269" w:lineRule="auto"/>
        <w:contextualSpacing/>
        <w:rPr>
          <w:rFonts w:eastAsia="Calibri"/>
        </w:rPr>
      </w:pPr>
      <w:r w:rsidRPr="00A210E9">
        <w:rPr>
          <w:rFonts w:eastAsia="Calibri" w:hint="cs"/>
          <w:rtl/>
        </w:rPr>
        <w:t xml:space="preserve">חניית רכב של אדם עם מוגבלות במקום אסור. </w:t>
      </w:r>
    </w:p>
    <w:p w:rsidR="00A210E9" w:rsidRPr="00A210E9" w:rsidP="00A210E9">
      <w:pPr>
        <w:spacing w:line="269" w:lineRule="auto"/>
        <w:rPr>
          <w:rFonts w:eastAsia="Calibri"/>
          <w:rtl/>
        </w:rPr>
      </w:pPr>
    </w:p>
    <w:p w:rsidR="00A210E9" w:rsidRPr="00A210E9" w:rsidP="00A210E9">
      <w:pPr>
        <w:keepNext/>
        <w:keepLines/>
        <w:spacing w:line="269" w:lineRule="auto"/>
        <w:outlineLvl w:val="4"/>
        <w:rPr>
          <w:rFonts w:eastAsia="Times New Roman"/>
          <w:bCs/>
          <w:spacing w:val="40"/>
          <w:rtl/>
        </w:rPr>
      </w:pPr>
      <w:r w:rsidRPr="00A210E9">
        <w:rPr>
          <w:rFonts w:eastAsia="Times New Roman" w:hint="cs"/>
          <w:bCs/>
          <w:spacing w:val="40"/>
          <w:rtl/>
        </w:rPr>
        <w:t xml:space="preserve">חניה של רכב לא מורשה בחניית נכים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בהקשר של חניית רכב לא מורשה בחניית נכים יש שלושה סוגי עבירות. להלן הפרטים:</w:t>
      </w:r>
    </w:p>
    <w:p w:rsidR="00A210E9" w:rsidRPr="00A210E9" w:rsidP="00A210E9">
      <w:pPr>
        <w:keepNext/>
        <w:keepLines/>
        <w:spacing w:line="269" w:lineRule="auto"/>
        <w:ind w:left="-567"/>
        <w:rPr>
          <w:rFonts w:eastAsia="Calibri"/>
          <w:szCs w:val="20"/>
          <w:rtl/>
        </w:rPr>
      </w:pPr>
    </w:p>
    <w:p w:rsidR="00A210E9" w:rsidRPr="00A210E9" w:rsidP="00A210E9">
      <w:pPr>
        <w:numPr>
          <w:ilvl w:val="0"/>
          <w:numId w:val="23"/>
        </w:numPr>
        <w:spacing w:line="269" w:lineRule="auto"/>
        <w:contextualSpacing/>
        <w:rPr>
          <w:rFonts w:eastAsia="Calibri"/>
          <w:rtl/>
        </w:rPr>
      </w:pPr>
      <w:r w:rsidRPr="00A210E9">
        <w:rPr>
          <w:rFonts w:eastAsia="Times New Roman" w:hint="cs"/>
          <w:bCs/>
          <w:spacing w:val="40"/>
          <w:rtl/>
        </w:rPr>
        <w:t>עבירות חניה של רכב שאינו מקושר לתג חניה וחונה בחניית נכים:</w:t>
      </w:r>
      <w:r w:rsidRPr="00A210E9">
        <w:rPr>
          <w:rFonts w:eastAsia="Calibri" w:hint="cs"/>
          <w:rtl/>
        </w:rPr>
        <w:t xml:space="preserve"> לשוטרים ו</w:t>
      </w:r>
      <w:r w:rsidRPr="00A210E9">
        <w:rPr>
          <w:rFonts w:ascii="David" w:eastAsia="Calibri" w:hAnsi="David"/>
          <w:rtl/>
        </w:rPr>
        <w:t xml:space="preserve">לפקחי הרשות המקומית יש סמכות לאכוף מקרים </w:t>
      </w:r>
      <w:r w:rsidRPr="00A210E9">
        <w:rPr>
          <w:rFonts w:ascii="David" w:eastAsia="Calibri" w:hAnsi="David" w:hint="cs"/>
          <w:rtl/>
        </w:rPr>
        <w:t>ש</w:t>
      </w:r>
      <w:r w:rsidRPr="00A210E9">
        <w:rPr>
          <w:rFonts w:ascii="David" w:eastAsia="Calibri" w:hAnsi="David"/>
          <w:rtl/>
        </w:rPr>
        <w:t xml:space="preserve">בהם הרכב החונה בחניית הנכים אינו נושא תג </w:t>
      </w:r>
      <w:r w:rsidRPr="00A210E9">
        <w:rPr>
          <w:rFonts w:ascii="David" w:eastAsia="Calibri" w:hAnsi="David" w:hint="cs"/>
          <w:rtl/>
        </w:rPr>
        <w:t>חניה</w:t>
      </w:r>
      <w:r w:rsidRPr="00A210E9">
        <w:rPr>
          <w:rFonts w:ascii="David" w:eastAsia="Calibri" w:hAnsi="David"/>
          <w:rtl/>
        </w:rPr>
        <w:t xml:space="preserve">. </w:t>
      </w:r>
      <w:r w:rsidRPr="00A210E9">
        <w:rPr>
          <w:rFonts w:ascii="David" w:eastAsia="Calibri" w:hAnsi="David" w:hint="cs"/>
          <w:rtl/>
        </w:rPr>
        <w:t xml:space="preserve">הקנס על עבירה זו הוא 1,000 ש"ח. לפי סעיף 229 </w:t>
      </w:r>
      <w:r w:rsidRPr="00A210E9">
        <w:rPr>
          <w:rFonts w:ascii="David" w:eastAsia="Calibri" w:hAnsi="David"/>
          <w:rtl/>
        </w:rPr>
        <w:t>לחוק</w:t>
      </w:r>
      <w:r w:rsidRPr="00A210E9">
        <w:rPr>
          <w:rFonts w:ascii="David" w:eastAsia="Calibri" w:hAnsi="David" w:hint="cs"/>
          <w:rtl/>
        </w:rPr>
        <w:t xml:space="preserve"> סדר הדין הפלילי, התשמ"ב-1982</w:t>
      </w:r>
      <w:r w:rsidRPr="00A210E9">
        <w:rPr>
          <w:rFonts w:ascii="David" w:eastAsia="Calibri" w:hAnsi="David"/>
          <w:rtl/>
        </w:rPr>
        <w:t>, האדם שקיבל את הקנס יכול לבחור לשלם את הקנס</w:t>
      </w:r>
      <w:r w:rsidRPr="00A210E9">
        <w:rPr>
          <w:rFonts w:ascii="David" w:eastAsia="Calibri" w:hAnsi="David" w:hint="cs"/>
          <w:rtl/>
        </w:rPr>
        <w:t xml:space="preserve"> או</w:t>
      </w:r>
      <w:r w:rsidRPr="00A210E9">
        <w:rPr>
          <w:rFonts w:ascii="David" w:eastAsia="Calibri" w:hAnsi="David"/>
          <w:rtl/>
        </w:rPr>
        <w:t xml:space="preserve"> להגיש בקשה לרשות המקומית לביטול הדוח או לבקש להישפט בגין העבירה ולשטוח את טענותיו בפני בית המשפט. </w:t>
      </w:r>
      <w:r w:rsidRPr="00A210E9">
        <w:rPr>
          <w:rFonts w:eastAsia="Calibri" w:hint="cs"/>
          <w:rtl/>
        </w:rPr>
        <w:t>אכיפת עבירות אלה מתבצעת באמצעות בדיקה במאגר מספרי רישוי הרכבים המקושרים לתגי חניה, אשר מועבר לרשויות המקומיות ולמשטרה ממשרד התחבורה, והוא מתעדכן יום ביומו. שוטר או פקח של רשות מקומית שרוצים לבדוק אם רכב שחונה בחניית נכים אכן מקושר לתג חניה בתוקף, עושים זאת באמצעות מסופון.</w:t>
      </w:r>
    </w:p>
    <w:p w:rsidR="00A210E9" w:rsidRPr="00A210E9" w:rsidP="00A210E9">
      <w:pPr>
        <w:keepNext/>
        <w:keepLines/>
        <w:spacing w:line="269" w:lineRule="auto"/>
        <w:ind w:left="-567"/>
        <w:rPr>
          <w:rFonts w:eastAsia="Calibri"/>
          <w:szCs w:val="20"/>
        </w:rPr>
      </w:pPr>
    </w:p>
    <w:p w:rsidR="00A210E9" w:rsidRPr="00A210E9" w:rsidP="00A210E9">
      <w:pPr>
        <w:numPr>
          <w:ilvl w:val="0"/>
          <w:numId w:val="23"/>
        </w:numPr>
        <w:spacing w:line="269" w:lineRule="auto"/>
        <w:contextualSpacing/>
        <w:rPr>
          <w:rFonts w:eastAsia="Calibri"/>
          <w:rtl/>
        </w:rPr>
      </w:pPr>
      <w:r w:rsidRPr="00A210E9">
        <w:rPr>
          <w:rFonts w:eastAsia="Times New Roman" w:hint="cs"/>
          <w:bCs/>
          <w:spacing w:val="40"/>
          <w:rtl/>
        </w:rPr>
        <w:t>עבירה של רכב שמקושר לתג חניה וחונה בחניה אישית של אדם אחר עם מוגבלות:</w:t>
      </w:r>
      <w:r w:rsidRPr="00A210E9">
        <w:rPr>
          <w:rFonts w:eastAsia="Calibri" w:hint="cs"/>
          <w:rtl/>
        </w:rPr>
        <w:t xml:space="preserve"> סעיף 2 לחוק חניה לנכים מגדיר את התנאים שבהם מותר לרכב של אדם עם מוגבלות לחנות במקום האסור לחניה. עם זאת, סעיף 3 לחוק מחריג את המקרים שבהם מותר לאדם עם מוגבלות לחנות במקום שבו החניה אינה מותרת. אחד המקרים הוא כאשר רכב נושא תג חניה מחנה את רכבו בחניית נכים אישית של רכב של אדם אחר עם מוגבלות</w:t>
      </w:r>
      <w:r>
        <w:rPr>
          <w:rFonts w:eastAsia="Calibri"/>
          <w:vertAlign w:val="superscript"/>
          <w:rtl/>
        </w:rPr>
        <w:footnoteReference w:id="124"/>
      </w:r>
      <w:r w:rsidRPr="00A210E9">
        <w:rPr>
          <w:rFonts w:eastAsia="Calibri" w:hint="cs"/>
          <w:rtl/>
        </w:rPr>
        <w:t xml:space="preserve">. עיריות תל אביב-יפו וירושלים מסרו למשרד מבקר המדינה שבמקרה כזה תיעשה אכיפה, ובעל הרכב החונה בחניית נכים אישית של נושא תג חניה אחר ייקנס ב-1,000 ש"ח. מעיריית תל אביב-יפו נמסר גם שלפני התיקון לחוק בשנת 2017 היה הקנס על סך 250 ש"ח, אך לאור ריבוי עבירות אלה הועלה סכום הקנס.  </w:t>
      </w:r>
    </w:p>
    <w:p w:rsidR="00A210E9" w:rsidRPr="00A210E9" w:rsidP="00A210E9">
      <w:pPr>
        <w:keepNext/>
        <w:keepLines/>
        <w:spacing w:line="269" w:lineRule="auto"/>
        <w:ind w:left="-567"/>
        <w:rPr>
          <w:rFonts w:eastAsia="Calibri"/>
          <w:szCs w:val="20"/>
          <w:rtl/>
        </w:rPr>
      </w:pPr>
    </w:p>
    <w:p w:rsidR="00A210E9" w:rsidRPr="00A210E9" w:rsidP="00A210E9">
      <w:pPr>
        <w:numPr>
          <w:ilvl w:val="0"/>
          <w:numId w:val="23"/>
        </w:numPr>
        <w:spacing w:line="269" w:lineRule="auto"/>
        <w:contextualSpacing/>
        <w:rPr>
          <w:rFonts w:eastAsia="Calibri"/>
        </w:rPr>
      </w:pPr>
      <w:r w:rsidRPr="00A210E9">
        <w:rPr>
          <w:rFonts w:eastAsia="Times New Roman" w:hint="cs"/>
          <w:bCs/>
          <w:spacing w:val="40"/>
          <w:rtl/>
        </w:rPr>
        <w:t>חניית רכב נושא תג חניה רגיל וחונה בחניה המיועדת לרכב עם מעלון:</w:t>
      </w:r>
      <w:r w:rsidRPr="00A210E9">
        <w:rPr>
          <w:rFonts w:eastAsia="Calibri" w:hint="cs"/>
          <w:rtl/>
        </w:rPr>
        <w:t xml:space="preserve"> כאמור, יש רשויות מקומיות המציבות תמרור בחניות נכים רחבות המורה על כך שהחניה מיועדת לרכב עם מעלון או מתקן הרמה, ויש רשויות מקומיות שאינן מציבות שלט כזה, כך שמבחינתן גם נושא תג חניה שאינו נעזר במעלון או במתקן הרמה יכול להחנות את רכבו בחניות אלה. בפועל, לרשות המקומית אין סמכות חוקית לאכוף את החוק במקרים שבהם נושא תג חניה שאינו משתמש במעלון מחנה את רכבו בחניה המיועדת לנושא תג חניה הנעזר במעלון או מתקן הרמה, וזאת מכיוון שחוק חניה לנכים אינו מפריד בין תג חניה רגיל לתג כיסא גלגלים. </w:t>
      </w:r>
    </w:p>
    <w:p w:rsidR="00A210E9" w:rsidRPr="00A210E9" w:rsidP="00A210E9">
      <w:pPr>
        <w:spacing w:line="269" w:lineRule="auto"/>
        <w:rPr>
          <w:rFonts w:eastAsia="Calibri"/>
          <w:rtl/>
        </w:rPr>
      </w:pPr>
    </w:p>
    <w:p w:rsidR="00A210E9" w:rsidRPr="00A210E9" w:rsidP="00A210E9">
      <w:pPr>
        <w:keepNext/>
        <w:keepLines/>
        <w:spacing w:line="269" w:lineRule="auto"/>
        <w:outlineLvl w:val="5"/>
        <w:rPr>
          <w:rFonts w:eastAsia="Times New Roman"/>
          <w:spacing w:val="40"/>
          <w:rtl/>
        </w:rPr>
      </w:pPr>
      <w:r w:rsidRPr="00A210E9">
        <w:rPr>
          <w:rFonts w:eastAsia="Times New Roman" w:hint="cs"/>
          <w:spacing w:val="40"/>
          <w:rtl/>
        </w:rPr>
        <w:t>אכיפה על ידי המשטרה</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בתרשים שלהלן ניתן לראות את מספר הדוחות שנתנה המשטרה לבעלי רכבים ללא תג חניה שחנו בחניית נכים, וכן חניית רכב במקום המיועד לאדם ספציפי עם מוגבלות, בין מדובר ברכב ללא תג חניה בין מדובר ברכב הנושא תג, בשנים 2020 - 2024: </w:t>
      </w:r>
    </w:p>
    <w:p w:rsidR="00A210E9" w:rsidRPr="00A210E9" w:rsidP="00A210E9">
      <w:pPr>
        <w:keepNext/>
        <w:keepLines/>
        <w:spacing w:line="269" w:lineRule="auto"/>
        <w:ind w:left="-567"/>
        <w:rPr>
          <w:rFonts w:eastAsia="Calibri"/>
          <w:szCs w:val="20"/>
          <w:rtl/>
        </w:rPr>
      </w:pPr>
    </w:p>
    <w:p w:rsidR="00A210E9" w:rsidRPr="00A210E9" w:rsidP="00A210E9">
      <w:pPr>
        <w:keepNext/>
        <w:keepLines/>
        <w:spacing w:line="269" w:lineRule="auto"/>
        <w:jc w:val="center"/>
        <w:rPr>
          <w:rFonts w:eastAsia="Calibri"/>
          <w:b/>
          <w:bCs/>
          <w:rtl/>
        </w:rPr>
      </w:pPr>
      <w:r w:rsidRPr="00A210E9">
        <w:rPr>
          <w:rFonts w:eastAsia="Calibri" w:hint="eastAsia"/>
          <w:rtl/>
        </w:rPr>
        <w:t>תרשים</w:t>
      </w:r>
      <w:r w:rsidRPr="00A210E9">
        <w:rPr>
          <w:rFonts w:eastAsia="Calibri"/>
          <w:rtl/>
        </w:rPr>
        <w:t xml:space="preserve"> </w:t>
      </w:r>
      <w:r w:rsidRPr="00A210E9">
        <w:rPr>
          <w:rFonts w:eastAsia="Calibri" w:hint="cs"/>
          <w:rtl/>
        </w:rPr>
        <w:t>15</w:t>
      </w:r>
      <w:r w:rsidRPr="00A210E9">
        <w:rPr>
          <w:rFonts w:eastAsia="Calibri"/>
          <w:rtl/>
        </w:rPr>
        <w:t>:</w:t>
      </w:r>
      <w:r w:rsidRPr="00A210E9">
        <w:rPr>
          <w:rFonts w:eastAsia="Calibri" w:hint="cs"/>
          <w:b/>
          <w:bCs/>
          <w:rtl/>
        </w:rPr>
        <w:t xml:space="preserve"> דוחות על חניה בחניית נכים, 2020 - 2024</w:t>
      </w:r>
    </w:p>
    <w:p w:rsidR="00A210E9" w:rsidRPr="00A210E9" w:rsidP="00A210E9">
      <w:pPr>
        <w:spacing w:line="269" w:lineRule="auto"/>
        <w:jc w:val="center"/>
        <w:rPr>
          <w:rFonts w:eastAsia="Calibri"/>
          <w:rtl/>
        </w:rPr>
      </w:pPr>
      <w:r w:rsidRPr="00A210E9">
        <w:rPr>
          <w:rFonts w:eastAsia="Calibri"/>
          <w:noProof/>
        </w:rPr>
        <w:drawing>
          <wp:inline distT="0" distB="0" distL="0" distR="0">
            <wp:extent cx="4608284" cy="2620046"/>
            <wp:effectExtent l="0" t="0" r="1905" b="8890"/>
            <wp:docPr id="75" name="תמונה 75" descr="מספר דוחות שניתנו על חנית רכב במקום המיועד לנכה: &#10;שנת 2020&#10;11,276 דוחות&#10;&#10;שנת 2021&#10;12,723 דוחות&#10;&#10;שנת 2022&#10;10,502 דוחות&#10;&#10;שנת 2023&#10;7,629 דוחות&#10;&#10;שנת 2024&#10;7,900 דוחות&#10;&#10;דוחות שניתנו על חנייה רכב במקום המיועד לנכה ספציפי:&#10;שנת 2022&#10;517 דוחות&#10;&#10;שנת 2023&#10;1156 דוחות&#10;&#10;שנת 2024&#10;1337 דוח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6"/>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4631495" cy="2633243"/>
                    </a:xfrm>
                    <a:prstGeom prst="rect">
                      <a:avLst/>
                    </a:prstGeom>
                    <a:noFill/>
                  </pic:spPr>
                </pic:pic>
              </a:graphicData>
            </a:graphic>
          </wp:inline>
        </w:drawing>
      </w:r>
    </w:p>
    <w:p w:rsidR="00A210E9" w:rsidRPr="00A210E9" w:rsidP="00A210E9">
      <w:pPr>
        <w:spacing w:line="269" w:lineRule="auto"/>
        <w:rPr>
          <w:rFonts w:eastAsia="Calibri"/>
          <w:szCs w:val="20"/>
          <w:rtl/>
        </w:rPr>
      </w:pPr>
      <w:r w:rsidRPr="00A210E9">
        <w:rPr>
          <w:rFonts w:eastAsia="Calibri" w:hint="eastAsia"/>
          <w:szCs w:val="20"/>
          <w:rtl/>
        </w:rPr>
        <w:t>על</w:t>
      </w:r>
      <w:r w:rsidRPr="00A210E9">
        <w:rPr>
          <w:rFonts w:eastAsia="Calibri"/>
          <w:szCs w:val="20"/>
          <w:rtl/>
        </w:rPr>
        <w:t xml:space="preserve"> פי נתוני משטרת ישראל, בעיבוד משרד מבקר המדינה</w:t>
      </w:r>
      <w:r w:rsidRPr="00A210E9">
        <w:rPr>
          <w:rFonts w:eastAsia="Calibri" w:hint="cs"/>
          <w:szCs w:val="20"/>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מהתרשים עולה שבשנים 2020 - 2024 נרשמה ירידה מ-11,276 דוחות ל-7,900 דוחות המהווים קיטון של 30% במספר הדוחות שניתנו על ידי המשטרה בגין חניה בחניות נכים. עם זאת, בשנים 2022 - 2024 חלה עלייה מ-517 דוחות ל-1,337 דוחות המהווים גידול של פי 2.5 במספר הדוחות שניתנו בגין חניה במקום המיועד לאדם עם מוגבלות ספציפי (חניה אישית). בשנים 2020 - 2021 לא אכפה המשטרה את הדין בעניין העבירות של חניית רכב במקום המיועד לנכה ספציפי,</w:t>
      </w:r>
      <w:r w:rsidRPr="00A210E9">
        <w:rPr>
          <w:rFonts w:eastAsia="Calibri"/>
          <w:rtl/>
        </w:rPr>
        <w:t xml:space="preserve"> </w:t>
      </w:r>
      <w:r w:rsidRPr="00A210E9">
        <w:rPr>
          <w:rFonts w:eastAsia="Calibri"/>
          <w:b/>
          <w:bCs/>
          <w:rtl/>
        </w:rPr>
        <w:t>שכן באותה עת לא היה קיים מנגנון אכיפה מתאים בתקנות התעבורה. רק בשנת 2022 תוקנו התקנות ונוספה הוראה מפורשת האוסרת חניה במקום המיועד לאדם עם מוגבלות ספציפי. תיקון זה יצר את הבסיס והכלי האכיפתי שא</w:t>
      </w:r>
      <w:r w:rsidRPr="00A210E9">
        <w:rPr>
          <w:rFonts w:eastAsia="Calibri" w:hint="cs"/>
          <w:b/>
          <w:bCs/>
          <w:rtl/>
        </w:rPr>
        <w:t>י</w:t>
      </w:r>
      <w:r w:rsidRPr="00A210E9">
        <w:rPr>
          <w:rFonts w:eastAsia="Calibri"/>
          <w:b/>
          <w:bCs/>
          <w:rtl/>
        </w:rPr>
        <w:t>פשרו למשטרה לאכוף את האיסור באופן מעשי בשטח</w:t>
      </w:r>
      <w:r w:rsidRPr="00A210E9">
        <w:rPr>
          <w:rFonts w:eastAsia="Calibri" w:hint="cs"/>
          <w:b/>
          <w:bCs/>
          <w:rtl/>
        </w:rPr>
        <w:t xml:space="preserve">. </w:t>
      </w:r>
    </w:p>
    <w:p w:rsidR="00A210E9" w:rsidRPr="00141DC3" w:rsidP="00A210E9">
      <w:pPr>
        <w:keepNext/>
        <w:keepLines/>
        <w:spacing w:line="269" w:lineRule="auto"/>
        <w:ind w:left="-567"/>
        <w:rPr>
          <w:rFonts w:eastAsia="Calibri"/>
          <w:sz w:val="18"/>
          <w:szCs w:val="18"/>
          <w:rtl/>
        </w:rPr>
      </w:pPr>
    </w:p>
    <w:p w:rsidR="00A210E9" w:rsidRPr="00A210E9" w:rsidP="00A210E9">
      <w:pPr>
        <w:spacing w:line="269" w:lineRule="auto"/>
        <w:rPr>
          <w:rFonts w:eastAsia="Calibri"/>
          <w:rtl/>
        </w:rPr>
      </w:pPr>
      <w:r w:rsidRPr="00A210E9">
        <w:rPr>
          <w:rFonts w:eastAsia="Calibri" w:hint="cs"/>
          <w:rtl/>
        </w:rPr>
        <w:t>בתרשים שלהלן מוצגים נתונים על שיעור הדוחות שביטלה המשטרה על חניה בחניית נכים שלא כדין, בשנים 2020 - 2024:</w:t>
      </w:r>
    </w:p>
    <w:p w:rsidR="00A210E9" w:rsidRPr="00141DC3" w:rsidP="00A210E9">
      <w:pPr>
        <w:keepNext/>
        <w:keepLines/>
        <w:spacing w:line="269" w:lineRule="auto"/>
        <w:ind w:left="-567"/>
        <w:rPr>
          <w:rFonts w:eastAsia="Calibri"/>
          <w:sz w:val="18"/>
          <w:szCs w:val="18"/>
          <w:rtl/>
        </w:rPr>
      </w:pPr>
    </w:p>
    <w:p w:rsidR="00A210E9" w:rsidRPr="00A210E9" w:rsidP="00A210E9">
      <w:pPr>
        <w:keepNext/>
        <w:keepLines/>
        <w:spacing w:line="269" w:lineRule="auto"/>
        <w:jc w:val="center"/>
        <w:rPr>
          <w:rFonts w:eastAsia="Calibri"/>
          <w:b/>
          <w:bCs/>
          <w:rtl/>
        </w:rPr>
      </w:pPr>
      <w:r w:rsidRPr="00A210E9">
        <w:rPr>
          <w:rFonts w:eastAsia="Calibri" w:hint="cs"/>
          <w:rtl/>
        </w:rPr>
        <w:t>תרשים</w:t>
      </w:r>
      <w:r w:rsidRPr="00A210E9">
        <w:rPr>
          <w:rFonts w:eastAsia="Calibri"/>
          <w:rtl/>
        </w:rPr>
        <w:t xml:space="preserve"> </w:t>
      </w:r>
      <w:r w:rsidRPr="00A210E9">
        <w:rPr>
          <w:rFonts w:eastAsia="Calibri" w:hint="cs"/>
          <w:rtl/>
        </w:rPr>
        <w:t>16</w:t>
      </w:r>
      <w:r w:rsidRPr="00A210E9">
        <w:rPr>
          <w:rFonts w:eastAsia="Calibri"/>
          <w:rtl/>
        </w:rPr>
        <w:t>:</w:t>
      </w:r>
      <w:r w:rsidRPr="00A210E9">
        <w:rPr>
          <w:rFonts w:eastAsia="Calibri" w:hint="cs"/>
          <w:b/>
          <w:bCs/>
          <w:rtl/>
        </w:rPr>
        <w:t xml:space="preserve"> שיעור הדוחות המבוטלים מסך הדוחות שניתנו, 2020 - 2024</w:t>
      </w:r>
    </w:p>
    <w:p w:rsidR="00A210E9" w:rsidRPr="00A210E9" w:rsidP="00141DC3">
      <w:pPr>
        <w:spacing w:line="269" w:lineRule="auto"/>
        <w:ind w:left="-1" w:hanging="1"/>
        <w:jc w:val="center"/>
        <w:rPr>
          <w:rFonts w:eastAsia="Calibri"/>
          <w:rtl/>
        </w:rPr>
      </w:pPr>
      <w:r w:rsidRPr="00A210E9">
        <w:rPr>
          <w:rFonts w:eastAsia="Calibri"/>
          <w:noProof/>
        </w:rPr>
        <w:drawing>
          <wp:inline distT="0" distB="0" distL="0" distR="0">
            <wp:extent cx="4174430" cy="2509283"/>
            <wp:effectExtent l="0" t="0" r="0" b="5715"/>
            <wp:docPr id="78" name="תמונה 78" descr="שנת 2020&#10;1857 דוחות בוטלו שהם 16% מכלל הדוחות שניתנו. &#10;&#10;שנת 2021&#10;1872 דוחות בוטלו שהם 15% מכלל הדוחות שניתנו. &#10;&#10;שנת 2022&#10;1466 דוחות בוטלו שהם 13% מכלל הדוחות שניתנו. &#10;&#10;שנת 2023&#10;1004 דוחות בוטלו שהם 11% מכלל הדוחות שניתנו. &#10;&#10;שנת 2024&#10;649 דוחות בוטלו שהם 7% מכלל הדוחות שניתנו.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8"/>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4210933" cy="2531225"/>
                    </a:xfrm>
                    <a:prstGeom prst="rect">
                      <a:avLst/>
                    </a:prstGeom>
                    <a:noFill/>
                  </pic:spPr>
                </pic:pic>
              </a:graphicData>
            </a:graphic>
          </wp:inline>
        </w:drawing>
      </w:r>
    </w:p>
    <w:p w:rsidR="00A210E9" w:rsidRPr="00A210E9" w:rsidP="00A210E9">
      <w:pPr>
        <w:spacing w:line="269" w:lineRule="auto"/>
        <w:rPr>
          <w:rFonts w:eastAsia="Calibri"/>
          <w:szCs w:val="20"/>
          <w:rtl/>
        </w:rPr>
      </w:pPr>
      <w:r w:rsidRPr="00A210E9">
        <w:rPr>
          <w:rFonts w:eastAsia="Calibri" w:hint="eastAsia"/>
          <w:szCs w:val="20"/>
          <w:rtl/>
        </w:rPr>
        <w:t>על</w:t>
      </w:r>
      <w:r w:rsidRPr="00A210E9">
        <w:rPr>
          <w:rFonts w:eastAsia="Calibri"/>
          <w:szCs w:val="20"/>
          <w:rtl/>
        </w:rPr>
        <w:t xml:space="preserve"> פי נתוני המשטרה, בעיבוד משרד מבקר המדינה</w:t>
      </w:r>
      <w:r w:rsidRPr="00A210E9">
        <w:rPr>
          <w:rFonts w:eastAsia="Calibri" w:hint="cs"/>
          <w:szCs w:val="20"/>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מהתרשים עולה שבשנים 2020 - 2024 בוטלו בין 7% ל-16% מהדוחות. בשנים האלה חלה ירידה במספר ביטולי הדוחות שניתנו על ידי המשטרה בגין חניה בחניית נכים.</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ascii="David" w:eastAsia="Calibri" w:hAnsi="David" w:hint="cs"/>
          <w:rtl/>
        </w:rPr>
        <w:t xml:space="preserve">המשטרה כתבה בתשובתה ממאי 2026 (להלן - תשובת המשטרה) כי </w:t>
      </w:r>
      <w:r w:rsidRPr="00A210E9">
        <w:rPr>
          <w:rFonts w:ascii="David" w:eastAsia="Calibri" w:hAnsi="David"/>
          <w:rtl/>
        </w:rPr>
        <w:t xml:space="preserve">בשנים </w:t>
      </w:r>
      <w:r w:rsidRPr="00A210E9">
        <w:rPr>
          <w:rFonts w:ascii="David" w:eastAsia="Calibri" w:hAnsi="David" w:hint="cs"/>
          <w:rtl/>
        </w:rPr>
        <w:t>2020 - 2024</w:t>
      </w:r>
      <w:r w:rsidRPr="00A210E9">
        <w:rPr>
          <w:rFonts w:ascii="David" w:eastAsia="Calibri" w:hAnsi="David"/>
          <w:rtl/>
        </w:rPr>
        <w:t xml:space="preserve"> בוצע שדרוג </w:t>
      </w:r>
      <w:r w:rsidRPr="00A210E9">
        <w:rPr>
          <w:rFonts w:ascii="David" w:eastAsia="Calibri" w:hAnsi="David" w:hint="cs"/>
          <w:rtl/>
        </w:rPr>
        <w:t>של ה</w:t>
      </w:r>
      <w:r w:rsidRPr="00A210E9">
        <w:rPr>
          <w:rFonts w:ascii="David" w:eastAsia="Calibri" w:hAnsi="David"/>
          <w:rtl/>
        </w:rPr>
        <w:t xml:space="preserve">מערכות, </w:t>
      </w:r>
      <w:r w:rsidRPr="00A210E9">
        <w:rPr>
          <w:rFonts w:ascii="David" w:eastAsia="Calibri" w:hAnsi="David" w:hint="cs"/>
          <w:rtl/>
        </w:rPr>
        <w:t>ו</w:t>
      </w:r>
      <w:r w:rsidRPr="00A210E9">
        <w:rPr>
          <w:rFonts w:ascii="David" w:eastAsia="Calibri" w:hAnsi="David"/>
          <w:rtl/>
        </w:rPr>
        <w:t>במסגרת</w:t>
      </w:r>
      <w:r w:rsidRPr="00A210E9">
        <w:rPr>
          <w:rFonts w:ascii="David" w:eastAsia="Calibri" w:hAnsi="David" w:hint="cs"/>
          <w:rtl/>
        </w:rPr>
        <w:t xml:space="preserve">ו </w:t>
      </w:r>
      <w:r w:rsidRPr="00A210E9">
        <w:rPr>
          <w:rFonts w:ascii="David" w:eastAsia="Calibri" w:hAnsi="David"/>
          <w:rtl/>
        </w:rPr>
        <w:t xml:space="preserve">ניתן לבחון </w:t>
      </w:r>
      <w:r w:rsidRPr="00A210E9">
        <w:rPr>
          <w:rFonts w:ascii="David" w:eastAsia="Calibri" w:hAnsi="David" w:hint="cs"/>
          <w:rtl/>
        </w:rPr>
        <w:t>אם במועד ביצוע העבירה שויך</w:t>
      </w:r>
      <w:r w:rsidRPr="00A210E9">
        <w:rPr>
          <w:rFonts w:ascii="David" w:eastAsia="Calibri" w:hAnsi="David"/>
          <w:rtl/>
        </w:rPr>
        <w:t xml:space="preserve"> ת</w:t>
      </w:r>
      <w:r w:rsidRPr="00A210E9">
        <w:rPr>
          <w:rFonts w:ascii="David" w:eastAsia="Calibri" w:hAnsi="David" w:hint="cs"/>
          <w:rtl/>
        </w:rPr>
        <w:t>ג</w:t>
      </w:r>
      <w:r w:rsidRPr="00A210E9">
        <w:rPr>
          <w:rFonts w:ascii="David" w:eastAsia="Calibri" w:hAnsi="David"/>
          <w:rtl/>
        </w:rPr>
        <w:t xml:space="preserve"> </w:t>
      </w:r>
      <w:r w:rsidRPr="00A210E9">
        <w:rPr>
          <w:rFonts w:ascii="David" w:eastAsia="Calibri" w:hAnsi="David" w:hint="cs"/>
          <w:rtl/>
        </w:rPr>
        <w:t xml:space="preserve">חניה </w:t>
      </w:r>
      <w:r w:rsidRPr="00A210E9">
        <w:rPr>
          <w:rFonts w:ascii="David" w:eastAsia="Calibri" w:hAnsi="David"/>
          <w:rtl/>
        </w:rPr>
        <w:t>לרכב ספציפי</w:t>
      </w:r>
      <w:r w:rsidRPr="00A210E9">
        <w:rPr>
          <w:rFonts w:ascii="David" w:eastAsia="Calibri" w:hAnsi="David" w:hint="cs"/>
          <w:rtl/>
        </w:rPr>
        <w:t>,</w:t>
      </w:r>
      <w:r w:rsidRPr="00A210E9">
        <w:rPr>
          <w:rFonts w:ascii="David" w:eastAsia="Calibri" w:hAnsi="David"/>
          <w:rtl/>
        </w:rPr>
        <w:t xml:space="preserve"> </w:t>
      </w:r>
      <w:r w:rsidRPr="00A210E9">
        <w:rPr>
          <w:rFonts w:ascii="David" w:eastAsia="Calibri" w:hAnsi="David" w:hint="cs"/>
          <w:rtl/>
        </w:rPr>
        <w:t xml:space="preserve">ושינוי זה </w:t>
      </w:r>
      <w:r w:rsidRPr="00A210E9">
        <w:rPr>
          <w:rFonts w:eastAsia="Calibri" w:hint="cs"/>
          <w:rtl/>
        </w:rPr>
        <w:t>איפשר לה לטפל באופן מדויק יותר בפניות בנושא</w:t>
      </w:r>
      <w:r w:rsidRPr="00A210E9">
        <w:rPr>
          <w:rFonts w:ascii="David" w:eastAsia="Calibri" w:hAnsi="David"/>
          <w:rtl/>
        </w:rPr>
        <w:t>.</w:t>
      </w:r>
      <w:r w:rsidRPr="00A210E9">
        <w:rPr>
          <w:rFonts w:ascii="David" w:eastAsia="Calibri" w:hAnsi="David" w:hint="cs"/>
          <w:rtl/>
        </w:rPr>
        <w:t xml:space="preserve"> </w:t>
      </w:r>
    </w:p>
    <w:p w:rsidR="00A210E9" w:rsidRPr="00141DC3" w:rsidP="00A210E9">
      <w:pPr>
        <w:keepNext/>
        <w:keepLines/>
        <w:spacing w:line="269" w:lineRule="auto"/>
        <w:ind w:left="-567"/>
        <w:rPr>
          <w:rFonts w:eastAsia="Calibri"/>
          <w:sz w:val="18"/>
          <w:szCs w:val="18"/>
          <w:rtl/>
        </w:rPr>
      </w:pPr>
    </w:p>
    <w:p w:rsidR="00A210E9" w:rsidRPr="00A210E9" w:rsidP="00A210E9">
      <w:pPr>
        <w:spacing w:line="269" w:lineRule="auto"/>
        <w:rPr>
          <w:rFonts w:eastAsia="Calibri"/>
          <w:rtl/>
        </w:rPr>
      </w:pPr>
      <w:r w:rsidRPr="00A210E9">
        <w:rPr>
          <w:rFonts w:eastAsia="Calibri" w:hint="cs"/>
          <w:rtl/>
        </w:rPr>
        <w:t>להלן בלוח התפלגות הדוחות המבוטלים לפי סיבת הביטול, בשנים 2020 - 2024:</w:t>
      </w:r>
    </w:p>
    <w:p w:rsidR="00A210E9" w:rsidRPr="00141DC3" w:rsidP="00A210E9">
      <w:pPr>
        <w:spacing w:line="269" w:lineRule="auto"/>
        <w:rPr>
          <w:rFonts w:eastAsia="Calibri"/>
          <w:sz w:val="14"/>
          <w:szCs w:val="18"/>
          <w:rtl/>
        </w:rPr>
      </w:pPr>
    </w:p>
    <w:p w:rsidR="00A210E9" w:rsidRPr="00A210E9" w:rsidP="00A210E9">
      <w:pPr>
        <w:keepNext/>
        <w:keepLines/>
        <w:spacing w:line="269" w:lineRule="auto"/>
        <w:jc w:val="center"/>
        <w:rPr>
          <w:rFonts w:eastAsia="Calibri"/>
          <w:b/>
          <w:bCs/>
          <w:rtl/>
        </w:rPr>
      </w:pPr>
      <w:r w:rsidRPr="00A210E9">
        <w:rPr>
          <w:rFonts w:eastAsia="Calibri" w:hint="eastAsia"/>
          <w:rtl/>
        </w:rPr>
        <w:t>לוח</w:t>
      </w:r>
      <w:r w:rsidRPr="00A210E9">
        <w:rPr>
          <w:rFonts w:eastAsia="Calibri" w:hint="cs"/>
          <w:rtl/>
        </w:rPr>
        <w:t xml:space="preserve"> 9</w:t>
      </w:r>
      <w:r w:rsidRPr="00A210E9">
        <w:rPr>
          <w:rFonts w:eastAsia="Calibri"/>
          <w:rtl/>
        </w:rPr>
        <w:t>:</w:t>
      </w:r>
      <w:r w:rsidRPr="00A210E9">
        <w:rPr>
          <w:rFonts w:eastAsia="Calibri" w:hint="cs"/>
          <w:b/>
          <w:bCs/>
          <w:rtl/>
        </w:rPr>
        <w:t xml:space="preserve"> הדוחות המבוטלים, לפי סיבת הביטול, 2020 - 2024</w:t>
      </w:r>
    </w:p>
    <w:tbl>
      <w:tblPr>
        <w:bidiVisual/>
        <w:tblW w:w="0" w:type="auto"/>
        <w:jc w:val="center"/>
        <w:tblLayout w:type="fixed"/>
        <w:tblLook w:val="04A0"/>
      </w:tblPr>
      <w:tblGrid>
        <w:gridCol w:w="2525"/>
        <w:gridCol w:w="907"/>
        <w:gridCol w:w="737"/>
        <w:gridCol w:w="737"/>
        <w:gridCol w:w="737"/>
        <w:gridCol w:w="737"/>
        <w:gridCol w:w="1684"/>
      </w:tblGrid>
      <w:tr w:rsidTr="00141DC3">
        <w:tblPrEx>
          <w:tblW w:w="0" w:type="auto"/>
          <w:jc w:val="center"/>
          <w:tblLayout w:type="fixed"/>
          <w:tblLook w:val="04A0"/>
        </w:tblPrEx>
        <w:trPr>
          <w:trHeight w:val="228"/>
          <w:jc w:val="center"/>
        </w:trPr>
        <w:tc>
          <w:tcPr>
            <w:tcW w:w="2525" w:type="dxa"/>
            <w:tcBorders>
              <w:top w:val="single" w:sz="4" w:space="0" w:color="auto"/>
              <w:left w:val="single" w:sz="4" w:space="0" w:color="auto"/>
              <w:bottom w:val="single" w:sz="4" w:space="0" w:color="auto"/>
              <w:right w:val="single" w:sz="4" w:space="0" w:color="auto"/>
            </w:tcBorders>
            <w:noWrap/>
            <w:vAlign w:val="center"/>
            <w:hideMark/>
          </w:tcPr>
          <w:p w:rsidR="00A210E9" w:rsidRPr="00A210E9" w:rsidP="00A210E9">
            <w:pPr>
              <w:spacing w:line="269" w:lineRule="auto"/>
              <w:jc w:val="center"/>
              <w:rPr>
                <w:rFonts w:ascii="David" w:eastAsia="Times New Roman" w:hAnsi="David"/>
                <w:b/>
                <w:bCs/>
                <w:color w:val="000000"/>
                <w:sz w:val="22"/>
                <w:szCs w:val="22"/>
              </w:rPr>
            </w:pPr>
            <w:r w:rsidRPr="00A210E9">
              <w:rPr>
                <w:rFonts w:ascii="David" w:eastAsia="Times New Roman" w:hAnsi="David"/>
                <w:b/>
                <w:bCs/>
                <w:color w:val="000000"/>
                <w:sz w:val="22"/>
                <w:szCs w:val="22"/>
                <w:rtl/>
              </w:rPr>
              <w:t>סיבת הביטול</w:t>
            </w:r>
          </w:p>
        </w:tc>
        <w:tc>
          <w:tcPr>
            <w:tcW w:w="907" w:type="dxa"/>
            <w:tcBorders>
              <w:top w:val="single" w:sz="4" w:space="0" w:color="auto"/>
              <w:left w:val="single" w:sz="4" w:space="0" w:color="auto"/>
              <w:bottom w:val="single" w:sz="4" w:space="0" w:color="auto"/>
              <w:right w:val="single" w:sz="4" w:space="0" w:color="auto"/>
            </w:tcBorders>
            <w:noWrap/>
            <w:vAlign w:val="center"/>
            <w:hideMark/>
          </w:tcPr>
          <w:p w:rsidR="00A210E9" w:rsidRPr="00A210E9" w:rsidP="00A210E9">
            <w:pPr>
              <w:bidi w:val="0"/>
              <w:spacing w:line="269" w:lineRule="auto"/>
              <w:jc w:val="center"/>
              <w:rPr>
                <w:rFonts w:ascii="David" w:eastAsia="Times New Roman" w:hAnsi="David"/>
                <w:b/>
                <w:bCs/>
                <w:color w:val="000000"/>
                <w:sz w:val="22"/>
                <w:szCs w:val="22"/>
              </w:rPr>
            </w:pPr>
            <w:r w:rsidRPr="00A210E9">
              <w:rPr>
                <w:rFonts w:ascii="David" w:eastAsia="Times New Roman" w:hAnsi="David"/>
                <w:b/>
                <w:bCs/>
                <w:color w:val="000000"/>
                <w:sz w:val="22"/>
                <w:szCs w:val="22"/>
              </w:rPr>
              <w:t>2020</w:t>
            </w:r>
          </w:p>
        </w:tc>
        <w:tc>
          <w:tcPr>
            <w:tcW w:w="737" w:type="dxa"/>
            <w:tcBorders>
              <w:top w:val="single" w:sz="4" w:space="0" w:color="auto"/>
              <w:left w:val="single" w:sz="4" w:space="0" w:color="auto"/>
              <w:bottom w:val="single" w:sz="4" w:space="0" w:color="auto"/>
              <w:right w:val="single" w:sz="4" w:space="0" w:color="auto"/>
            </w:tcBorders>
            <w:noWrap/>
            <w:vAlign w:val="center"/>
            <w:hideMark/>
          </w:tcPr>
          <w:p w:rsidR="00A210E9" w:rsidRPr="00A210E9" w:rsidP="00A210E9">
            <w:pPr>
              <w:bidi w:val="0"/>
              <w:spacing w:line="269" w:lineRule="auto"/>
              <w:jc w:val="center"/>
              <w:rPr>
                <w:rFonts w:ascii="David" w:eastAsia="Times New Roman" w:hAnsi="David"/>
                <w:b/>
                <w:bCs/>
                <w:color w:val="000000"/>
                <w:sz w:val="22"/>
                <w:szCs w:val="22"/>
              </w:rPr>
            </w:pPr>
            <w:r w:rsidRPr="00A210E9">
              <w:rPr>
                <w:rFonts w:ascii="David" w:eastAsia="Times New Roman" w:hAnsi="David"/>
                <w:b/>
                <w:bCs/>
                <w:color w:val="000000"/>
                <w:sz w:val="22"/>
                <w:szCs w:val="22"/>
              </w:rPr>
              <w:t>2021</w:t>
            </w:r>
          </w:p>
        </w:tc>
        <w:tc>
          <w:tcPr>
            <w:tcW w:w="737" w:type="dxa"/>
            <w:tcBorders>
              <w:top w:val="single" w:sz="4" w:space="0" w:color="auto"/>
              <w:left w:val="single" w:sz="4" w:space="0" w:color="auto"/>
              <w:bottom w:val="single" w:sz="4" w:space="0" w:color="auto"/>
              <w:right w:val="single" w:sz="4" w:space="0" w:color="auto"/>
            </w:tcBorders>
            <w:noWrap/>
            <w:vAlign w:val="center"/>
            <w:hideMark/>
          </w:tcPr>
          <w:p w:rsidR="00A210E9" w:rsidRPr="00A210E9" w:rsidP="00A210E9">
            <w:pPr>
              <w:bidi w:val="0"/>
              <w:spacing w:line="269" w:lineRule="auto"/>
              <w:jc w:val="center"/>
              <w:rPr>
                <w:rFonts w:ascii="David" w:eastAsia="Times New Roman" w:hAnsi="David"/>
                <w:b/>
                <w:bCs/>
                <w:color w:val="000000"/>
                <w:sz w:val="22"/>
                <w:szCs w:val="22"/>
              </w:rPr>
            </w:pPr>
            <w:r w:rsidRPr="00A210E9">
              <w:rPr>
                <w:rFonts w:ascii="David" w:eastAsia="Times New Roman" w:hAnsi="David"/>
                <w:b/>
                <w:bCs/>
                <w:color w:val="000000"/>
                <w:sz w:val="22"/>
                <w:szCs w:val="22"/>
              </w:rPr>
              <w:t>2022</w:t>
            </w:r>
          </w:p>
        </w:tc>
        <w:tc>
          <w:tcPr>
            <w:tcW w:w="737" w:type="dxa"/>
            <w:tcBorders>
              <w:top w:val="single" w:sz="4" w:space="0" w:color="auto"/>
              <w:left w:val="single" w:sz="4" w:space="0" w:color="auto"/>
              <w:bottom w:val="single" w:sz="4" w:space="0" w:color="auto"/>
              <w:right w:val="single" w:sz="4" w:space="0" w:color="auto"/>
            </w:tcBorders>
            <w:noWrap/>
            <w:vAlign w:val="center"/>
            <w:hideMark/>
          </w:tcPr>
          <w:p w:rsidR="00A210E9" w:rsidRPr="00A210E9" w:rsidP="00A210E9">
            <w:pPr>
              <w:bidi w:val="0"/>
              <w:spacing w:line="269" w:lineRule="auto"/>
              <w:jc w:val="center"/>
              <w:rPr>
                <w:rFonts w:ascii="David" w:eastAsia="Times New Roman" w:hAnsi="David"/>
                <w:b/>
                <w:bCs/>
                <w:color w:val="000000"/>
                <w:sz w:val="22"/>
                <w:szCs w:val="22"/>
              </w:rPr>
            </w:pPr>
            <w:r w:rsidRPr="00A210E9">
              <w:rPr>
                <w:rFonts w:ascii="David" w:eastAsia="Times New Roman" w:hAnsi="David"/>
                <w:b/>
                <w:bCs/>
                <w:color w:val="000000"/>
                <w:sz w:val="22"/>
                <w:szCs w:val="22"/>
              </w:rPr>
              <w:t>2023</w:t>
            </w:r>
          </w:p>
        </w:tc>
        <w:tc>
          <w:tcPr>
            <w:tcW w:w="737" w:type="dxa"/>
            <w:tcBorders>
              <w:top w:val="single" w:sz="4" w:space="0" w:color="auto"/>
              <w:left w:val="single" w:sz="4" w:space="0" w:color="auto"/>
              <w:bottom w:val="single" w:sz="4" w:space="0" w:color="auto"/>
              <w:right w:val="single" w:sz="4" w:space="0" w:color="auto"/>
            </w:tcBorders>
            <w:noWrap/>
            <w:vAlign w:val="center"/>
            <w:hideMark/>
          </w:tcPr>
          <w:p w:rsidR="00A210E9" w:rsidRPr="00A210E9" w:rsidP="00A210E9">
            <w:pPr>
              <w:bidi w:val="0"/>
              <w:spacing w:line="269" w:lineRule="auto"/>
              <w:jc w:val="center"/>
              <w:rPr>
                <w:rFonts w:ascii="David" w:eastAsia="Times New Roman" w:hAnsi="David"/>
                <w:b/>
                <w:bCs/>
                <w:color w:val="000000"/>
                <w:sz w:val="22"/>
                <w:szCs w:val="22"/>
              </w:rPr>
            </w:pPr>
            <w:r w:rsidRPr="00A210E9">
              <w:rPr>
                <w:rFonts w:ascii="David" w:eastAsia="Times New Roman" w:hAnsi="David"/>
                <w:b/>
                <w:bCs/>
                <w:color w:val="000000"/>
                <w:sz w:val="22"/>
                <w:szCs w:val="22"/>
              </w:rPr>
              <w:t>2024</w:t>
            </w:r>
          </w:p>
        </w:tc>
        <w:tc>
          <w:tcPr>
            <w:tcW w:w="1684" w:type="dxa"/>
            <w:tcBorders>
              <w:top w:val="single" w:sz="4" w:space="0" w:color="auto"/>
              <w:left w:val="single" w:sz="4" w:space="0" w:color="auto"/>
              <w:bottom w:val="single" w:sz="4" w:space="0" w:color="auto"/>
              <w:right w:val="single" w:sz="4" w:space="0" w:color="auto"/>
            </w:tcBorders>
            <w:noWrap/>
            <w:vAlign w:val="center"/>
            <w:hideMark/>
          </w:tcPr>
          <w:p w:rsidR="00A210E9" w:rsidRPr="00A210E9" w:rsidP="00A210E9">
            <w:pPr>
              <w:spacing w:line="269" w:lineRule="auto"/>
              <w:jc w:val="center"/>
              <w:rPr>
                <w:rFonts w:ascii="David" w:eastAsia="Times New Roman" w:hAnsi="David"/>
                <w:b/>
                <w:bCs/>
                <w:color w:val="000000"/>
                <w:sz w:val="22"/>
                <w:szCs w:val="22"/>
                <w:rtl/>
              </w:rPr>
            </w:pPr>
            <w:r w:rsidRPr="00A210E9">
              <w:rPr>
                <w:rFonts w:ascii="David" w:eastAsia="Times New Roman" w:hAnsi="David"/>
                <w:b/>
                <w:bCs/>
                <w:color w:val="000000"/>
                <w:sz w:val="22"/>
                <w:szCs w:val="22"/>
                <w:rtl/>
              </w:rPr>
              <w:t>שיעור מהדוחות המבוטלים ב</w:t>
            </w:r>
            <w:r w:rsidRPr="00A210E9">
              <w:rPr>
                <w:rFonts w:ascii="David" w:eastAsia="Times New Roman" w:hAnsi="David" w:hint="cs"/>
                <w:b/>
                <w:bCs/>
                <w:color w:val="000000"/>
                <w:sz w:val="22"/>
                <w:szCs w:val="22"/>
                <w:rtl/>
              </w:rPr>
              <w:t xml:space="preserve">חמש </w:t>
            </w:r>
            <w:r w:rsidRPr="00A210E9">
              <w:rPr>
                <w:rFonts w:ascii="David" w:eastAsia="Times New Roman" w:hAnsi="David"/>
                <w:b/>
                <w:bCs/>
                <w:color w:val="000000"/>
                <w:sz w:val="22"/>
                <w:szCs w:val="22"/>
                <w:rtl/>
              </w:rPr>
              <w:t>שנים</w:t>
            </w:r>
          </w:p>
        </w:tc>
      </w:tr>
      <w:tr w:rsidTr="00141DC3">
        <w:tblPrEx>
          <w:tblW w:w="0" w:type="auto"/>
          <w:jc w:val="center"/>
          <w:tblLayout w:type="fixed"/>
          <w:tblLook w:val="04A0"/>
        </w:tblPrEx>
        <w:trPr>
          <w:trHeight w:val="217"/>
          <w:jc w:val="center"/>
        </w:trPr>
        <w:tc>
          <w:tcPr>
            <w:tcW w:w="2525" w:type="dxa"/>
            <w:tcBorders>
              <w:top w:val="nil"/>
              <w:left w:val="single" w:sz="4" w:space="0" w:color="auto"/>
              <w:bottom w:val="single" w:sz="4" w:space="0" w:color="auto"/>
              <w:right w:val="single" w:sz="4" w:space="0" w:color="auto"/>
            </w:tcBorders>
            <w:vAlign w:val="bottom"/>
            <w:hideMark/>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color w:val="000000"/>
                <w:sz w:val="22"/>
                <w:szCs w:val="22"/>
                <w:rtl/>
              </w:rPr>
              <w:t>אין אשמה פלילית</w:t>
            </w:r>
            <w:r>
              <w:rPr>
                <w:rFonts w:ascii="David" w:eastAsia="Times New Roman" w:hAnsi="David"/>
                <w:color w:val="000000"/>
                <w:sz w:val="22"/>
                <w:szCs w:val="22"/>
                <w:vertAlign w:val="superscript"/>
                <w:rtl/>
              </w:rPr>
              <w:footnoteReference w:id="125"/>
            </w:r>
          </w:p>
        </w:tc>
        <w:tc>
          <w:tcPr>
            <w:tcW w:w="907" w:type="dxa"/>
            <w:tcBorders>
              <w:top w:val="nil"/>
              <w:left w:val="single" w:sz="4" w:space="0" w:color="auto"/>
              <w:bottom w:val="single" w:sz="4" w:space="0" w:color="auto"/>
              <w:right w:val="single" w:sz="4" w:space="0" w:color="auto"/>
            </w:tcBorders>
            <w:noWrap/>
            <w:vAlign w:val="bottom"/>
            <w:hideMark/>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color w:val="000000"/>
                <w:sz w:val="22"/>
                <w:szCs w:val="22"/>
              </w:rPr>
              <w:t>38%</w:t>
            </w:r>
          </w:p>
        </w:tc>
        <w:tc>
          <w:tcPr>
            <w:tcW w:w="737" w:type="dxa"/>
            <w:tcBorders>
              <w:top w:val="nil"/>
              <w:left w:val="single" w:sz="4" w:space="0" w:color="auto"/>
              <w:bottom w:val="single" w:sz="4" w:space="0" w:color="auto"/>
              <w:right w:val="single" w:sz="4" w:space="0" w:color="auto"/>
            </w:tcBorders>
            <w:noWrap/>
            <w:vAlign w:val="bottom"/>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Pr>
              <w:t>29%</w:t>
            </w:r>
          </w:p>
        </w:tc>
        <w:tc>
          <w:tcPr>
            <w:tcW w:w="737" w:type="dxa"/>
            <w:tcBorders>
              <w:top w:val="nil"/>
              <w:left w:val="single" w:sz="4" w:space="0" w:color="auto"/>
              <w:bottom w:val="single" w:sz="4" w:space="0" w:color="auto"/>
              <w:right w:val="single" w:sz="4" w:space="0" w:color="auto"/>
            </w:tcBorders>
            <w:noWrap/>
            <w:vAlign w:val="bottom"/>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Pr>
              <w:t>28%</w:t>
            </w:r>
          </w:p>
        </w:tc>
        <w:tc>
          <w:tcPr>
            <w:tcW w:w="737" w:type="dxa"/>
            <w:tcBorders>
              <w:top w:val="nil"/>
              <w:left w:val="single" w:sz="4" w:space="0" w:color="auto"/>
              <w:bottom w:val="single" w:sz="4" w:space="0" w:color="auto"/>
              <w:right w:val="single" w:sz="4" w:space="0" w:color="auto"/>
            </w:tcBorders>
            <w:noWrap/>
            <w:vAlign w:val="bottom"/>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Pr>
              <w:t>25%</w:t>
            </w:r>
          </w:p>
        </w:tc>
        <w:tc>
          <w:tcPr>
            <w:tcW w:w="737" w:type="dxa"/>
            <w:tcBorders>
              <w:top w:val="nil"/>
              <w:left w:val="single" w:sz="4" w:space="0" w:color="auto"/>
              <w:bottom w:val="single" w:sz="4" w:space="0" w:color="auto"/>
              <w:right w:val="single" w:sz="4" w:space="0" w:color="auto"/>
            </w:tcBorders>
            <w:noWrap/>
            <w:vAlign w:val="bottom"/>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Pr>
              <w:t>46%</w:t>
            </w:r>
          </w:p>
        </w:tc>
        <w:tc>
          <w:tcPr>
            <w:tcW w:w="1684" w:type="dxa"/>
            <w:tcBorders>
              <w:top w:val="nil"/>
              <w:left w:val="single" w:sz="4" w:space="0" w:color="auto"/>
              <w:bottom w:val="single" w:sz="4" w:space="0" w:color="auto"/>
              <w:right w:val="single" w:sz="4" w:space="0" w:color="auto"/>
            </w:tcBorders>
            <w:noWrap/>
            <w:vAlign w:val="bottom"/>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Pr>
              <w:t>32%</w:t>
            </w:r>
          </w:p>
        </w:tc>
      </w:tr>
      <w:tr w:rsidTr="00141DC3">
        <w:tblPrEx>
          <w:tblW w:w="0" w:type="auto"/>
          <w:jc w:val="center"/>
          <w:tblLayout w:type="fixed"/>
          <w:tblLook w:val="04A0"/>
        </w:tblPrEx>
        <w:trPr>
          <w:trHeight w:val="527"/>
          <w:jc w:val="center"/>
        </w:trPr>
        <w:tc>
          <w:tcPr>
            <w:tcW w:w="2525" w:type="dxa"/>
            <w:tcBorders>
              <w:top w:val="nil"/>
              <w:left w:val="single" w:sz="4" w:space="0" w:color="auto"/>
              <w:bottom w:val="single" w:sz="4" w:space="0" w:color="auto"/>
              <w:right w:val="single" w:sz="4" w:space="0" w:color="auto"/>
            </w:tcBorders>
            <w:hideMark/>
          </w:tcPr>
          <w:p w:rsidR="00A210E9" w:rsidRPr="00A210E9" w:rsidP="00141DC3">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tl/>
              </w:rPr>
              <w:t>נסיבות העניין בכללותן אינן מתאימות להעמדה לדין</w:t>
            </w:r>
          </w:p>
        </w:tc>
        <w:tc>
          <w:tcPr>
            <w:tcW w:w="907" w:type="dxa"/>
            <w:tcBorders>
              <w:top w:val="nil"/>
              <w:left w:val="single" w:sz="4" w:space="0" w:color="auto"/>
              <w:bottom w:val="single" w:sz="4" w:space="0" w:color="auto"/>
              <w:right w:val="single" w:sz="4" w:space="0" w:color="auto"/>
            </w:tcBorders>
            <w:noWrap/>
            <w:hideMark/>
          </w:tcPr>
          <w:p w:rsidR="00A210E9" w:rsidRPr="00A210E9" w:rsidP="00141DC3">
            <w:pPr>
              <w:spacing w:line="269" w:lineRule="auto"/>
              <w:jc w:val="left"/>
              <w:rPr>
                <w:rFonts w:ascii="David" w:eastAsia="Times New Roman" w:hAnsi="David"/>
                <w:color w:val="000000"/>
                <w:sz w:val="22"/>
                <w:szCs w:val="22"/>
                <w:rtl/>
              </w:rPr>
            </w:pPr>
            <w:r w:rsidRPr="00A210E9">
              <w:rPr>
                <w:rFonts w:ascii="David" w:eastAsia="Times New Roman" w:hAnsi="David"/>
                <w:color w:val="000000"/>
                <w:sz w:val="22"/>
                <w:szCs w:val="22"/>
              </w:rPr>
              <w:t>28%</w:t>
            </w:r>
          </w:p>
        </w:tc>
        <w:tc>
          <w:tcPr>
            <w:tcW w:w="737" w:type="dxa"/>
            <w:tcBorders>
              <w:top w:val="nil"/>
              <w:left w:val="single" w:sz="4" w:space="0" w:color="auto"/>
              <w:bottom w:val="single" w:sz="4" w:space="0" w:color="auto"/>
              <w:right w:val="single" w:sz="4" w:space="0" w:color="auto"/>
            </w:tcBorders>
            <w:noWrap/>
            <w:hideMark/>
          </w:tcPr>
          <w:p w:rsidR="00A210E9" w:rsidRPr="00A210E9" w:rsidP="00141DC3">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Pr>
              <w:t>40%</w:t>
            </w:r>
          </w:p>
        </w:tc>
        <w:tc>
          <w:tcPr>
            <w:tcW w:w="737" w:type="dxa"/>
            <w:tcBorders>
              <w:top w:val="nil"/>
              <w:left w:val="single" w:sz="4" w:space="0" w:color="auto"/>
              <w:bottom w:val="single" w:sz="4" w:space="0" w:color="auto"/>
              <w:right w:val="single" w:sz="4" w:space="0" w:color="auto"/>
            </w:tcBorders>
            <w:noWrap/>
            <w:hideMark/>
          </w:tcPr>
          <w:p w:rsidR="00A210E9" w:rsidRPr="00A210E9" w:rsidP="00141DC3">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Pr>
              <w:t>27%</w:t>
            </w:r>
          </w:p>
        </w:tc>
        <w:tc>
          <w:tcPr>
            <w:tcW w:w="737" w:type="dxa"/>
            <w:tcBorders>
              <w:top w:val="nil"/>
              <w:left w:val="single" w:sz="4" w:space="0" w:color="auto"/>
              <w:bottom w:val="single" w:sz="4" w:space="0" w:color="auto"/>
              <w:right w:val="single" w:sz="4" w:space="0" w:color="auto"/>
            </w:tcBorders>
            <w:noWrap/>
            <w:hideMark/>
          </w:tcPr>
          <w:p w:rsidR="00A210E9" w:rsidRPr="00A210E9" w:rsidP="00141DC3">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Pr>
              <w:t>23%</w:t>
            </w:r>
          </w:p>
        </w:tc>
        <w:tc>
          <w:tcPr>
            <w:tcW w:w="737" w:type="dxa"/>
            <w:tcBorders>
              <w:top w:val="nil"/>
              <w:left w:val="single" w:sz="4" w:space="0" w:color="auto"/>
              <w:bottom w:val="single" w:sz="4" w:space="0" w:color="auto"/>
              <w:right w:val="single" w:sz="4" w:space="0" w:color="auto"/>
            </w:tcBorders>
            <w:noWrap/>
            <w:hideMark/>
          </w:tcPr>
          <w:p w:rsidR="00A210E9" w:rsidRPr="00A210E9" w:rsidP="00141DC3">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Pr>
              <w:t>36%</w:t>
            </w:r>
          </w:p>
        </w:tc>
        <w:tc>
          <w:tcPr>
            <w:tcW w:w="1684" w:type="dxa"/>
            <w:tcBorders>
              <w:top w:val="nil"/>
              <w:left w:val="single" w:sz="4" w:space="0" w:color="auto"/>
              <w:bottom w:val="single" w:sz="4" w:space="0" w:color="auto"/>
              <w:right w:val="single" w:sz="4" w:space="0" w:color="auto"/>
            </w:tcBorders>
            <w:noWrap/>
            <w:hideMark/>
          </w:tcPr>
          <w:p w:rsidR="00A210E9" w:rsidRPr="00A210E9" w:rsidP="00141DC3">
            <w:pPr>
              <w:spacing w:line="269" w:lineRule="auto"/>
              <w:jc w:val="left"/>
              <w:rPr>
                <w:rFonts w:ascii="David" w:eastAsia="Times New Roman" w:hAnsi="David"/>
                <w:color w:val="000000"/>
                <w:sz w:val="22"/>
                <w:szCs w:val="22"/>
                <w:rtl/>
              </w:rPr>
            </w:pPr>
            <w:r w:rsidRPr="00A210E9">
              <w:rPr>
                <w:rFonts w:ascii="David" w:eastAsia="Times New Roman" w:hAnsi="David"/>
                <w:color w:val="000000"/>
                <w:sz w:val="22"/>
                <w:szCs w:val="22"/>
              </w:rPr>
              <w:t>31%</w:t>
            </w:r>
          </w:p>
        </w:tc>
      </w:tr>
      <w:tr w:rsidTr="00141DC3">
        <w:tblPrEx>
          <w:tblW w:w="0" w:type="auto"/>
          <w:jc w:val="center"/>
          <w:tblLayout w:type="fixed"/>
          <w:tblLook w:val="04A0"/>
        </w:tblPrEx>
        <w:trPr>
          <w:trHeight w:val="217"/>
          <w:jc w:val="center"/>
        </w:trPr>
        <w:tc>
          <w:tcPr>
            <w:tcW w:w="2525" w:type="dxa"/>
            <w:tcBorders>
              <w:top w:val="nil"/>
              <w:left w:val="single" w:sz="4" w:space="0" w:color="auto"/>
              <w:bottom w:val="single" w:sz="4" w:space="0" w:color="auto"/>
              <w:right w:val="single" w:sz="4" w:space="0" w:color="auto"/>
            </w:tcBorders>
            <w:vAlign w:val="bottom"/>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tl/>
              </w:rPr>
              <w:t>התיישנות</w:t>
            </w:r>
          </w:p>
        </w:tc>
        <w:tc>
          <w:tcPr>
            <w:tcW w:w="907" w:type="dxa"/>
            <w:tcBorders>
              <w:top w:val="nil"/>
              <w:left w:val="single" w:sz="4" w:space="0" w:color="auto"/>
              <w:bottom w:val="single" w:sz="4" w:space="0" w:color="auto"/>
              <w:right w:val="single" w:sz="4" w:space="0" w:color="auto"/>
            </w:tcBorders>
            <w:noWrap/>
            <w:vAlign w:val="bottom"/>
            <w:hideMark/>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color w:val="000000"/>
                <w:sz w:val="22"/>
                <w:szCs w:val="22"/>
              </w:rPr>
              <w:t>28%</w:t>
            </w:r>
          </w:p>
        </w:tc>
        <w:tc>
          <w:tcPr>
            <w:tcW w:w="737" w:type="dxa"/>
            <w:tcBorders>
              <w:top w:val="nil"/>
              <w:left w:val="single" w:sz="4" w:space="0" w:color="auto"/>
              <w:bottom w:val="single" w:sz="4" w:space="0" w:color="auto"/>
              <w:right w:val="single" w:sz="4" w:space="0" w:color="auto"/>
            </w:tcBorders>
            <w:noWrap/>
            <w:vAlign w:val="bottom"/>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Pr>
              <w:t>22%</w:t>
            </w:r>
          </w:p>
        </w:tc>
        <w:tc>
          <w:tcPr>
            <w:tcW w:w="737" w:type="dxa"/>
            <w:tcBorders>
              <w:top w:val="nil"/>
              <w:left w:val="single" w:sz="4" w:space="0" w:color="auto"/>
              <w:bottom w:val="single" w:sz="4" w:space="0" w:color="auto"/>
              <w:right w:val="single" w:sz="4" w:space="0" w:color="auto"/>
            </w:tcBorders>
            <w:noWrap/>
            <w:vAlign w:val="bottom"/>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Pr>
              <w:t>30%</w:t>
            </w:r>
          </w:p>
        </w:tc>
        <w:tc>
          <w:tcPr>
            <w:tcW w:w="737" w:type="dxa"/>
            <w:tcBorders>
              <w:top w:val="nil"/>
              <w:left w:val="single" w:sz="4" w:space="0" w:color="auto"/>
              <w:bottom w:val="single" w:sz="4" w:space="0" w:color="auto"/>
              <w:right w:val="single" w:sz="4" w:space="0" w:color="auto"/>
            </w:tcBorders>
            <w:noWrap/>
            <w:vAlign w:val="bottom"/>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Pr>
              <w:t>36%</w:t>
            </w:r>
          </w:p>
        </w:tc>
        <w:tc>
          <w:tcPr>
            <w:tcW w:w="737" w:type="dxa"/>
            <w:tcBorders>
              <w:top w:val="nil"/>
              <w:left w:val="single" w:sz="4" w:space="0" w:color="auto"/>
              <w:bottom w:val="single" w:sz="4" w:space="0" w:color="auto"/>
              <w:right w:val="single" w:sz="4" w:space="0" w:color="auto"/>
            </w:tcBorders>
            <w:noWrap/>
            <w:vAlign w:val="bottom"/>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Pr>
              <w:t>7%</w:t>
            </w:r>
          </w:p>
        </w:tc>
        <w:tc>
          <w:tcPr>
            <w:tcW w:w="1684" w:type="dxa"/>
            <w:tcBorders>
              <w:top w:val="nil"/>
              <w:left w:val="single" w:sz="4" w:space="0" w:color="auto"/>
              <w:bottom w:val="single" w:sz="4" w:space="0" w:color="auto"/>
              <w:right w:val="single" w:sz="4" w:space="0" w:color="auto"/>
            </w:tcBorders>
            <w:noWrap/>
            <w:vAlign w:val="bottom"/>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Pr>
              <w:t>26%</w:t>
            </w:r>
          </w:p>
        </w:tc>
      </w:tr>
      <w:tr w:rsidTr="00141DC3">
        <w:tblPrEx>
          <w:tblW w:w="0" w:type="auto"/>
          <w:jc w:val="center"/>
          <w:tblLayout w:type="fixed"/>
          <w:tblLook w:val="04A0"/>
        </w:tblPrEx>
        <w:trPr>
          <w:trHeight w:val="217"/>
          <w:jc w:val="center"/>
        </w:trPr>
        <w:tc>
          <w:tcPr>
            <w:tcW w:w="2525" w:type="dxa"/>
            <w:tcBorders>
              <w:top w:val="nil"/>
              <w:left w:val="single" w:sz="4" w:space="0" w:color="auto"/>
              <w:bottom w:val="single" w:sz="4" w:space="0" w:color="auto"/>
              <w:right w:val="single" w:sz="4" w:space="0" w:color="auto"/>
            </w:tcBorders>
            <w:vAlign w:val="bottom"/>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tl/>
              </w:rPr>
              <w:t>אחר</w:t>
            </w:r>
          </w:p>
        </w:tc>
        <w:tc>
          <w:tcPr>
            <w:tcW w:w="907" w:type="dxa"/>
            <w:tcBorders>
              <w:top w:val="nil"/>
              <w:left w:val="single" w:sz="4" w:space="0" w:color="auto"/>
              <w:bottom w:val="single" w:sz="4" w:space="0" w:color="auto"/>
              <w:right w:val="single" w:sz="4" w:space="0" w:color="auto"/>
            </w:tcBorders>
            <w:noWrap/>
            <w:vAlign w:val="bottom"/>
            <w:hideMark/>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color w:val="000000"/>
                <w:sz w:val="22"/>
                <w:szCs w:val="22"/>
              </w:rPr>
              <w:t>%</w:t>
            </w:r>
            <w:r w:rsidRPr="00A210E9">
              <w:rPr>
                <w:rFonts w:ascii="David" w:eastAsia="Times New Roman" w:hAnsi="David"/>
                <w:color w:val="000000"/>
                <w:sz w:val="22"/>
                <w:szCs w:val="22"/>
                <w:rtl/>
              </w:rPr>
              <w:t>6</w:t>
            </w:r>
          </w:p>
        </w:tc>
        <w:tc>
          <w:tcPr>
            <w:tcW w:w="737" w:type="dxa"/>
            <w:tcBorders>
              <w:top w:val="nil"/>
              <w:left w:val="single" w:sz="4" w:space="0" w:color="auto"/>
              <w:bottom w:val="single" w:sz="4" w:space="0" w:color="auto"/>
              <w:right w:val="single" w:sz="4" w:space="0" w:color="auto"/>
            </w:tcBorders>
            <w:noWrap/>
            <w:vAlign w:val="bottom"/>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Pr>
              <w:t>9%</w:t>
            </w:r>
          </w:p>
        </w:tc>
        <w:tc>
          <w:tcPr>
            <w:tcW w:w="737" w:type="dxa"/>
            <w:tcBorders>
              <w:top w:val="nil"/>
              <w:left w:val="single" w:sz="4" w:space="0" w:color="auto"/>
              <w:bottom w:val="single" w:sz="4" w:space="0" w:color="auto"/>
              <w:right w:val="single" w:sz="4" w:space="0" w:color="auto"/>
            </w:tcBorders>
            <w:noWrap/>
            <w:vAlign w:val="bottom"/>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Pr>
              <w:t>15%</w:t>
            </w:r>
          </w:p>
        </w:tc>
        <w:tc>
          <w:tcPr>
            <w:tcW w:w="737" w:type="dxa"/>
            <w:tcBorders>
              <w:top w:val="nil"/>
              <w:left w:val="single" w:sz="4" w:space="0" w:color="auto"/>
              <w:bottom w:val="single" w:sz="4" w:space="0" w:color="auto"/>
              <w:right w:val="single" w:sz="4" w:space="0" w:color="auto"/>
            </w:tcBorders>
            <w:noWrap/>
            <w:vAlign w:val="bottom"/>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Pr>
              <w:t>16%</w:t>
            </w:r>
          </w:p>
        </w:tc>
        <w:tc>
          <w:tcPr>
            <w:tcW w:w="737" w:type="dxa"/>
            <w:tcBorders>
              <w:top w:val="nil"/>
              <w:left w:val="single" w:sz="4" w:space="0" w:color="auto"/>
              <w:bottom w:val="single" w:sz="4" w:space="0" w:color="auto"/>
              <w:right w:val="single" w:sz="4" w:space="0" w:color="auto"/>
            </w:tcBorders>
            <w:noWrap/>
            <w:vAlign w:val="bottom"/>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Pr>
              <w:t>11%</w:t>
            </w:r>
          </w:p>
        </w:tc>
        <w:tc>
          <w:tcPr>
            <w:tcW w:w="1684" w:type="dxa"/>
            <w:tcBorders>
              <w:top w:val="nil"/>
              <w:left w:val="single" w:sz="4" w:space="0" w:color="auto"/>
              <w:bottom w:val="single" w:sz="4" w:space="0" w:color="auto"/>
              <w:right w:val="single" w:sz="4" w:space="0" w:color="auto"/>
            </w:tcBorders>
            <w:noWrap/>
            <w:vAlign w:val="bottom"/>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Pr>
              <w:t>11%</w:t>
            </w:r>
          </w:p>
        </w:tc>
      </w:tr>
      <w:tr w:rsidTr="00141DC3">
        <w:tblPrEx>
          <w:tblW w:w="0" w:type="auto"/>
          <w:jc w:val="center"/>
          <w:tblLayout w:type="fixed"/>
          <w:tblLook w:val="04A0"/>
        </w:tblPrEx>
        <w:trPr>
          <w:trHeight w:val="217"/>
          <w:jc w:val="center"/>
        </w:trPr>
        <w:tc>
          <w:tcPr>
            <w:tcW w:w="2525" w:type="dxa"/>
            <w:tcBorders>
              <w:top w:val="single" w:sz="4" w:space="0" w:color="auto"/>
              <w:left w:val="single" w:sz="4" w:space="0" w:color="auto"/>
              <w:bottom w:val="single" w:sz="4" w:space="0" w:color="auto"/>
              <w:right w:val="single" w:sz="4" w:space="0" w:color="auto"/>
            </w:tcBorders>
            <w:vAlign w:val="bottom"/>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hint="cs"/>
                <w:color w:val="000000"/>
                <w:sz w:val="22"/>
                <w:szCs w:val="22"/>
                <w:rtl/>
              </w:rPr>
              <w:t>סה"כ</w:t>
            </w:r>
          </w:p>
        </w:tc>
        <w:tc>
          <w:tcPr>
            <w:tcW w:w="907" w:type="dxa"/>
            <w:tcBorders>
              <w:top w:val="single" w:sz="4" w:space="0" w:color="auto"/>
              <w:left w:val="single" w:sz="4" w:space="0" w:color="auto"/>
              <w:bottom w:val="single" w:sz="4" w:space="0" w:color="auto"/>
              <w:right w:val="single" w:sz="4" w:space="0" w:color="auto"/>
            </w:tcBorders>
            <w:noWrap/>
            <w:vAlign w:val="bottom"/>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hint="cs"/>
                <w:color w:val="000000"/>
                <w:sz w:val="22"/>
                <w:szCs w:val="22"/>
                <w:rtl/>
              </w:rPr>
              <w:t>100%</w:t>
            </w:r>
          </w:p>
        </w:tc>
        <w:tc>
          <w:tcPr>
            <w:tcW w:w="737" w:type="dxa"/>
            <w:tcBorders>
              <w:top w:val="single" w:sz="4" w:space="0" w:color="auto"/>
              <w:left w:val="single" w:sz="4" w:space="0" w:color="auto"/>
              <w:bottom w:val="single" w:sz="4" w:space="0" w:color="auto"/>
              <w:right w:val="single" w:sz="4" w:space="0" w:color="auto"/>
            </w:tcBorders>
            <w:noWrap/>
            <w:vAlign w:val="bottom"/>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hint="cs"/>
                <w:color w:val="000000"/>
                <w:sz w:val="22"/>
                <w:szCs w:val="22"/>
                <w:rtl/>
              </w:rPr>
              <w:t>100%</w:t>
            </w:r>
          </w:p>
        </w:tc>
        <w:tc>
          <w:tcPr>
            <w:tcW w:w="737" w:type="dxa"/>
            <w:tcBorders>
              <w:top w:val="single" w:sz="4" w:space="0" w:color="auto"/>
              <w:left w:val="single" w:sz="4" w:space="0" w:color="auto"/>
              <w:bottom w:val="single" w:sz="4" w:space="0" w:color="auto"/>
              <w:right w:val="single" w:sz="4" w:space="0" w:color="auto"/>
            </w:tcBorders>
            <w:noWrap/>
            <w:vAlign w:val="bottom"/>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hint="cs"/>
                <w:color w:val="000000"/>
                <w:sz w:val="22"/>
                <w:szCs w:val="22"/>
                <w:rtl/>
              </w:rPr>
              <w:t>100%</w:t>
            </w:r>
          </w:p>
        </w:tc>
        <w:tc>
          <w:tcPr>
            <w:tcW w:w="737" w:type="dxa"/>
            <w:tcBorders>
              <w:top w:val="single" w:sz="4" w:space="0" w:color="auto"/>
              <w:left w:val="single" w:sz="4" w:space="0" w:color="auto"/>
              <w:bottom w:val="single" w:sz="4" w:space="0" w:color="auto"/>
              <w:right w:val="single" w:sz="4" w:space="0" w:color="auto"/>
            </w:tcBorders>
            <w:noWrap/>
            <w:vAlign w:val="bottom"/>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hint="cs"/>
                <w:color w:val="000000"/>
                <w:sz w:val="22"/>
                <w:szCs w:val="22"/>
                <w:rtl/>
              </w:rPr>
              <w:t>100%</w:t>
            </w:r>
          </w:p>
        </w:tc>
        <w:tc>
          <w:tcPr>
            <w:tcW w:w="737" w:type="dxa"/>
            <w:tcBorders>
              <w:top w:val="single" w:sz="4" w:space="0" w:color="auto"/>
              <w:left w:val="single" w:sz="4" w:space="0" w:color="auto"/>
              <w:bottom w:val="single" w:sz="4" w:space="0" w:color="auto"/>
              <w:right w:val="single" w:sz="4" w:space="0" w:color="auto"/>
            </w:tcBorders>
            <w:noWrap/>
            <w:vAlign w:val="bottom"/>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hint="cs"/>
                <w:color w:val="000000"/>
                <w:sz w:val="22"/>
                <w:szCs w:val="22"/>
                <w:rtl/>
              </w:rPr>
              <w:t>100%</w:t>
            </w:r>
          </w:p>
        </w:tc>
        <w:tc>
          <w:tcPr>
            <w:tcW w:w="1684" w:type="dxa"/>
            <w:tcBorders>
              <w:top w:val="single" w:sz="4" w:space="0" w:color="auto"/>
              <w:left w:val="single" w:sz="4" w:space="0" w:color="auto"/>
              <w:bottom w:val="single" w:sz="4" w:space="0" w:color="auto"/>
              <w:right w:val="single" w:sz="4" w:space="0" w:color="auto"/>
            </w:tcBorders>
            <w:noWrap/>
            <w:vAlign w:val="bottom"/>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hint="cs"/>
                <w:color w:val="000000"/>
                <w:sz w:val="22"/>
                <w:szCs w:val="22"/>
                <w:rtl/>
              </w:rPr>
              <w:t>100%</w:t>
            </w:r>
          </w:p>
        </w:tc>
      </w:tr>
      <w:tr w:rsidTr="00141DC3">
        <w:tblPrEx>
          <w:tblW w:w="0" w:type="auto"/>
          <w:jc w:val="center"/>
          <w:tblLayout w:type="fixed"/>
          <w:tblLook w:val="04A0"/>
        </w:tblPrEx>
        <w:trPr>
          <w:trHeight w:val="217"/>
          <w:jc w:val="center"/>
        </w:trPr>
        <w:tc>
          <w:tcPr>
            <w:tcW w:w="2525" w:type="dxa"/>
            <w:tcBorders>
              <w:top w:val="nil"/>
              <w:left w:val="single" w:sz="4" w:space="0" w:color="auto"/>
              <w:bottom w:val="single" w:sz="4" w:space="0" w:color="auto"/>
              <w:right w:val="single" w:sz="4" w:space="0" w:color="auto"/>
            </w:tcBorders>
            <w:vAlign w:val="bottom"/>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hint="cs"/>
                <w:color w:val="000000"/>
                <w:sz w:val="22"/>
                <w:szCs w:val="22"/>
                <w:rtl/>
              </w:rPr>
              <w:t>סה"כ דוחות מבוטלים</w:t>
            </w:r>
          </w:p>
        </w:tc>
        <w:tc>
          <w:tcPr>
            <w:tcW w:w="907" w:type="dxa"/>
            <w:tcBorders>
              <w:top w:val="nil"/>
              <w:left w:val="single" w:sz="4" w:space="0" w:color="auto"/>
              <w:bottom w:val="single" w:sz="4" w:space="0" w:color="auto"/>
              <w:right w:val="single" w:sz="4" w:space="0" w:color="auto"/>
            </w:tcBorders>
            <w:noWrap/>
            <w:vAlign w:val="bottom"/>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hint="cs"/>
                <w:color w:val="000000"/>
                <w:sz w:val="22"/>
                <w:szCs w:val="22"/>
                <w:rtl/>
              </w:rPr>
              <w:t>1,857</w:t>
            </w:r>
          </w:p>
        </w:tc>
        <w:tc>
          <w:tcPr>
            <w:tcW w:w="737" w:type="dxa"/>
            <w:tcBorders>
              <w:top w:val="nil"/>
              <w:left w:val="single" w:sz="4" w:space="0" w:color="auto"/>
              <w:bottom w:val="single" w:sz="4" w:space="0" w:color="auto"/>
              <w:right w:val="single" w:sz="4" w:space="0" w:color="auto"/>
            </w:tcBorders>
            <w:noWrap/>
            <w:vAlign w:val="bottom"/>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hint="cs"/>
                <w:color w:val="000000"/>
                <w:sz w:val="22"/>
                <w:szCs w:val="22"/>
                <w:rtl/>
              </w:rPr>
              <w:t>1,872</w:t>
            </w:r>
          </w:p>
        </w:tc>
        <w:tc>
          <w:tcPr>
            <w:tcW w:w="737" w:type="dxa"/>
            <w:tcBorders>
              <w:top w:val="nil"/>
              <w:left w:val="single" w:sz="4" w:space="0" w:color="auto"/>
              <w:bottom w:val="single" w:sz="4" w:space="0" w:color="auto"/>
              <w:right w:val="single" w:sz="4" w:space="0" w:color="auto"/>
            </w:tcBorders>
            <w:noWrap/>
            <w:vAlign w:val="bottom"/>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hint="cs"/>
                <w:color w:val="000000"/>
                <w:sz w:val="22"/>
                <w:szCs w:val="22"/>
                <w:rtl/>
              </w:rPr>
              <w:t>1,466</w:t>
            </w:r>
          </w:p>
        </w:tc>
        <w:tc>
          <w:tcPr>
            <w:tcW w:w="737" w:type="dxa"/>
            <w:tcBorders>
              <w:top w:val="nil"/>
              <w:left w:val="single" w:sz="4" w:space="0" w:color="auto"/>
              <w:bottom w:val="single" w:sz="4" w:space="0" w:color="auto"/>
              <w:right w:val="single" w:sz="4" w:space="0" w:color="auto"/>
            </w:tcBorders>
            <w:noWrap/>
            <w:vAlign w:val="bottom"/>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hint="cs"/>
                <w:color w:val="000000"/>
                <w:sz w:val="22"/>
                <w:szCs w:val="22"/>
                <w:rtl/>
              </w:rPr>
              <w:t>1,004</w:t>
            </w:r>
          </w:p>
        </w:tc>
        <w:tc>
          <w:tcPr>
            <w:tcW w:w="737" w:type="dxa"/>
            <w:tcBorders>
              <w:top w:val="nil"/>
              <w:left w:val="single" w:sz="4" w:space="0" w:color="auto"/>
              <w:bottom w:val="single" w:sz="4" w:space="0" w:color="auto"/>
              <w:right w:val="single" w:sz="4" w:space="0" w:color="auto"/>
            </w:tcBorders>
            <w:noWrap/>
            <w:vAlign w:val="bottom"/>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hint="cs"/>
                <w:color w:val="000000"/>
                <w:sz w:val="22"/>
                <w:szCs w:val="22"/>
                <w:rtl/>
              </w:rPr>
              <w:t>649</w:t>
            </w:r>
          </w:p>
        </w:tc>
        <w:tc>
          <w:tcPr>
            <w:tcW w:w="1684" w:type="dxa"/>
            <w:tcBorders>
              <w:top w:val="nil"/>
              <w:left w:val="single" w:sz="4" w:space="0" w:color="auto"/>
              <w:bottom w:val="single" w:sz="4" w:space="0" w:color="auto"/>
              <w:right w:val="single" w:sz="4" w:space="0" w:color="auto"/>
            </w:tcBorders>
            <w:noWrap/>
            <w:vAlign w:val="bottom"/>
          </w:tcPr>
          <w:p w:rsidR="00A210E9" w:rsidRPr="00A210E9" w:rsidP="00A210E9">
            <w:pPr>
              <w:spacing w:line="269" w:lineRule="auto"/>
              <w:jc w:val="left"/>
              <w:rPr>
                <w:rFonts w:ascii="David" w:eastAsia="Times New Roman" w:hAnsi="David"/>
                <w:color w:val="000000"/>
                <w:sz w:val="22"/>
                <w:szCs w:val="22"/>
              </w:rPr>
            </w:pPr>
          </w:p>
        </w:tc>
      </w:tr>
    </w:tbl>
    <w:p w:rsidR="00A210E9" w:rsidRPr="00A210E9" w:rsidP="00A210E9">
      <w:pPr>
        <w:keepNext/>
        <w:keepLines/>
        <w:spacing w:line="269" w:lineRule="auto"/>
        <w:rPr>
          <w:rFonts w:eastAsia="Calibri"/>
          <w:szCs w:val="20"/>
          <w:rtl/>
        </w:rPr>
      </w:pPr>
      <w:r w:rsidRPr="00A210E9">
        <w:rPr>
          <w:rFonts w:eastAsia="Calibri" w:hint="eastAsia"/>
          <w:szCs w:val="20"/>
          <w:rtl/>
        </w:rPr>
        <w:t>על</w:t>
      </w:r>
      <w:r w:rsidRPr="00A210E9">
        <w:rPr>
          <w:rFonts w:eastAsia="Calibri"/>
          <w:szCs w:val="20"/>
          <w:rtl/>
        </w:rPr>
        <w:t xml:space="preserve"> פי נתוני המשטרה, בעיבוד משרד מבקר המדינה</w:t>
      </w:r>
      <w:r w:rsidRPr="00A210E9">
        <w:rPr>
          <w:rFonts w:eastAsia="Calibri" w:hint="cs"/>
          <w:szCs w:val="20"/>
          <w:rtl/>
        </w:rPr>
        <w:t>.</w:t>
      </w:r>
    </w:p>
    <w:p w:rsidR="00A210E9" w:rsidRPr="00A210E9" w:rsidP="00A210E9">
      <w:pPr>
        <w:keepNext/>
        <w:keepLines/>
        <w:spacing w:line="269" w:lineRule="auto"/>
        <w:ind w:left="-567"/>
        <w:rPr>
          <w:rFonts w:eastAsia="Calibri"/>
          <w:szCs w:val="20"/>
          <w:rtl/>
        </w:rPr>
      </w:pPr>
    </w:p>
    <w:p w:rsidR="00141DC3">
      <w:pPr>
        <w:bidi w:val="0"/>
        <w:spacing w:after="200" w:line="276" w:lineRule="auto"/>
        <w:rPr>
          <w:rFonts w:eastAsia="Calibri"/>
          <w:b/>
          <w:bCs/>
          <w:rtl/>
        </w:rPr>
      </w:pPr>
      <w:r>
        <w:rPr>
          <w:rFonts w:eastAsia="Calibri"/>
          <w:b/>
          <w:bCs/>
          <w:rtl/>
        </w:rPr>
        <w:br w:type="page"/>
      </w:r>
    </w:p>
    <w:p w:rsidR="00A210E9" w:rsidRPr="00A210E9" w:rsidP="00A210E9">
      <w:pPr>
        <w:spacing w:line="269" w:lineRule="auto"/>
        <w:rPr>
          <w:rFonts w:eastAsia="Calibri"/>
          <w:b/>
          <w:bCs/>
          <w:rtl/>
        </w:rPr>
      </w:pPr>
      <w:r w:rsidRPr="00A210E9">
        <w:rPr>
          <w:rFonts w:eastAsia="Calibri" w:hint="cs"/>
          <w:b/>
          <w:bCs/>
          <w:rtl/>
        </w:rPr>
        <w:t xml:space="preserve">בלוח ניתן לראות ש-32% מהדוחות המבוטלים בשנים 2020 - 2024 בוטלו בשל היעדר אשמה פלילית, 31% מהדוחות בוטלו משום שנסיבות העניין בכללותן אינן מתאימות להעמדה לדין (חוסר עניין לציבור) ו-26% מהדוחות בוטלו בשל התיישנות.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rtl/>
        </w:rPr>
        <w:t>עבירת חניה היא עבירת חטא שההתי</w:t>
      </w:r>
      <w:r w:rsidRPr="00A210E9">
        <w:rPr>
          <w:rFonts w:eastAsia="Calibri" w:hint="cs"/>
          <w:rtl/>
        </w:rPr>
        <w:t>י</w:t>
      </w:r>
      <w:r w:rsidRPr="00A210E9">
        <w:rPr>
          <w:rFonts w:eastAsia="Calibri"/>
          <w:rtl/>
        </w:rPr>
        <w:t>שנות על</w:t>
      </w:r>
      <w:r w:rsidRPr="00A210E9">
        <w:rPr>
          <w:rFonts w:eastAsia="Calibri" w:hint="cs"/>
          <w:rtl/>
        </w:rPr>
        <w:t>יה</w:t>
      </w:r>
      <w:r w:rsidRPr="00A210E9">
        <w:rPr>
          <w:rFonts w:eastAsia="Calibri"/>
          <w:rtl/>
        </w:rPr>
        <w:t xml:space="preserve"> </w:t>
      </w:r>
      <w:r w:rsidRPr="00A210E9">
        <w:rPr>
          <w:rFonts w:eastAsia="Calibri" w:hint="cs"/>
          <w:rtl/>
        </w:rPr>
        <w:t xml:space="preserve">היא </w:t>
      </w:r>
      <w:r w:rsidRPr="00A210E9">
        <w:rPr>
          <w:rFonts w:eastAsia="Calibri"/>
          <w:rtl/>
        </w:rPr>
        <w:t>שנה</w:t>
      </w:r>
      <w:r w:rsidRPr="00A210E9">
        <w:rPr>
          <w:rFonts w:eastAsia="Calibri" w:hint="cs"/>
          <w:rtl/>
        </w:rPr>
        <w:t xml:space="preserve"> אחת</w:t>
      </w:r>
      <w:r>
        <w:rPr>
          <w:rFonts w:eastAsia="Calibri"/>
          <w:vertAlign w:val="superscript"/>
          <w:rtl/>
        </w:rPr>
        <w:footnoteReference w:id="126"/>
      </w:r>
      <w:r w:rsidRPr="00A210E9">
        <w:rPr>
          <w:rFonts w:eastAsia="Calibri"/>
          <w:rtl/>
        </w:rPr>
        <w:t xml:space="preserve">. </w:t>
      </w:r>
      <w:r w:rsidRPr="00A210E9">
        <w:rPr>
          <w:rFonts w:eastAsia="Calibri" w:hint="cs"/>
          <w:rtl/>
        </w:rPr>
        <w:t>מהנתונים בלוח ניתן לראות כי הסיבה לביטול 7% מהדוחות בשנת 2024 היא התיישנות</w:t>
      </w:r>
      <w:bookmarkStart w:id="120" w:name="_Hlk231283043"/>
      <w:r w:rsidRPr="00A210E9">
        <w:rPr>
          <w:rFonts w:eastAsia="Calibri" w:hint="cs"/>
          <w:rtl/>
        </w:rPr>
        <w:t xml:space="preserve">. </w:t>
      </w:r>
      <w:bookmarkEnd w:id="120"/>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 xml:space="preserve">בשנים 2020 - 2024 בוטלו בשל התיישנות 26% מהדוחות המבוטלים, ובפרט בשנת 2024 שבה 7% מהדוחות שבוטלו היו בגין התיישנות, וככל הנראה בשל אי-מסירת הדוח בדואר רשום על ידי המשטרה. מדובר בנתון שמעיד על ליקוי בתהליך האכיפה של עבירות מהסוג הזה והגבייה בגינן, שפגיעתן באוכלוסיות עם מוגבלות ישירה ויום-יומית. ביטול דוחות עקב התיישנות אינו נובע מהיעדר הצדקה לאכיפה אלא מבעיה מינהלית בטיפול יעיל ומיידי בעבירה, דבר שמערער את אפקט ההרתעה ואף פוגע בהכנסות אוצר המדינה.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המשטרה כתבה בתשובתה כי בקשות לביטו</w:t>
      </w:r>
      <w:r w:rsidRPr="00A210E9">
        <w:rPr>
          <w:rFonts w:ascii="David" w:eastAsia="Calibri" w:hAnsi="David" w:hint="cs"/>
          <w:rtl/>
        </w:rPr>
        <w:t>ל דוחות מתקבלות במרכז פניות נהגים שבאגף התנועה (מפנ"א). מ</w:t>
      </w:r>
      <w:r w:rsidRPr="00A210E9">
        <w:rPr>
          <w:rFonts w:ascii="David" w:eastAsia="Calibri" w:hAnsi="David"/>
          <w:rtl/>
        </w:rPr>
        <w:t>טפלי מפנ"א בוחנים בכל פנייה את הנסיבות המיוחדות אשר מעלה הפונה</w:t>
      </w:r>
      <w:r w:rsidRPr="00A210E9">
        <w:rPr>
          <w:rFonts w:ascii="David" w:eastAsia="Calibri" w:hAnsi="David" w:hint="cs"/>
          <w:rtl/>
        </w:rPr>
        <w:t>,</w:t>
      </w:r>
      <w:r w:rsidRPr="00A210E9">
        <w:rPr>
          <w:rFonts w:ascii="David" w:eastAsia="Calibri" w:hAnsi="David"/>
          <w:rtl/>
        </w:rPr>
        <w:t xml:space="preserve"> וזאת באמצעות אסמכתאות המאמתות את טענותיו. </w:t>
      </w:r>
      <w:r w:rsidRPr="00A210E9">
        <w:rPr>
          <w:rFonts w:ascii="David" w:eastAsia="Calibri" w:hAnsi="David" w:hint="cs"/>
          <w:rtl/>
        </w:rPr>
        <w:t>לאחר שהסתיימה בחינתם</w:t>
      </w:r>
      <w:r w:rsidRPr="00A210E9">
        <w:rPr>
          <w:rFonts w:ascii="David" w:eastAsia="Calibri" w:hAnsi="David"/>
          <w:rtl/>
        </w:rPr>
        <w:t xml:space="preserve">, תובע מפנ"א בוחן גם </w:t>
      </w:r>
      <w:r w:rsidRPr="00A210E9">
        <w:rPr>
          <w:rFonts w:ascii="David" w:eastAsia="Calibri" w:hAnsi="David" w:hint="cs"/>
          <w:rtl/>
        </w:rPr>
        <w:t>הוא</w:t>
      </w:r>
      <w:r w:rsidRPr="00A210E9">
        <w:rPr>
          <w:rFonts w:ascii="David" w:eastAsia="Calibri" w:hAnsi="David"/>
          <w:rtl/>
        </w:rPr>
        <w:t xml:space="preserve"> את ה</w:t>
      </w:r>
      <w:r w:rsidRPr="00A210E9">
        <w:rPr>
          <w:rFonts w:ascii="David" w:eastAsia="Calibri" w:hAnsi="David" w:hint="cs"/>
          <w:rtl/>
        </w:rPr>
        <w:t>פנייה</w:t>
      </w:r>
      <w:r w:rsidRPr="00A210E9">
        <w:rPr>
          <w:rFonts w:ascii="David" w:eastAsia="Calibri" w:hAnsi="David"/>
          <w:rtl/>
        </w:rPr>
        <w:t xml:space="preserve"> ומחליט אם לבטל את הדוח</w:t>
      </w:r>
      <w:r w:rsidRPr="00A210E9">
        <w:rPr>
          <w:rFonts w:ascii="David" w:eastAsia="Calibri" w:hAnsi="David" w:hint="cs"/>
          <w:rtl/>
        </w:rPr>
        <w:t>, ואם כן - באיזו עילה.</w:t>
      </w:r>
      <w:r w:rsidRPr="00A210E9">
        <w:rPr>
          <w:rFonts w:ascii="David" w:eastAsia="Calibri" w:hAnsi="David"/>
          <w:rtl/>
        </w:rPr>
        <w:t xml:space="preserve"> </w:t>
      </w:r>
      <w:r w:rsidRPr="00A210E9">
        <w:rPr>
          <w:rFonts w:ascii="David" w:eastAsia="Calibri" w:hAnsi="David" w:hint="cs"/>
          <w:rtl/>
        </w:rPr>
        <w:t>בקשות להישפט מופנות לטיפול יחידת תביעות תעבורה מחוזית. במקרים אלה, התביעה בוחנת בכל תיק ותיק לפני הגשתו לבית המשפט את התשתית הראייתית וכן את מכלול נסיבות המקרה. אם התביעה שוכנעה שלא בוצעה עבירה, התיק נסגר בעילת היעדר אשמה פלילית. אשר לעילת הסגירה "נסיבות העניין בכללותן אינן מתאימות להעמדה לדין", כל מקרה נבחן לגופו ולא בנקל תשתמש התביעה בעילה זו לביטול דוח. אשר לעילת התיישנות, מדובר בעבירות קנס (ברירת משפט), ולפי סעיף 230 לחוק סדר הדין הפלילי [נוסח משולב], יש לשלוח לאזרח שקיבל את הדוח זימון לדיון בעניין בתוך שנה מיום שהתקבלה בקשתו להישפט. היה והמשטרה לא עמדה בסד הזמנים האמור, הרי שדין הדוח להתבטל.</w:t>
      </w:r>
      <w:r w:rsidRPr="00A210E9">
        <w:rPr>
          <w:rFonts w:eastAsia="Calibri" w:hint="cs"/>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בנוגע למשלוח הדוחות לנהגים, המשטרה ציינה כי היא משתמשת במאגר הכתובות של משרד הפנים, וכי המצאת דברי דואר נעשית בהתאם למנגנון החוקי הקיים על פי חוק סדר הדין הפלילי המסדיר המצאת דוח באמצעות דואר רשום בלבד. </w:t>
      </w:r>
      <w:r w:rsidRPr="00A210E9">
        <w:rPr>
          <w:rFonts w:ascii="David" w:eastAsia="Calibri" w:hAnsi="David" w:hint="cs"/>
          <w:rtl/>
        </w:rPr>
        <w:t>המשטרה הוסיפה כי חוק תקשורת דיגיטלית עם גופים ציבוריים תשע"ח- 2018 אינו נותן מענה שמאפשר לה לשלוח דוחות באמצעים דיגיטליים, בין היתר מכיוון שהמען הדיגיטלי על פי החוק הינו וולונטרי ומאחר שנדרשת "מערכת מאושרת" לדיוור דיגיטלי, שאינה בנמצא. המשטרה ציינה עוד כי ניסתה לטפל בפער אך לעת הזו לא נמצא פתרון שמסדיר שליחת הדוחות דיגיטלית</w:t>
      </w:r>
      <w:r w:rsidRPr="00A210E9">
        <w:rPr>
          <w:rFonts w:eastAsia="Calibri" w:hint="cs"/>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 xml:space="preserve">משרד מבקר המדינה ממליץ למשטרה לנקוט פעולות על מנת לאפשר גבייה מהירה של קנסות. הכול, כדי למנוע את התיישנותם של הדוחות תוך שמירה על ההליכים החוקיים והפרוצדורה הנדרשת על מנת להגביר את אפקטיביות האכיפה. עוד מומלץ שנוכח הקשיים הקיימים במסירת דברי הדואר, תמשיך המשטרה לבחון ולקדם אפשרויות לשליחת הדוחות לנמענים באמצעים דיגיטליים. </w:t>
      </w:r>
    </w:p>
    <w:p w:rsidR="00A210E9" w:rsidRPr="00A210E9" w:rsidP="00A210E9">
      <w:pPr>
        <w:spacing w:line="269" w:lineRule="auto"/>
        <w:rPr>
          <w:rFonts w:eastAsia="Calibri"/>
          <w:rtl/>
        </w:rPr>
      </w:pPr>
    </w:p>
    <w:p w:rsidR="00A210E9" w:rsidRPr="00A210E9" w:rsidP="00A210E9">
      <w:pPr>
        <w:keepNext/>
        <w:keepLines/>
        <w:spacing w:line="269" w:lineRule="auto"/>
        <w:outlineLvl w:val="5"/>
        <w:rPr>
          <w:rFonts w:eastAsia="Times New Roman"/>
          <w:spacing w:val="40"/>
          <w:rtl/>
        </w:rPr>
      </w:pPr>
      <w:bookmarkStart w:id="121" w:name="_Hlk207635812"/>
      <w:r w:rsidRPr="00A210E9">
        <w:rPr>
          <w:rFonts w:eastAsia="Times New Roman" w:hint="cs"/>
          <w:spacing w:val="40"/>
          <w:rtl/>
        </w:rPr>
        <w:t>אכיפה על ידי הרשויות המקומיות</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נתונים בדבר היקף האכיפה של עבירות חניה ברשויות המקומיות אינם מתפרסמים לציבור באופן שוטף. משרד מבקר המדינה בדק נתונים אלה בכמה ערים גדולות, שהעבירו מידע שאספו בנושא לפי חוק חופש המידע. התרשים שלהלן מציג את מספר הדוחות שניתנו על ידי כמה עיריות לנהגים אשר חנו בחניית נכים בלי שהם מחזיקים בתג חניה, בשנים 2020 - 2023: </w:t>
      </w:r>
    </w:p>
    <w:p w:rsidR="00A210E9" w:rsidRPr="00A210E9" w:rsidP="00A210E9">
      <w:pPr>
        <w:keepNext/>
        <w:keepLines/>
        <w:spacing w:line="269" w:lineRule="auto"/>
        <w:jc w:val="center"/>
        <w:rPr>
          <w:rFonts w:eastAsia="Calibri"/>
          <w:b/>
          <w:bCs/>
          <w:rtl/>
        </w:rPr>
      </w:pPr>
      <w:r w:rsidRPr="00A210E9">
        <w:rPr>
          <w:rFonts w:eastAsia="Calibri" w:hint="eastAsia"/>
          <w:rtl/>
        </w:rPr>
        <w:t>תרשי</w:t>
      </w:r>
      <w:r w:rsidRPr="00A210E9">
        <w:rPr>
          <w:rFonts w:eastAsia="Calibri" w:hint="cs"/>
          <w:rtl/>
        </w:rPr>
        <w:t>ם 17</w:t>
      </w:r>
      <w:r w:rsidRPr="00A210E9">
        <w:rPr>
          <w:rFonts w:eastAsia="Calibri"/>
          <w:rtl/>
        </w:rPr>
        <w:t xml:space="preserve">: </w:t>
      </w:r>
      <w:r w:rsidRPr="00A210E9">
        <w:rPr>
          <w:rFonts w:eastAsia="Calibri" w:hint="cs"/>
          <w:b/>
          <w:bCs/>
          <w:rtl/>
        </w:rPr>
        <w:t>מספר דוחות בגין חניה בחניית נכים בערים שונות, 2020 - 2023</w:t>
      </w:r>
    </w:p>
    <w:p w:rsidR="00A210E9" w:rsidRPr="00A210E9" w:rsidP="00A210E9">
      <w:pPr>
        <w:keepNext/>
        <w:keepLines/>
        <w:spacing w:line="269" w:lineRule="auto"/>
        <w:jc w:val="center"/>
        <w:rPr>
          <w:rFonts w:eastAsia="Calibri"/>
          <w:b/>
          <w:bCs/>
          <w:rtl/>
        </w:rPr>
      </w:pPr>
      <w:r w:rsidRPr="00A210E9">
        <w:rPr>
          <w:rFonts w:eastAsia="Calibri"/>
          <w:noProof/>
        </w:rPr>
        <w:drawing>
          <wp:inline distT="0" distB="0" distL="0" distR="0">
            <wp:extent cx="2243522" cy="1182727"/>
            <wp:effectExtent l="0" t="0" r="4445" b="0"/>
            <wp:docPr id="27" name="תמונה 2" descr="מספר הדוחות שניתנו בבאר שבע בגין חניה בחניית נכים:&#10;שנת 2020&#10;982 דוחות&#10;&#10;שנת 2021&#10;959 דוחות&#10;&#10;שנת 2022&#10;1046 דוחות&#10;&#10;שנת 2023&#10;649 דוחות">
              <a:extLst xmlns:a="http://schemas.openxmlformats.org/drawingml/2006/main">
                <a:ext xmlns:a="http://schemas.openxmlformats.org/drawingml/2006/main" uri="{FF2B5EF4-FFF2-40B4-BE49-F238E27FC236}">
                  <a16:creationId xmlns:a16="http://schemas.microsoft.com/office/drawing/2014/main" id="{F369BE7A-B95D-4791-BDF4-2E0C7A320D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תמונה 2">
                      <a:extLst>
                        <a:ext xmlns:a="http://schemas.openxmlformats.org/drawingml/2006/main" uri="{FF2B5EF4-FFF2-40B4-BE49-F238E27FC236}">
                          <a16:creationId xmlns:a16="http://schemas.microsoft.com/office/drawing/2014/main" id="{F369BE7A-B95D-4791-BDF4-2E0C7A320D2D}"/>
                        </a:ext>
                      </a:extLst>
                    </pic:cNvPr>
                    <pic:cNvPicPr>
                      <a:picLocks noChangeAspect="1"/>
                    </pic:cNvPicPr>
                  </pic:nvPicPr>
                  <pic:blipFill>
                    <a:blip xmlns:r="http://schemas.openxmlformats.org/officeDocument/2006/relationships" r:embed="rId38"/>
                    <a:stretch>
                      <a:fillRect/>
                    </a:stretch>
                  </pic:blipFill>
                  <pic:spPr>
                    <a:xfrm>
                      <a:off x="0" y="0"/>
                      <a:ext cx="2243522" cy="1182727"/>
                    </a:xfrm>
                    <a:prstGeom prst="rect">
                      <a:avLst/>
                    </a:prstGeom>
                  </pic:spPr>
                </pic:pic>
              </a:graphicData>
            </a:graphic>
          </wp:inline>
        </w:drawing>
      </w:r>
      <w:r w:rsidRPr="00A210E9">
        <w:rPr>
          <w:rFonts w:eastAsia="Calibri"/>
          <w:noProof/>
        </w:rPr>
        <w:drawing>
          <wp:inline distT="0" distB="0" distL="0" distR="0">
            <wp:extent cx="2127688" cy="1188823"/>
            <wp:effectExtent l="0" t="0" r="6350" b="0"/>
            <wp:docPr id="28" name="תמונה 3" descr="מספר הדוחות שניתנו בפתח תקווה בגין חניה בחניית נכים:&#10;שנת 2020&#10; 906 דוחות&#10;&#10;שנת 2021&#10;863 דוחות&#10;&#10;שנת 2022&#10;1040 דוחות&#10;&#10;שנת 2023&#10;497 דוחות">
              <a:extLst xmlns:a="http://schemas.openxmlformats.org/drawingml/2006/main">
                <a:ext xmlns:a="http://schemas.openxmlformats.org/drawingml/2006/main" uri="{FF2B5EF4-FFF2-40B4-BE49-F238E27FC236}">
                  <a16:creationId xmlns:a16="http://schemas.microsoft.com/office/drawing/2014/main" id="{EC10A823-D86B-466F-AFDA-066E044DCA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תמונה 3">
                      <a:extLst>
                        <a:ext xmlns:a="http://schemas.openxmlformats.org/drawingml/2006/main" uri="{FF2B5EF4-FFF2-40B4-BE49-F238E27FC236}">
                          <a16:creationId xmlns:a16="http://schemas.microsoft.com/office/drawing/2014/main" id="{EC10A823-D86B-466F-AFDA-066E044DCA12}"/>
                        </a:ext>
                      </a:extLst>
                    </pic:cNvPr>
                    <pic:cNvPicPr>
                      <a:picLocks noChangeAspect="1"/>
                    </pic:cNvPicPr>
                  </pic:nvPicPr>
                  <pic:blipFill>
                    <a:blip xmlns:r="http://schemas.openxmlformats.org/officeDocument/2006/relationships" r:embed="rId39"/>
                    <a:stretch>
                      <a:fillRect/>
                    </a:stretch>
                  </pic:blipFill>
                  <pic:spPr>
                    <a:xfrm>
                      <a:off x="0" y="0"/>
                      <a:ext cx="2127688" cy="1188823"/>
                    </a:xfrm>
                    <a:prstGeom prst="rect">
                      <a:avLst/>
                    </a:prstGeom>
                  </pic:spPr>
                </pic:pic>
              </a:graphicData>
            </a:graphic>
          </wp:inline>
        </w:drawing>
      </w:r>
    </w:p>
    <w:p w:rsidR="00A210E9" w:rsidRPr="00A210E9" w:rsidP="00A210E9">
      <w:pPr>
        <w:keepNext/>
        <w:keepLines/>
        <w:spacing w:line="269" w:lineRule="auto"/>
        <w:jc w:val="center"/>
        <w:rPr>
          <w:rFonts w:eastAsia="Calibri"/>
          <w:b/>
          <w:bCs/>
          <w:rtl/>
        </w:rPr>
      </w:pPr>
      <w:r w:rsidRPr="00A210E9">
        <w:rPr>
          <w:rFonts w:eastAsia="Calibri"/>
          <w:noProof/>
        </w:rPr>
        <w:drawing>
          <wp:inline distT="0" distB="0" distL="0" distR="0">
            <wp:extent cx="2249619" cy="1127858"/>
            <wp:effectExtent l="0" t="0" r="0" b="0"/>
            <wp:docPr id="25" name="תמונה 4" descr="מספר הדוחות שניתנו בחדרה בגין חניה בחניית נכים:&#10;שנת 2020&#10; 400 דוחות&#10;&#10;שנת 2021&#10;586 דוחות&#10;&#10;שנת 2022&#10;422 דוחות&#10;&#10;שנת 2023&#10;571 דוחות">
              <a:extLst xmlns:a="http://schemas.openxmlformats.org/drawingml/2006/main">
                <a:ext xmlns:a="http://schemas.openxmlformats.org/drawingml/2006/main" uri="{FF2B5EF4-FFF2-40B4-BE49-F238E27FC236}">
                  <a16:creationId xmlns:a16="http://schemas.microsoft.com/office/drawing/2014/main" id="{590A015F-8799-4085-8930-04E7A51E1D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תמונה 4">
                      <a:extLst>
                        <a:ext xmlns:a="http://schemas.openxmlformats.org/drawingml/2006/main" uri="{FF2B5EF4-FFF2-40B4-BE49-F238E27FC236}">
                          <a16:creationId xmlns:a16="http://schemas.microsoft.com/office/drawing/2014/main" id="{590A015F-8799-4085-8930-04E7A51E1DDF}"/>
                        </a:ext>
                      </a:extLst>
                    </pic:cNvPr>
                    <pic:cNvPicPr>
                      <a:picLocks noChangeAspect="1"/>
                    </pic:cNvPicPr>
                  </pic:nvPicPr>
                  <pic:blipFill>
                    <a:blip xmlns:r="http://schemas.openxmlformats.org/officeDocument/2006/relationships" r:embed="rId40"/>
                    <a:stretch>
                      <a:fillRect/>
                    </a:stretch>
                  </pic:blipFill>
                  <pic:spPr>
                    <a:xfrm>
                      <a:off x="0" y="0"/>
                      <a:ext cx="2249619" cy="1127858"/>
                    </a:xfrm>
                    <a:prstGeom prst="rect">
                      <a:avLst/>
                    </a:prstGeom>
                  </pic:spPr>
                </pic:pic>
              </a:graphicData>
            </a:graphic>
          </wp:inline>
        </w:drawing>
      </w:r>
      <w:r w:rsidRPr="00A210E9">
        <w:rPr>
          <w:rFonts w:eastAsia="Calibri"/>
          <w:noProof/>
        </w:rPr>
        <w:drawing>
          <wp:inline distT="0" distB="0" distL="0" distR="0">
            <wp:extent cx="2121592" cy="1146147"/>
            <wp:effectExtent l="0" t="0" r="0" b="0"/>
            <wp:docPr id="31" name="תמונה 5" descr="מספר הדוחות שניתנו בנתניה בגין חניה בחניית נכים:&#10;שנת 2020&#10; 916 דוחות&#10;&#10;שנת 2021&#10;1347 דוחות&#10;&#10;שנת 2022&#10;910 דוחות&#10;&#10;שנת 2023&#10;743 דוחות">
              <a:extLst xmlns:a="http://schemas.openxmlformats.org/drawingml/2006/main">
                <a:ext xmlns:a="http://schemas.openxmlformats.org/drawingml/2006/main" uri="{FF2B5EF4-FFF2-40B4-BE49-F238E27FC236}">
                  <a16:creationId xmlns:a16="http://schemas.microsoft.com/office/drawing/2014/main" id="{F9ABFEC4-111C-4E91-A3C2-91C5D4DE9D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תמונה 5">
                      <a:extLst>
                        <a:ext xmlns:a="http://schemas.openxmlformats.org/drawingml/2006/main" uri="{FF2B5EF4-FFF2-40B4-BE49-F238E27FC236}">
                          <a16:creationId xmlns:a16="http://schemas.microsoft.com/office/drawing/2014/main" id="{F9ABFEC4-111C-4E91-A3C2-91C5D4DE9D2A}"/>
                        </a:ext>
                      </a:extLst>
                    </pic:cNvPr>
                    <pic:cNvPicPr>
                      <a:picLocks noChangeAspect="1"/>
                    </pic:cNvPicPr>
                  </pic:nvPicPr>
                  <pic:blipFill>
                    <a:blip xmlns:r="http://schemas.openxmlformats.org/officeDocument/2006/relationships" r:embed="rId41"/>
                    <a:stretch>
                      <a:fillRect/>
                    </a:stretch>
                  </pic:blipFill>
                  <pic:spPr>
                    <a:xfrm>
                      <a:off x="0" y="0"/>
                      <a:ext cx="2121592" cy="1146147"/>
                    </a:xfrm>
                    <a:prstGeom prst="rect">
                      <a:avLst/>
                    </a:prstGeom>
                  </pic:spPr>
                </pic:pic>
              </a:graphicData>
            </a:graphic>
          </wp:inline>
        </w:drawing>
      </w:r>
    </w:p>
    <w:p w:rsidR="00A210E9" w:rsidRPr="00A210E9" w:rsidP="00A210E9">
      <w:pPr>
        <w:spacing w:line="269" w:lineRule="auto"/>
        <w:rPr>
          <w:rFonts w:eastAsia="Calibri"/>
          <w:szCs w:val="20"/>
          <w:rtl/>
        </w:rPr>
      </w:pPr>
      <w:r w:rsidRPr="00A210E9">
        <w:rPr>
          <w:rFonts w:eastAsia="Calibri" w:hint="eastAsia"/>
          <w:szCs w:val="20"/>
          <w:rtl/>
        </w:rPr>
        <w:t>על</w:t>
      </w:r>
      <w:r w:rsidRPr="00A210E9">
        <w:rPr>
          <w:rFonts w:eastAsia="Calibri"/>
          <w:szCs w:val="20"/>
          <w:rtl/>
        </w:rPr>
        <w:t xml:space="preserve"> פי נתונים שהתקבלו בעמותת נגישות ישראל מה</w:t>
      </w:r>
      <w:r w:rsidRPr="00A210E9">
        <w:rPr>
          <w:rFonts w:eastAsia="Calibri" w:hint="eastAsia"/>
          <w:szCs w:val="20"/>
          <w:rtl/>
        </w:rPr>
        <w:t>רשויות</w:t>
      </w:r>
      <w:r w:rsidRPr="00A210E9">
        <w:rPr>
          <w:rFonts w:eastAsia="Calibri"/>
          <w:szCs w:val="20"/>
          <w:rtl/>
        </w:rPr>
        <w:t xml:space="preserve"> המקומיות </w:t>
      </w:r>
      <w:r w:rsidRPr="00A210E9">
        <w:rPr>
          <w:rFonts w:eastAsia="Calibri" w:hint="eastAsia"/>
          <w:szCs w:val="20"/>
          <w:rtl/>
        </w:rPr>
        <w:t>לפי</w:t>
      </w:r>
      <w:r w:rsidRPr="00A210E9">
        <w:rPr>
          <w:rFonts w:eastAsia="Calibri"/>
          <w:szCs w:val="20"/>
          <w:rtl/>
        </w:rPr>
        <w:t xml:space="preserve"> </w:t>
      </w:r>
      <w:r w:rsidRPr="00A210E9">
        <w:rPr>
          <w:rFonts w:eastAsia="Calibri" w:hint="eastAsia"/>
          <w:szCs w:val="20"/>
          <w:rtl/>
        </w:rPr>
        <w:t>חוק</w:t>
      </w:r>
      <w:r w:rsidRPr="00A210E9">
        <w:rPr>
          <w:rFonts w:eastAsia="Calibri"/>
          <w:szCs w:val="20"/>
          <w:rtl/>
        </w:rPr>
        <w:t xml:space="preserve"> חופש המידע, בעיבוד משרד מבקר המדינה</w:t>
      </w:r>
      <w:r w:rsidRPr="00A210E9">
        <w:rPr>
          <w:rFonts w:eastAsia="Calibri" w:hint="cs"/>
          <w:szCs w:val="20"/>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 xml:space="preserve">מהתרשים עולה שבשנים 2020 - 2023 נרשמה בארבע הערים שנבדקו תנודתיות ברישום דוחות חניה לנהגים שחנו בחניית נכים בלי שהם מחזיקים בתג חניה. חשוב לציין שהשנים 2020 - 2021 הן שנים שבהן היו סגרים בשל מגפת הקורונה. אף ששנת 2022 הייתה שנת יציאה ממגפת הקורונה, חלה בשנה זו בחדרה ובנתניה ירידה של 28% ו-32% (בהתאמה) במספר הדוחות ביחס לשנת 2021. בנתניה נמשכה הירידה בשנת 2023 בשיעור של 18%, לעומת עלייה של 35% בחדרה באותה השנה. בבאר שבע נרשמה בשנת 2022 עלייה קלה לעומת 2021, אך חלה ירידה בשיעור של 38% בשנת 2023. בפתח תקווה נרשמה אומנם עלייה של 21% בשנת 2022 לעומת 2021, אך בשנת 2023 חלה ירידה של 52%. </w:t>
      </w:r>
    </w:p>
    <w:p w:rsidR="00A210E9" w:rsidRPr="00A210E9" w:rsidP="00A210E9">
      <w:pPr>
        <w:keepNext/>
        <w:keepLines/>
        <w:spacing w:line="269" w:lineRule="auto"/>
        <w:ind w:left="-567"/>
        <w:rPr>
          <w:rFonts w:eastAsia="Calibri"/>
          <w:szCs w:val="20"/>
          <w:rtl/>
        </w:rPr>
      </w:pPr>
      <w:bookmarkStart w:id="122" w:name="_Hlk231283497"/>
    </w:p>
    <w:bookmarkEnd w:id="122"/>
    <w:p w:rsidR="00A210E9" w:rsidRPr="00A210E9" w:rsidP="00A210E9">
      <w:pPr>
        <w:keepNext/>
        <w:keepLines/>
        <w:tabs>
          <w:tab w:val="left" w:pos="2125"/>
        </w:tabs>
        <w:spacing w:line="269" w:lineRule="auto"/>
        <w:jc w:val="center"/>
        <w:rPr>
          <w:rFonts w:eastAsia="Calibri"/>
          <w:b/>
          <w:bCs/>
          <w:rtl/>
        </w:rPr>
      </w:pPr>
      <w:r w:rsidRPr="00A210E9">
        <w:rPr>
          <w:rFonts w:eastAsia="Calibri" w:hint="eastAsia"/>
          <w:rtl/>
        </w:rPr>
        <w:t>תרשים</w:t>
      </w:r>
      <w:r w:rsidRPr="00A210E9">
        <w:rPr>
          <w:rFonts w:eastAsia="Calibri" w:hint="cs"/>
          <w:rtl/>
        </w:rPr>
        <w:t xml:space="preserve"> 18</w:t>
      </w:r>
      <w:r w:rsidRPr="00A210E9">
        <w:rPr>
          <w:rFonts w:eastAsia="Calibri"/>
          <w:rtl/>
        </w:rPr>
        <w:t>:</w:t>
      </w:r>
      <w:r w:rsidRPr="00A210E9">
        <w:rPr>
          <w:rFonts w:eastAsia="Calibri" w:hint="cs"/>
          <w:b/>
          <w:bCs/>
          <w:rtl/>
        </w:rPr>
        <w:t xml:space="preserve"> מספר דוחות על חניה בחניית נכים בערים שונות, 2020 - 2023 (1:1,000 תושבים)*</w:t>
      </w:r>
    </w:p>
    <w:p w:rsidR="00A210E9" w:rsidRPr="00A210E9" w:rsidP="00A210E9">
      <w:pPr>
        <w:spacing w:line="269" w:lineRule="auto"/>
        <w:jc w:val="center"/>
        <w:rPr>
          <w:rFonts w:eastAsia="Calibri"/>
          <w:rtl/>
        </w:rPr>
      </w:pPr>
      <w:r w:rsidRPr="00A210E9">
        <w:rPr>
          <w:rFonts w:eastAsia="Calibri"/>
          <w:noProof/>
        </w:rPr>
        <w:drawing>
          <wp:inline distT="0" distB="0" distL="0" distR="0">
            <wp:extent cx="3767655" cy="1847248"/>
            <wp:effectExtent l="0" t="0" r="4445" b="635"/>
            <wp:docPr id="32" name="תמונה 6" descr="ציר ה-X (האופקי) מייצג את השנים: 2020, 2021, 2022, 2023.&#10;&#10;ציר ה-Y (האנכי) מייצג ערכים מספריים מ-0.00 עד 7.00.&#10;&#10;ארבעת הקווים בגרף מייצגים את הערים הבאות:&#10;&#10;באר שבע (קו כחול)&#10;&#10;פתח תקווה (קו אדום) - הערה: במקרא הגרף מופיע &quot;הווקת תקוה&quot;, אך סביר להניח שהכוונה היא לפתח תקווה.&#10;&#10;חדרה (קו ירוק)&#10;&#10;נתניה (קו סגול)&#10;&#10;תיאור הנתונים לפי שנים:&#10;שנת 2020:&#10;&#10;באר שבע: כ-4.6&#10;&#10;פתח תקווה: כ-3.6&#10;&#10;חדרה: כ-4.1&#10;&#10;נתניה: כ-4.1&#10;&#10;שנת 2021:&#10;&#10;באר שבע: כ-4.5 (ירידה קלה)&#10;&#10;פתח תקווה: כ-3.4 (ירידה קלה)&#10;&#10;חדרה: כ-6.0 (עלייה חדה)&#10;&#10;נתניה: כ-6.1 (עלייה חדה, הערך הגבוה ביותר בגרף)&#10;&#10;שנת 2022:&#10;&#10;באר שבע: כ-4.9 (עלייה)&#10;&#10;פתח תקווה: כ-4.0 (עלייה)&#10;&#10;חדרה: כ-4.2 (ירידה חדה)&#10;&#10;נתניה: כ-4.0 (ירידה חדה)&#10;&#10;שנת 2023:&#10;&#10;באר שבע: כ-3.0 (ירידה)&#10;&#10;פתח תקווה: כ-1.9 (ירידה חדה, הערך הנמוך ביותר בגרף)&#10;&#10;חדרה: כ-5.4 (עלייה)&#10;&#10;נתניה: כ-3.2 (ירידה)">
              <a:extLst xmlns:a="http://schemas.openxmlformats.org/drawingml/2006/main">
                <a:ext xmlns:a="http://schemas.openxmlformats.org/drawingml/2006/main" uri="{FF2B5EF4-FFF2-40B4-BE49-F238E27FC236}">
                  <a16:creationId xmlns:a16="http://schemas.microsoft.com/office/drawing/2014/main" id="{6F383DFC-D999-47F0-A694-032C6C6690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תמונה 6">
                      <a:extLst>
                        <a:ext xmlns:a="http://schemas.openxmlformats.org/drawingml/2006/main" uri="{FF2B5EF4-FFF2-40B4-BE49-F238E27FC236}">
                          <a16:creationId xmlns:a16="http://schemas.microsoft.com/office/drawing/2014/main" id="{6F383DFC-D999-47F0-A694-032C6C669025}"/>
                        </a:ext>
                      </a:extLst>
                    </pic:cNvPr>
                    <pic:cNvPicPr>
                      <a:picLocks noChangeAspect="1"/>
                    </pic:cNvPicPr>
                  </pic:nvPicPr>
                  <pic:blipFill>
                    <a:blip xmlns:r="http://schemas.openxmlformats.org/officeDocument/2006/relationships" r:embed="rId42"/>
                    <a:stretch>
                      <a:fillRect/>
                    </a:stretch>
                  </pic:blipFill>
                  <pic:spPr>
                    <a:xfrm>
                      <a:off x="0" y="0"/>
                      <a:ext cx="3767655" cy="1847248"/>
                    </a:xfrm>
                    <a:prstGeom prst="rect">
                      <a:avLst/>
                    </a:prstGeom>
                  </pic:spPr>
                </pic:pic>
              </a:graphicData>
            </a:graphic>
          </wp:inline>
        </w:drawing>
      </w:r>
    </w:p>
    <w:p w:rsidR="00A210E9" w:rsidRPr="00A210E9" w:rsidP="00A210E9">
      <w:pPr>
        <w:spacing w:line="269" w:lineRule="auto"/>
        <w:rPr>
          <w:rFonts w:eastAsia="Calibri"/>
          <w:szCs w:val="20"/>
          <w:rtl/>
        </w:rPr>
      </w:pPr>
      <w:r w:rsidRPr="00A210E9">
        <w:rPr>
          <w:rFonts w:eastAsia="Calibri" w:hint="eastAsia"/>
          <w:szCs w:val="20"/>
          <w:rtl/>
        </w:rPr>
        <w:t>על</w:t>
      </w:r>
      <w:r w:rsidRPr="00A210E9">
        <w:rPr>
          <w:rFonts w:eastAsia="Calibri"/>
          <w:szCs w:val="20"/>
          <w:rtl/>
        </w:rPr>
        <w:t xml:space="preserve"> פי נתונים שהתקבלו בעמותת נגישות ישראל </w:t>
      </w:r>
      <w:r w:rsidRPr="00A210E9">
        <w:rPr>
          <w:rFonts w:eastAsia="Calibri" w:hint="cs"/>
          <w:szCs w:val="20"/>
          <w:rtl/>
        </w:rPr>
        <w:t>מהרשויות המקומיות</w:t>
      </w:r>
      <w:r w:rsidRPr="00A210E9">
        <w:rPr>
          <w:rFonts w:eastAsia="Calibri"/>
          <w:szCs w:val="20"/>
          <w:rtl/>
        </w:rPr>
        <w:t xml:space="preserve"> </w:t>
      </w:r>
      <w:r w:rsidRPr="00A210E9">
        <w:rPr>
          <w:rFonts w:eastAsia="Calibri" w:hint="eastAsia"/>
          <w:szCs w:val="20"/>
          <w:rtl/>
        </w:rPr>
        <w:t>ל</w:t>
      </w:r>
      <w:r w:rsidRPr="00A210E9">
        <w:rPr>
          <w:rFonts w:eastAsia="Calibri" w:hint="cs"/>
          <w:szCs w:val="20"/>
          <w:rtl/>
        </w:rPr>
        <w:t xml:space="preserve">פי </w:t>
      </w:r>
      <w:r w:rsidRPr="00A210E9">
        <w:rPr>
          <w:rFonts w:eastAsia="Calibri" w:hint="eastAsia"/>
          <w:szCs w:val="20"/>
          <w:rtl/>
        </w:rPr>
        <w:t>חוק</w:t>
      </w:r>
      <w:r w:rsidRPr="00A210E9">
        <w:rPr>
          <w:rFonts w:eastAsia="Calibri"/>
          <w:szCs w:val="20"/>
          <w:rtl/>
        </w:rPr>
        <w:t xml:space="preserve"> חופש המידע ו</w:t>
      </w:r>
      <w:r w:rsidRPr="00A210E9">
        <w:rPr>
          <w:rFonts w:eastAsia="Calibri" w:hint="cs"/>
          <w:szCs w:val="20"/>
          <w:rtl/>
        </w:rPr>
        <w:t xml:space="preserve">על פי </w:t>
      </w:r>
      <w:r w:rsidRPr="00A210E9">
        <w:rPr>
          <w:rFonts w:eastAsia="Calibri" w:hint="eastAsia"/>
          <w:szCs w:val="20"/>
          <w:rtl/>
        </w:rPr>
        <w:t>נתוני</w:t>
      </w:r>
      <w:r w:rsidRPr="00A210E9">
        <w:rPr>
          <w:rFonts w:eastAsia="Calibri"/>
          <w:szCs w:val="20"/>
          <w:rtl/>
        </w:rPr>
        <w:t xml:space="preserve"> הלמ"ס, בעיבוד משרד מבקר המדינה</w:t>
      </w:r>
      <w:r w:rsidRPr="00A210E9">
        <w:rPr>
          <w:rFonts w:eastAsia="Calibri" w:hint="cs"/>
          <w:szCs w:val="20"/>
          <w:rtl/>
        </w:rPr>
        <w:t>.</w:t>
      </w:r>
    </w:p>
    <w:p w:rsidR="00A210E9" w:rsidRPr="00A210E9" w:rsidP="00A210E9">
      <w:pPr>
        <w:spacing w:line="269" w:lineRule="auto"/>
        <w:rPr>
          <w:rFonts w:eastAsia="Calibri"/>
          <w:szCs w:val="20"/>
          <w:rtl/>
        </w:rPr>
      </w:pPr>
      <w:r w:rsidRPr="00A210E9">
        <w:rPr>
          <w:rFonts w:eastAsia="Calibri"/>
          <w:szCs w:val="20"/>
          <w:rtl/>
        </w:rPr>
        <w:t xml:space="preserve">* יש לציין כי נתוני האכיפה עשויים להיות מושפעים מהשונות במאפייני הרשויות המקומיות. </w:t>
      </w:r>
      <w:r w:rsidRPr="00A210E9">
        <w:rPr>
          <w:rFonts w:eastAsia="Calibri" w:hint="cs"/>
          <w:szCs w:val="20"/>
          <w:rtl/>
        </w:rPr>
        <w:t xml:space="preserve">כדי </w:t>
      </w:r>
      <w:r w:rsidRPr="00A210E9">
        <w:rPr>
          <w:rFonts w:eastAsia="Calibri" w:hint="eastAsia"/>
          <w:szCs w:val="20"/>
          <w:rtl/>
        </w:rPr>
        <w:t>לנטרל</w:t>
      </w:r>
      <w:r w:rsidRPr="00A210E9">
        <w:rPr>
          <w:rFonts w:eastAsia="Calibri"/>
          <w:szCs w:val="20"/>
          <w:rtl/>
        </w:rPr>
        <w:t xml:space="preserve"> ככל הניתן את השונות במאפיינים</w:t>
      </w:r>
      <w:r w:rsidRPr="00A210E9">
        <w:rPr>
          <w:rFonts w:eastAsia="Calibri" w:hint="cs"/>
          <w:szCs w:val="20"/>
          <w:rtl/>
        </w:rPr>
        <w:t xml:space="preserve"> נרמל</w:t>
      </w:r>
      <w:r w:rsidRPr="00A210E9">
        <w:rPr>
          <w:rFonts w:eastAsia="Calibri"/>
          <w:szCs w:val="20"/>
          <w:rtl/>
        </w:rPr>
        <w:t xml:space="preserve"> משרד מבקר המדינה </w:t>
      </w:r>
      <w:r w:rsidRPr="00A210E9">
        <w:rPr>
          <w:rFonts w:eastAsia="Calibri" w:hint="eastAsia"/>
          <w:szCs w:val="20"/>
          <w:rtl/>
        </w:rPr>
        <w:t>את</w:t>
      </w:r>
      <w:r w:rsidRPr="00A210E9">
        <w:rPr>
          <w:rFonts w:eastAsia="Calibri" w:hint="cs"/>
          <w:szCs w:val="20"/>
          <w:rtl/>
        </w:rPr>
        <w:t xml:space="preserve"> מספר</w:t>
      </w:r>
      <w:r w:rsidRPr="00A210E9">
        <w:rPr>
          <w:rFonts w:eastAsia="Calibri"/>
          <w:szCs w:val="20"/>
          <w:rtl/>
        </w:rPr>
        <w:t xml:space="preserve"> הדוחות ביחס למספר התושבים בכל עיר, אולם אין בכך כדי לבטל </w:t>
      </w:r>
      <w:r w:rsidRPr="00A210E9">
        <w:rPr>
          <w:rFonts w:eastAsia="Calibri" w:hint="eastAsia"/>
          <w:szCs w:val="20"/>
          <w:rtl/>
        </w:rPr>
        <w:t>כליל</w:t>
      </w:r>
      <w:r w:rsidRPr="00A210E9">
        <w:rPr>
          <w:rFonts w:eastAsia="Calibri"/>
          <w:szCs w:val="20"/>
          <w:rtl/>
        </w:rPr>
        <w:t xml:space="preserve"> את השפעת </w:t>
      </w:r>
      <w:r w:rsidRPr="00A210E9">
        <w:rPr>
          <w:rFonts w:eastAsia="Calibri" w:hint="eastAsia"/>
          <w:szCs w:val="20"/>
          <w:rtl/>
        </w:rPr>
        <w:t>השונות</w:t>
      </w:r>
      <w:r w:rsidRPr="00A210E9">
        <w:rPr>
          <w:rFonts w:eastAsia="Calibri"/>
          <w:szCs w:val="20"/>
          <w:rtl/>
        </w:rPr>
        <w:t xml:space="preserve"> במאפייני הערים.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 xml:space="preserve">בתרשים ניתן לראות שביחס למספר התושבים עיריית פתח תקווה רושמת פחות דוחות לעומת יתר העיריות, בפרט בשנת 2023 שבה ניתנו 1.9 דוחות לכל 1,000 תושבים, לעומת 3.0 דוחות בבאר שבע, 3.2 בנתניה ו-5.3 בחדרה.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שיעור גבוה של דוחות יכול להצביע על כך שהרשות המקומית משקיעה משאבים רבים יותר באכיפה, אך הוא יכול גם להצביע על כך שהתופעה של חניית רכב לא מורשה בחניית נכים שכיחה יותר. עם זאת, בשנים שאינן חריגות (כמו שנת קורונה) סביר שלא יהיו שינויים גדולים בשכיחות התופעה, באופן שיכול להסביר את התנודתיות הגבוהה בשנים 2022 - 2023; על כן, נראה כי השינויים במספר הדוחות נובעים מתנודתיות במאמצי האכיפה המושקעים.</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משרד הפנים כתב בתשובתו כי הקצאת המשאבים הנדרשים נוגעת בעיקר למדיניות האכיפה שבסמכות הרשויות המקומיות, וכי אין בסמכותו להתערב בכך.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נוכח הנתונים שהוצגו, משרד מבקר המדינה ממליץ למשרד הפנים, בהתייעצות עם מש"ם, להנחות במסגרת סמכויותיו את הרשויות המקומיות לקבוע אילו משאבים יוקצו לאכיפת איסור החניה של רכב לא מורשה בחניית נכים, לפי שכיחות העבירות באותה רשות מקומית.</w:t>
      </w:r>
    </w:p>
    <w:p w:rsidR="00A210E9" w:rsidRPr="00A210E9" w:rsidP="00A210E9">
      <w:pPr>
        <w:spacing w:line="269" w:lineRule="auto"/>
        <w:rPr>
          <w:rFonts w:eastAsia="Calibri"/>
        </w:rPr>
      </w:pPr>
    </w:p>
    <w:bookmarkEnd w:id="121"/>
    <w:p w:rsidR="00A210E9" w:rsidRPr="00A210E9" w:rsidP="00A210E9">
      <w:pPr>
        <w:keepNext/>
        <w:keepLines/>
        <w:spacing w:line="269" w:lineRule="auto"/>
        <w:outlineLvl w:val="4"/>
        <w:rPr>
          <w:rFonts w:eastAsia="Times New Roman"/>
          <w:bCs/>
          <w:spacing w:val="40"/>
          <w:rtl/>
        </w:rPr>
      </w:pPr>
      <w:r w:rsidRPr="00A210E9">
        <w:rPr>
          <w:rFonts w:eastAsia="Times New Roman" w:hint="cs"/>
          <w:bCs/>
          <w:spacing w:val="40"/>
          <w:rtl/>
        </w:rPr>
        <w:t>חניה של רכב הנושא תג חניה בחניית נכים בעת שהרכב אינו משרת את האדם עם מוגבלות</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סעיף 4א לחוק חניה לנכים מקנה לבית המשפט את האפשרות להטיל קנס שנקבע בסעיף 61(א)(1) לחוק העונשין במקרה שבו אדם שאינו אדם עם מוגבלות ואינו מתלווה לאדם עם מוגבלות השתמש בתג חניה והחנה רכב הנושא תג חניה במקום שאין החניה מותרת בו. החוק מטיל קנס גם על האדם עם מוגבלות שמסר לו את התג, ואף מציין שבית המשפט רשאי לשלול מהאדם עם המוגבלות את התג לתקופה שתיקבע על ידו. סכום הקנס הוא עד לסכום מקסימלי של 14,400 ש"ח.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תמרור 437 מציין מקום חניה של רכב של אדם עם מוגבלות. בתקנות והנחיות להצבת תמרורים לשנת 2024 מצוין שפירוש התמרור "חניה בלעדית לרכב של נכה הנושא תג חניה לנכה מקורי תקף, בעת שהרכב משמש את הנכה שלו ניתן התג". </w:t>
      </w:r>
    </w:p>
    <w:p w:rsidR="00A210E9" w:rsidRPr="00A210E9" w:rsidP="00A210E9">
      <w:pPr>
        <w:keepNext/>
        <w:keepLines/>
        <w:spacing w:line="269" w:lineRule="auto"/>
        <w:ind w:left="-567"/>
        <w:rPr>
          <w:rFonts w:eastAsia="Calibri"/>
          <w:szCs w:val="20"/>
          <w:rtl/>
        </w:rPr>
      </w:pPr>
    </w:p>
    <w:p w:rsidR="00A210E9" w:rsidRPr="00A210E9" w:rsidP="00A210E9">
      <w:pPr>
        <w:keepNext/>
        <w:keepLines/>
        <w:spacing w:line="269" w:lineRule="auto"/>
        <w:jc w:val="center"/>
        <w:rPr>
          <w:rFonts w:eastAsia="Calibri"/>
          <w:b/>
          <w:bCs/>
          <w:rtl/>
        </w:rPr>
      </w:pPr>
      <w:r w:rsidRPr="00A210E9">
        <w:rPr>
          <w:rFonts w:eastAsia="Calibri" w:hint="cs"/>
          <w:rtl/>
        </w:rPr>
        <w:t>תמונה 4</w:t>
      </w:r>
      <w:r w:rsidRPr="00A210E9">
        <w:rPr>
          <w:rFonts w:eastAsia="Calibri"/>
          <w:rtl/>
        </w:rPr>
        <w:t>:</w:t>
      </w:r>
      <w:r w:rsidRPr="00A210E9">
        <w:rPr>
          <w:rFonts w:eastAsia="Calibri" w:hint="cs"/>
          <w:b/>
          <w:bCs/>
          <w:rtl/>
        </w:rPr>
        <w:t xml:space="preserve"> תמרור 437 ופירושו</w:t>
      </w:r>
    </w:p>
    <w:p w:rsidR="00A210E9" w:rsidRPr="00A210E9" w:rsidP="00A210E9">
      <w:pPr>
        <w:spacing w:line="269" w:lineRule="auto"/>
        <w:rPr>
          <w:rFonts w:eastAsia="Calibri"/>
          <w:rtl/>
        </w:rPr>
      </w:pPr>
      <w:r w:rsidRPr="00A210E9">
        <w:rPr>
          <w:rFonts w:eastAsia="Calibri"/>
          <w:noProof/>
        </w:rPr>
        <w:drawing>
          <wp:inline distT="0" distB="0" distL="0" distR="0">
            <wp:extent cx="5219700" cy="1820739"/>
            <wp:effectExtent l="0" t="0" r="0" b="8255"/>
            <wp:docPr id="33" name="תמונה 33" descr="פירושו של תמרור 437 הוא חניה בלעדית לרכב של נכה הנושא תג נכה מקורי תקף, בעת שהרכב משמש את הנכה שלו ניתן התג.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xmlns:r="http://schemas.openxmlformats.org/officeDocument/2006/relationships" r:embed="rId43"/>
                    <a:srcRect t="12261"/>
                    <a:stretch>
                      <a:fillRect/>
                    </a:stretch>
                  </pic:blipFill>
                  <pic:spPr bwMode="auto">
                    <a:xfrm>
                      <a:off x="0" y="0"/>
                      <a:ext cx="5219700" cy="182073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A210E9" w:rsidRPr="00A210E9" w:rsidP="00A210E9">
      <w:pPr>
        <w:spacing w:line="269" w:lineRule="auto"/>
        <w:rPr>
          <w:rFonts w:ascii="David" w:eastAsia="Calibri" w:hAnsi="David"/>
          <w:sz w:val="22"/>
          <w:szCs w:val="22"/>
          <w:rtl/>
        </w:rPr>
      </w:pPr>
      <w:r w:rsidRPr="00A210E9">
        <w:rPr>
          <w:rFonts w:ascii="David" w:eastAsia="Calibri" w:hAnsi="David" w:hint="cs"/>
          <w:sz w:val="22"/>
          <w:szCs w:val="22"/>
          <w:rtl/>
        </w:rPr>
        <w:t>ה</w:t>
      </w:r>
      <w:r w:rsidRPr="00A210E9">
        <w:rPr>
          <w:rFonts w:ascii="David" w:eastAsia="Calibri" w:hAnsi="David"/>
          <w:sz w:val="22"/>
          <w:szCs w:val="22"/>
          <w:rtl/>
        </w:rPr>
        <w:t>מקור:</w:t>
      </w:r>
      <w:r w:rsidRPr="00A210E9">
        <w:rPr>
          <w:rFonts w:ascii="David" w:eastAsia="Calibri" w:hAnsi="David"/>
          <w:sz w:val="22"/>
          <w:szCs w:val="22"/>
        </w:rPr>
        <w:t xml:space="preserve"> </w:t>
      </w:r>
      <w:r w:rsidRPr="00A210E9">
        <w:rPr>
          <w:rFonts w:ascii="David" w:eastAsia="Calibri" w:hAnsi="David"/>
          <w:sz w:val="22"/>
          <w:szCs w:val="22"/>
          <w:rtl/>
        </w:rPr>
        <w:t>תקנות והנחיות להצבת תמרורים לשנת 2024</w:t>
      </w:r>
      <w:r w:rsidRPr="00A210E9">
        <w:rPr>
          <w:rFonts w:ascii="David" w:eastAsia="Calibri" w:hAnsi="David" w:hint="cs"/>
          <w:sz w:val="22"/>
          <w:szCs w:val="22"/>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עבירות החניה שהרשות המקומית מוסמכת לעסוק בעניינן הן עבירות לפי חוק עזר עירוני של הרשות המקומית בדבר העמדת רכב וחנייתו לפי סעיף 77 לפקודת התעבורה. רשות מקומית רשאית לאכוף את תקנה 72(א)(16), אם נקבעה בחוק העזר: "</w:t>
      </w:r>
      <w:r w:rsidRPr="00A210E9">
        <w:rPr>
          <w:rFonts w:eastAsia="Calibri"/>
          <w:rtl/>
        </w:rPr>
        <w:t>לא יעצור אדם רכב, לא יעמידנו, לא יחנהו ולא ישאירנו עומד, כולו או חלק ממנו, באחד המקומות המנויים להלן</w:t>
      </w:r>
      <w:r w:rsidRPr="00A210E9">
        <w:rPr>
          <w:rFonts w:eastAsia="Calibri" w:hint="cs"/>
          <w:rtl/>
        </w:rPr>
        <w:t>...</w:t>
      </w:r>
      <w:r w:rsidRPr="00A210E9">
        <w:rPr>
          <w:rFonts w:eastAsia="Calibri"/>
          <w:rtl/>
        </w:rPr>
        <w:t xml:space="preserve"> ליד תמרור 437 בניגוד להוראות התמרור</w:t>
      </w:r>
      <w:r w:rsidRPr="00A210E9">
        <w:rPr>
          <w:rFonts w:eastAsia="Calibri" w:hint="cs"/>
          <w:rtl/>
        </w:rPr>
        <w:t xml:space="preserve">". במקרה כזה מדובר בעבירה שפקח שהוסמך לכך רשאי להטיל בגינה קנס בסך 1,000 ש"ח.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תופעת הניצול לרעה של תגי חניה, דהיינו שימוש בחניות נכים על ידי בני משפחה ומקורבים של נושאי תג חניה כאשר הרכב אינו משמש את האדם עם המוגבלות, היא סוגיה שבשנים האחרונות עולה רבות לסדר היום הציבורי. ריבוי תגי החניה, בעיקר בשנים האחרונות, העצים תופעה זו. הנושא אף עלה בדיון בישיבת ועדת העבודה והרווחה של הכנסת בשנת 2022</w:t>
      </w:r>
      <w:r>
        <w:rPr>
          <w:rFonts w:eastAsia="Calibri"/>
          <w:vertAlign w:val="superscript"/>
          <w:rtl/>
        </w:rPr>
        <w:footnoteReference w:id="127"/>
      </w:r>
      <w:r w:rsidRPr="00A210E9">
        <w:rPr>
          <w:rFonts w:eastAsia="Calibri" w:hint="cs"/>
          <w:rtl/>
        </w:rPr>
        <w:t>, ושם אמר נציג מארגון המייצג אנשים עם מוגבלות כי "</w:t>
      </w:r>
      <w:r w:rsidRPr="00A210E9">
        <w:rPr>
          <w:rFonts w:eastAsia="Calibri"/>
          <w:rtl/>
        </w:rPr>
        <w:t>למרות שברור בצורה חד</w:t>
      </w:r>
      <w:r w:rsidRPr="00A210E9">
        <w:rPr>
          <w:rFonts w:eastAsia="Calibri" w:hint="cs"/>
          <w:rtl/>
        </w:rPr>
        <w:t>-</w:t>
      </w:r>
      <w:r w:rsidRPr="00A210E9">
        <w:rPr>
          <w:rFonts w:eastAsia="Calibri"/>
          <w:rtl/>
        </w:rPr>
        <w:t>משמעית</w:t>
      </w:r>
      <w:r w:rsidRPr="00A210E9">
        <w:rPr>
          <w:rFonts w:eastAsia="Calibri" w:hint="cs"/>
          <w:rtl/>
        </w:rPr>
        <w:t>,</w:t>
      </w:r>
      <w:r w:rsidRPr="00A210E9">
        <w:rPr>
          <w:rFonts w:eastAsia="Calibri"/>
          <w:rtl/>
        </w:rPr>
        <w:t xml:space="preserve"> וזה כתוב </w:t>
      </w:r>
      <w:r w:rsidRPr="00A210E9">
        <w:rPr>
          <w:rFonts w:eastAsia="Calibri" w:hint="cs"/>
          <w:rtl/>
        </w:rPr>
        <w:t>על</w:t>
      </w:r>
      <w:r w:rsidRPr="00A210E9">
        <w:rPr>
          <w:rFonts w:eastAsia="Calibri"/>
          <w:rtl/>
        </w:rPr>
        <w:t xml:space="preserve"> הזכאות בקבל</w:t>
      </w:r>
      <w:r w:rsidRPr="00A210E9">
        <w:rPr>
          <w:rFonts w:eastAsia="Calibri" w:hint="cs"/>
          <w:rtl/>
        </w:rPr>
        <w:t xml:space="preserve">ת </w:t>
      </w:r>
      <w:bookmarkStart w:id="123" w:name="_ETM_Q1_1821300"/>
      <w:bookmarkEnd w:id="123"/>
      <w:r w:rsidRPr="00A210E9">
        <w:rPr>
          <w:rFonts w:eastAsia="Calibri" w:hint="cs"/>
          <w:rtl/>
        </w:rPr>
        <w:t>[תג חניה]</w:t>
      </w:r>
      <w:r w:rsidRPr="00A210E9">
        <w:rPr>
          <w:rFonts w:eastAsia="Calibri"/>
          <w:rtl/>
        </w:rPr>
        <w:t xml:space="preserve"> </w:t>
      </w:r>
      <w:r w:rsidRPr="00A210E9">
        <w:rPr>
          <w:rFonts w:eastAsia="Calibri" w:hint="cs"/>
          <w:rtl/>
        </w:rPr>
        <w:t>ש</w:t>
      </w:r>
      <w:r w:rsidRPr="00A210E9">
        <w:rPr>
          <w:rFonts w:eastAsia="Calibri"/>
          <w:rtl/>
        </w:rPr>
        <w:t xml:space="preserve">אפשר להשתמש </w:t>
      </w:r>
      <w:r w:rsidRPr="00A210E9">
        <w:rPr>
          <w:rFonts w:eastAsia="Calibri" w:hint="cs"/>
          <w:rtl/>
        </w:rPr>
        <w:t>[בתג החניה]</w:t>
      </w:r>
      <w:r w:rsidRPr="00A210E9">
        <w:rPr>
          <w:rFonts w:eastAsia="Calibri"/>
          <w:rtl/>
        </w:rPr>
        <w:t xml:space="preserve"> רק </w:t>
      </w:r>
      <w:r w:rsidRPr="00A210E9">
        <w:rPr>
          <w:rFonts w:eastAsia="Calibri" w:hint="cs"/>
          <w:rtl/>
        </w:rPr>
        <w:t>כשהזכאי לו נמצא ברכב,</w:t>
      </w:r>
      <w:r w:rsidRPr="00A210E9">
        <w:rPr>
          <w:rFonts w:eastAsia="Calibri"/>
          <w:rtl/>
        </w:rPr>
        <w:t xml:space="preserve"> בני המשפחה מורידים את ה</w:t>
      </w:r>
      <w:r w:rsidRPr="00A210E9">
        <w:rPr>
          <w:rFonts w:eastAsia="Calibri" w:hint="cs"/>
          <w:rtl/>
        </w:rPr>
        <w:t>ילד בגן,</w:t>
      </w:r>
      <w:r w:rsidRPr="00A210E9">
        <w:rPr>
          <w:rFonts w:eastAsia="Calibri"/>
          <w:rtl/>
        </w:rPr>
        <w:t xml:space="preserve"> או הילד הולך </w:t>
      </w:r>
      <w:r w:rsidRPr="00A210E9">
        <w:rPr>
          <w:rFonts w:eastAsia="Calibri" w:hint="cs"/>
          <w:rtl/>
        </w:rPr>
        <w:t>ל</w:t>
      </w:r>
      <w:r w:rsidRPr="00A210E9">
        <w:rPr>
          <w:rFonts w:eastAsia="Calibri"/>
          <w:rtl/>
        </w:rPr>
        <w:t>קולנוע בלילה</w:t>
      </w:r>
      <w:r w:rsidRPr="00A210E9">
        <w:rPr>
          <w:rFonts w:eastAsia="Calibri" w:hint="cs"/>
          <w:rtl/>
        </w:rPr>
        <w:t>...</w:t>
      </w:r>
      <w:r w:rsidRPr="00A210E9">
        <w:rPr>
          <w:rFonts w:eastAsia="Calibri"/>
          <w:rtl/>
        </w:rPr>
        <w:t xml:space="preserve"> ופשוט </w:t>
      </w:r>
      <w:r w:rsidRPr="00A210E9">
        <w:rPr>
          <w:rFonts w:eastAsia="Calibri" w:hint="cs"/>
          <w:rtl/>
        </w:rPr>
        <w:t>תופסים</w:t>
      </w:r>
      <w:r w:rsidRPr="00A210E9">
        <w:rPr>
          <w:rFonts w:eastAsia="Calibri"/>
          <w:rtl/>
        </w:rPr>
        <w:t xml:space="preserve"> חניות נכים לאלו שצריכים</w:t>
      </w:r>
      <w:r w:rsidRPr="00A210E9">
        <w:rPr>
          <w:rFonts w:eastAsia="Calibri" w:hint="cs"/>
          <w:rtl/>
        </w:rPr>
        <w:t>.</w:t>
      </w:r>
      <w:r w:rsidRPr="00A210E9">
        <w:rPr>
          <w:rFonts w:eastAsia="Calibri"/>
          <w:rtl/>
        </w:rPr>
        <w:t xml:space="preserve"> זה נושא שקשה מאוד לאכוף</w:t>
      </w:r>
      <w:r w:rsidRPr="00A210E9">
        <w:rPr>
          <w:rFonts w:eastAsia="Calibri" w:hint="cs"/>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בביקורת עלה כי במצב כיום יש קושי לאכוף את סעיף 4א לחוק חניה לנכים, וכי למערכות האכיפה אין כלים להתמודד עם ניצול לרעה של התגים, אף לא במצבים מובהקים שבהם שני רכבים המשויכים לאותו תג חניה חונים בו זמנית בחניות נכים. בפרט, יש קושי לוודא שהאדם עם מוגבלות הזכאי לתג אכן נסע ברכב וירד ממנו לפני הגעת הפקח או השוטר, ושהנהג אכן הסיע אותו למחוז חפצו.</w:t>
      </w:r>
    </w:p>
    <w:p w:rsidR="00A210E9" w:rsidRPr="00A210E9" w:rsidP="00A210E9">
      <w:pPr>
        <w:keepNext/>
        <w:keepLines/>
        <w:spacing w:line="269" w:lineRule="auto"/>
        <w:ind w:left="-567"/>
        <w:rPr>
          <w:rFonts w:eastAsia="Calibri"/>
          <w:szCs w:val="20"/>
        </w:rPr>
      </w:pPr>
    </w:p>
    <w:p w:rsidR="00A210E9" w:rsidRPr="00A210E9" w:rsidP="00A210E9">
      <w:pPr>
        <w:spacing w:line="269" w:lineRule="auto"/>
        <w:rPr>
          <w:rFonts w:ascii="David" w:eastAsia="Calibri" w:hAnsi="David"/>
          <w:sz w:val="24"/>
          <w:rtl/>
        </w:rPr>
      </w:pPr>
      <w:bookmarkStart w:id="124" w:name="_Hlk214196581"/>
      <w:r w:rsidRPr="00A210E9">
        <w:rPr>
          <w:rFonts w:ascii="David" w:eastAsia="Calibri" w:hAnsi="David"/>
          <w:rtl/>
        </w:rPr>
        <w:t>לפקחי הרשות המקומית יש את הסמכות לדרוש הצגת תעודת זהות</w:t>
      </w:r>
      <w:r>
        <w:rPr>
          <w:rFonts w:ascii="David" w:eastAsia="Calibri" w:hAnsi="David"/>
          <w:vertAlign w:val="superscript"/>
          <w:rtl/>
        </w:rPr>
        <w:footnoteReference w:id="128"/>
      </w:r>
      <w:r w:rsidRPr="00A210E9">
        <w:rPr>
          <w:rFonts w:ascii="David" w:eastAsia="Calibri" w:hAnsi="David" w:hint="cs"/>
          <w:rtl/>
        </w:rPr>
        <w:t>.</w:t>
      </w:r>
      <w:r w:rsidRPr="00A210E9">
        <w:rPr>
          <w:rFonts w:ascii="David" w:eastAsia="Calibri" w:hAnsi="David"/>
          <w:rtl/>
        </w:rPr>
        <w:t xml:space="preserve"> אולם אין </w:t>
      </w:r>
      <w:r w:rsidRPr="00A210E9">
        <w:rPr>
          <w:rFonts w:ascii="David" w:eastAsia="Calibri" w:hAnsi="David" w:hint="eastAsia"/>
          <w:rtl/>
        </w:rPr>
        <w:t>נתונה</w:t>
      </w:r>
      <w:r w:rsidRPr="00A210E9">
        <w:rPr>
          <w:rFonts w:ascii="David" w:eastAsia="Calibri" w:hAnsi="David"/>
          <w:rtl/>
        </w:rPr>
        <w:t xml:space="preserve"> בידם סמכות חקירה, לכן כאשר רכב החונה בחניית נכים מקושר לתג חניה, </w:t>
      </w:r>
      <w:r w:rsidRPr="00A210E9">
        <w:rPr>
          <w:rFonts w:ascii="David" w:eastAsia="Calibri" w:hAnsi="David" w:hint="eastAsia"/>
          <w:rtl/>
        </w:rPr>
        <w:t>אך</w:t>
      </w:r>
      <w:r w:rsidRPr="00A210E9">
        <w:rPr>
          <w:rFonts w:ascii="David" w:eastAsia="Calibri" w:hAnsi="David"/>
          <w:rtl/>
        </w:rPr>
        <w:t xml:space="preserve"> </w:t>
      </w:r>
      <w:r w:rsidRPr="00A210E9">
        <w:rPr>
          <w:rFonts w:ascii="David" w:eastAsia="Calibri" w:hAnsi="David" w:hint="eastAsia"/>
          <w:rtl/>
        </w:rPr>
        <w:t>בעל</w:t>
      </w:r>
      <w:r w:rsidRPr="00A210E9">
        <w:rPr>
          <w:rFonts w:ascii="David" w:eastAsia="Calibri" w:hAnsi="David"/>
          <w:rtl/>
        </w:rPr>
        <w:t xml:space="preserve"> התג אינו נמצא פיזית ברכב, </w:t>
      </w:r>
      <w:r w:rsidRPr="00A210E9">
        <w:rPr>
          <w:rFonts w:ascii="David" w:eastAsia="Calibri" w:hAnsi="David" w:hint="cs"/>
          <w:rtl/>
        </w:rPr>
        <w:t xml:space="preserve">אם </w:t>
      </w:r>
      <w:r w:rsidRPr="00A210E9">
        <w:rPr>
          <w:rFonts w:ascii="David" w:eastAsia="Calibri" w:hAnsi="David"/>
          <w:rtl/>
        </w:rPr>
        <w:t xml:space="preserve">הנהג יטען </w:t>
      </w:r>
      <w:r w:rsidRPr="00A210E9">
        <w:rPr>
          <w:rFonts w:ascii="David" w:eastAsia="Calibri" w:hAnsi="David" w:hint="eastAsia"/>
          <w:rtl/>
        </w:rPr>
        <w:t>שהאדם</w:t>
      </w:r>
      <w:r w:rsidRPr="00A210E9">
        <w:rPr>
          <w:rFonts w:ascii="David" w:eastAsia="Calibri" w:hAnsi="David"/>
          <w:rtl/>
        </w:rPr>
        <w:t xml:space="preserve"> </w:t>
      </w:r>
      <w:r w:rsidRPr="00A210E9">
        <w:rPr>
          <w:rFonts w:ascii="David" w:eastAsia="Calibri" w:hAnsi="David" w:hint="eastAsia"/>
          <w:rtl/>
        </w:rPr>
        <w:t>עם</w:t>
      </w:r>
      <w:r w:rsidRPr="00A210E9">
        <w:rPr>
          <w:rFonts w:ascii="David" w:eastAsia="Calibri" w:hAnsi="David"/>
          <w:rtl/>
        </w:rPr>
        <w:t xml:space="preserve"> </w:t>
      </w:r>
      <w:r w:rsidRPr="00A210E9">
        <w:rPr>
          <w:rFonts w:ascii="David" w:eastAsia="Calibri" w:hAnsi="David" w:hint="eastAsia"/>
          <w:rtl/>
        </w:rPr>
        <w:t>מוגבלות</w:t>
      </w:r>
      <w:r w:rsidRPr="00A210E9">
        <w:rPr>
          <w:rFonts w:ascii="David" w:eastAsia="Calibri" w:hAnsi="David"/>
          <w:rtl/>
        </w:rPr>
        <w:t xml:space="preserve"> </w:t>
      </w:r>
      <w:r w:rsidRPr="00A210E9">
        <w:rPr>
          <w:rFonts w:ascii="David" w:eastAsia="Calibri" w:hAnsi="David" w:hint="eastAsia"/>
          <w:rtl/>
        </w:rPr>
        <w:t>ש</w:t>
      </w:r>
      <w:r w:rsidRPr="00A210E9">
        <w:rPr>
          <w:rFonts w:ascii="David" w:eastAsia="Calibri" w:hAnsi="David"/>
          <w:rtl/>
        </w:rPr>
        <w:t xml:space="preserve">הסיע ירד מהרכב לפני הגעת הפקח, לא יוכל הפקח </w:t>
      </w:r>
      <w:r w:rsidRPr="00A210E9">
        <w:rPr>
          <w:rFonts w:ascii="David" w:eastAsia="Calibri" w:hAnsi="David" w:hint="eastAsia"/>
          <w:rtl/>
        </w:rPr>
        <w:t>לברר</w:t>
      </w:r>
      <w:r w:rsidRPr="00A210E9">
        <w:rPr>
          <w:rFonts w:ascii="David" w:eastAsia="Calibri" w:hAnsi="David"/>
          <w:rtl/>
        </w:rPr>
        <w:t xml:space="preserve"> </w:t>
      </w:r>
      <w:r w:rsidRPr="00A210E9">
        <w:rPr>
          <w:rFonts w:ascii="David" w:eastAsia="Calibri" w:hAnsi="David" w:hint="eastAsia"/>
          <w:rtl/>
        </w:rPr>
        <w:t>היכן</w:t>
      </w:r>
      <w:r w:rsidRPr="00A210E9">
        <w:rPr>
          <w:rFonts w:ascii="David" w:eastAsia="Calibri" w:hAnsi="David"/>
          <w:rtl/>
        </w:rPr>
        <w:t xml:space="preserve"> </w:t>
      </w:r>
      <w:r w:rsidRPr="00A210E9">
        <w:rPr>
          <w:rFonts w:ascii="David" w:eastAsia="Calibri" w:hAnsi="David" w:hint="eastAsia"/>
          <w:rtl/>
        </w:rPr>
        <w:t>נמצא</w:t>
      </w:r>
      <w:r w:rsidRPr="00A210E9">
        <w:rPr>
          <w:rFonts w:ascii="David" w:eastAsia="Calibri" w:hAnsi="David"/>
          <w:rtl/>
        </w:rPr>
        <w:t xml:space="preserve"> </w:t>
      </w:r>
      <w:r w:rsidRPr="00A210E9">
        <w:rPr>
          <w:rFonts w:ascii="David" w:eastAsia="Calibri" w:hAnsi="David" w:hint="eastAsia"/>
          <w:rtl/>
        </w:rPr>
        <w:t>בעל</w:t>
      </w:r>
      <w:r w:rsidRPr="00A210E9">
        <w:rPr>
          <w:rFonts w:ascii="David" w:eastAsia="Calibri" w:hAnsi="David"/>
          <w:rtl/>
        </w:rPr>
        <w:t xml:space="preserve"> </w:t>
      </w:r>
      <w:r w:rsidRPr="00A210E9">
        <w:rPr>
          <w:rFonts w:ascii="David" w:eastAsia="Calibri" w:hAnsi="David" w:hint="eastAsia"/>
          <w:rtl/>
        </w:rPr>
        <w:t>התג</w:t>
      </w:r>
      <w:r w:rsidRPr="00A210E9">
        <w:rPr>
          <w:rFonts w:ascii="David" w:eastAsia="Calibri" w:hAnsi="David"/>
          <w:rtl/>
        </w:rPr>
        <w:t>.</w:t>
      </w:r>
      <w:r w:rsidRPr="00A210E9">
        <w:rPr>
          <w:rFonts w:ascii="David" w:eastAsia="Calibri" w:hAnsi="David" w:hint="cs"/>
          <w:rtl/>
        </w:rPr>
        <w:t xml:space="preserve"> משום כך,</w:t>
      </w:r>
      <w:r w:rsidRPr="00A210E9">
        <w:rPr>
          <w:rFonts w:ascii="David" w:eastAsia="Calibri" w:hAnsi="David"/>
          <w:rtl/>
        </w:rPr>
        <w:t xml:space="preserve"> לא תהיה לו אפשרות להוכיח במישור הפלילי עבירה על פי סעיף 4א לחוק חניה לנכים. עם זאת, הפקח יכול לעכב את הנהג עד להגעת שוטר למקום</w:t>
      </w:r>
      <w:r w:rsidRPr="00A210E9">
        <w:rPr>
          <w:rFonts w:ascii="David" w:eastAsia="Calibri" w:hAnsi="David" w:hint="cs"/>
          <w:rtl/>
        </w:rPr>
        <w:t xml:space="preserve"> בנסיבות מצומצמות וספציפיות שמנויות בחוק</w:t>
      </w:r>
      <w:r w:rsidRPr="00A210E9">
        <w:rPr>
          <w:rFonts w:ascii="David" w:eastAsia="Calibri" w:hAnsi="David"/>
          <w:rtl/>
        </w:rPr>
        <w:t xml:space="preserve">. </w:t>
      </w:r>
      <w:r w:rsidRPr="00A210E9">
        <w:rPr>
          <w:rFonts w:ascii="David" w:eastAsia="Calibri" w:hAnsi="David" w:hint="cs"/>
          <w:rtl/>
        </w:rPr>
        <w:t xml:space="preserve">כאמור, </w:t>
      </w:r>
      <w:r w:rsidRPr="00A210E9">
        <w:rPr>
          <w:rFonts w:ascii="David" w:eastAsia="Calibri" w:hAnsi="David"/>
          <w:rtl/>
        </w:rPr>
        <w:t>אם יינתן קנס על ידי הפקח, הוא יהיה על פי חוק עזר של הרשות המקומית - "חניה בניגוד לתמרור".</w:t>
      </w:r>
      <w:r w:rsidRPr="00A210E9">
        <w:rPr>
          <w:rFonts w:ascii="David" w:eastAsia="Calibri" w:hAnsi="David"/>
          <w:sz w:val="24"/>
          <w:rtl/>
        </w:rPr>
        <w:t xml:space="preserve"> </w:t>
      </w:r>
      <w:r w:rsidRPr="00A210E9">
        <w:rPr>
          <w:rFonts w:eastAsia="Calibri" w:hint="cs"/>
          <w:rtl/>
        </w:rPr>
        <w:t xml:space="preserve">בשיחות שקיים משרד מבקר המדינה בכמה רשויות מקומיות עלה כי יש שונות ביישום נושא זה. חלק מהרשויות מסרו שבפועל פקח אינו דורש הצגת תעודת זהות מאדם לשם אכיפת עבירות חניה, וחלקן מסרו שזו אכן סמכותם של פקחים עירוניים, ולכן הם דורשים הצגת תעודת זהות מאדם שחנה בחניית נכים. </w:t>
      </w:r>
      <w:r w:rsidRPr="00A210E9">
        <w:rPr>
          <w:rFonts w:ascii="David" w:eastAsia="Calibri" w:hAnsi="David" w:hint="cs"/>
          <w:sz w:val="24"/>
          <w:rtl/>
        </w:rPr>
        <w:t xml:space="preserve">יוצא אפוא כי לפקחי הרשות המקומית יש סמכות להטיל קנס בגין עבירה של שימוש לרעה בתג, אולם </w:t>
      </w:r>
      <w:r w:rsidRPr="00A210E9">
        <w:rPr>
          <w:rFonts w:ascii="David" w:eastAsia="Calibri" w:hAnsi="David"/>
          <w:sz w:val="24"/>
          <w:rtl/>
        </w:rPr>
        <w:t xml:space="preserve">הגוף שיש לו </w:t>
      </w:r>
      <w:r w:rsidRPr="00A210E9">
        <w:rPr>
          <w:rFonts w:ascii="David" w:eastAsia="Calibri" w:hAnsi="David" w:hint="cs"/>
          <w:sz w:val="24"/>
          <w:rtl/>
        </w:rPr>
        <w:t>יכולת</w:t>
      </w:r>
      <w:r w:rsidRPr="00A210E9">
        <w:rPr>
          <w:rFonts w:ascii="David" w:eastAsia="Calibri" w:hAnsi="David"/>
          <w:sz w:val="24"/>
          <w:rtl/>
        </w:rPr>
        <w:t xml:space="preserve"> לאכוף </w:t>
      </w:r>
      <w:r w:rsidRPr="00A210E9">
        <w:rPr>
          <w:rFonts w:ascii="David" w:eastAsia="Calibri" w:hAnsi="David" w:hint="cs"/>
          <w:sz w:val="24"/>
          <w:rtl/>
        </w:rPr>
        <w:t xml:space="preserve">באופן אפקטיבי </w:t>
      </w:r>
      <w:r w:rsidRPr="00A210E9">
        <w:rPr>
          <w:rFonts w:ascii="David" w:eastAsia="Calibri" w:hAnsi="David"/>
          <w:sz w:val="24"/>
          <w:rtl/>
        </w:rPr>
        <w:t>את סעיף 4א לחוק חניה לנכים הוא המשטרה.</w:t>
      </w:r>
    </w:p>
    <w:bookmarkEnd w:id="124"/>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במרץ 2025 כתב אגף התנועה של המשטרה למשרד מבקר המדינה כי הקנס הקבוע בסעיף 61(א)(1) לחוק העונשין, המוטל על המפר את סעיף 4א לחוק חניה לנכים, הוא סנקציה פלילית שנדרשת להוכחתה פתיחת תיק פלילי וחקירה. לא מדובר באכיפה תעבורתית ובקנס קבוע שניתן באמצעות דוח, כמו עבירות החניה שבחנ"א (חוברת נוסחי אישום), אלא בעונש קנס מקסימלי שבית המשפט רשאי להשית במקרה של מי שהורשע בעבירה לפי סעיף 4א לחוק (עבירות שבמהותן הן פליליות - שימוש פסול בתג חניה). כמו כן, החוק מתיר למלווה לאדם עם מוגבלות להחנות את הרכב לטובת הסעת האדם עם מוגבלות או לקיחתו ממקום שבו הוא נמצא, כך שבאופן פרקטי קשה מאוד לגבש תשתית ראייתית בעבירות לפי סעיף 4א לחוק.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מהאמור עולה כי הקנס המרבי על חניה שלא כדין בחניית נכים עומד על סכום גבוה במיוחד של 14,400 ש"ח, במטרה להרתיע נהגים מפני פגיעה בזכויותיהם של אנשים עם מוגבלות. עם זאת, כדי לגבש תשתית ראייתית שעליה תתבסס האכיפה, על המשטרה או על הרשויות המקומיות להציב שוטרים או פקחים באזורי החניה לאורך זמן, כך שיוכלו לעקוב אחר המשתמשים בכלי הרכב החונים בחניות נכים. היעדר האכיפה מונע הרתעה משום שהסיכוי להיתפס אפסי. </w:t>
      </w:r>
      <w:r w:rsidRPr="00A210E9">
        <w:rPr>
          <w:rFonts w:eastAsia="Calibri"/>
          <w:rtl/>
        </w:rPr>
        <w:t>במהלך הדיונים בוועדות הכנסת עלתה לא אחת הטענה כי האכיפה הלקויה והשימוש הבלתי מבוקר בתגי חניה לנכים יוצרים מציאות שבה נהגים אינם חוששים לעשות שימוש לרעה בזכויות המוקנות לבעלי התג</w:t>
      </w:r>
      <w:r w:rsidRPr="00A210E9">
        <w:rPr>
          <w:rFonts w:eastAsia="Calibri"/>
        </w:rPr>
        <w:t>.</w:t>
      </w:r>
      <w:r w:rsidRPr="00A210E9">
        <w:rPr>
          <w:rFonts w:eastAsia="Calibri" w:hint="cs"/>
          <w:rtl/>
        </w:rPr>
        <w:t xml:space="preserve"> לכן, נהגים רבים שנוהגים ברכב המקושר לתג חניה אינם חוששים לחנות שלא כדין בחניות נכים, גם בעת שהרכב אינו משרת את בעל התג, ובכך הם פוגעים בזכות הגישה והניידות של האנשים עם מוגבלות הזקוקים להן באמת.</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eastAsia"/>
          <w:rtl/>
        </w:rPr>
        <w:t>עיריית</w:t>
      </w:r>
      <w:r w:rsidRPr="00A210E9">
        <w:rPr>
          <w:rFonts w:eastAsia="Calibri"/>
          <w:rtl/>
        </w:rPr>
        <w:t xml:space="preserve"> חיפה כתבה בתשובתה כי נדרשת אכיפה אך </w:t>
      </w:r>
      <w:r w:rsidRPr="00A210E9">
        <w:rPr>
          <w:rFonts w:eastAsia="Calibri" w:hint="cs"/>
          <w:rtl/>
        </w:rPr>
        <w:t>סמכות האכיפה</w:t>
      </w:r>
      <w:r w:rsidRPr="00A210E9">
        <w:rPr>
          <w:rFonts w:eastAsia="Calibri"/>
          <w:rtl/>
        </w:rPr>
        <w:t xml:space="preserve"> </w:t>
      </w:r>
      <w:r w:rsidRPr="00A210E9">
        <w:rPr>
          <w:rFonts w:eastAsia="Calibri" w:hint="cs"/>
          <w:rtl/>
        </w:rPr>
        <w:t>נתונה</w:t>
      </w:r>
      <w:r w:rsidRPr="00A210E9">
        <w:rPr>
          <w:rFonts w:eastAsia="Calibri"/>
          <w:rtl/>
        </w:rPr>
        <w:t xml:space="preserve"> בעיקרה בידי משטרת ישראל, </w:t>
      </w:r>
      <w:r w:rsidRPr="00A210E9">
        <w:rPr>
          <w:rFonts w:eastAsia="Calibri" w:hint="eastAsia"/>
          <w:rtl/>
        </w:rPr>
        <w:t>וכי</w:t>
      </w:r>
      <w:r w:rsidRPr="00A210E9">
        <w:rPr>
          <w:rFonts w:eastAsia="Calibri"/>
          <w:rtl/>
        </w:rPr>
        <w:t xml:space="preserve"> היא מציעה לגבש מנגנון אפקטיבי למניעת שימוש לרעה בתג חניה, ובפרט יש להתמודד עם </w:t>
      </w:r>
      <w:r w:rsidRPr="00A210E9">
        <w:rPr>
          <w:rFonts w:eastAsia="Calibri" w:hint="cs"/>
          <w:rtl/>
        </w:rPr>
        <w:t xml:space="preserve">התופעה שבה בן משפחה או מלווה משתמשים בתג החניה בהיעדרו של </w:t>
      </w:r>
      <w:r w:rsidRPr="00A210E9">
        <w:rPr>
          <w:rFonts w:eastAsia="Calibri"/>
          <w:rtl/>
        </w:rPr>
        <w:t xml:space="preserve">בעל </w:t>
      </w:r>
      <w:r w:rsidRPr="00A210E9">
        <w:rPr>
          <w:rFonts w:eastAsia="Calibri" w:hint="cs"/>
          <w:rtl/>
        </w:rPr>
        <w:t>התג</w:t>
      </w:r>
      <w:r w:rsidRPr="00A210E9">
        <w:rPr>
          <w:rFonts w:eastAsia="Calibri"/>
          <w:rtl/>
        </w:rPr>
        <w:t xml:space="preserve">. העירייה ציינה כי אכיפה זו חיונית </w:t>
      </w:r>
      <w:r w:rsidRPr="00A210E9">
        <w:rPr>
          <w:rFonts w:eastAsia="Calibri" w:hint="cs"/>
          <w:rtl/>
        </w:rPr>
        <w:t>כדי</w:t>
      </w:r>
      <w:r w:rsidRPr="00A210E9">
        <w:rPr>
          <w:rFonts w:eastAsia="Calibri"/>
          <w:rtl/>
        </w:rPr>
        <w:t xml:space="preserve"> לשמור על זכויותיהם של אנשים עם מוגבלות </w:t>
      </w:r>
      <w:r w:rsidRPr="00A210E9">
        <w:rPr>
          <w:rFonts w:eastAsia="Calibri" w:hint="eastAsia"/>
          <w:rtl/>
        </w:rPr>
        <w:t>ולהבטיח</w:t>
      </w:r>
      <w:r w:rsidRPr="00A210E9">
        <w:rPr>
          <w:rFonts w:eastAsia="Calibri"/>
          <w:rtl/>
        </w:rPr>
        <w:t xml:space="preserve"> </w:t>
      </w:r>
      <w:r w:rsidRPr="00A210E9">
        <w:rPr>
          <w:rFonts w:eastAsia="Calibri" w:hint="eastAsia"/>
          <w:rtl/>
        </w:rPr>
        <w:t>כי</w:t>
      </w:r>
      <w:r w:rsidRPr="00A210E9">
        <w:rPr>
          <w:rFonts w:eastAsia="Calibri"/>
          <w:rtl/>
        </w:rPr>
        <w:t xml:space="preserve"> </w:t>
      </w:r>
      <w:r w:rsidRPr="00A210E9">
        <w:rPr>
          <w:rFonts w:eastAsia="Calibri" w:hint="eastAsia"/>
          <w:rtl/>
        </w:rPr>
        <w:t>חניות</w:t>
      </w:r>
      <w:r w:rsidRPr="00A210E9">
        <w:rPr>
          <w:rFonts w:eastAsia="Calibri"/>
          <w:rtl/>
        </w:rPr>
        <w:t xml:space="preserve"> </w:t>
      </w:r>
      <w:r w:rsidRPr="00A210E9">
        <w:rPr>
          <w:rFonts w:eastAsia="Calibri" w:hint="eastAsia"/>
          <w:rtl/>
        </w:rPr>
        <w:t>הנכים</w:t>
      </w:r>
      <w:r w:rsidRPr="00A210E9">
        <w:rPr>
          <w:rFonts w:eastAsia="Calibri"/>
          <w:rtl/>
        </w:rPr>
        <w:t xml:space="preserve"> </w:t>
      </w:r>
      <w:r w:rsidRPr="00A210E9">
        <w:rPr>
          <w:rFonts w:eastAsia="Calibri" w:hint="eastAsia"/>
          <w:rtl/>
        </w:rPr>
        <w:t>יעמדו</w:t>
      </w:r>
      <w:r w:rsidRPr="00A210E9">
        <w:rPr>
          <w:rFonts w:eastAsia="Calibri"/>
          <w:rtl/>
        </w:rPr>
        <w:t xml:space="preserve"> </w:t>
      </w:r>
      <w:r w:rsidRPr="00A210E9">
        <w:rPr>
          <w:rFonts w:eastAsia="Calibri" w:hint="eastAsia"/>
          <w:rtl/>
        </w:rPr>
        <w:t>לרשות</w:t>
      </w:r>
      <w:r w:rsidRPr="00A210E9">
        <w:rPr>
          <w:rFonts w:eastAsia="Calibri"/>
          <w:rtl/>
        </w:rPr>
        <w:t xml:space="preserve"> </w:t>
      </w:r>
      <w:r w:rsidRPr="00A210E9">
        <w:rPr>
          <w:rFonts w:eastAsia="Calibri" w:hint="eastAsia"/>
          <w:rtl/>
        </w:rPr>
        <w:t>הזכאים</w:t>
      </w:r>
      <w:r w:rsidRPr="00A210E9">
        <w:rPr>
          <w:rFonts w:eastAsia="Calibri"/>
          <w:rtl/>
        </w:rPr>
        <w:t xml:space="preserve"> </w:t>
      </w:r>
      <w:r w:rsidRPr="00A210E9">
        <w:rPr>
          <w:rFonts w:eastAsia="Calibri" w:hint="eastAsia"/>
          <w:rtl/>
        </w:rPr>
        <w:t>להן</w:t>
      </w:r>
      <w:r w:rsidRPr="00A210E9">
        <w:rPr>
          <w:rFonts w:eastAsia="Calibri"/>
          <w:rtl/>
        </w:rPr>
        <w:t xml:space="preserve"> </w:t>
      </w:r>
      <w:r w:rsidRPr="00A210E9">
        <w:rPr>
          <w:rFonts w:eastAsia="Calibri" w:hint="eastAsia"/>
          <w:rtl/>
        </w:rPr>
        <w:t>בלבד</w:t>
      </w:r>
      <w:r w:rsidRPr="00A210E9">
        <w:rPr>
          <w:rFonts w:eastAsia="Calibri"/>
          <w:rtl/>
        </w:rPr>
        <w:t>.</w:t>
      </w:r>
      <w:r w:rsidRPr="00A210E9">
        <w:rPr>
          <w:rFonts w:eastAsia="Calibri" w:hint="cs"/>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פורום צמיד הציע בתשובתו להגדיר את עבירת השימוש </w:t>
      </w:r>
      <w:r w:rsidRPr="00A210E9">
        <w:rPr>
          <w:rFonts w:eastAsia="Calibri"/>
          <w:rtl/>
        </w:rPr>
        <w:t xml:space="preserve">לרעה בתג </w:t>
      </w:r>
      <w:r w:rsidRPr="00A210E9">
        <w:rPr>
          <w:rFonts w:eastAsia="Calibri" w:hint="cs"/>
          <w:rtl/>
        </w:rPr>
        <w:t>כ</w:t>
      </w:r>
      <w:r w:rsidRPr="00A210E9">
        <w:rPr>
          <w:rFonts w:eastAsia="Calibri"/>
          <w:rtl/>
        </w:rPr>
        <w:t>עבירת ברירת משפט</w:t>
      </w:r>
      <w:r w:rsidRPr="00A210E9">
        <w:rPr>
          <w:rFonts w:eastAsia="Calibri" w:hint="cs"/>
          <w:rtl/>
        </w:rPr>
        <w:t>, שאינה עבירה פלילית,</w:t>
      </w:r>
      <w:r w:rsidRPr="00A210E9">
        <w:rPr>
          <w:rFonts w:eastAsia="Calibri"/>
          <w:rtl/>
        </w:rPr>
        <w:t xml:space="preserve"> </w:t>
      </w:r>
      <w:r w:rsidRPr="00A210E9">
        <w:rPr>
          <w:rFonts w:eastAsia="Calibri" w:hint="cs"/>
          <w:rtl/>
        </w:rPr>
        <w:t>הכרוכה בהטלת</w:t>
      </w:r>
      <w:r w:rsidRPr="00A210E9">
        <w:rPr>
          <w:rFonts w:eastAsia="Calibri"/>
          <w:rtl/>
        </w:rPr>
        <w:t xml:space="preserve"> קנס</w:t>
      </w:r>
      <w:r w:rsidRPr="00A210E9">
        <w:rPr>
          <w:rFonts w:eastAsia="Calibri" w:hint="cs"/>
          <w:rtl/>
        </w:rPr>
        <w:t xml:space="preserve"> כספי</w:t>
      </w:r>
      <w:r w:rsidRPr="00A210E9">
        <w:rPr>
          <w:rFonts w:eastAsia="Calibri"/>
          <w:rtl/>
        </w:rPr>
        <w:t xml:space="preserve"> ו</w:t>
      </w:r>
      <w:r w:rsidRPr="00A210E9">
        <w:rPr>
          <w:rFonts w:eastAsia="Calibri" w:hint="cs"/>
          <w:rtl/>
        </w:rPr>
        <w:t xml:space="preserve">ברישום </w:t>
      </w:r>
      <w:r w:rsidRPr="00A210E9">
        <w:rPr>
          <w:rFonts w:eastAsia="Calibri"/>
          <w:rtl/>
        </w:rPr>
        <w:t>נקודות לנהג</w:t>
      </w:r>
      <w:r w:rsidRPr="00A210E9">
        <w:rPr>
          <w:rFonts w:eastAsia="Calibri" w:hint="cs"/>
          <w:rtl/>
        </w:rPr>
        <w:t>, וכן הציע להקצות תקציב</w:t>
      </w:r>
      <w:r w:rsidRPr="00A210E9">
        <w:rPr>
          <w:rFonts w:eastAsia="Calibri"/>
          <w:rtl/>
        </w:rPr>
        <w:t xml:space="preserve"> ייעודי לאכיפת</w:t>
      </w:r>
      <w:r w:rsidRPr="00A210E9">
        <w:rPr>
          <w:rFonts w:eastAsia="Calibri" w:hint="cs"/>
          <w:rtl/>
        </w:rPr>
        <w:t xml:space="preserve"> הדין</w:t>
      </w:r>
      <w:r w:rsidRPr="00A210E9">
        <w:rPr>
          <w:rFonts w:eastAsia="Calibri"/>
          <w:rtl/>
        </w:rPr>
        <w:t xml:space="preserve"> </w:t>
      </w:r>
      <w:r w:rsidRPr="00A210E9">
        <w:rPr>
          <w:rFonts w:eastAsia="Calibri" w:hint="cs"/>
          <w:rtl/>
        </w:rPr>
        <w:t xml:space="preserve">בעניין </w:t>
      </w:r>
      <w:r w:rsidRPr="00A210E9">
        <w:rPr>
          <w:rFonts w:eastAsia="Calibri"/>
          <w:rtl/>
        </w:rPr>
        <w:t xml:space="preserve">חניות נכים ברשויות המקומיות באמצעות מענק מותנה. </w:t>
      </w:r>
    </w:p>
    <w:p w:rsidR="00A210E9" w:rsidRPr="00A210E9" w:rsidP="00A210E9">
      <w:pPr>
        <w:keepNext/>
        <w:keepLines/>
        <w:spacing w:line="269" w:lineRule="auto"/>
        <w:ind w:left="-567"/>
        <w:rPr>
          <w:rFonts w:eastAsia="Calibri"/>
          <w:szCs w:val="20"/>
        </w:rPr>
      </w:pPr>
    </w:p>
    <w:p w:rsidR="00A210E9" w:rsidRPr="00A210E9" w:rsidP="00A210E9">
      <w:pPr>
        <w:spacing w:line="269" w:lineRule="auto"/>
        <w:rPr>
          <w:rFonts w:eastAsia="Calibri"/>
          <w:b/>
          <w:bCs/>
          <w:rtl/>
        </w:rPr>
      </w:pPr>
      <w:bookmarkStart w:id="125" w:name="_Hlk223941258"/>
      <w:r w:rsidRPr="00A210E9">
        <w:rPr>
          <w:rFonts w:eastAsia="Calibri" w:hint="cs"/>
          <w:b/>
          <w:bCs/>
          <w:rtl/>
        </w:rPr>
        <w:t>הביקורת העלתה כי</w:t>
      </w:r>
      <w:r w:rsidRPr="00A210E9">
        <w:rPr>
          <w:rFonts w:eastAsia="Calibri"/>
          <w:b/>
          <w:bCs/>
          <w:rtl/>
        </w:rPr>
        <w:t xml:space="preserve"> המשטרה והרשויות המקומיות</w:t>
      </w:r>
      <w:r w:rsidRPr="00A210E9">
        <w:rPr>
          <w:rFonts w:eastAsia="Calibri" w:hint="cs"/>
          <w:b/>
          <w:bCs/>
          <w:rtl/>
        </w:rPr>
        <w:t xml:space="preserve"> נתקלות בקשיים בבואן לאכוף מקרה שבו האדם עם מוגבלות אינו נמצא פיזית ברכב החונה בחניית נכים, ועל כן הן אינן </w:t>
      </w:r>
      <w:r w:rsidRPr="00A210E9">
        <w:rPr>
          <w:rFonts w:eastAsia="Calibri"/>
          <w:b/>
          <w:bCs/>
          <w:rtl/>
        </w:rPr>
        <w:t>אוכפות את סעיף 4א לחוק</w:t>
      </w:r>
      <w:r w:rsidRPr="00A210E9">
        <w:rPr>
          <w:rFonts w:eastAsia="Calibri" w:hint="cs"/>
          <w:b/>
          <w:bCs/>
          <w:rtl/>
        </w:rPr>
        <w:t xml:space="preserve"> חניה לנכים, שעל פיו הקנס המקסימלי לעבירה זו הוא 14,400 ש"ח. חוסר היכולת של המשטרה בגיבוש תשתית ראייתית וחוסר סמכויות חקירה לפקחים עירוניים </w:t>
      </w:r>
      <w:bookmarkEnd w:id="125"/>
      <w:r w:rsidRPr="00A210E9">
        <w:rPr>
          <w:rFonts w:eastAsia="Calibri" w:hint="cs"/>
          <w:b/>
          <w:bCs/>
          <w:rtl/>
        </w:rPr>
        <w:t xml:space="preserve">גורמים לכך שבפועל החוק אינו נאכף כלל. כפועל יוצא מכך, אין אכיפה במצבים מובהקים שבהם שני רכבים המשויכים לאותו תג חניה חונים בו זמנית בחניות נכים שונות. בשל השימוש לרעה בתג נוצר מחסור בחניות נכים פנויות לשימוש הנזקקים לכך.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המשטרה מסרה בתשובתה כי היא "</w:t>
      </w:r>
      <w:r w:rsidRPr="00A210E9">
        <w:rPr>
          <w:rFonts w:eastAsia="Calibri"/>
          <w:rtl/>
        </w:rPr>
        <w:t>אוכפת בהתאם להוראות הדין בנושא חניה לנכים, בהתאם לסמכויותי</w:t>
      </w:r>
      <w:r w:rsidRPr="00A210E9">
        <w:rPr>
          <w:rFonts w:eastAsia="Calibri" w:hint="cs"/>
          <w:rtl/>
        </w:rPr>
        <w:t>ה</w:t>
      </w:r>
      <w:r w:rsidRPr="00A210E9">
        <w:rPr>
          <w:rFonts w:eastAsia="Calibri"/>
          <w:rtl/>
        </w:rPr>
        <w:t xml:space="preserve"> ועל-פי מדיניות האכיפה הנהוגה. האכיפה מבוצעת בהתאם להוראות הדין וליכולת לגבש תשתית ראייתית מספקת לכל מקרה ומקרה. כמו כן, מבצעי אכיפה ממוקדים באגף התנועה נעשים לאחר מחקר מעמיק אודות עבירות משפיעות על תאונות הדרכים בהתאם למיקומי וניתוחי כבישים משפיעים ועל פי תיעדוף מבצעי</w:t>
      </w:r>
      <w:r w:rsidRPr="00A210E9">
        <w:rPr>
          <w:rFonts w:eastAsia="Calibri" w:hint="cs"/>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מהאמור בתשובת המשטרה וב"נוהל מדיניות האכיפה הזרמת התנועה ומתווה תלת"ן"</w:t>
      </w:r>
      <w:r>
        <w:rPr>
          <w:rFonts w:eastAsia="Calibri"/>
          <w:b/>
          <w:bCs/>
          <w:vertAlign w:val="superscript"/>
          <w:rtl/>
        </w:rPr>
        <w:footnoteReference w:id="129"/>
      </w:r>
      <w:r w:rsidRPr="00A210E9">
        <w:rPr>
          <w:rFonts w:eastAsia="Calibri" w:hint="cs"/>
          <w:b/>
          <w:bCs/>
          <w:rtl/>
        </w:rPr>
        <w:t xml:space="preserve"> מס' 02.231.01 עולה כי המשטרה אוכפת בעיקר עבירות המשפיעות על תאונות דרכים, ומאחר שעבירה של שימוש לרעה בתגי חניה לא נכללת בהגדרה זו, אין המשטרה אוכפת את החוק בעניינה, למרות היותה גורם בעל יכולת ממשית לאכוף את סעיף 4א לחוק חניה לנכים. </w:t>
      </w:r>
    </w:p>
    <w:p w:rsidR="00A210E9" w:rsidRPr="00A210E9" w:rsidP="00A210E9">
      <w:pPr>
        <w:keepNext/>
        <w:keepLines/>
        <w:spacing w:line="269" w:lineRule="auto"/>
        <w:ind w:left="-567"/>
        <w:rPr>
          <w:rFonts w:eastAsia="Calibri"/>
          <w:szCs w:val="20"/>
        </w:rPr>
      </w:pPr>
    </w:p>
    <w:p w:rsidR="00A210E9" w:rsidRPr="00A210E9" w:rsidP="00A210E9">
      <w:pPr>
        <w:spacing w:line="269" w:lineRule="auto"/>
        <w:rPr>
          <w:rFonts w:eastAsia="Calibri"/>
          <w:b/>
          <w:bCs/>
          <w:rtl/>
        </w:rPr>
      </w:pPr>
      <w:r w:rsidRPr="00A210E9">
        <w:rPr>
          <w:rFonts w:eastAsia="Calibri" w:hint="cs"/>
          <w:b/>
          <w:bCs/>
          <w:rtl/>
        </w:rPr>
        <w:t xml:space="preserve">משרד מבקר המדינה ממליץ למשטרה לקיים מדי פעם בפעם מבצעי אכיפה ממוקדים נגד נהגים החונים בחניות נכים כאשר נסיעתם אינה משרתת את בעל תג החניה. כמו כן, מומלץ שהרשויות המקומיות יקיימו גם הן מבצעי אכיפה מסוג זה. מבצעי אכיפה, אף אם יהיו מוגבלים בהיקפם, יגבירו את ההרתעה. עוד יצוין כי יעילות האכיפה גוברת אם היא מלווה בפרסום ובהסברה, ועל כן מומלץ שמאמצי האכיפה ילוו גם בקמפיינים של הסברה ופרסום שיעלו את המודעות לחשיבות שבשמירה על חניות נכים ולתוצאות של הפרת החוק. </w:t>
      </w:r>
      <w:r w:rsidRPr="00A210E9">
        <w:rPr>
          <w:rFonts w:eastAsia="Calibri" w:hint="eastAsia"/>
          <w:b/>
          <w:bCs/>
          <w:rtl/>
        </w:rPr>
        <w:t>לצד</w:t>
      </w:r>
      <w:r w:rsidRPr="00A210E9">
        <w:rPr>
          <w:rFonts w:eastAsia="Calibri"/>
          <w:b/>
          <w:bCs/>
          <w:rtl/>
        </w:rPr>
        <w:t xml:space="preserve"> </w:t>
      </w:r>
      <w:r w:rsidRPr="00A210E9">
        <w:rPr>
          <w:rFonts w:eastAsia="Calibri" w:hint="eastAsia"/>
          <w:b/>
          <w:bCs/>
          <w:rtl/>
        </w:rPr>
        <w:t>זאת</w:t>
      </w:r>
      <w:r w:rsidRPr="00A210E9">
        <w:rPr>
          <w:rFonts w:eastAsia="Calibri"/>
          <w:b/>
          <w:bCs/>
          <w:rtl/>
        </w:rPr>
        <w:t xml:space="preserve">, מומלץ </w:t>
      </w:r>
      <w:r w:rsidRPr="00A210E9">
        <w:rPr>
          <w:rFonts w:eastAsia="Calibri" w:hint="eastAsia"/>
          <w:b/>
          <w:bCs/>
          <w:rtl/>
        </w:rPr>
        <w:t>למשטרה</w:t>
      </w:r>
      <w:r w:rsidRPr="00A210E9">
        <w:rPr>
          <w:rFonts w:eastAsia="Calibri"/>
          <w:b/>
          <w:bCs/>
          <w:rtl/>
        </w:rPr>
        <w:t xml:space="preserve"> ולמשרד התחבורה </w:t>
      </w:r>
      <w:r w:rsidRPr="00A210E9">
        <w:rPr>
          <w:rFonts w:eastAsia="Calibri" w:hint="eastAsia"/>
          <w:b/>
          <w:bCs/>
          <w:rtl/>
        </w:rPr>
        <w:t>לבחון</w:t>
      </w:r>
      <w:r w:rsidRPr="00A210E9">
        <w:rPr>
          <w:rFonts w:eastAsia="Calibri"/>
          <w:b/>
          <w:bCs/>
          <w:rtl/>
        </w:rPr>
        <w:t xml:space="preserve"> </w:t>
      </w:r>
      <w:r w:rsidRPr="00A210E9">
        <w:rPr>
          <w:rFonts w:eastAsia="Calibri" w:hint="eastAsia"/>
          <w:b/>
          <w:bCs/>
          <w:rtl/>
        </w:rPr>
        <w:t>פתרונות</w:t>
      </w:r>
      <w:r w:rsidRPr="00A210E9">
        <w:rPr>
          <w:rFonts w:eastAsia="Calibri"/>
          <w:b/>
          <w:bCs/>
          <w:rtl/>
        </w:rPr>
        <w:t xml:space="preserve"> </w:t>
      </w:r>
      <w:r w:rsidRPr="00A210E9">
        <w:rPr>
          <w:rFonts w:eastAsia="Calibri" w:hint="eastAsia"/>
          <w:b/>
          <w:bCs/>
          <w:rtl/>
        </w:rPr>
        <w:t>חלופיים</w:t>
      </w:r>
      <w:r w:rsidRPr="00A210E9">
        <w:rPr>
          <w:rFonts w:eastAsia="Calibri"/>
          <w:b/>
          <w:bCs/>
          <w:rtl/>
        </w:rPr>
        <w:t xml:space="preserve"> </w:t>
      </w:r>
      <w:r w:rsidRPr="00A210E9">
        <w:rPr>
          <w:rFonts w:eastAsia="Calibri" w:hint="eastAsia"/>
          <w:b/>
          <w:bCs/>
          <w:rtl/>
        </w:rPr>
        <w:t>בחקיקה</w:t>
      </w:r>
      <w:r w:rsidRPr="00A210E9">
        <w:rPr>
          <w:rFonts w:eastAsia="Calibri"/>
          <w:b/>
          <w:bCs/>
          <w:rtl/>
        </w:rPr>
        <w:t xml:space="preserve"> </w:t>
      </w:r>
      <w:r w:rsidRPr="00A210E9">
        <w:rPr>
          <w:rFonts w:eastAsia="Calibri" w:hint="eastAsia"/>
          <w:b/>
          <w:bCs/>
          <w:rtl/>
        </w:rPr>
        <w:t>להתמודדות</w:t>
      </w:r>
      <w:r w:rsidRPr="00A210E9">
        <w:rPr>
          <w:rFonts w:eastAsia="Calibri"/>
          <w:b/>
          <w:bCs/>
          <w:rtl/>
        </w:rPr>
        <w:t xml:space="preserve"> </w:t>
      </w:r>
      <w:r w:rsidRPr="00A210E9">
        <w:rPr>
          <w:rFonts w:eastAsia="Calibri" w:hint="eastAsia"/>
          <w:b/>
          <w:bCs/>
          <w:rtl/>
        </w:rPr>
        <w:t>עם</w:t>
      </w:r>
      <w:r w:rsidRPr="00A210E9">
        <w:rPr>
          <w:rFonts w:eastAsia="Calibri"/>
          <w:b/>
          <w:bCs/>
          <w:rtl/>
        </w:rPr>
        <w:t xml:space="preserve"> </w:t>
      </w:r>
      <w:r w:rsidRPr="00A210E9">
        <w:rPr>
          <w:rFonts w:eastAsia="Calibri" w:hint="eastAsia"/>
          <w:b/>
          <w:bCs/>
          <w:rtl/>
        </w:rPr>
        <w:t>תופעת</w:t>
      </w:r>
      <w:r w:rsidRPr="00A210E9">
        <w:rPr>
          <w:rFonts w:eastAsia="Calibri"/>
          <w:b/>
          <w:bCs/>
          <w:rtl/>
        </w:rPr>
        <w:t xml:space="preserve"> </w:t>
      </w:r>
      <w:r w:rsidRPr="00A210E9">
        <w:rPr>
          <w:rFonts w:eastAsia="Calibri" w:hint="eastAsia"/>
          <w:b/>
          <w:bCs/>
          <w:rtl/>
        </w:rPr>
        <w:t>השימוש</w:t>
      </w:r>
      <w:r w:rsidRPr="00A210E9">
        <w:rPr>
          <w:rFonts w:eastAsia="Calibri"/>
          <w:b/>
          <w:bCs/>
          <w:rtl/>
        </w:rPr>
        <w:t xml:space="preserve"> </w:t>
      </w:r>
      <w:r w:rsidRPr="00A210E9">
        <w:rPr>
          <w:rFonts w:eastAsia="Calibri" w:hint="eastAsia"/>
          <w:b/>
          <w:bCs/>
          <w:rtl/>
        </w:rPr>
        <w:t>לרעה</w:t>
      </w:r>
      <w:r w:rsidRPr="00A210E9">
        <w:rPr>
          <w:rFonts w:eastAsia="Calibri" w:hint="cs"/>
          <w:b/>
          <w:bCs/>
          <w:rtl/>
        </w:rPr>
        <w:t xml:space="preserve"> בתגי חניה</w:t>
      </w:r>
      <w:r w:rsidRPr="00A210E9">
        <w:rPr>
          <w:rFonts w:eastAsia="Calibri"/>
          <w:b/>
          <w:bCs/>
          <w:rtl/>
        </w:rPr>
        <w:t xml:space="preserve">, </w:t>
      </w:r>
      <w:r w:rsidRPr="00A210E9">
        <w:rPr>
          <w:rFonts w:eastAsia="Calibri" w:hint="eastAsia"/>
          <w:b/>
          <w:bCs/>
          <w:rtl/>
        </w:rPr>
        <w:t>ובין</w:t>
      </w:r>
      <w:r w:rsidRPr="00A210E9">
        <w:rPr>
          <w:rFonts w:eastAsia="Calibri"/>
          <w:b/>
          <w:bCs/>
          <w:rtl/>
        </w:rPr>
        <w:t xml:space="preserve"> </w:t>
      </w:r>
      <w:r w:rsidRPr="00A210E9">
        <w:rPr>
          <w:rFonts w:eastAsia="Calibri" w:hint="eastAsia"/>
          <w:b/>
          <w:bCs/>
          <w:rtl/>
        </w:rPr>
        <w:t>היתר</w:t>
      </w:r>
      <w:r w:rsidRPr="00A210E9">
        <w:rPr>
          <w:rFonts w:eastAsia="Calibri"/>
          <w:b/>
          <w:bCs/>
          <w:rtl/>
        </w:rPr>
        <w:t xml:space="preserve"> </w:t>
      </w:r>
      <w:r w:rsidRPr="00A210E9">
        <w:rPr>
          <w:rFonts w:eastAsia="Calibri" w:hint="cs"/>
          <w:b/>
          <w:bCs/>
          <w:rtl/>
        </w:rPr>
        <w:t>לבחון את ה</w:t>
      </w:r>
      <w:r w:rsidRPr="00A210E9">
        <w:rPr>
          <w:rFonts w:eastAsia="Calibri" w:hint="eastAsia"/>
          <w:b/>
          <w:bCs/>
          <w:rtl/>
        </w:rPr>
        <w:t>הצעה</w:t>
      </w:r>
      <w:r w:rsidRPr="00A210E9">
        <w:rPr>
          <w:rFonts w:eastAsia="Calibri"/>
          <w:b/>
          <w:bCs/>
          <w:rtl/>
        </w:rPr>
        <w:t xml:space="preserve"> להפוך </w:t>
      </w:r>
      <w:r w:rsidRPr="00A210E9">
        <w:rPr>
          <w:rFonts w:eastAsia="Calibri" w:hint="eastAsia"/>
          <w:b/>
          <w:bCs/>
          <w:rtl/>
        </w:rPr>
        <w:t>את</w:t>
      </w:r>
      <w:r w:rsidRPr="00A210E9">
        <w:rPr>
          <w:rFonts w:eastAsia="Calibri"/>
          <w:b/>
          <w:bCs/>
          <w:rtl/>
        </w:rPr>
        <w:t xml:space="preserve"> עבירת השימוש לרעה בתגי חניה לנכים לעבירה </w:t>
      </w:r>
      <w:r w:rsidRPr="00A210E9">
        <w:rPr>
          <w:rFonts w:eastAsia="Calibri" w:hint="eastAsia"/>
          <w:b/>
          <w:bCs/>
          <w:rtl/>
        </w:rPr>
        <w:t>מינהלית</w:t>
      </w:r>
      <w:r w:rsidRPr="00A210E9">
        <w:rPr>
          <w:rFonts w:eastAsia="Calibri"/>
          <w:b/>
          <w:bCs/>
          <w:rtl/>
        </w:rPr>
        <w:t>.</w:t>
      </w:r>
    </w:p>
    <w:p w:rsidR="00A210E9" w:rsidRPr="00A210E9" w:rsidP="00A210E9">
      <w:pPr>
        <w:spacing w:line="269" w:lineRule="auto"/>
        <w:rPr>
          <w:rFonts w:eastAsia="Calibri"/>
          <w:b/>
          <w:bCs/>
          <w:rtl/>
        </w:rPr>
      </w:pPr>
    </w:p>
    <w:p w:rsidR="00A210E9" w:rsidRPr="00A210E9" w:rsidP="00A210E9">
      <w:pPr>
        <w:keepNext/>
        <w:keepLines/>
        <w:spacing w:line="269" w:lineRule="auto"/>
        <w:outlineLvl w:val="5"/>
        <w:rPr>
          <w:rFonts w:eastAsia="Times New Roman"/>
          <w:spacing w:val="40"/>
          <w:rtl/>
        </w:rPr>
      </w:pPr>
      <w:r w:rsidRPr="00A210E9">
        <w:rPr>
          <w:rFonts w:eastAsia="Times New Roman" w:hint="cs"/>
          <w:spacing w:val="40"/>
          <w:rtl/>
        </w:rPr>
        <w:t>אמצעי אכיפה טכנולוגיים</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בעולם קיימים אמצעים שונים להתמודדות עם שימוש לרעה בתגי חניה לנכים. למשל, בחלק ממדינות האיחוד האירופי עוברים לשימוש בתג דיגיטלי</w:t>
      </w:r>
      <w:r>
        <w:rPr>
          <w:rFonts w:eastAsia="Calibri"/>
          <w:vertAlign w:val="superscript"/>
          <w:rtl/>
        </w:rPr>
        <w:footnoteReference w:id="130"/>
      </w:r>
      <w:r w:rsidRPr="00A210E9">
        <w:rPr>
          <w:rFonts w:eastAsia="Calibri" w:hint="cs"/>
          <w:rtl/>
        </w:rPr>
        <w:t xml:space="preserve">. במדינות אחרות מוסף לתגים הפיזיים </w:t>
      </w:r>
      <w:r w:rsidRPr="00A210E9">
        <w:rPr>
          <w:rFonts w:eastAsia="Calibri"/>
          <w:rtl/>
        </w:rPr>
        <w:t>קוד</w:t>
      </w:r>
      <w:r w:rsidRPr="00A210E9">
        <w:rPr>
          <w:rFonts w:eastAsia="Calibri"/>
        </w:rPr>
        <w:t xml:space="preserve"> QR </w:t>
      </w:r>
      <w:r w:rsidRPr="00A210E9">
        <w:rPr>
          <w:rFonts w:eastAsia="Calibri" w:hint="cs"/>
          <w:rtl/>
        </w:rPr>
        <w:t xml:space="preserve">הכולל את פרטיו האישיים של בעל התג, </w:t>
      </w:r>
      <w:r w:rsidRPr="00A210E9">
        <w:rPr>
          <w:rFonts w:eastAsia="Calibri"/>
          <w:rtl/>
        </w:rPr>
        <w:t>ל</w:t>
      </w:r>
      <w:r w:rsidRPr="00A210E9">
        <w:rPr>
          <w:rFonts w:eastAsia="Calibri" w:hint="cs"/>
          <w:rtl/>
        </w:rPr>
        <w:t xml:space="preserve">צורך </w:t>
      </w:r>
      <w:r w:rsidRPr="00A210E9">
        <w:rPr>
          <w:rFonts w:eastAsia="Calibri"/>
          <w:rtl/>
        </w:rPr>
        <w:t xml:space="preserve">אימות בזמן אמת ועדכון סטטוס אוטומטי בעת חידוש או שינוי </w:t>
      </w:r>
      <w:r w:rsidRPr="00A210E9">
        <w:rPr>
          <w:rFonts w:eastAsia="Calibri" w:hint="cs"/>
          <w:rtl/>
        </w:rPr>
        <w:t>ה</w:t>
      </w:r>
      <w:r w:rsidRPr="00A210E9">
        <w:rPr>
          <w:rFonts w:eastAsia="Calibri"/>
          <w:rtl/>
        </w:rPr>
        <w:t>זכאות</w:t>
      </w:r>
      <w:r w:rsidRPr="00A210E9">
        <w:rPr>
          <w:rFonts w:eastAsia="Calibri" w:hint="cs"/>
          <w:rtl/>
        </w:rPr>
        <w:t>, כפי שניתן לראות בתמונה להלן:</w:t>
      </w:r>
    </w:p>
    <w:p w:rsidR="00A210E9" w:rsidRPr="00A210E9" w:rsidP="00A210E9">
      <w:pPr>
        <w:keepNext/>
        <w:keepLines/>
        <w:spacing w:line="269" w:lineRule="auto"/>
        <w:jc w:val="center"/>
        <w:rPr>
          <w:rFonts w:eastAsia="Calibri"/>
          <w:b/>
          <w:bCs/>
          <w:rtl/>
        </w:rPr>
      </w:pPr>
      <w:r w:rsidRPr="00A210E9">
        <w:rPr>
          <w:rFonts w:eastAsia="Calibri" w:hint="eastAsia"/>
          <w:rtl/>
        </w:rPr>
        <w:t>תמונה</w:t>
      </w:r>
      <w:r w:rsidRPr="00A210E9">
        <w:rPr>
          <w:rFonts w:eastAsia="Calibri"/>
          <w:rtl/>
        </w:rPr>
        <w:t xml:space="preserve"> </w:t>
      </w:r>
      <w:r w:rsidRPr="00A210E9">
        <w:rPr>
          <w:rFonts w:eastAsia="Calibri" w:hint="cs"/>
          <w:rtl/>
        </w:rPr>
        <w:t>5</w:t>
      </w:r>
      <w:r w:rsidRPr="00A210E9">
        <w:rPr>
          <w:rFonts w:eastAsia="Calibri"/>
          <w:rtl/>
        </w:rPr>
        <w:t>:</w:t>
      </w:r>
      <w:r w:rsidRPr="00A210E9">
        <w:rPr>
          <w:rFonts w:eastAsia="Calibri" w:hint="cs"/>
          <w:b/>
          <w:bCs/>
          <w:rtl/>
        </w:rPr>
        <w:t xml:space="preserve"> דוגמה לפורמט עבור תג חניה פיזי עתידי באיחוד האירופי</w:t>
      </w:r>
    </w:p>
    <w:p w:rsidR="00A210E9" w:rsidRPr="00A210E9" w:rsidP="00A210E9">
      <w:pPr>
        <w:spacing w:line="269" w:lineRule="auto"/>
        <w:jc w:val="center"/>
        <w:rPr>
          <w:rFonts w:eastAsia="Calibri"/>
          <w:rtl/>
        </w:rPr>
      </w:pPr>
      <w:r w:rsidRPr="00A210E9">
        <w:rPr>
          <w:rFonts w:eastAsia="Calibri"/>
          <w:noProof/>
        </w:rPr>
        <w:drawing>
          <wp:inline distT="0" distB="0" distL="0" distR="0">
            <wp:extent cx="3419475" cy="2450744"/>
            <wp:effectExtent l="0" t="0" r="0" b="6985"/>
            <wp:docPr id="37" name="תמונה 37" descr="פירושו של תמרור 437 הוא חניה בלעדית לרכב של נכה הנושא תג נכה מקורי תקף, בעת שהרכב משמש את הנכה שלו ניתן התג.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C:\Users\aelitta_sh\AppData\Local\Microsoft\Windows\INetCache\Content.MSO\8CA0FC06.tmp"/>
                    <pic:cNvPicPr>
                      <a:picLocks noChangeAspect="1" noChangeArrowheads="1"/>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0996" cy="2451834"/>
                    </a:xfrm>
                    <a:prstGeom prst="rect">
                      <a:avLst/>
                    </a:prstGeom>
                    <a:noFill/>
                    <a:ln>
                      <a:noFill/>
                    </a:ln>
                  </pic:spPr>
                </pic:pic>
              </a:graphicData>
            </a:graphic>
          </wp:inline>
        </w:drawing>
      </w:r>
    </w:p>
    <w:p w:rsidR="00A210E9" w:rsidRPr="00A210E9" w:rsidP="009B4C57">
      <w:pPr>
        <w:spacing w:line="269" w:lineRule="auto"/>
        <w:rPr>
          <w:rFonts w:ascii="David" w:eastAsia="Calibri" w:hAnsi="David"/>
          <w:szCs w:val="20"/>
          <w:rtl/>
        </w:rPr>
      </w:pPr>
      <w:r w:rsidRPr="00A210E9">
        <w:rPr>
          <w:rFonts w:ascii="David" w:eastAsia="Calibri" w:hAnsi="David" w:hint="cs"/>
          <w:szCs w:val="20"/>
          <w:rtl/>
        </w:rPr>
        <w:t>ה</w:t>
      </w:r>
      <w:r w:rsidRPr="00A210E9">
        <w:rPr>
          <w:rFonts w:ascii="David" w:eastAsia="Calibri" w:hAnsi="David"/>
          <w:szCs w:val="20"/>
          <w:rtl/>
        </w:rPr>
        <w:t xml:space="preserve">מקור: </w:t>
      </w:r>
      <w:r w:rsidRPr="00A210E9">
        <w:rPr>
          <w:rFonts w:ascii="David" w:eastAsia="Calibri" w:hAnsi="David" w:hint="cs"/>
          <w:szCs w:val="20"/>
          <w:rtl/>
        </w:rPr>
        <w:t>ה</w:t>
      </w:r>
      <w:r w:rsidRPr="00A210E9">
        <w:rPr>
          <w:rFonts w:ascii="David" w:eastAsia="Calibri" w:hAnsi="David"/>
          <w:szCs w:val="20"/>
          <w:rtl/>
        </w:rPr>
        <w:t xml:space="preserve">איחוד </w:t>
      </w:r>
      <w:r w:rsidRPr="00A210E9">
        <w:rPr>
          <w:rFonts w:ascii="David" w:eastAsia="Calibri" w:hAnsi="David" w:hint="cs"/>
          <w:szCs w:val="20"/>
          <w:rtl/>
        </w:rPr>
        <w:t>ה</w:t>
      </w:r>
      <w:r w:rsidRPr="00A210E9">
        <w:rPr>
          <w:rFonts w:ascii="David" w:eastAsia="Calibri" w:hAnsi="David"/>
          <w:szCs w:val="20"/>
          <w:rtl/>
        </w:rPr>
        <w:t xml:space="preserve">אירופי, דירקטיבה - </w:t>
      </w:r>
      <w:r w:rsidRPr="00A210E9">
        <w:rPr>
          <w:rFonts w:ascii="David" w:eastAsia="Calibri" w:hAnsi="David"/>
          <w:szCs w:val="20"/>
        </w:rPr>
        <w:t>Directive (EU) 2024/2841 of the European Parliament and of the Council of 23 October 2024 establishing the European Disability Card and the European Parking Card for persons with disabilities,</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תופעת הניצול לרעה של תג חניה ופתרונות טכנולוגיים אפשריים להתמודדות איתה שבו ועלו בדיון הציבורי, בדיונים בכנסת ובהצעות לחוק בכמה הזדמנויות לאורך השנים. להלן הפרטים:</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בדברי ההסבר של תזכיר 2009 לחוק צוין כי "נשקלה האפשרות לקבוע תג חניה אישי, שאיננו צמוד לרכב כלל, כמקובל במדינות רבות בעולם. אפשרות זו נדחתה שכן היא מרחיבה את מעגל המשתמשים הפוטנציאליים לרעה, לרבות סכנה של היווצרות מעין סחר בתגים על ידי נכים שאינם זקוקים להם. שיקול נוסף להחלטה זו היה הפגיעה החריפה בפרטיותו של הנכה, שכן תג אישי יחייב לציין בגלוי על התג את פרטיו המזהים של הנכה, כולל תמונתו".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rtl/>
        </w:rPr>
        <w:t>ב</w:t>
      </w:r>
      <w:r w:rsidRPr="00A210E9">
        <w:rPr>
          <w:rFonts w:eastAsia="Calibri" w:hint="cs"/>
          <w:rtl/>
        </w:rPr>
        <w:t>דיון ב</w:t>
      </w:r>
      <w:r w:rsidRPr="00A210E9">
        <w:rPr>
          <w:rFonts w:eastAsia="Calibri"/>
          <w:rtl/>
        </w:rPr>
        <w:t>ו</w:t>
      </w:r>
      <w:r w:rsidRPr="00A210E9">
        <w:rPr>
          <w:rFonts w:eastAsia="Calibri" w:hint="cs"/>
          <w:rtl/>
        </w:rPr>
        <w:t>ו</w:t>
      </w:r>
      <w:r w:rsidRPr="00A210E9">
        <w:rPr>
          <w:rFonts w:eastAsia="Calibri"/>
          <w:rtl/>
        </w:rPr>
        <w:t xml:space="preserve">עדת </w:t>
      </w:r>
      <w:r w:rsidRPr="00A210E9">
        <w:rPr>
          <w:rFonts w:eastAsia="Calibri" w:hint="cs"/>
          <w:rtl/>
        </w:rPr>
        <w:t>ה</w:t>
      </w:r>
      <w:r w:rsidRPr="00A210E9">
        <w:rPr>
          <w:rFonts w:eastAsia="Calibri"/>
          <w:rtl/>
        </w:rPr>
        <w:t>כלכלה</w:t>
      </w:r>
      <w:r w:rsidRPr="00A210E9">
        <w:rPr>
          <w:rFonts w:eastAsia="Calibri" w:hint="cs"/>
          <w:rtl/>
        </w:rPr>
        <w:t xml:space="preserve"> של הכנסת</w:t>
      </w:r>
      <w:r w:rsidRPr="00A210E9">
        <w:rPr>
          <w:rFonts w:eastAsia="Calibri"/>
          <w:rtl/>
        </w:rPr>
        <w:t xml:space="preserve"> ב</w:t>
      </w:r>
      <w:r w:rsidRPr="00A210E9">
        <w:rPr>
          <w:rFonts w:eastAsia="Calibri" w:hint="cs"/>
          <w:rtl/>
        </w:rPr>
        <w:t xml:space="preserve">שנת </w:t>
      </w:r>
      <w:r w:rsidRPr="00A210E9">
        <w:rPr>
          <w:rFonts w:eastAsia="Calibri"/>
          <w:rtl/>
        </w:rPr>
        <w:t>2020</w:t>
      </w:r>
      <w:r>
        <w:rPr>
          <w:rFonts w:eastAsia="Calibri"/>
          <w:vertAlign w:val="superscript"/>
          <w:rtl/>
        </w:rPr>
        <w:footnoteReference w:id="131"/>
      </w:r>
      <w:r w:rsidRPr="00A210E9">
        <w:rPr>
          <w:rFonts w:eastAsia="Calibri" w:hint="cs"/>
          <w:rtl/>
        </w:rPr>
        <w:t xml:space="preserve"> ציין נציג ארגון המייצג אנשים עם מוגבלות כי בארה"ב קיים התקן שמזהה טביעת אצבע באמצעותה פקח עירוני מקבל מידע על נוכחות בעל התג ברכב. עוד ציין כי אם לא מתקבלת תביעת האצבע יאכוף הפקח את החוק על אותו רכב ויינתן קנס. הנציג הציג בדיון דוגמה להתקן זה.</w:t>
      </w:r>
      <w:r w:rsidRPr="00A210E9">
        <w:rPr>
          <w:rFonts w:eastAsia="Calibri"/>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במכתב מפברואר 2023 ששלחה עמותת נגישות ישראל למנכ"ל משרד התחבורה צוין כי </w:t>
      </w:r>
      <w:r w:rsidRPr="00A210E9">
        <w:rPr>
          <w:rFonts w:eastAsia="Calibri"/>
          <w:rtl/>
        </w:rPr>
        <w:t>אין התקדמות בבקשת</w:t>
      </w:r>
      <w:r w:rsidRPr="00A210E9">
        <w:rPr>
          <w:rFonts w:eastAsia="Calibri" w:hint="cs"/>
          <w:rtl/>
        </w:rPr>
        <w:t>ם</w:t>
      </w:r>
      <w:r w:rsidRPr="00A210E9">
        <w:rPr>
          <w:rFonts w:eastAsia="Calibri"/>
          <w:rtl/>
        </w:rPr>
        <w:t xml:space="preserve"> </w:t>
      </w:r>
      <w:r w:rsidRPr="00A210E9">
        <w:rPr>
          <w:rFonts w:eastAsia="Calibri" w:hint="cs"/>
          <w:rtl/>
        </w:rPr>
        <w:t>לתג</w:t>
      </w:r>
      <w:r w:rsidRPr="00A210E9">
        <w:rPr>
          <w:rFonts w:eastAsia="Calibri"/>
          <w:rtl/>
        </w:rPr>
        <w:t xml:space="preserve"> אישי וטכנולוגי שיפתור את בעיית שני </w:t>
      </w:r>
      <w:r w:rsidRPr="00A210E9">
        <w:rPr>
          <w:rFonts w:eastAsia="Calibri" w:hint="cs"/>
          <w:rtl/>
        </w:rPr>
        <w:t xml:space="preserve">התגים </w:t>
      </w:r>
      <w:r w:rsidRPr="00A210E9">
        <w:rPr>
          <w:rFonts w:eastAsia="Calibri"/>
          <w:rtl/>
        </w:rPr>
        <w:t>ו</w:t>
      </w:r>
      <w:r w:rsidRPr="00A210E9">
        <w:rPr>
          <w:rFonts w:eastAsia="Calibri" w:hint="cs"/>
          <w:rtl/>
        </w:rPr>
        <w:t>את ה</w:t>
      </w:r>
      <w:r w:rsidRPr="00A210E9">
        <w:rPr>
          <w:rFonts w:eastAsia="Calibri"/>
          <w:rtl/>
        </w:rPr>
        <w:t xml:space="preserve">שימוש לרעה </w:t>
      </w:r>
      <w:r w:rsidRPr="00A210E9">
        <w:rPr>
          <w:rFonts w:eastAsia="Calibri" w:hint="cs"/>
          <w:rtl/>
        </w:rPr>
        <w:t xml:space="preserve">מצד </w:t>
      </w:r>
      <w:r w:rsidRPr="00A210E9">
        <w:rPr>
          <w:rFonts w:eastAsia="Calibri"/>
          <w:rtl/>
        </w:rPr>
        <w:t xml:space="preserve">בני משפחה.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צוות 2022 (צוות מקצועי לקביעת קריטריונים ותהליכי עבודה בנושא זכאות לתג חניה שהוקם במשרד התחבורה ב-2022) הציע באחד מדיוניו </w:t>
      </w:r>
      <w:r w:rsidRPr="00A210E9">
        <w:rPr>
          <w:rFonts w:eastAsia="Calibri"/>
          <w:rtl/>
        </w:rPr>
        <w:t>לעבור לחלופה דיגיטלית לתג באמצעות שימוש באמצעים</w:t>
      </w:r>
      <w:r w:rsidRPr="00A210E9">
        <w:rPr>
          <w:rFonts w:eastAsia="Calibri" w:hint="cs"/>
          <w:rtl/>
        </w:rPr>
        <w:t xml:space="preserve"> </w:t>
      </w:r>
      <w:r w:rsidRPr="00A210E9">
        <w:rPr>
          <w:rFonts w:eastAsia="Calibri"/>
          <w:rtl/>
        </w:rPr>
        <w:t>טכנולוגי</w:t>
      </w:r>
      <w:r w:rsidRPr="00A210E9">
        <w:rPr>
          <w:rFonts w:eastAsia="Calibri" w:hint="cs"/>
          <w:rtl/>
        </w:rPr>
        <w:t>י</w:t>
      </w:r>
      <w:r w:rsidRPr="00A210E9">
        <w:rPr>
          <w:rFonts w:eastAsia="Calibri"/>
          <w:rtl/>
        </w:rPr>
        <w:t>ם אשר יאפשרו חניה</w:t>
      </w:r>
      <w:r w:rsidRPr="00A210E9">
        <w:rPr>
          <w:rFonts w:eastAsia="Calibri" w:hint="cs"/>
          <w:rtl/>
        </w:rPr>
        <w:t xml:space="preserve"> של</w:t>
      </w:r>
      <w:r w:rsidRPr="00A210E9">
        <w:rPr>
          <w:rFonts w:eastAsia="Calibri"/>
          <w:rtl/>
        </w:rPr>
        <w:t xml:space="preserve"> כלי רכב אחד בזמן נתון וימנעו חניה </w:t>
      </w:r>
      <w:r w:rsidRPr="00A210E9">
        <w:rPr>
          <w:rFonts w:eastAsia="Calibri" w:hint="cs"/>
          <w:rtl/>
        </w:rPr>
        <w:t xml:space="preserve">של </w:t>
      </w:r>
      <w:r w:rsidRPr="00A210E9">
        <w:rPr>
          <w:rFonts w:eastAsia="Calibri"/>
          <w:rtl/>
        </w:rPr>
        <w:t>כלי הרכב השני שברשות</w:t>
      </w:r>
      <w:r w:rsidRPr="00A210E9">
        <w:rPr>
          <w:rFonts w:eastAsia="Calibri" w:hint="cs"/>
          <w:rtl/>
        </w:rPr>
        <w:t xml:space="preserve"> האדם עם מוגבלות (</w:t>
      </w:r>
      <w:r w:rsidRPr="00A210E9">
        <w:rPr>
          <w:rFonts w:eastAsia="Calibri"/>
          <w:rtl/>
        </w:rPr>
        <w:t xml:space="preserve">בעל הזכאות יפעיל את החניה </w:t>
      </w:r>
      <w:r w:rsidRPr="00A210E9">
        <w:rPr>
          <w:rFonts w:eastAsia="Calibri" w:hint="cs"/>
          <w:rtl/>
        </w:rPr>
        <w:t xml:space="preserve">עבור </w:t>
      </w:r>
      <w:r w:rsidRPr="00A210E9">
        <w:rPr>
          <w:rFonts w:eastAsia="Calibri"/>
          <w:rtl/>
        </w:rPr>
        <w:t xml:space="preserve">כלי הרכב </w:t>
      </w:r>
      <w:r w:rsidRPr="00A210E9">
        <w:rPr>
          <w:rFonts w:eastAsia="Calibri" w:hint="cs"/>
          <w:rtl/>
        </w:rPr>
        <w:t xml:space="preserve">שהוא </w:t>
      </w:r>
      <w:r w:rsidRPr="00A210E9">
        <w:rPr>
          <w:rFonts w:eastAsia="Calibri"/>
          <w:rtl/>
        </w:rPr>
        <w:t>מבקש ל</w:t>
      </w:r>
      <w:r w:rsidRPr="00A210E9">
        <w:rPr>
          <w:rFonts w:eastAsia="Calibri" w:hint="cs"/>
          <w:rtl/>
        </w:rPr>
        <w:t>ה</w:t>
      </w:r>
      <w:r w:rsidRPr="00A210E9">
        <w:rPr>
          <w:rFonts w:eastAsia="Calibri"/>
          <w:rtl/>
        </w:rPr>
        <w:t>חנות</w:t>
      </w:r>
      <w:r w:rsidRPr="00A210E9">
        <w:rPr>
          <w:rFonts w:eastAsia="Calibri" w:hint="cs"/>
          <w:rtl/>
        </w:rPr>
        <w:t xml:space="preserve"> וגם יסיים אותה,</w:t>
      </w:r>
      <w:r w:rsidRPr="00A210E9">
        <w:rPr>
          <w:rFonts w:eastAsia="Calibri"/>
          <w:rtl/>
        </w:rPr>
        <w:t xml:space="preserve"> כדוגמת השימוש </w:t>
      </w:r>
      <w:r w:rsidRPr="00A210E9">
        <w:rPr>
          <w:rFonts w:eastAsia="Calibri" w:hint="cs"/>
          <w:rtl/>
        </w:rPr>
        <w:t>ביישומוני (אפליקציות) חניה הקיימים בשוק.</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צוות 2024</w:t>
      </w:r>
      <w:r w:rsidRPr="00A210E9">
        <w:rPr>
          <w:rFonts w:eastAsia="Calibri"/>
          <w:rtl/>
        </w:rPr>
        <w:t xml:space="preserve"> </w:t>
      </w:r>
      <w:r w:rsidRPr="00A210E9">
        <w:rPr>
          <w:rFonts w:eastAsia="Calibri" w:hint="cs"/>
          <w:rtl/>
        </w:rPr>
        <w:t>(צוות מקצועי נוסף לקביעת מדיניות בנושא תגי חניה שהוקם במשרד התחבורה ב-2024)</w:t>
      </w:r>
      <w:r w:rsidRPr="00A210E9">
        <w:rPr>
          <w:rFonts w:eastAsia="Calibri"/>
          <w:rtl/>
        </w:rPr>
        <w:t xml:space="preserve"> </w:t>
      </w:r>
      <w:r w:rsidRPr="00A210E9">
        <w:rPr>
          <w:rFonts w:eastAsia="Calibri" w:hint="cs"/>
          <w:rtl/>
        </w:rPr>
        <w:t>הציע</w:t>
      </w:r>
      <w:r w:rsidRPr="00A210E9">
        <w:rPr>
          <w:rFonts w:eastAsia="Calibri"/>
          <w:rtl/>
        </w:rPr>
        <w:t xml:space="preserve"> לקבוע</w:t>
      </w:r>
      <w:r w:rsidRPr="00A210E9">
        <w:rPr>
          <w:rFonts w:eastAsia="Calibri" w:hint="cs"/>
          <w:rtl/>
        </w:rPr>
        <w:t>,</w:t>
      </w:r>
      <w:r w:rsidRPr="00A210E9">
        <w:rPr>
          <w:rFonts w:eastAsia="Calibri"/>
          <w:rtl/>
        </w:rPr>
        <w:t xml:space="preserve"> </w:t>
      </w:r>
      <w:r w:rsidRPr="00A210E9">
        <w:rPr>
          <w:rFonts w:eastAsia="Calibri" w:hint="cs"/>
          <w:rtl/>
        </w:rPr>
        <w:t xml:space="preserve">בין יתר הסוגים </w:t>
      </w:r>
      <w:r w:rsidRPr="00A210E9">
        <w:rPr>
          <w:rFonts w:eastAsia="Calibri"/>
          <w:rtl/>
        </w:rPr>
        <w:t xml:space="preserve">של </w:t>
      </w:r>
      <w:r w:rsidRPr="00A210E9">
        <w:rPr>
          <w:rFonts w:eastAsia="Calibri" w:hint="cs"/>
          <w:rtl/>
        </w:rPr>
        <w:t>ה</w:t>
      </w:r>
      <w:r w:rsidRPr="00A210E9">
        <w:rPr>
          <w:rFonts w:eastAsia="Calibri"/>
          <w:rtl/>
        </w:rPr>
        <w:t>תגים</w:t>
      </w:r>
      <w:r w:rsidRPr="00A210E9">
        <w:rPr>
          <w:rFonts w:eastAsia="Calibri" w:hint="cs"/>
          <w:rtl/>
        </w:rPr>
        <w:t xml:space="preserve">, </w:t>
      </w:r>
      <w:r w:rsidRPr="00A210E9">
        <w:rPr>
          <w:rFonts w:eastAsia="Calibri"/>
          <w:rtl/>
        </w:rPr>
        <w:t>תג דיגיטלי</w:t>
      </w:r>
      <w:r w:rsidRPr="00A210E9">
        <w:rPr>
          <w:rFonts w:eastAsia="Calibri" w:hint="cs"/>
          <w:rtl/>
        </w:rPr>
        <w:t>,</w:t>
      </w:r>
      <w:r w:rsidRPr="00A210E9">
        <w:rPr>
          <w:rFonts w:eastAsia="Calibri"/>
          <w:rtl/>
        </w:rPr>
        <w:t xml:space="preserve"> כדוגמת איזי פארק</w:t>
      </w:r>
      <w:r>
        <w:rPr>
          <w:rFonts w:eastAsia="Calibri"/>
          <w:vertAlign w:val="superscript"/>
          <w:rtl/>
        </w:rPr>
        <w:footnoteReference w:id="132"/>
      </w:r>
      <w:r w:rsidRPr="00A210E9">
        <w:rPr>
          <w:rFonts w:eastAsia="Calibri" w:hint="cs"/>
          <w:rtl/>
        </w:rPr>
        <w:t>, שמאפשר</w:t>
      </w:r>
      <w:r w:rsidRPr="00A210E9">
        <w:rPr>
          <w:rFonts w:eastAsia="Calibri"/>
          <w:rtl/>
        </w:rPr>
        <w:t xml:space="preserve"> </w:t>
      </w:r>
      <w:r w:rsidRPr="00A210E9">
        <w:rPr>
          <w:rFonts w:eastAsia="Calibri" w:hint="cs"/>
          <w:rtl/>
        </w:rPr>
        <w:t>ל</w:t>
      </w:r>
      <w:r w:rsidRPr="00A210E9">
        <w:rPr>
          <w:rFonts w:eastAsia="Calibri"/>
          <w:rtl/>
        </w:rPr>
        <w:t>הור</w:t>
      </w:r>
      <w:r w:rsidRPr="00A210E9">
        <w:rPr>
          <w:rFonts w:eastAsia="Calibri" w:hint="cs"/>
          <w:rtl/>
        </w:rPr>
        <w:t>י</w:t>
      </w:r>
      <w:r w:rsidRPr="00A210E9">
        <w:rPr>
          <w:rFonts w:eastAsia="Calibri"/>
          <w:rtl/>
        </w:rPr>
        <w:t>ד</w:t>
      </w:r>
      <w:r w:rsidRPr="00A210E9">
        <w:rPr>
          <w:rFonts w:eastAsia="Calibri" w:hint="cs"/>
          <w:rtl/>
        </w:rPr>
        <w:t xml:space="preserve"> את</w:t>
      </w:r>
      <w:r w:rsidRPr="00A210E9">
        <w:rPr>
          <w:rFonts w:eastAsia="Calibri"/>
          <w:rtl/>
        </w:rPr>
        <w:t xml:space="preserve"> </w:t>
      </w:r>
      <w:r w:rsidRPr="00A210E9">
        <w:rPr>
          <w:rFonts w:eastAsia="Calibri" w:hint="cs"/>
          <w:rtl/>
        </w:rPr>
        <w:t xml:space="preserve">האדם עם מוגבלות מהרכב ואחר כך להזיז את </w:t>
      </w:r>
      <w:r w:rsidRPr="00A210E9">
        <w:rPr>
          <w:rFonts w:eastAsia="Calibri"/>
          <w:rtl/>
        </w:rPr>
        <w:t xml:space="preserve">הרכב ממקום החניה, כך חניות </w:t>
      </w:r>
      <w:r w:rsidRPr="00A210E9">
        <w:rPr>
          <w:rFonts w:eastAsia="Calibri" w:hint="cs"/>
          <w:rtl/>
        </w:rPr>
        <w:t>ה</w:t>
      </w:r>
      <w:r w:rsidRPr="00A210E9">
        <w:rPr>
          <w:rFonts w:eastAsia="Calibri"/>
          <w:rtl/>
        </w:rPr>
        <w:t xml:space="preserve">נכים </w:t>
      </w:r>
      <w:r w:rsidRPr="00A210E9">
        <w:rPr>
          <w:rFonts w:eastAsia="Calibri" w:hint="cs"/>
          <w:rtl/>
        </w:rPr>
        <w:t>יישארו</w:t>
      </w:r>
      <w:r w:rsidRPr="00A210E9">
        <w:rPr>
          <w:rFonts w:eastAsia="Calibri"/>
          <w:rtl/>
        </w:rPr>
        <w:t xml:space="preserve"> פנוי</w:t>
      </w:r>
      <w:r w:rsidRPr="00A210E9">
        <w:rPr>
          <w:rFonts w:eastAsia="Calibri" w:hint="cs"/>
          <w:rtl/>
        </w:rPr>
        <w:t>ות</w:t>
      </w:r>
      <w:r w:rsidRPr="00A210E9">
        <w:rPr>
          <w:rFonts w:eastAsia="Calibri"/>
          <w:rtl/>
        </w:rPr>
        <w:t>.</w:t>
      </w:r>
    </w:p>
    <w:p w:rsidR="00A210E9" w:rsidRPr="00A210E9" w:rsidP="00A210E9">
      <w:pPr>
        <w:spacing w:line="269" w:lineRule="auto"/>
        <w:rPr>
          <w:rFonts w:eastAsia="Calibri"/>
          <w:rtl/>
        </w:rPr>
      </w:pPr>
      <w:r w:rsidRPr="00A210E9">
        <w:rPr>
          <w:rFonts w:eastAsia="Calibri" w:hint="eastAsia"/>
          <w:rtl/>
        </w:rPr>
        <w:t>בשנת</w:t>
      </w:r>
      <w:r w:rsidRPr="00A210E9">
        <w:rPr>
          <w:rFonts w:eastAsia="Calibri" w:hint="cs"/>
          <w:rtl/>
        </w:rPr>
        <w:t xml:space="preserve"> 2025 הכין משרד התחבורה מסמך דרישות לפיתוח מערכת לצורך שיפור אכיפת השימוש בחניות נכים. המסמך הוכן בליווי מערך הדיגיטל הלאומי (להלן - מערך הדיגיטל) </w:t>
      </w:r>
      <w:r w:rsidRPr="00A210E9">
        <w:rPr>
          <w:rFonts w:eastAsia="Calibri"/>
          <w:rtl/>
        </w:rPr>
        <w:t>במסגרת אקסלרטור</w:t>
      </w:r>
      <w:r w:rsidRPr="00A210E9">
        <w:rPr>
          <w:rFonts w:eastAsia="Calibri" w:hint="cs"/>
          <w:rtl/>
        </w:rPr>
        <w:t xml:space="preserve"> </w:t>
      </w:r>
      <w:r w:rsidRPr="00A210E9">
        <w:rPr>
          <w:rFonts w:eastAsia="Calibri"/>
        </w:rPr>
        <w:t xml:space="preserve"> GovLab</w:t>
      </w:r>
      <w:r>
        <w:rPr>
          <w:rFonts w:eastAsia="Calibri"/>
          <w:vertAlign w:val="superscript"/>
          <w:rtl/>
        </w:rPr>
        <w:footnoteReference w:id="133"/>
      </w:r>
      <w:r w:rsidRPr="00A210E9">
        <w:rPr>
          <w:rFonts w:eastAsia="Calibri" w:hint="cs"/>
          <w:rtl/>
        </w:rPr>
        <w:t>,</w:t>
      </w:r>
      <w:r w:rsidRPr="00A210E9">
        <w:rPr>
          <w:rFonts w:eastAsia="Calibri"/>
          <w:rtl/>
        </w:rPr>
        <w:t xml:space="preserve"> </w:t>
      </w:r>
      <w:r w:rsidRPr="00A210E9">
        <w:rPr>
          <w:rFonts w:eastAsia="Calibri" w:hint="cs"/>
          <w:rtl/>
        </w:rPr>
        <w:t xml:space="preserve">והנושא טופל </w:t>
      </w:r>
      <w:r w:rsidRPr="00A210E9">
        <w:rPr>
          <w:rFonts w:eastAsia="Calibri"/>
          <w:rtl/>
        </w:rPr>
        <w:t xml:space="preserve">ע"י ספקים </w:t>
      </w:r>
      <w:r w:rsidRPr="00A210E9">
        <w:rPr>
          <w:rFonts w:eastAsia="Calibri" w:hint="cs"/>
          <w:rtl/>
        </w:rPr>
        <w:t xml:space="preserve">חיצוניים </w:t>
      </w:r>
      <w:r w:rsidRPr="00A210E9">
        <w:rPr>
          <w:rFonts w:eastAsia="Calibri"/>
          <w:rtl/>
        </w:rPr>
        <w:t>באמצעות</w:t>
      </w:r>
      <w:r w:rsidRPr="00A210E9">
        <w:rPr>
          <w:rFonts w:eastAsia="Calibri" w:hint="cs"/>
          <w:rtl/>
        </w:rPr>
        <w:t xml:space="preserve"> מערך הדיגיטל</w:t>
      </w:r>
      <w:r>
        <w:rPr>
          <w:rFonts w:eastAsia="Calibri"/>
          <w:vertAlign w:val="superscript"/>
          <w:rtl/>
        </w:rPr>
        <w:footnoteReference w:id="134"/>
      </w:r>
      <w:r w:rsidRPr="00A210E9">
        <w:rPr>
          <w:rFonts w:eastAsia="Calibri" w:hint="cs"/>
          <w:rtl/>
        </w:rPr>
        <w:t>. מטרת המערכת - לזהות חניה בו זמנית בחניית נכים של שני כלי רכב המשויכים לאותו מספר תעודת זהות של בעל תג. הדבר ייעשה באמצעות יישומון להפעלת חניה יחידה ייעודית לבעל התג (יישומון "חניתי")</w:t>
      </w:r>
      <w:r w:rsidRPr="00A210E9">
        <w:rPr>
          <w:rFonts w:eastAsia="Calibri"/>
          <w:rtl/>
        </w:rPr>
        <w:t xml:space="preserve"> אשר פותח בשיתוף פעולה עם ארגונים המייצגים אנשים עם מוגבלות</w:t>
      </w:r>
      <w:r w:rsidRPr="00A210E9">
        <w:rPr>
          <w:rFonts w:eastAsia="Calibri" w:hint="cs"/>
          <w:rtl/>
        </w:rPr>
        <w:t>. נכון למרץ 2026 (לאחר מועד סיום הביקורת), המערכת נמצאת בשלב הפיילוט ויישומון לשימוש בה פורסם לציבור</w:t>
      </w:r>
      <w:r>
        <w:rPr>
          <w:rFonts w:eastAsia="Calibri"/>
          <w:vertAlign w:val="superscript"/>
          <w:rtl/>
        </w:rPr>
        <w:footnoteReference w:id="135"/>
      </w:r>
      <w:r w:rsidRPr="00A210E9">
        <w:rPr>
          <w:rFonts w:eastAsia="Calibri" w:hint="cs"/>
          <w:rtl/>
        </w:rPr>
        <w:t>. יצוין כי מערכת זו אינה צפויה לספק פתרון מלא לתופעת הניצול לרעה של תג חניה, אלא רק למקרים שבהם שני רכבים המשויכים לאותו בעל תג חונים בו זמנית בחניות נכים.</w:t>
      </w:r>
      <w:r w:rsidRPr="00A210E9">
        <w:rPr>
          <w:rFonts w:eastAsia="Calibri"/>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בשנים האחרונות הוצעו למשרד התחבורה פתרונות טכנולוגיים כדי לוודא את נוכחות בעל התג בעת החניה, כגון התקן המזהה טביעת אצבע</w:t>
      </w:r>
      <w:r w:rsidRPr="00A210E9">
        <w:rPr>
          <w:rFonts w:eastAsia="Calibri"/>
          <w:b/>
          <w:bCs/>
          <w:rtl/>
        </w:rPr>
        <w:t xml:space="preserve">. </w:t>
      </w:r>
      <w:r w:rsidRPr="00A210E9">
        <w:rPr>
          <w:rFonts w:eastAsia="Calibri" w:hint="eastAsia"/>
          <w:b/>
          <w:bCs/>
          <w:rtl/>
        </w:rPr>
        <w:t>כמו</w:t>
      </w:r>
      <w:r w:rsidRPr="00A210E9">
        <w:rPr>
          <w:rFonts w:eastAsia="Calibri"/>
          <w:b/>
          <w:bCs/>
          <w:rtl/>
        </w:rPr>
        <w:t xml:space="preserve"> </w:t>
      </w:r>
      <w:r w:rsidRPr="00A210E9">
        <w:rPr>
          <w:rFonts w:eastAsia="Calibri" w:hint="eastAsia"/>
          <w:b/>
          <w:bCs/>
          <w:rtl/>
        </w:rPr>
        <w:t>כן</w:t>
      </w:r>
      <w:r w:rsidRPr="00A210E9">
        <w:rPr>
          <w:rFonts w:eastAsia="Calibri"/>
          <w:b/>
          <w:bCs/>
          <w:rtl/>
        </w:rPr>
        <w:t xml:space="preserve">, </w:t>
      </w:r>
      <w:r w:rsidRPr="00A210E9">
        <w:rPr>
          <w:rFonts w:eastAsia="Calibri" w:hint="eastAsia"/>
          <w:b/>
          <w:bCs/>
          <w:rtl/>
        </w:rPr>
        <w:t>נמצא</w:t>
      </w:r>
      <w:r w:rsidRPr="00A210E9">
        <w:rPr>
          <w:rFonts w:eastAsia="Calibri" w:hint="cs"/>
          <w:b/>
          <w:bCs/>
          <w:rtl/>
        </w:rPr>
        <w:t xml:space="preserve"> כי האיחוד האירופי מקדם כרטיס עם זיהוי באמצעות קוד </w:t>
      </w:r>
      <w:r w:rsidRPr="00A210E9">
        <w:rPr>
          <w:rFonts w:eastAsia="Calibri"/>
          <w:b/>
          <w:bCs/>
        </w:rPr>
        <w:t>QR</w:t>
      </w:r>
      <w:r w:rsidRPr="00A210E9">
        <w:rPr>
          <w:rFonts w:eastAsia="Calibri" w:hint="cs"/>
          <w:b/>
          <w:bCs/>
          <w:rtl/>
        </w:rPr>
        <w:t xml:space="preserve">, </w:t>
      </w:r>
      <w:r w:rsidRPr="00A210E9">
        <w:rPr>
          <w:rFonts w:eastAsia="Calibri" w:hint="eastAsia"/>
          <w:b/>
          <w:bCs/>
          <w:rtl/>
        </w:rPr>
        <w:t>ו</w:t>
      </w:r>
      <w:r w:rsidRPr="00A210E9">
        <w:rPr>
          <w:rFonts w:eastAsia="Calibri" w:hint="cs"/>
          <w:b/>
          <w:bCs/>
          <w:rtl/>
        </w:rPr>
        <w:t xml:space="preserve">אולם במהלך השנים לא קידם משרד התחבורה פיתוח אמצעים טכנולוגיים מסוג זה ושימוש בהם. </w:t>
      </w:r>
      <w:bookmarkStart w:id="126" w:name="_Hlk223941612"/>
      <w:r w:rsidRPr="00A210E9">
        <w:rPr>
          <w:rFonts w:eastAsia="Calibri" w:hint="eastAsia"/>
          <w:b/>
          <w:bCs/>
          <w:rtl/>
        </w:rPr>
        <w:t>כך</w:t>
      </w:r>
      <w:r w:rsidRPr="00A210E9">
        <w:rPr>
          <w:rFonts w:eastAsia="Calibri"/>
          <w:b/>
          <w:bCs/>
          <w:rtl/>
        </w:rPr>
        <w:t xml:space="preserve"> </w:t>
      </w:r>
      <w:r w:rsidRPr="00A210E9">
        <w:rPr>
          <w:rFonts w:eastAsia="Calibri" w:hint="eastAsia"/>
          <w:b/>
          <w:bCs/>
          <w:rtl/>
        </w:rPr>
        <w:t>נמצא</w:t>
      </w:r>
      <w:r w:rsidRPr="00A210E9">
        <w:rPr>
          <w:rFonts w:eastAsia="Calibri" w:hint="cs"/>
          <w:b/>
          <w:bCs/>
          <w:rtl/>
        </w:rPr>
        <w:t xml:space="preserve"> כי היישומון "חניתי" שפיתוחו מקודם על ידי משרד התחבורה ומערך הדיגיטל, אינו צפוי לספק פתרון כולל לתופעת הניצול לרעה של תג חניה, אלא רק למקרים שבהם שני רכבים המשויכים לאותו בעל תג חונים בו זמנית בחניות נכים ובעת שפקח אוכף את החוק.  </w:t>
      </w:r>
      <w:bookmarkEnd w:id="126"/>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bookmarkStart w:id="127" w:name="_Hlk223539886"/>
      <w:r w:rsidRPr="00A210E9">
        <w:rPr>
          <w:rFonts w:eastAsia="Calibri" w:hint="cs"/>
          <w:b/>
          <w:bCs/>
          <w:rtl/>
        </w:rPr>
        <w:t xml:space="preserve">משרד מבקר המדינה ממליץ למשרד התחבורה, בשיתוף מערך הדיגיטל, </w:t>
      </w:r>
      <w:r w:rsidRPr="00A210E9">
        <w:rPr>
          <w:rFonts w:eastAsia="Calibri" w:hint="eastAsia"/>
          <w:b/>
          <w:bCs/>
          <w:rtl/>
        </w:rPr>
        <w:t>להמשיך</w:t>
      </w:r>
      <w:r w:rsidRPr="00A210E9">
        <w:rPr>
          <w:rFonts w:eastAsia="Calibri"/>
          <w:b/>
          <w:bCs/>
          <w:rtl/>
        </w:rPr>
        <w:t xml:space="preserve"> </w:t>
      </w:r>
      <w:r w:rsidRPr="00A210E9">
        <w:rPr>
          <w:rFonts w:eastAsia="Calibri" w:hint="eastAsia"/>
          <w:b/>
          <w:bCs/>
          <w:rtl/>
        </w:rPr>
        <w:t>ולבחון</w:t>
      </w:r>
      <w:r w:rsidRPr="00A210E9">
        <w:rPr>
          <w:rFonts w:eastAsia="Calibri" w:hint="cs"/>
          <w:b/>
          <w:bCs/>
          <w:rtl/>
        </w:rPr>
        <w:t xml:space="preserve"> פתרונות טכנולוגיים המתיישבים עם חובות הדין שיאפשרו לזהות אם הרכב החונה אכן משרת בזמן החניה את בעל התג, וזאת כדי שניתן יהיה לאכוף את סעיף 4א לחוק חניה לנכים, ובכך למנוע שימוש לרעה בתג חניה.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eastAsia"/>
          <w:rtl/>
        </w:rPr>
        <w:t>החשכ</w:t>
      </w:r>
      <w:r w:rsidRPr="00A210E9">
        <w:rPr>
          <w:rFonts w:eastAsia="Calibri"/>
          <w:rtl/>
        </w:rPr>
        <w:t xml:space="preserve">"ל כתב בתשובתו כי </w:t>
      </w:r>
      <w:r w:rsidRPr="00A210E9">
        <w:rPr>
          <w:rFonts w:eastAsia="Calibri" w:hint="cs"/>
          <w:rtl/>
        </w:rPr>
        <w:t>ה</w:t>
      </w:r>
      <w:r w:rsidRPr="00A210E9">
        <w:rPr>
          <w:rFonts w:eastAsia="Calibri" w:hint="eastAsia"/>
          <w:rtl/>
        </w:rPr>
        <w:t xml:space="preserve">צוות </w:t>
      </w:r>
      <w:r w:rsidRPr="00A210E9">
        <w:rPr>
          <w:rFonts w:eastAsia="Calibri" w:hint="cs"/>
          <w:rtl/>
        </w:rPr>
        <w:t>ה</w:t>
      </w:r>
      <w:r w:rsidRPr="00A210E9">
        <w:rPr>
          <w:rFonts w:eastAsia="Calibri" w:hint="eastAsia"/>
          <w:rtl/>
        </w:rPr>
        <w:t>בין-משרדי 2025</w:t>
      </w:r>
      <w:r w:rsidRPr="00A210E9">
        <w:rPr>
          <w:rFonts w:eastAsia="Calibri"/>
          <w:rtl/>
        </w:rPr>
        <w:t xml:space="preserve"> בודק בין היתר את הצורך לוודא כי הרכב המשויך לתג אכן משמש את </w:t>
      </w:r>
      <w:r w:rsidRPr="00A210E9">
        <w:rPr>
          <w:rFonts w:eastAsia="Calibri" w:hint="eastAsia"/>
          <w:rtl/>
        </w:rPr>
        <w:t>האדם</w:t>
      </w:r>
      <w:r w:rsidRPr="00A210E9">
        <w:rPr>
          <w:rFonts w:eastAsia="Calibri"/>
          <w:rtl/>
        </w:rPr>
        <w:t xml:space="preserve"> </w:t>
      </w:r>
      <w:r w:rsidRPr="00A210E9">
        <w:rPr>
          <w:rFonts w:eastAsia="Calibri" w:hint="eastAsia"/>
          <w:rtl/>
        </w:rPr>
        <w:t>עם</w:t>
      </w:r>
      <w:r w:rsidRPr="00A210E9">
        <w:rPr>
          <w:rFonts w:eastAsia="Calibri"/>
          <w:rtl/>
        </w:rPr>
        <w:t xml:space="preserve"> </w:t>
      </w:r>
      <w:r w:rsidRPr="00A210E9">
        <w:rPr>
          <w:rFonts w:eastAsia="Calibri" w:hint="eastAsia"/>
          <w:rtl/>
        </w:rPr>
        <w:t>מוגבלות</w:t>
      </w:r>
      <w:r w:rsidRPr="00A210E9">
        <w:rPr>
          <w:rFonts w:eastAsia="Calibri"/>
          <w:rtl/>
        </w:rPr>
        <w:t xml:space="preserve"> באופן אישי ודרך קבע, וכי לא נעשה שימוש בתג שלא בהתאם לתכלית החוק. עוד ציין כי במסגרת זו נבחנים עקרונות לצמצום שימוש לא תקין, והכל בכפוף להסדרה משפטית, תפעולית וטכנולוגית מתאימה. </w:t>
      </w:r>
      <w:r w:rsidRPr="00A210E9">
        <w:rPr>
          <w:rFonts w:eastAsia="Calibri" w:hint="eastAsia"/>
          <w:rtl/>
        </w:rPr>
        <w:t>החשכ</w:t>
      </w:r>
      <w:r w:rsidRPr="00A210E9">
        <w:rPr>
          <w:rFonts w:eastAsia="Calibri"/>
          <w:rtl/>
        </w:rPr>
        <w:t>"ל הוסיף כי ה</w:t>
      </w:r>
      <w:r w:rsidRPr="00A210E9">
        <w:rPr>
          <w:rFonts w:eastAsia="Calibri" w:hint="eastAsia"/>
          <w:rtl/>
        </w:rPr>
        <w:t>צוות</w:t>
      </w:r>
      <w:r w:rsidRPr="00A210E9">
        <w:rPr>
          <w:rFonts w:eastAsia="Calibri"/>
          <w:rtl/>
        </w:rPr>
        <w:t xml:space="preserve"> </w:t>
      </w:r>
      <w:r w:rsidRPr="00A210E9">
        <w:rPr>
          <w:rFonts w:eastAsia="Calibri" w:hint="eastAsia"/>
          <w:rtl/>
        </w:rPr>
        <w:t>מתכוון</w:t>
      </w:r>
      <w:r w:rsidRPr="00A210E9">
        <w:rPr>
          <w:rFonts w:eastAsia="Calibri"/>
          <w:rtl/>
        </w:rPr>
        <w:t xml:space="preserve"> </w:t>
      </w:r>
      <w:r w:rsidRPr="00A210E9">
        <w:rPr>
          <w:rFonts w:eastAsia="Calibri" w:hint="eastAsia"/>
          <w:rtl/>
        </w:rPr>
        <w:t>לה</w:t>
      </w:r>
      <w:r w:rsidRPr="00A210E9">
        <w:rPr>
          <w:rFonts w:eastAsia="Calibri"/>
          <w:rtl/>
        </w:rPr>
        <w:t>מליץ שלצורך אכיפה יפותח יישומון חובה להפעלת התג בזמן אמת (אשר יחסום שימוש בשני תגים במקביל) ו</w:t>
      </w:r>
      <w:r w:rsidRPr="00A210E9">
        <w:rPr>
          <w:rFonts w:eastAsia="Calibri" w:hint="eastAsia"/>
          <w:rtl/>
        </w:rPr>
        <w:t>כי</w:t>
      </w:r>
      <w:r w:rsidRPr="00A210E9">
        <w:rPr>
          <w:rFonts w:eastAsia="Calibri"/>
          <w:rtl/>
        </w:rPr>
        <w:t xml:space="preserve"> </w:t>
      </w:r>
      <w:r w:rsidRPr="00A210E9">
        <w:rPr>
          <w:rFonts w:eastAsia="Calibri" w:hint="eastAsia"/>
          <w:rtl/>
        </w:rPr>
        <w:t>ייקבעו</w:t>
      </w:r>
      <w:r w:rsidRPr="00A210E9">
        <w:rPr>
          <w:rFonts w:eastAsia="Calibri"/>
          <w:rtl/>
        </w:rPr>
        <w:t xml:space="preserve"> סנקציות בנושא, ובראשן שלילת תג במקרים של מידע כוזב או שימוש אסור.</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מערך הדיגיטל מסר בתשובתו ממאי 2026 (להלן - תשובת מערך הדיגיטל) כי </w:t>
      </w:r>
      <w:r w:rsidRPr="00A210E9">
        <w:rPr>
          <w:rFonts w:eastAsia="Calibri"/>
          <w:rtl/>
        </w:rPr>
        <w:t xml:space="preserve">ההמלצה מקובלת והמערך </w:t>
      </w:r>
      <w:r w:rsidRPr="00A210E9">
        <w:rPr>
          <w:rFonts w:eastAsia="Calibri" w:hint="cs"/>
          <w:rtl/>
        </w:rPr>
        <w:t>יבחן</w:t>
      </w:r>
      <w:r w:rsidRPr="00A210E9">
        <w:rPr>
          <w:rFonts w:eastAsia="Calibri"/>
          <w:rtl/>
        </w:rPr>
        <w:t xml:space="preserve"> </w:t>
      </w:r>
      <w:r w:rsidRPr="00A210E9">
        <w:rPr>
          <w:rFonts w:eastAsia="Calibri" w:hint="cs"/>
          <w:rtl/>
        </w:rPr>
        <w:t>אותה</w:t>
      </w:r>
      <w:r w:rsidRPr="00A210E9">
        <w:rPr>
          <w:rFonts w:eastAsia="Calibri"/>
          <w:rtl/>
        </w:rPr>
        <w:t xml:space="preserve"> מול</w:t>
      </w:r>
      <w:r w:rsidRPr="00A210E9">
        <w:rPr>
          <w:rFonts w:eastAsia="Calibri" w:hint="cs"/>
          <w:rtl/>
        </w:rPr>
        <w:t xml:space="preserve"> </w:t>
      </w:r>
      <w:r w:rsidRPr="00A210E9">
        <w:rPr>
          <w:rFonts w:eastAsia="Calibri"/>
          <w:rtl/>
        </w:rPr>
        <w:t>משרד התחבורה</w:t>
      </w:r>
      <w:r w:rsidRPr="00A210E9">
        <w:rPr>
          <w:rFonts w:eastAsia="Calibri" w:hint="cs"/>
          <w:rtl/>
        </w:rPr>
        <w:t xml:space="preserve">. </w:t>
      </w:r>
      <w:r w:rsidRPr="00A210E9">
        <w:rPr>
          <w:rFonts w:eastAsia="Calibri" w:hint="eastAsia"/>
          <w:rtl/>
        </w:rPr>
        <w:t>משרד</w:t>
      </w:r>
      <w:r w:rsidRPr="00A210E9">
        <w:rPr>
          <w:rFonts w:eastAsia="Calibri"/>
          <w:rtl/>
        </w:rPr>
        <w:t xml:space="preserve"> התחבורה </w:t>
      </w:r>
      <w:r w:rsidRPr="00A210E9">
        <w:rPr>
          <w:rFonts w:eastAsia="Calibri" w:hint="eastAsia"/>
          <w:rtl/>
        </w:rPr>
        <w:t>כתב</w:t>
      </w:r>
      <w:r w:rsidRPr="00A210E9">
        <w:rPr>
          <w:rFonts w:eastAsia="Calibri"/>
          <w:rtl/>
        </w:rPr>
        <w:t xml:space="preserve"> בתשובתו כי כפתרון מידי מקודם יישומון "חניתי", </w:t>
      </w:r>
      <w:r w:rsidRPr="00A210E9">
        <w:rPr>
          <w:rFonts w:eastAsia="Calibri" w:hint="eastAsia"/>
          <w:rtl/>
        </w:rPr>
        <w:t>ו</w:t>
      </w:r>
      <w:r w:rsidRPr="00A210E9">
        <w:rPr>
          <w:rFonts w:eastAsia="Calibri"/>
          <w:rtl/>
        </w:rPr>
        <w:t xml:space="preserve">במקביל המשרד נכון לקדם יחד עם משרד הפנים והמשטרה פתרונות משלימים והסדרים שיחזקו את האכיפה. המשרד ציין </w:t>
      </w:r>
      <w:r w:rsidRPr="00A210E9">
        <w:rPr>
          <w:rFonts w:eastAsia="Calibri" w:hint="eastAsia"/>
          <w:rtl/>
        </w:rPr>
        <w:t>כי</w:t>
      </w:r>
      <w:r w:rsidRPr="00A210E9">
        <w:rPr>
          <w:rFonts w:eastAsia="Calibri"/>
          <w:rtl/>
        </w:rPr>
        <w:t xml:space="preserve"> פתרונות המבוססים על מאגרי טביעת אצבע או מאגרי קול אינם ישימים עבור המשרד, שכן המשרד אינו מוסמך לנהל מאגרי מידע ביומטריים מסוג זה. המשרד </w:t>
      </w:r>
      <w:r w:rsidRPr="00A210E9">
        <w:rPr>
          <w:rFonts w:eastAsia="Calibri" w:hint="eastAsia"/>
          <w:rtl/>
        </w:rPr>
        <w:t>הוסיף</w:t>
      </w:r>
      <w:r w:rsidRPr="00A210E9">
        <w:rPr>
          <w:rFonts w:eastAsia="Calibri"/>
          <w:rtl/>
        </w:rPr>
        <w:t xml:space="preserve"> </w:t>
      </w:r>
      <w:r w:rsidRPr="00A210E9">
        <w:rPr>
          <w:rFonts w:eastAsia="Calibri" w:hint="eastAsia"/>
          <w:rtl/>
        </w:rPr>
        <w:t>כי</w:t>
      </w:r>
      <w:r w:rsidRPr="00A210E9">
        <w:rPr>
          <w:rFonts w:eastAsia="Calibri"/>
          <w:rtl/>
        </w:rPr>
        <w:t xml:space="preserve"> </w:t>
      </w:r>
      <w:r w:rsidRPr="00A210E9">
        <w:rPr>
          <w:rFonts w:eastAsia="Calibri" w:hint="eastAsia"/>
          <w:rtl/>
        </w:rPr>
        <w:t>ה</w:t>
      </w:r>
      <w:r w:rsidRPr="00A210E9">
        <w:rPr>
          <w:rFonts w:eastAsia="Calibri"/>
          <w:rtl/>
        </w:rPr>
        <w:t xml:space="preserve">פיילוט של </w:t>
      </w:r>
      <w:r w:rsidRPr="00A210E9">
        <w:rPr>
          <w:rFonts w:eastAsia="Calibri" w:hint="eastAsia"/>
          <w:rtl/>
        </w:rPr>
        <w:t>יישומון</w:t>
      </w:r>
      <w:r w:rsidRPr="00A210E9">
        <w:rPr>
          <w:rFonts w:eastAsia="Calibri"/>
          <w:rtl/>
        </w:rPr>
        <w:t xml:space="preserve"> "חניתי", </w:t>
      </w:r>
      <w:r w:rsidRPr="00A210E9">
        <w:rPr>
          <w:rFonts w:eastAsia="Calibri" w:hint="eastAsia"/>
          <w:rtl/>
        </w:rPr>
        <w:t>מהווה</w:t>
      </w:r>
      <w:r w:rsidRPr="00A210E9">
        <w:rPr>
          <w:rFonts w:eastAsia="Calibri"/>
          <w:rtl/>
        </w:rPr>
        <w:t xml:space="preserve"> חלק מהפיכת תג </w:t>
      </w:r>
      <w:r w:rsidRPr="00A210E9">
        <w:rPr>
          <w:rFonts w:eastAsia="Calibri" w:hint="eastAsia"/>
          <w:rtl/>
        </w:rPr>
        <w:t>החניה</w:t>
      </w:r>
      <w:r w:rsidRPr="00A210E9">
        <w:rPr>
          <w:rFonts w:eastAsia="Calibri"/>
          <w:rtl/>
        </w:rPr>
        <w:t xml:space="preserve"> לדיגיטלי רק עבור האדם הזכאי </w:t>
      </w:r>
      <w:r w:rsidRPr="00A210E9">
        <w:rPr>
          <w:rFonts w:eastAsia="Calibri" w:hint="eastAsia"/>
          <w:rtl/>
        </w:rPr>
        <w:t>לתג</w:t>
      </w:r>
      <w:r w:rsidRPr="00A210E9">
        <w:rPr>
          <w:rFonts w:eastAsia="Calibri"/>
          <w:rtl/>
        </w:rPr>
        <w:t xml:space="preserve">, וכי יישומון </w:t>
      </w:r>
      <w:r w:rsidRPr="00A210E9">
        <w:rPr>
          <w:rFonts w:eastAsia="Calibri" w:hint="eastAsia"/>
          <w:rtl/>
        </w:rPr>
        <w:t>אשר</w:t>
      </w:r>
      <w:r w:rsidRPr="00A210E9">
        <w:rPr>
          <w:rFonts w:eastAsia="Calibri"/>
          <w:rtl/>
        </w:rPr>
        <w:t xml:space="preserve"> </w:t>
      </w:r>
      <w:r w:rsidRPr="00A210E9">
        <w:rPr>
          <w:rFonts w:eastAsia="Calibri" w:hint="eastAsia"/>
          <w:rtl/>
        </w:rPr>
        <w:t>ייתן</w:t>
      </w:r>
      <w:r w:rsidRPr="00A210E9">
        <w:rPr>
          <w:rFonts w:eastAsia="Calibri"/>
          <w:rtl/>
        </w:rPr>
        <w:t xml:space="preserve"> מענה זהה לכרטיס ואשר </w:t>
      </w:r>
      <w:r w:rsidRPr="00A210E9">
        <w:rPr>
          <w:rFonts w:eastAsia="Calibri" w:hint="eastAsia"/>
          <w:rtl/>
        </w:rPr>
        <w:t>יידע</w:t>
      </w:r>
      <w:r w:rsidRPr="00A210E9">
        <w:rPr>
          <w:rFonts w:eastAsia="Calibri"/>
          <w:rtl/>
        </w:rPr>
        <w:t xml:space="preserve"> לזהות את </w:t>
      </w:r>
      <w:r w:rsidRPr="00A210E9">
        <w:rPr>
          <w:rFonts w:eastAsia="Calibri" w:hint="eastAsia"/>
          <w:rtl/>
        </w:rPr>
        <w:t>בעל</w:t>
      </w:r>
      <w:r w:rsidRPr="00A210E9">
        <w:rPr>
          <w:rFonts w:eastAsia="Calibri"/>
          <w:rtl/>
        </w:rPr>
        <w:t xml:space="preserve"> התג בצורה חד ערכית (ע"י הזדהות לאומית ושימוש ברכיב ההזדהות הביומטרי של המכשיר והמיקום של המכשיר) נמצא בשלבי פיתוח ו</w:t>
      </w:r>
      <w:r w:rsidRPr="00A210E9">
        <w:rPr>
          <w:rFonts w:eastAsia="Calibri" w:hint="eastAsia"/>
          <w:rtl/>
        </w:rPr>
        <w:t>י</w:t>
      </w:r>
      <w:r w:rsidRPr="00A210E9">
        <w:rPr>
          <w:rFonts w:eastAsia="Calibri"/>
          <w:rtl/>
        </w:rPr>
        <w:t>עלה לאוויר בגרסה הבאה.</w:t>
      </w:r>
      <w:r w:rsidRPr="00A210E9">
        <w:rPr>
          <w:rFonts w:eastAsia="Calibri" w:hint="cs"/>
          <w:rtl/>
        </w:rPr>
        <w:t xml:space="preserve"> </w:t>
      </w:r>
      <w:r w:rsidRPr="00A210E9">
        <w:rPr>
          <w:rFonts w:eastAsia="Calibri" w:hint="eastAsia"/>
          <w:rtl/>
        </w:rPr>
        <w:t>עיריית</w:t>
      </w:r>
      <w:r w:rsidRPr="00A210E9">
        <w:rPr>
          <w:rFonts w:eastAsia="Calibri"/>
          <w:rtl/>
        </w:rPr>
        <w:t xml:space="preserve"> ירושלים כתבה בתשובתה כי </w:t>
      </w:r>
      <w:r w:rsidRPr="00A210E9">
        <w:rPr>
          <w:rFonts w:eastAsia="Calibri" w:hint="eastAsia"/>
          <w:rtl/>
        </w:rPr>
        <w:t>אגף</w:t>
      </w:r>
      <w:r w:rsidRPr="00A210E9">
        <w:rPr>
          <w:rFonts w:eastAsia="Calibri"/>
          <w:rtl/>
        </w:rPr>
        <w:t xml:space="preserve"> </w:t>
      </w:r>
      <w:r w:rsidRPr="00A210E9">
        <w:rPr>
          <w:rFonts w:eastAsia="Calibri" w:hint="eastAsia"/>
          <w:rtl/>
        </w:rPr>
        <w:t>האכיפה</w:t>
      </w:r>
      <w:r w:rsidRPr="00A210E9">
        <w:rPr>
          <w:rFonts w:eastAsia="Calibri"/>
          <w:rtl/>
        </w:rPr>
        <w:t xml:space="preserve"> </w:t>
      </w:r>
      <w:r w:rsidRPr="00A210E9">
        <w:rPr>
          <w:rFonts w:eastAsia="Calibri" w:hint="eastAsia"/>
          <w:rtl/>
        </w:rPr>
        <w:t>השלים</w:t>
      </w:r>
      <w:r w:rsidRPr="00A210E9">
        <w:rPr>
          <w:rFonts w:eastAsia="Calibri"/>
          <w:rtl/>
        </w:rPr>
        <w:t xml:space="preserve"> </w:t>
      </w:r>
      <w:r w:rsidRPr="00A210E9">
        <w:rPr>
          <w:rFonts w:eastAsia="Calibri" w:hint="eastAsia"/>
          <w:rtl/>
        </w:rPr>
        <w:t>את</w:t>
      </w:r>
      <w:r w:rsidRPr="00A210E9">
        <w:rPr>
          <w:rFonts w:eastAsia="Calibri"/>
          <w:rtl/>
        </w:rPr>
        <w:t xml:space="preserve"> </w:t>
      </w:r>
      <w:r w:rsidRPr="00A210E9">
        <w:rPr>
          <w:rFonts w:eastAsia="Calibri" w:hint="eastAsia"/>
          <w:rtl/>
        </w:rPr>
        <w:t>ההיערכות</w:t>
      </w:r>
      <w:r w:rsidRPr="00A210E9">
        <w:rPr>
          <w:rFonts w:eastAsia="Calibri"/>
          <w:rtl/>
        </w:rPr>
        <w:t xml:space="preserve"> </w:t>
      </w:r>
      <w:r w:rsidRPr="00A210E9">
        <w:rPr>
          <w:rFonts w:eastAsia="Calibri" w:hint="eastAsia"/>
          <w:rtl/>
        </w:rPr>
        <w:t>הנדרשת</w:t>
      </w:r>
      <w:r w:rsidRPr="00A210E9">
        <w:rPr>
          <w:rFonts w:eastAsia="Calibri"/>
          <w:rtl/>
        </w:rPr>
        <w:t xml:space="preserve"> </w:t>
      </w:r>
      <w:r w:rsidRPr="00A210E9">
        <w:rPr>
          <w:rFonts w:eastAsia="Calibri" w:hint="eastAsia"/>
          <w:rtl/>
        </w:rPr>
        <w:t>להפעלת</w:t>
      </w:r>
      <w:r w:rsidRPr="00A210E9">
        <w:rPr>
          <w:rFonts w:eastAsia="Calibri"/>
          <w:rtl/>
        </w:rPr>
        <w:t xml:space="preserve"> </w:t>
      </w:r>
      <w:r w:rsidRPr="00A210E9">
        <w:rPr>
          <w:rFonts w:eastAsia="Calibri" w:hint="eastAsia"/>
          <w:rtl/>
        </w:rPr>
        <w:t>הפיילוט</w:t>
      </w:r>
      <w:r w:rsidRPr="00A210E9">
        <w:rPr>
          <w:rFonts w:eastAsia="Calibri" w:hint="cs"/>
          <w:rtl/>
        </w:rPr>
        <w:t xml:space="preserve"> </w:t>
      </w:r>
      <w:r w:rsidRPr="00A210E9">
        <w:rPr>
          <w:rFonts w:eastAsia="Calibri" w:hint="eastAsia"/>
          <w:rtl/>
        </w:rPr>
        <w:t>של</w:t>
      </w:r>
      <w:r w:rsidRPr="00A210E9">
        <w:rPr>
          <w:rFonts w:eastAsia="Calibri"/>
          <w:rtl/>
        </w:rPr>
        <w:t xml:space="preserve"> </w:t>
      </w:r>
      <w:r w:rsidRPr="00A210E9">
        <w:rPr>
          <w:rFonts w:eastAsia="Calibri" w:hint="eastAsia"/>
          <w:rtl/>
        </w:rPr>
        <w:t>יישומון</w:t>
      </w:r>
      <w:r w:rsidRPr="00A210E9">
        <w:rPr>
          <w:rFonts w:eastAsia="Calibri"/>
          <w:rtl/>
        </w:rPr>
        <w:t xml:space="preserve"> "חניתי"</w:t>
      </w:r>
      <w:r w:rsidRPr="00A210E9">
        <w:rPr>
          <w:rFonts w:eastAsia="Calibri" w:hint="cs"/>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eastAsia"/>
          <w:b/>
          <w:bCs/>
          <w:rtl/>
        </w:rPr>
        <w:t>משרד</w:t>
      </w:r>
      <w:r w:rsidRPr="00A210E9">
        <w:rPr>
          <w:rFonts w:eastAsia="Calibri"/>
          <w:b/>
          <w:bCs/>
          <w:rtl/>
        </w:rPr>
        <w:t xml:space="preserve"> מבקר המדינה ממליץ עוד כי </w:t>
      </w:r>
      <w:r w:rsidRPr="00A210E9">
        <w:rPr>
          <w:rFonts w:eastAsia="Calibri" w:hint="eastAsia"/>
          <w:b/>
          <w:bCs/>
          <w:rtl/>
        </w:rPr>
        <w:t>בעת</w:t>
      </w:r>
      <w:r w:rsidRPr="00A210E9">
        <w:rPr>
          <w:rFonts w:eastAsia="Calibri"/>
          <w:b/>
          <w:bCs/>
          <w:rtl/>
        </w:rPr>
        <w:t xml:space="preserve"> יישום פתרונות טכנולוגיים </w:t>
      </w:r>
      <w:r w:rsidRPr="00A210E9">
        <w:rPr>
          <w:rFonts w:eastAsia="Calibri" w:hint="eastAsia"/>
          <w:b/>
          <w:bCs/>
          <w:rtl/>
        </w:rPr>
        <w:t>יש</w:t>
      </w:r>
      <w:r w:rsidRPr="00A210E9">
        <w:rPr>
          <w:rFonts w:eastAsia="Calibri"/>
          <w:b/>
          <w:bCs/>
          <w:rtl/>
        </w:rPr>
        <w:t xml:space="preserve"> </w:t>
      </w:r>
      <w:r w:rsidRPr="00A210E9">
        <w:rPr>
          <w:rFonts w:eastAsia="Calibri" w:hint="eastAsia"/>
          <w:b/>
          <w:bCs/>
          <w:rtl/>
        </w:rPr>
        <w:t>לדאוג</w:t>
      </w:r>
      <w:r w:rsidRPr="00A210E9">
        <w:rPr>
          <w:rFonts w:eastAsia="Calibri"/>
          <w:b/>
          <w:bCs/>
          <w:rtl/>
        </w:rPr>
        <w:t xml:space="preserve"> </w:t>
      </w:r>
      <w:r w:rsidRPr="00A210E9">
        <w:rPr>
          <w:rFonts w:eastAsia="Calibri" w:hint="eastAsia"/>
          <w:b/>
          <w:bCs/>
          <w:rtl/>
        </w:rPr>
        <w:t>לתת</w:t>
      </w:r>
      <w:r w:rsidRPr="00A210E9">
        <w:rPr>
          <w:rFonts w:eastAsia="Calibri"/>
          <w:b/>
          <w:bCs/>
          <w:rtl/>
        </w:rPr>
        <w:t xml:space="preserve"> </w:t>
      </w:r>
      <w:r w:rsidRPr="00A210E9">
        <w:rPr>
          <w:rFonts w:eastAsia="Calibri" w:hint="eastAsia"/>
          <w:b/>
          <w:bCs/>
          <w:rtl/>
        </w:rPr>
        <w:t>מענה</w:t>
      </w:r>
      <w:r w:rsidRPr="00A210E9">
        <w:rPr>
          <w:rFonts w:eastAsia="Calibri"/>
          <w:b/>
          <w:bCs/>
          <w:rtl/>
        </w:rPr>
        <w:t xml:space="preserve"> </w:t>
      </w:r>
      <w:r w:rsidRPr="00A210E9">
        <w:rPr>
          <w:rFonts w:eastAsia="Calibri" w:hint="eastAsia"/>
          <w:b/>
          <w:bCs/>
          <w:rtl/>
        </w:rPr>
        <w:t>מתאים</w:t>
      </w:r>
      <w:r w:rsidRPr="00A210E9">
        <w:rPr>
          <w:rFonts w:eastAsia="Calibri"/>
          <w:b/>
          <w:bCs/>
          <w:rtl/>
        </w:rPr>
        <w:t xml:space="preserve"> </w:t>
      </w:r>
      <w:r w:rsidRPr="00A210E9">
        <w:rPr>
          <w:rFonts w:eastAsia="Calibri" w:hint="eastAsia"/>
          <w:b/>
          <w:bCs/>
          <w:rtl/>
        </w:rPr>
        <w:t>לאנשים</w:t>
      </w:r>
      <w:r w:rsidRPr="00A210E9">
        <w:rPr>
          <w:rFonts w:eastAsia="Calibri"/>
          <w:b/>
          <w:bCs/>
          <w:rtl/>
        </w:rPr>
        <w:t xml:space="preserve"> </w:t>
      </w:r>
      <w:r w:rsidRPr="00A210E9">
        <w:rPr>
          <w:rFonts w:eastAsia="Calibri" w:hint="eastAsia"/>
          <w:b/>
          <w:bCs/>
          <w:rtl/>
        </w:rPr>
        <w:t>שעלולים</w:t>
      </w:r>
      <w:r w:rsidRPr="00A210E9">
        <w:rPr>
          <w:rFonts w:eastAsia="Calibri"/>
          <w:b/>
          <w:bCs/>
          <w:rtl/>
        </w:rPr>
        <w:t xml:space="preserve"> </w:t>
      </w:r>
      <w:r w:rsidRPr="00A210E9">
        <w:rPr>
          <w:rFonts w:eastAsia="Calibri" w:hint="eastAsia"/>
          <w:b/>
          <w:bCs/>
          <w:rtl/>
        </w:rPr>
        <w:t>להתקשות</w:t>
      </w:r>
      <w:r w:rsidRPr="00A210E9">
        <w:rPr>
          <w:rFonts w:eastAsia="Calibri"/>
          <w:b/>
          <w:bCs/>
          <w:rtl/>
        </w:rPr>
        <w:t xml:space="preserve"> </w:t>
      </w:r>
      <w:r w:rsidRPr="00A210E9">
        <w:rPr>
          <w:rFonts w:eastAsia="Calibri" w:hint="eastAsia"/>
          <w:b/>
          <w:bCs/>
          <w:rtl/>
        </w:rPr>
        <w:t>בשימוש</w:t>
      </w:r>
      <w:r w:rsidRPr="00A210E9">
        <w:rPr>
          <w:rFonts w:eastAsia="Calibri"/>
          <w:b/>
          <w:bCs/>
          <w:rtl/>
        </w:rPr>
        <w:t xml:space="preserve"> </w:t>
      </w:r>
      <w:r w:rsidRPr="00A210E9">
        <w:rPr>
          <w:rFonts w:eastAsia="Calibri" w:hint="eastAsia"/>
          <w:b/>
          <w:bCs/>
          <w:rtl/>
        </w:rPr>
        <w:t>בפתרונות</w:t>
      </w:r>
      <w:r w:rsidRPr="00A210E9">
        <w:rPr>
          <w:rFonts w:eastAsia="Calibri"/>
          <w:b/>
          <w:bCs/>
          <w:rtl/>
        </w:rPr>
        <w:t xml:space="preserve"> </w:t>
      </w:r>
      <w:r w:rsidRPr="00A210E9">
        <w:rPr>
          <w:rFonts w:eastAsia="Calibri" w:hint="eastAsia"/>
          <w:b/>
          <w:bCs/>
          <w:rtl/>
        </w:rPr>
        <w:t>טכנולוגיים</w:t>
      </w:r>
      <w:r w:rsidRPr="00A210E9">
        <w:rPr>
          <w:rFonts w:eastAsia="Calibri" w:hint="cs"/>
          <w:b/>
          <w:bCs/>
          <w:rtl/>
        </w:rPr>
        <w:t xml:space="preserve">. </w:t>
      </w:r>
    </w:p>
    <w:p w:rsidR="00A210E9" w:rsidRPr="00A210E9" w:rsidP="00A210E9">
      <w:pPr>
        <w:spacing w:line="269" w:lineRule="auto"/>
        <w:rPr>
          <w:rFonts w:eastAsia="Calibri"/>
          <w:b/>
          <w:bCs/>
          <w:rtl/>
        </w:rPr>
      </w:pPr>
    </w:p>
    <w:bookmarkEnd w:id="127"/>
    <w:p w:rsidR="00A210E9" w:rsidRPr="00A210E9" w:rsidP="00A210E9">
      <w:pPr>
        <w:keepNext/>
        <w:keepLines/>
        <w:spacing w:line="269" w:lineRule="auto"/>
        <w:outlineLvl w:val="3"/>
        <w:rPr>
          <w:rFonts w:eastAsia="Times New Roman"/>
          <w:bCs/>
          <w:szCs w:val="26"/>
          <w:rtl/>
        </w:rPr>
      </w:pPr>
      <w:r w:rsidRPr="00A210E9">
        <w:rPr>
          <w:rFonts w:eastAsia="Times New Roman" w:hint="cs"/>
          <w:bCs/>
          <w:szCs w:val="26"/>
          <w:rtl/>
        </w:rPr>
        <w:t>עבירות הנוגעות לחניית רכב של אדם עם מוגבלות במקום אסור</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סעיף 2 לחוק חניה לנכים קובע שאדם עם מוגבלות הנושא תג חניה רשאי להחנות את רכבו במקום שאין החניה מותרת בו בהתקיים ארבעה תנאים מצטברים: </w:t>
      </w:r>
    </w:p>
    <w:p w:rsidR="00A210E9" w:rsidRPr="00A210E9" w:rsidP="00A210E9">
      <w:pPr>
        <w:numPr>
          <w:ilvl w:val="0"/>
          <w:numId w:val="21"/>
        </w:numPr>
        <w:spacing w:line="269" w:lineRule="auto"/>
        <w:contextualSpacing/>
        <w:rPr>
          <w:rFonts w:eastAsia="Calibri"/>
        </w:rPr>
      </w:pPr>
      <w:r w:rsidRPr="00A210E9">
        <w:rPr>
          <w:rFonts w:eastAsia="Calibri" w:hint="cs"/>
          <w:rtl/>
        </w:rPr>
        <w:t xml:space="preserve">בסמוך למקום האמור אין מקום חניה מוסדר לנכים או שהוא אינו פנוי בזמן החניה. </w:t>
      </w:r>
    </w:p>
    <w:p w:rsidR="00A210E9" w:rsidRPr="00A210E9" w:rsidP="00A210E9">
      <w:pPr>
        <w:numPr>
          <w:ilvl w:val="0"/>
          <w:numId w:val="21"/>
        </w:numPr>
        <w:spacing w:line="269" w:lineRule="auto"/>
        <w:contextualSpacing/>
        <w:rPr>
          <w:rFonts w:eastAsia="Calibri"/>
        </w:rPr>
      </w:pPr>
      <w:r w:rsidRPr="00A210E9">
        <w:rPr>
          <w:rFonts w:eastAsia="Calibri" w:hint="cs"/>
          <w:rtl/>
        </w:rPr>
        <w:t xml:space="preserve">בסמוך למקום האמור לא מצוי מקום אחר שהחניה בו מותרת או שהוא אינו פנוי בזמן החניה. </w:t>
      </w:r>
    </w:p>
    <w:p w:rsidR="00A210E9" w:rsidRPr="00A210E9" w:rsidP="00A210E9">
      <w:pPr>
        <w:numPr>
          <w:ilvl w:val="0"/>
          <w:numId w:val="21"/>
        </w:numPr>
        <w:spacing w:line="269" w:lineRule="auto"/>
        <w:contextualSpacing/>
        <w:rPr>
          <w:rFonts w:eastAsia="Calibri"/>
        </w:rPr>
      </w:pPr>
      <w:r w:rsidRPr="00A210E9">
        <w:rPr>
          <w:rFonts w:eastAsia="Calibri" w:hint="cs"/>
          <w:rtl/>
        </w:rPr>
        <w:t xml:space="preserve">החניה נעשית באופן שאין בו סיכון לעוברי דרך, ואין היא מונעת מעבר חופשי להולכי רגל, לעגלות ילדים ולעגלות נכים. </w:t>
      </w:r>
    </w:p>
    <w:p w:rsidR="00A210E9" w:rsidRPr="00A210E9" w:rsidP="00A210E9">
      <w:pPr>
        <w:numPr>
          <w:ilvl w:val="0"/>
          <w:numId w:val="21"/>
        </w:numPr>
        <w:spacing w:line="269" w:lineRule="auto"/>
        <w:contextualSpacing/>
        <w:rPr>
          <w:rFonts w:eastAsia="Calibri"/>
        </w:rPr>
      </w:pPr>
      <w:r w:rsidRPr="00A210E9">
        <w:rPr>
          <w:rFonts w:eastAsia="Calibri" w:hint="cs"/>
          <w:rtl/>
        </w:rPr>
        <w:t xml:space="preserve">החניה אינה גורמת להפרעה ממשית לתנועה.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Pr>
      </w:pPr>
      <w:r w:rsidRPr="00A210E9">
        <w:rPr>
          <w:rFonts w:eastAsia="Calibri" w:hint="cs"/>
          <w:rtl/>
        </w:rPr>
        <w:t>בשל חוסר הזמינות של חניות נכים, גם באזורים שבהם קיימות חניות ייעודיות לבעלי תג חניה, יכול ו</w:t>
      </w:r>
      <w:r w:rsidRPr="00A210E9">
        <w:rPr>
          <w:rFonts w:eastAsia="Calibri"/>
          <w:rtl/>
        </w:rPr>
        <w:t>נכים רבים נאלצים לחנות במקומות שבהם החניה אסורה על פי חוק.</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במסגרת פגישות שקיים משרד מבקר המדינה עם ארגונים המייצגים אנשים עם מוגבלות נמסר שקיימת מצוקה קשה במקומות חניה זמינים לאנשים עם מוגבלות, ואלה נאלצים לחנות במקומות שבהם החניה אסורה, ואף מקבלים קנסות מהעיריי</w:t>
      </w:r>
      <w:r w:rsidRPr="00A210E9">
        <w:rPr>
          <w:rFonts w:eastAsia="Calibri" w:hint="eastAsia"/>
          <w:rtl/>
        </w:rPr>
        <w:t>ה</w:t>
      </w:r>
      <w:r w:rsidRPr="00A210E9">
        <w:rPr>
          <w:rFonts w:eastAsia="Calibri" w:hint="cs"/>
          <w:rtl/>
        </w:rPr>
        <w:t xml:space="preserve"> על כך שהרכב החונה הפריע לתנועה. כבר בשנת 2017, במסגרת דיון בוועדת העבודה, הרווחה והבריאות של הכנסת</w:t>
      </w:r>
      <w:r>
        <w:rPr>
          <w:rFonts w:eastAsia="Calibri"/>
          <w:vertAlign w:val="superscript"/>
          <w:rtl/>
        </w:rPr>
        <w:footnoteReference w:id="136"/>
      </w:r>
      <w:r w:rsidRPr="00A210E9">
        <w:rPr>
          <w:rFonts w:eastAsia="Calibri" w:hint="cs"/>
          <w:rtl/>
        </w:rPr>
        <w:t>, אמרה ח"כ קארין אלהרר: "</w:t>
      </w:r>
      <w:r w:rsidRPr="00A210E9">
        <w:rPr>
          <w:rFonts w:eastAsia="Calibri"/>
          <w:rtl/>
        </w:rPr>
        <w:t xml:space="preserve">אנשים עם תו </w:t>
      </w:r>
      <w:r w:rsidRPr="00A210E9">
        <w:rPr>
          <w:rFonts w:eastAsia="Calibri" w:hint="cs"/>
          <w:rtl/>
        </w:rPr>
        <w:t>[חניה]</w:t>
      </w:r>
      <w:r w:rsidRPr="00A210E9">
        <w:rPr>
          <w:rFonts w:eastAsia="Calibri"/>
          <w:rtl/>
        </w:rPr>
        <w:t xml:space="preserve"> מוצאים את עצמם מול שוקת שבורה. אין חניות נכים, הם חונים במקומות שעדיין מבטיחים להם גישה בטוחה </w:t>
      </w:r>
      <w:r w:rsidRPr="00A210E9">
        <w:rPr>
          <w:rFonts w:eastAsia="Calibri" w:hint="cs"/>
          <w:rtl/>
        </w:rPr>
        <w:t>-</w:t>
      </w:r>
      <w:r w:rsidRPr="00A210E9">
        <w:rPr>
          <w:rFonts w:eastAsia="Calibri"/>
          <w:rtl/>
        </w:rPr>
        <w:t xml:space="preserve"> על המדרכה לפעמים, באדום-לבן </w:t>
      </w:r>
      <w:r w:rsidRPr="00A210E9">
        <w:rPr>
          <w:rFonts w:eastAsia="Calibri" w:hint="cs"/>
          <w:rtl/>
        </w:rPr>
        <w:t>-</w:t>
      </w:r>
      <w:r w:rsidRPr="00A210E9">
        <w:rPr>
          <w:rFonts w:eastAsia="Calibri"/>
          <w:rtl/>
        </w:rPr>
        <w:t xml:space="preserve"> ואז</w:t>
      </w:r>
      <w:r w:rsidRPr="00A210E9">
        <w:rPr>
          <w:rFonts w:eastAsia="Calibri" w:hint="cs"/>
          <w:rtl/>
        </w:rPr>
        <w:t>...</w:t>
      </w:r>
      <w:r w:rsidRPr="00A210E9">
        <w:rPr>
          <w:rFonts w:eastAsia="Calibri"/>
          <w:rtl/>
        </w:rPr>
        <w:t xml:space="preserve"> הם צריכים להגיע לבתי-משפט ולהתחנן שיבטלו להם קנסות כי פקח כזה או אחר אמר, אתם הפרעתם לתנועה</w:t>
      </w:r>
      <w:r w:rsidRPr="00A210E9">
        <w:rPr>
          <w:rFonts w:eastAsia="Calibri" w:hint="cs"/>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עם זאת, לא אחת, החניה במקום אסור מפריעה לתנועה ולמשתמשי דרך אחרים, בפרט כאשר החניה היא על מדרכות שאמורות לשמש מרחב ציבורי בטוח ונגיש להולכי רגל. לדוגמה, במצגת של הרשות הארצית לתחבורה ציבורית</w:t>
      </w:r>
      <w:r>
        <w:rPr>
          <w:rFonts w:eastAsia="Calibri"/>
          <w:vertAlign w:val="superscript"/>
        </w:rPr>
        <w:footnoteReference w:id="137"/>
      </w:r>
      <w:r w:rsidRPr="00A210E9">
        <w:rPr>
          <w:rFonts w:eastAsia="Calibri" w:hint="cs"/>
          <w:rtl/>
        </w:rPr>
        <w:t xml:space="preserve"> צוין </w:t>
      </w:r>
      <w:r w:rsidRPr="00A210E9">
        <w:rPr>
          <w:rFonts w:eastAsia="Calibri" w:hint="eastAsia"/>
          <w:rtl/>
        </w:rPr>
        <w:t>כי</w:t>
      </w:r>
      <w:r w:rsidRPr="00A210E9">
        <w:rPr>
          <w:rFonts w:eastAsia="Calibri"/>
          <w:rtl/>
        </w:rPr>
        <w:t xml:space="preserve"> חניית רכבים על המדרכות גורמת לעומס על המדרכות וסיכון של הולכי הרגל </w:t>
      </w:r>
      <w:r w:rsidRPr="00A210E9">
        <w:rPr>
          <w:rFonts w:eastAsia="Calibri" w:hint="cs"/>
          <w:rtl/>
        </w:rPr>
        <w:t>ול</w:t>
      </w:r>
      <w:r w:rsidRPr="00A210E9">
        <w:rPr>
          <w:rFonts w:eastAsia="Calibri"/>
          <w:rtl/>
        </w:rPr>
        <w:t xml:space="preserve">פגיעה </w:t>
      </w:r>
      <w:r w:rsidRPr="00A210E9">
        <w:rPr>
          <w:rFonts w:eastAsia="Calibri" w:hint="eastAsia"/>
          <w:rtl/>
        </w:rPr>
        <w:t>במוגבלי</w:t>
      </w:r>
      <w:r w:rsidRPr="00A210E9">
        <w:rPr>
          <w:rFonts w:eastAsia="Calibri"/>
          <w:rtl/>
        </w:rPr>
        <w:t xml:space="preserve"> ניידות </w:t>
      </w:r>
      <w:r w:rsidRPr="00A210E9">
        <w:rPr>
          <w:rFonts w:eastAsia="Calibri" w:hint="eastAsia"/>
          <w:rtl/>
        </w:rPr>
        <w:t>ובהתניידות</w:t>
      </w:r>
      <w:r w:rsidRPr="00A210E9">
        <w:rPr>
          <w:rFonts w:eastAsia="Calibri"/>
          <w:rtl/>
        </w:rPr>
        <w:t xml:space="preserve"> עם עגלות ילדים, ואף נוצר מצב שבו מדרכות הפכו למעין חניות פרטיות.</w:t>
      </w:r>
      <w:r w:rsidRPr="00A210E9">
        <w:rPr>
          <w:rFonts w:eastAsia="Calibri" w:hint="cs"/>
          <w:rtl/>
        </w:rPr>
        <w:t xml:space="preserve"> </w:t>
      </w:r>
      <w:r w:rsidRPr="00A210E9">
        <w:rPr>
          <w:rFonts w:eastAsia="Calibri" w:hint="eastAsia"/>
          <w:rtl/>
        </w:rPr>
        <w:t>על</w:t>
      </w:r>
      <w:r w:rsidRPr="00A210E9">
        <w:rPr>
          <w:rFonts w:eastAsia="Calibri"/>
          <w:rtl/>
        </w:rPr>
        <w:t xml:space="preserve"> פי סקר שערכה הרשות, השיבו 53% מהאנשים עם מוגבלות כי </w:t>
      </w:r>
      <w:r w:rsidRPr="00A210E9">
        <w:rPr>
          <w:rFonts w:eastAsia="Calibri" w:hint="cs"/>
          <w:rtl/>
        </w:rPr>
        <w:t xml:space="preserve">הם </w:t>
      </w:r>
      <w:r w:rsidRPr="00A210E9">
        <w:rPr>
          <w:rFonts w:eastAsia="Calibri"/>
          <w:rtl/>
        </w:rPr>
        <w:t xml:space="preserve">נאלצו לרדת מהמדרכה </w:t>
      </w:r>
      <w:r w:rsidRPr="00A210E9">
        <w:rPr>
          <w:rFonts w:eastAsia="Calibri" w:hint="cs"/>
          <w:rtl/>
        </w:rPr>
        <w:t>מ</w:t>
      </w:r>
      <w:r w:rsidRPr="00A210E9">
        <w:rPr>
          <w:rFonts w:eastAsia="Calibri" w:hint="eastAsia"/>
          <w:rtl/>
        </w:rPr>
        <w:t>כיוון</w:t>
      </w:r>
      <w:r w:rsidRPr="00A210E9">
        <w:rPr>
          <w:rFonts w:eastAsia="Calibri"/>
          <w:rtl/>
        </w:rPr>
        <w:t xml:space="preserve"> </w:t>
      </w:r>
      <w:r w:rsidRPr="00A210E9">
        <w:rPr>
          <w:rFonts w:eastAsia="Calibri" w:hint="eastAsia"/>
          <w:rtl/>
        </w:rPr>
        <w:t>ש</w:t>
      </w:r>
      <w:r w:rsidRPr="00A210E9">
        <w:rPr>
          <w:rFonts w:eastAsia="Calibri" w:hint="cs"/>
          <w:rtl/>
        </w:rPr>
        <w:t xml:space="preserve">היא </w:t>
      </w:r>
      <w:r w:rsidRPr="00A210E9">
        <w:rPr>
          <w:rFonts w:eastAsia="Calibri" w:hint="eastAsia"/>
          <w:rtl/>
        </w:rPr>
        <w:t>הייתה</w:t>
      </w:r>
      <w:r w:rsidRPr="00A210E9">
        <w:rPr>
          <w:rFonts w:eastAsia="Calibri"/>
          <w:rtl/>
        </w:rPr>
        <w:t xml:space="preserve"> </w:t>
      </w:r>
      <w:r w:rsidRPr="00A210E9">
        <w:rPr>
          <w:rFonts w:eastAsia="Calibri" w:hint="eastAsia"/>
          <w:rtl/>
        </w:rPr>
        <w:t>חסומה</w:t>
      </w:r>
      <w:r w:rsidRPr="00A210E9">
        <w:rPr>
          <w:rFonts w:eastAsia="Calibri"/>
          <w:rtl/>
        </w:rPr>
        <w:t xml:space="preserve"> </w:t>
      </w:r>
      <w:r w:rsidRPr="00A210E9">
        <w:rPr>
          <w:rFonts w:eastAsia="Calibri" w:hint="eastAsia"/>
          <w:rtl/>
        </w:rPr>
        <w:t>על</w:t>
      </w:r>
      <w:r w:rsidRPr="00A210E9">
        <w:rPr>
          <w:rFonts w:eastAsia="Calibri"/>
          <w:rtl/>
        </w:rPr>
        <w:t xml:space="preserve"> </w:t>
      </w:r>
      <w:r w:rsidRPr="00A210E9">
        <w:rPr>
          <w:rFonts w:eastAsia="Calibri" w:hint="eastAsia"/>
          <w:rtl/>
        </w:rPr>
        <w:t>ידי</w:t>
      </w:r>
      <w:r w:rsidRPr="00A210E9">
        <w:rPr>
          <w:rFonts w:eastAsia="Calibri"/>
          <w:rtl/>
        </w:rPr>
        <w:t xml:space="preserve"> </w:t>
      </w:r>
      <w:r w:rsidRPr="00A210E9">
        <w:rPr>
          <w:rFonts w:eastAsia="Calibri" w:hint="eastAsia"/>
          <w:rtl/>
        </w:rPr>
        <w:t>מכוניות</w:t>
      </w:r>
      <w:r w:rsidRPr="00A210E9">
        <w:rPr>
          <w:rFonts w:eastAsia="Calibri"/>
          <w:rtl/>
        </w:rPr>
        <w:t xml:space="preserve"> </w:t>
      </w:r>
      <w:r w:rsidRPr="00A210E9">
        <w:rPr>
          <w:rFonts w:eastAsia="Calibri" w:hint="eastAsia"/>
          <w:rtl/>
        </w:rPr>
        <w:t>בתדירות</w:t>
      </w:r>
      <w:r w:rsidRPr="00A210E9">
        <w:rPr>
          <w:rFonts w:eastAsia="Calibri"/>
          <w:rtl/>
        </w:rPr>
        <w:t xml:space="preserve"> </w:t>
      </w:r>
      <w:r w:rsidRPr="00A210E9">
        <w:rPr>
          <w:rFonts w:eastAsia="Calibri" w:hint="eastAsia"/>
          <w:rtl/>
        </w:rPr>
        <w:t>גבוהה</w:t>
      </w:r>
      <w:r w:rsidRPr="00A210E9">
        <w:rPr>
          <w:rFonts w:eastAsia="Calibri"/>
          <w:rtl/>
        </w:rPr>
        <w:t xml:space="preserve">, </w:t>
      </w:r>
      <w:r w:rsidRPr="00A210E9">
        <w:rPr>
          <w:rFonts w:eastAsia="Calibri" w:hint="eastAsia"/>
          <w:rtl/>
        </w:rPr>
        <w:t>ו</w:t>
      </w:r>
      <w:r w:rsidRPr="00A210E9">
        <w:rPr>
          <w:rFonts w:eastAsia="Calibri"/>
          <w:rtl/>
        </w:rPr>
        <w:t xml:space="preserve">-24% </w:t>
      </w:r>
      <w:r w:rsidRPr="00A210E9">
        <w:rPr>
          <w:rFonts w:eastAsia="Calibri" w:hint="eastAsia"/>
          <w:rtl/>
        </w:rPr>
        <w:t>השיבו</w:t>
      </w:r>
      <w:r w:rsidRPr="00A210E9">
        <w:rPr>
          <w:rFonts w:eastAsia="Calibri"/>
          <w:rtl/>
        </w:rPr>
        <w:t xml:space="preserve"> </w:t>
      </w:r>
      <w:r w:rsidRPr="00A210E9">
        <w:rPr>
          <w:rFonts w:eastAsia="Calibri" w:hint="eastAsia"/>
          <w:rtl/>
        </w:rPr>
        <w:t>כי</w:t>
      </w:r>
      <w:r w:rsidRPr="00A210E9">
        <w:rPr>
          <w:rFonts w:eastAsia="Calibri"/>
          <w:rtl/>
        </w:rPr>
        <w:t xml:space="preserve"> </w:t>
      </w:r>
      <w:r w:rsidRPr="00A210E9">
        <w:rPr>
          <w:rFonts w:eastAsia="Calibri" w:hint="eastAsia"/>
          <w:rtl/>
        </w:rPr>
        <w:t>הדבר</w:t>
      </w:r>
      <w:r w:rsidRPr="00A210E9">
        <w:rPr>
          <w:rFonts w:eastAsia="Calibri"/>
          <w:rtl/>
        </w:rPr>
        <w:t xml:space="preserve"> </w:t>
      </w:r>
      <w:r w:rsidRPr="00A210E9">
        <w:rPr>
          <w:rFonts w:eastAsia="Calibri" w:hint="eastAsia"/>
          <w:rtl/>
        </w:rPr>
        <w:t>קורה</w:t>
      </w:r>
      <w:r w:rsidRPr="00A210E9">
        <w:rPr>
          <w:rFonts w:eastAsia="Calibri"/>
          <w:rtl/>
        </w:rPr>
        <w:t xml:space="preserve"> </w:t>
      </w:r>
      <w:r w:rsidRPr="00A210E9">
        <w:rPr>
          <w:rFonts w:eastAsia="Calibri" w:hint="eastAsia"/>
          <w:rtl/>
        </w:rPr>
        <w:t>לעיתים</w:t>
      </w:r>
      <w:r w:rsidRPr="00A210E9">
        <w:rPr>
          <w:rFonts w:eastAsia="Calibri"/>
          <w:rtl/>
        </w:rPr>
        <w:t xml:space="preserve">. </w:t>
      </w:r>
      <w:r w:rsidRPr="00A210E9">
        <w:rPr>
          <w:rFonts w:eastAsia="Calibri" w:hint="cs"/>
          <w:rtl/>
        </w:rPr>
        <w:t xml:space="preserve">עוד צוין </w:t>
      </w:r>
      <w:r w:rsidRPr="00A210E9">
        <w:rPr>
          <w:rFonts w:eastAsia="Calibri" w:hint="eastAsia"/>
          <w:rtl/>
        </w:rPr>
        <w:t>ב</w:t>
      </w:r>
      <w:r w:rsidRPr="00A210E9">
        <w:rPr>
          <w:rFonts w:eastAsia="Calibri" w:hint="cs"/>
          <w:rtl/>
        </w:rPr>
        <w:t>מצגת</w:t>
      </w:r>
      <w:r w:rsidRPr="00A210E9">
        <w:rPr>
          <w:rFonts w:eastAsia="Calibri"/>
          <w:rtl/>
        </w:rPr>
        <w:t xml:space="preserve"> </w:t>
      </w:r>
      <w:r w:rsidRPr="00A210E9">
        <w:rPr>
          <w:rFonts w:eastAsia="Calibri" w:hint="eastAsia"/>
          <w:rtl/>
        </w:rPr>
        <w:t>כי</w:t>
      </w:r>
      <w:r w:rsidRPr="00A210E9">
        <w:rPr>
          <w:rFonts w:eastAsia="Calibri"/>
          <w:rtl/>
        </w:rPr>
        <w:t xml:space="preserve"> </w:t>
      </w:r>
      <w:r w:rsidRPr="00A210E9">
        <w:rPr>
          <w:rFonts w:eastAsia="Calibri" w:hint="eastAsia"/>
          <w:rtl/>
        </w:rPr>
        <w:t>אין</w:t>
      </w:r>
      <w:r w:rsidRPr="00A210E9">
        <w:rPr>
          <w:rFonts w:eastAsia="Calibri" w:hint="cs"/>
          <w:rtl/>
        </w:rPr>
        <w:t xml:space="preserve"> </w:t>
      </w:r>
      <w:r w:rsidRPr="00A210E9">
        <w:rPr>
          <w:rFonts w:eastAsia="Calibri" w:hint="eastAsia"/>
          <w:rtl/>
        </w:rPr>
        <w:t>כמעט</w:t>
      </w:r>
      <w:r w:rsidRPr="00A210E9">
        <w:rPr>
          <w:rFonts w:eastAsia="Calibri"/>
          <w:rtl/>
        </w:rPr>
        <w:t xml:space="preserve"> </w:t>
      </w:r>
      <w:r w:rsidRPr="00A210E9">
        <w:rPr>
          <w:rFonts w:eastAsia="Calibri" w:hint="eastAsia"/>
          <w:rtl/>
        </w:rPr>
        <w:t>מדינה</w:t>
      </w:r>
      <w:r w:rsidRPr="00A210E9">
        <w:rPr>
          <w:rFonts w:eastAsia="Calibri"/>
          <w:rtl/>
        </w:rPr>
        <w:t xml:space="preserve"> </w:t>
      </w:r>
      <w:r w:rsidRPr="00A210E9">
        <w:rPr>
          <w:rFonts w:eastAsia="Calibri" w:hint="eastAsia"/>
          <w:rtl/>
        </w:rPr>
        <w:t>בעולם</w:t>
      </w:r>
      <w:r w:rsidRPr="00A210E9">
        <w:rPr>
          <w:rFonts w:eastAsia="Calibri"/>
          <w:rtl/>
        </w:rPr>
        <w:t xml:space="preserve"> </w:t>
      </w:r>
      <w:r w:rsidRPr="00A210E9">
        <w:rPr>
          <w:rFonts w:eastAsia="Calibri" w:hint="eastAsia"/>
          <w:rtl/>
        </w:rPr>
        <w:t>שמאפשרת</w:t>
      </w:r>
      <w:r w:rsidRPr="00A210E9">
        <w:rPr>
          <w:rFonts w:eastAsia="Calibri"/>
          <w:rtl/>
        </w:rPr>
        <w:t xml:space="preserve"> </w:t>
      </w:r>
      <w:r w:rsidRPr="00A210E9">
        <w:rPr>
          <w:rFonts w:eastAsia="Calibri" w:hint="eastAsia"/>
          <w:rtl/>
        </w:rPr>
        <w:t>חניה</w:t>
      </w:r>
      <w:r w:rsidRPr="00A210E9">
        <w:rPr>
          <w:rFonts w:eastAsia="Calibri"/>
          <w:rtl/>
        </w:rPr>
        <w:t xml:space="preserve"> </w:t>
      </w:r>
      <w:r w:rsidRPr="00A210E9">
        <w:rPr>
          <w:rFonts w:eastAsia="Calibri" w:hint="cs"/>
          <w:rtl/>
        </w:rPr>
        <w:t>לאנשים עם מוגבלות</w:t>
      </w:r>
      <w:r w:rsidRPr="00A210E9">
        <w:rPr>
          <w:rFonts w:eastAsia="Calibri"/>
          <w:rtl/>
        </w:rPr>
        <w:t xml:space="preserve"> </w:t>
      </w:r>
      <w:r w:rsidRPr="00A210E9">
        <w:rPr>
          <w:rFonts w:eastAsia="Calibri" w:hint="eastAsia"/>
          <w:rtl/>
        </w:rPr>
        <w:t>על</w:t>
      </w:r>
      <w:r w:rsidRPr="00A210E9">
        <w:rPr>
          <w:rFonts w:eastAsia="Calibri"/>
          <w:rtl/>
        </w:rPr>
        <w:t xml:space="preserve"> </w:t>
      </w:r>
      <w:r w:rsidRPr="00A210E9">
        <w:rPr>
          <w:rFonts w:eastAsia="Calibri" w:hint="eastAsia"/>
          <w:rtl/>
        </w:rPr>
        <w:t>המדרכות</w:t>
      </w:r>
      <w:r w:rsidRPr="00A210E9">
        <w:rPr>
          <w:rFonts w:eastAsia="Calibri"/>
          <w:rtl/>
        </w:rPr>
        <w:t xml:space="preserve">, </w:t>
      </w:r>
      <w:r w:rsidRPr="00A210E9">
        <w:rPr>
          <w:rFonts w:eastAsia="Calibri" w:hint="eastAsia"/>
          <w:rtl/>
        </w:rPr>
        <w:t>ובמקרה</w:t>
      </w:r>
      <w:r w:rsidRPr="00A210E9">
        <w:rPr>
          <w:rFonts w:eastAsia="Calibri"/>
          <w:rtl/>
        </w:rPr>
        <w:t xml:space="preserve"> </w:t>
      </w:r>
      <w:r w:rsidRPr="00A210E9">
        <w:rPr>
          <w:rFonts w:eastAsia="Calibri" w:hint="cs"/>
          <w:rtl/>
        </w:rPr>
        <w:t>שהדבר אפשרי</w:t>
      </w:r>
      <w:r w:rsidRPr="00A210E9">
        <w:rPr>
          <w:rFonts w:eastAsia="Calibri"/>
          <w:rtl/>
        </w:rPr>
        <w:t xml:space="preserve"> </w:t>
      </w:r>
      <w:r w:rsidRPr="00A210E9">
        <w:rPr>
          <w:rFonts w:eastAsia="Calibri" w:hint="eastAsia"/>
          <w:rtl/>
        </w:rPr>
        <w:t>מדובר</w:t>
      </w:r>
      <w:r w:rsidRPr="00A210E9">
        <w:rPr>
          <w:rFonts w:eastAsia="Calibri"/>
          <w:rtl/>
        </w:rPr>
        <w:t xml:space="preserve"> </w:t>
      </w:r>
      <w:r w:rsidRPr="00A210E9">
        <w:rPr>
          <w:rFonts w:eastAsia="Calibri" w:hint="eastAsia"/>
          <w:rtl/>
        </w:rPr>
        <w:t>במקומות</w:t>
      </w:r>
      <w:r w:rsidRPr="00A210E9">
        <w:rPr>
          <w:rFonts w:eastAsia="Calibri"/>
          <w:rtl/>
        </w:rPr>
        <w:t xml:space="preserve"> </w:t>
      </w:r>
      <w:r w:rsidRPr="00A210E9">
        <w:rPr>
          <w:rFonts w:eastAsia="Calibri" w:hint="eastAsia"/>
          <w:rtl/>
        </w:rPr>
        <w:t>מוסדרים</w:t>
      </w:r>
      <w:r w:rsidRPr="00A210E9">
        <w:rPr>
          <w:rFonts w:eastAsia="Calibri"/>
          <w:rtl/>
        </w:rPr>
        <w:t xml:space="preserve"> </w:t>
      </w:r>
      <w:r w:rsidRPr="00A210E9">
        <w:rPr>
          <w:rFonts w:eastAsia="Calibri" w:hint="eastAsia"/>
          <w:rtl/>
        </w:rPr>
        <w:t>והחניה</w:t>
      </w:r>
      <w:r w:rsidRPr="00A210E9">
        <w:rPr>
          <w:rFonts w:eastAsia="Calibri"/>
          <w:rtl/>
        </w:rPr>
        <w:t xml:space="preserve"> </w:t>
      </w:r>
      <w:r w:rsidRPr="00A210E9">
        <w:rPr>
          <w:rFonts w:eastAsia="Calibri" w:hint="eastAsia"/>
          <w:rtl/>
        </w:rPr>
        <w:t>מוגבלת</w:t>
      </w:r>
      <w:r w:rsidRPr="00A210E9">
        <w:rPr>
          <w:rFonts w:eastAsia="Calibri"/>
          <w:rtl/>
        </w:rPr>
        <w:t xml:space="preserve"> </w:t>
      </w:r>
      <w:r w:rsidRPr="00A210E9">
        <w:rPr>
          <w:rFonts w:eastAsia="Calibri" w:hint="eastAsia"/>
          <w:rtl/>
        </w:rPr>
        <w:t>בזמן</w:t>
      </w:r>
      <w:r w:rsidRPr="00A210E9">
        <w:rPr>
          <w:rFonts w:eastAsia="Calibri"/>
          <w:rtl/>
        </w:rPr>
        <w:t>.</w:t>
      </w:r>
      <w:r w:rsidRPr="00A210E9">
        <w:rPr>
          <w:rFonts w:eastAsia="Calibri" w:hint="cs"/>
          <w:rtl/>
        </w:rPr>
        <w:t xml:space="preserve"> </w:t>
      </w:r>
      <w:r w:rsidRPr="00A210E9">
        <w:rPr>
          <w:rFonts w:eastAsia="Calibri"/>
          <w:rtl/>
        </w:rPr>
        <w:t>מעבר להפרעה האפשרית לתנוע</w:t>
      </w:r>
      <w:r w:rsidRPr="00A210E9">
        <w:rPr>
          <w:rFonts w:eastAsia="Calibri" w:hint="eastAsia"/>
          <w:rtl/>
        </w:rPr>
        <w:t>ה</w:t>
      </w:r>
      <w:r w:rsidRPr="00A210E9">
        <w:rPr>
          <w:rFonts w:eastAsia="Calibri"/>
          <w:rtl/>
        </w:rPr>
        <w:t>, המצב הזה מוביל לעיתים גם לדוחות ו</w:t>
      </w:r>
      <w:r w:rsidRPr="00A210E9">
        <w:rPr>
          <w:rFonts w:eastAsia="Calibri" w:hint="cs"/>
          <w:rtl/>
        </w:rPr>
        <w:t>ל</w:t>
      </w:r>
      <w:r w:rsidRPr="00A210E9">
        <w:rPr>
          <w:rFonts w:eastAsia="Calibri"/>
          <w:rtl/>
        </w:rPr>
        <w:t xml:space="preserve">אכיפה כלפי אנשים עם מוגבלות שמוצאים </w:t>
      </w:r>
      <w:r w:rsidRPr="00A210E9">
        <w:rPr>
          <w:rFonts w:eastAsia="Calibri" w:hint="cs"/>
          <w:rtl/>
        </w:rPr>
        <w:t xml:space="preserve">את </w:t>
      </w:r>
      <w:r w:rsidRPr="00A210E9">
        <w:rPr>
          <w:rFonts w:eastAsia="Calibri"/>
          <w:rtl/>
        </w:rPr>
        <w:t>עצמם בין הפטיש לסדן,</w:t>
      </w:r>
      <w:r w:rsidRPr="00A210E9">
        <w:rPr>
          <w:rFonts w:eastAsia="Calibri" w:hint="cs"/>
          <w:rtl/>
        </w:rPr>
        <w:t xml:space="preserve"> דהיינו</w:t>
      </w:r>
      <w:r w:rsidRPr="00A210E9">
        <w:rPr>
          <w:rFonts w:eastAsia="Calibri"/>
          <w:rtl/>
        </w:rPr>
        <w:t xml:space="preserve"> בין הצורך להשתלב במרחב הציבורי לבין מערכת ש</w:t>
      </w:r>
      <w:r w:rsidRPr="00A210E9">
        <w:rPr>
          <w:rFonts w:eastAsia="Calibri" w:hint="cs"/>
          <w:rtl/>
        </w:rPr>
        <w:t>אינה</w:t>
      </w:r>
      <w:r w:rsidRPr="00A210E9">
        <w:rPr>
          <w:rFonts w:eastAsia="Calibri"/>
          <w:rtl/>
        </w:rPr>
        <w:t xml:space="preserve"> מספקת להם פתרון אמיתי</w:t>
      </w:r>
      <w:r w:rsidRPr="00A210E9">
        <w:rPr>
          <w:rFonts w:eastAsia="Calibri"/>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זאת ועוד, אף שיש חניות נכים פנויות, במקרים רבים בעלי רכבים המקושרים לתג חניה מחנים את רכבם על המדרכה ובמקומות אסורים. למשל, בוועד</w:t>
      </w:r>
      <w:r w:rsidRPr="00A210E9">
        <w:rPr>
          <w:rFonts w:eastAsia="Calibri" w:hint="eastAsia"/>
          <w:rtl/>
        </w:rPr>
        <w:t>ת</w:t>
      </w:r>
      <w:r w:rsidRPr="00A210E9">
        <w:rPr>
          <w:rFonts w:eastAsia="Calibri" w:hint="cs"/>
          <w:rtl/>
        </w:rPr>
        <w:t xml:space="preserve"> העבודה והרווחה</w:t>
      </w:r>
      <w:r>
        <w:rPr>
          <w:rFonts w:eastAsia="Calibri"/>
          <w:vertAlign w:val="superscript"/>
          <w:rtl/>
        </w:rPr>
        <w:footnoteReference w:id="138"/>
      </w:r>
      <w:r w:rsidRPr="00A210E9">
        <w:rPr>
          <w:rFonts w:eastAsia="Calibri" w:hint="cs"/>
          <w:rtl/>
        </w:rPr>
        <w:t xml:space="preserve"> של הכנסת עלתה סוגיה שעניינה חניה של בעלי תג חניה על מדרכות ובתחנות אוטובוס, הרחוקות ממחוז חפצם, אף שבבניין שאליו הם צריכים להגיע יש חניון ובו חניות הנכים צמודות למעלית. חניות אלה נותרות ריקות מכיוון שהכניסה לחניון היא בתשלום. במקרים רבים האדם עם מוגבלות מחנה רחוק יותר את רכבו כדי לא לשלם עבור חניה בחניון.</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eastAsia"/>
          <w:rtl/>
        </w:rPr>
        <w:t>עיריית</w:t>
      </w:r>
      <w:r w:rsidRPr="00A210E9">
        <w:rPr>
          <w:rFonts w:eastAsia="Calibri"/>
          <w:rtl/>
        </w:rPr>
        <w:t xml:space="preserve"> חיפה כתבה בתשובתה כי </w:t>
      </w:r>
      <w:r w:rsidRPr="00A210E9">
        <w:rPr>
          <w:rFonts w:eastAsia="Calibri" w:hint="eastAsia"/>
          <w:rtl/>
        </w:rPr>
        <w:t>גם</w:t>
      </w:r>
      <w:r w:rsidRPr="00A210E9">
        <w:rPr>
          <w:rFonts w:eastAsia="Calibri"/>
          <w:rtl/>
        </w:rPr>
        <w:t xml:space="preserve"> בהקשר זה יש קושי מערכתי בזיהוי של הנוהג ברכב נושא תג החניה, </w:t>
      </w:r>
      <w:r w:rsidRPr="00A210E9">
        <w:rPr>
          <w:rFonts w:eastAsia="Calibri" w:hint="cs"/>
          <w:rtl/>
        </w:rPr>
        <w:t>והדבר</w:t>
      </w:r>
      <w:r w:rsidRPr="00A210E9">
        <w:rPr>
          <w:rFonts w:eastAsia="Calibri"/>
          <w:rtl/>
        </w:rPr>
        <w:t xml:space="preserve"> עלול ליצור בפועל ריבוי עבירות חניה </w:t>
      </w:r>
      <w:r w:rsidRPr="00A210E9">
        <w:rPr>
          <w:rFonts w:eastAsia="Calibri" w:hint="eastAsia"/>
          <w:rtl/>
        </w:rPr>
        <w:t>וחוסר</w:t>
      </w:r>
      <w:r w:rsidRPr="00A210E9">
        <w:rPr>
          <w:rFonts w:eastAsia="Calibri"/>
          <w:rtl/>
        </w:rPr>
        <w:t xml:space="preserve"> יכולת </w:t>
      </w:r>
      <w:r w:rsidRPr="00A210E9">
        <w:rPr>
          <w:rFonts w:eastAsia="Calibri" w:hint="cs"/>
          <w:rtl/>
        </w:rPr>
        <w:t>לאכוף ביעילות את החוק העוסק</w:t>
      </w:r>
      <w:r w:rsidRPr="00A210E9">
        <w:rPr>
          <w:rFonts w:eastAsia="Calibri"/>
          <w:rtl/>
        </w:rPr>
        <w:t xml:space="preserve"> </w:t>
      </w:r>
      <w:r w:rsidRPr="00A210E9">
        <w:rPr>
          <w:rFonts w:eastAsia="Calibri" w:hint="cs"/>
          <w:rtl/>
        </w:rPr>
        <w:t>ב</w:t>
      </w:r>
      <w:r w:rsidRPr="00A210E9">
        <w:rPr>
          <w:rFonts w:eastAsia="Calibri"/>
          <w:rtl/>
        </w:rPr>
        <w:t xml:space="preserve">עבירות אלה, </w:t>
      </w:r>
      <w:r w:rsidRPr="00A210E9">
        <w:rPr>
          <w:rFonts w:eastAsia="Calibri" w:hint="cs"/>
          <w:rtl/>
        </w:rPr>
        <w:t>ו</w:t>
      </w:r>
      <w:r w:rsidRPr="00A210E9">
        <w:rPr>
          <w:rFonts w:eastAsia="Calibri"/>
          <w:rtl/>
        </w:rPr>
        <w:t>כמו</w:t>
      </w:r>
      <w:r w:rsidRPr="00A210E9">
        <w:rPr>
          <w:rFonts w:eastAsia="Calibri" w:hint="cs"/>
          <w:rtl/>
        </w:rPr>
        <w:t xml:space="preserve"> כן הוא עלול ליצור </w:t>
      </w:r>
      <w:r w:rsidRPr="00A210E9">
        <w:rPr>
          <w:rFonts w:eastAsia="Calibri"/>
          <w:rtl/>
        </w:rPr>
        <w:t>מצב של אכיפה סלקטיבית, שכן</w:t>
      </w:r>
      <w:r w:rsidRPr="00A210E9">
        <w:rPr>
          <w:rFonts w:eastAsia="Calibri" w:hint="cs"/>
          <w:rtl/>
        </w:rPr>
        <w:t xml:space="preserve"> אכיפת החוק על </w:t>
      </w:r>
      <w:r w:rsidRPr="00A210E9">
        <w:rPr>
          <w:rFonts w:eastAsia="Calibri"/>
          <w:rtl/>
        </w:rPr>
        <w:t>נהגים שביצעו אותה עבירה אינ</w:t>
      </w:r>
      <w:r w:rsidRPr="00A210E9">
        <w:rPr>
          <w:rFonts w:eastAsia="Calibri" w:hint="cs"/>
          <w:rtl/>
        </w:rPr>
        <w:t>ה</w:t>
      </w:r>
      <w:r w:rsidRPr="00A210E9">
        <w:rPr>
          <w:rFonts w:eastAsia="Calibri"/>
          <w:rtl/>
        </w:rPr>
        <w:t xml:space="preserve"> </w:t>
      </w:r>
      <w:r w:rsidRPr="00A210E9">
        <w:rPr>
          <w:rFonts w:eastAsia="Calibri" w:hint="eastAsia"/>
          <w:rtl/>
        </w:rPr>
        <w:t>שוויוני</w:t>
      </w:r>
      <w:r w:rsidRPr="00A210E9">
        <w:rPr>
          <w:rFonts w:eastAsia="Calibri" w:hint="cs"/>
          <w:rtl/>
        </w:rPr>
        <w:t>ת</w:t>
      </w:r>
      <w:r w:rsidRPr="00A210E9">
        <w:rPr>
          <w:rFonts w:eastAsia="Calibri"/>
          <w:rtl/>
        </w:rPr>
        <w:t xml:space="preserve">, בשל </w:t>
      </w:r>
      <w:r w:rsidRPr="00A210E9">
        <w:rPr>
          <w:rFonts w:eastAsia="Calibri" w:hint="cs"/>
          <w:rtl/>
        </w:rPr>
        <w:t>ה</w:t>
      </w:r>
      <w:r w:rsidRPr="00A210E9">
        <w:rPr>
          <w:rFonts w:eastAsia="Calibri"/>
          <w:rtl/>
        </w:rPr>
        <w:t xml:space="preserve">תפיסה </w:t>
      </w:r>
      <w:r w:rsidRPr="00A210E9">
        <w:rPr>
          <w:rFonts w:eastAsia="Calibri" w:hint="cs"/>
          <w:rtl/>
        </w:rPr>
        <w:t>ו</w:t>
      </w:r>
      <w:r w:rsidRPr="00A210E9">
        <w:rPr>
          <w:rFonts w:eastAsia="Calibri"/>
          <w:rtl/>
        </w:rPr>
        <w:t xml:space="preserve">לפיה תג חניה </w:t>
      </w:r>
      <w:r w:rsidRPr="00A210E9">
        <w:rPr>
          <w:rFonts w:eastAsia="Calibri" w:hint="cs"/>
          <w:rtl/>
        </w:rPr>
        <w:t>מעניק</w:t>
      </w:r>
      <w:r w:rsidRPr="00A210E9">
        <w:rPr>
          <w:rFonts w:eastAsia="Calibri"/>
          <w:rtl/>
        </w:rPr>
        <w:t xml:space="preserve"> </w:t>
      </w:r>
      <w:r w:rsidRPr="00A210E9">
        <w:rPr>
          <w:rFonts w:eastAsia="Calibri" w:hint="eastAsia"/>
          <w:rtl/>
        </w:rPr>
        <w:t>פטור</w:t>
      </w:r>
      <w:r w:rsidRPr="00A210E9">
        <w:rPr>
          <w:rFonts w:eastAsia="Calibri"/>
          <w:rtl/>
        </w:rPr>
        <w:t xml:space="preserve"> </w:t>
      </w:r>
      <w:r w:rsidRPr="00A210E9">
        <w:rPr>
          <w:rFonts w:eastAsia="Calibri" w:hint="eastAsia"/>
          <w:rtl/>
        </w:rPr>
        <w:t>גם</w:t>
      </w:r>
      <w:r w:rsidRPr="00A210E9">
        <w:rPr>
          <w:rFonts w:eastAsia="Calibri"/>
          <w:rtl/>
        </w:rPr>
        <w:t xml:space="preserve"> </w:t>
      </w:r>
      <w:r w:rsidRPr="00A210E9">
        <w:rPr>
          <w:rFonts w:eastAsia="Calibri" w:hint="eastAsia"/>
          <w:rtl/>
        </w:rPr>
        <w:t>בחניה</w:t>
      </w:r>
      <w:r w:rsidRPr="00A210E9">
        <w:rPr>
          <w:rFonts w:eastAsia="Calibri"/>
          <w:rtl/>
        </w:rPr>
        <w:t xml:space="preserve"> </w:t>
      </w:r>
      <w:r w:rsidRPr="00A210E9">
        <w:rPr>
          <w:rFonts w:eastAsia="Calibri" w:hint="eastAsia"/>
          <w:rtl/>
        </w:rPr>
        <w:t>אסורה</w:t>
      </w:r>
      <w:r w:rsidRPr="00A210E9">
        <w:rPr>
          <w:rFonts w:eastAsia="Calibri"/>
          <w:rtl/>
        </w:rPr>
        <w:t>.</w:t>
      </w:r>
      <w:r w:rsidRPr="00A210E9">
        <w:rPr>
          <w:rFonts w:eastAsia="Calibri" w:hint="cs"/>
          <w:rtl/>
        </w:rPr>
        <w:t xml:space="preserve"> עיריית חדרה כתבה בתשובתה כי אחת הסוגיות העיקריות שהיא מתמודדת איתן בנושא רכבים עם תג חניה היא </w:t>
      </w:r>
      <w:r w:rsidRPr="00A210E9">
        <w:rPr>
          <w:rFonts w:eastAsia="Calibri"/>
          <w:rtl/>
        </w:rPr>
        <w:t>ריבוי רכבים עם ת</w:t>
      </w:r>
      <w:r w:rsidRPr="00A210E9">
        <w:rPr>
          <w:rFonts w:eastAsia="Calibri" w:hint="cs"/>
          <w:rtl/>
        </w:rPr>
        <w:t xml:space="preserve">ג חניה </w:t>
      </w:r>
      <w:r w:rsidRPr="00A210E9">
        <w:rPr>
          <w:rFonts w:eastAsia="Calibri"/>
          <w:rtl/>
        </w:rPr>
        <w:t>ש</w:t>
      </w:r>
      <w:r w:rsidRPr="00A210E9">
        <w:rPr>
          <w:rFonts w:eastAsia="Calibri" w:hint="cs"/>
          <w:rtl/>
        </w:rPr>
        <w:t xml:space="preserve">חונים </w:t>
      </w:r>
      <w:r w:rsidRPr="00A210E9">
        <w:rPr>
          <w:rFonts w:eastAsia="Calibri"/>
          <w:rtl/>
        </w:rPr>
        <w:t xml:space="preserve">על מדרכות </w:t>
      </w:r>
      <w:r w:rsidRPr="00A210E9">
        <w:rPr>
          <w:rFonts w:eastAsia="Calibri" w:hint="cs"/>
          <w:rtl/>
        </w:rPr>
        <w:t>אף שיש במקום</w:t>
      </w:r>
      <w:r w:rsidRPr="00A210E9">
        <w:rPr>
          <w:rFonts w:eastAsia="Calibri"/>
          <w:rtl/>
        </w:rPr>
        <w:t xml:space="preserve"> חניה מוסדרת</w:t>
      </w:r>
      <w:r w:rsidRPr="00A210E9">
        <w:rPr>
          <w:rFonts w:eastAsia="Calibri" w:hint="cs"/>
          <w:rtl/>
        </w:rPr>
        <w:t>.</w:t>
      </w:r>
    </w:p>
    <w:p w:rsidR="00A210E9" w:rsidRPr="00A210E9" w:rsidP="00A210E9">
      <w:pPr>
        <w:keepNext/>
        <w:keepLines/>
        <w:spacing w:line="269" w:lineRule="auto"/>
        <w:ind w:left="-567"/>
        <w:rPr>
          <w:rFonts w:eastAsia="Calibri"/>
          <w:szCs w:val="20"/>
          <w:rtl/>
        </w:rPr>
      </w:pPr>
    </w:p>
    <w:bookmarkEnd w:id="100"/>
    <w:p w:rsidR="00A210E9" w:rsidRPr="00A210E9" w:rsidP="00A210E9">
      <w:pPr>
        <w:spacing w:line="269" w:lineRule="auto"/>
        <w:rPr>
          <w:rFonts w:eastAsia="Calibri"/>
          <w:b/>
          <w:bCs/>
          <w:rtl/>
        </w:rPr>
      </w:pPr>
      <w:r w:rsidRPr="00A210E9">
        <w:rPr>
          <w:rFonts w:eastAsia="Calibri" w:hint="eastAsia"/>
          <w:b/>
          <w:bCs/>
          <w:rtl/>
        </w:rPr>
        <w:t>בסקירת</w:t>
      </w:r>
      <w:r w:rsidRPr="00A210E9">
        <w:rPr>
          <w:rFonts w:eastAsia="Calibri"/>
          <w:b/>
          <w:bCs/>
          <w:rtl/>
        </w:rPr>
        <w:t xml:space="preserve"> </w:t>
      </w:r>
      <w:r w:rsidRPr="00A210E9">
        <w:rPr>
          <w:rFonts w:eastAsia="Calibri" w:hint="eastAsia"/>
          <w:b/>
          <w:bCs/>
          <w:rtl/>
        </w:rPr>
        <w:t>ספרות</w:t>
      </w:r>
      <w:r w:rsidRPr="00A210E9">
        <w:rPr>
          <w:rFonts w:eastAsia="Calibri"/>
          <w:b/>
          <w:bCs/>
          <w:rtl/>
        </w:rPr>
        <w:t xml:space="preserve"> </w:t>
      </w:r>
      <w:r w:rsidRPr="00A210E9">
        <w:rPr>
          <w:rFonts w:eastAsia="Calibri" w:hint="eastAsia"/>
          <w:b/>
          <w:bCs/>
          <w:rtl/>
        </w:rPr>
        <w:t>שנעשתה</w:t>
      </w:r>
      <w:r w:rsidRPr="00A210E9">
        <w:rPr>
          <w:rFonts w:eastAsia="Calibri"/>
          <w:b/>
          <w:bCs/>
          <w:rtl/>
        </w:rPr>
        <w:t xml:space="preserve"> </w:t>
      </w:r>
      <w:r w:rsidRPr="00A210E9">
        <w:rPr>
          <w:rFonts w:eastAsia="Calibri" w:hint="eastAsia"/>
          <w:b/>
          <w:bCs/>
          <w:rtl/>
        </w:rPr>
        <w:t>במסגרת</w:t>
      </w:r>
      <w:r w:rsidRPr="00A210E9">
        <w:rPr>
          <w:rFonts w:eastAsia="Calibri"/>
          <w:b/>
          <w:bCs/>
          <w:rtl/>
        </w:rPr>
        <w:t xml:space="preserve"> </w:t>
      </w:r>
      <w:r w:rsidRPr="00A210E9">
        <w:rPr>
          <w:rFonts w:eastAsia="Calibri" w:hint="eastAsia"/>
          <w:b/>
          <w:bCs/>
          <w:rtl/>
        </w:rPr>
        <w:t>התוכנית</w:t>
      </w:r>
      <w:r w:rsidRPr="00A210E9">
        <w:rPr>
          <w:rFonts w:eastAsia="Calibri"/>
          <w:b/>
          <w:bCs/>
          <w:rtl/>
        </w:rPr>
        <w:t xml:space="preserve"> </w:t>
      </w:r>
      <w:r w:rsidRPr="00A210E9">
        <w:rPr>
          <w:rFonts w:eastAsia="Calibri" w:hint="eastAsia"/>
          <w:b/>
          <w:bCs/>
          <w:rtl/>
        </w:rPr>
        <w:t>הלאומית</w:t>
      </w:r>
      <w:r w:rsidRPr="00A210E9">
        <w:rPr>
          <w:rFonts w:eastAsia="Calibri"/>
          <w:b/>
          <w:bCs/>
          <w:rtl/>
        </w:rPr>
        <w:t xml:space="preserve"> </w:t>
      </w:r>
      <w:r w:rsidRPr="00A210E9">
        <w:rPr>
          <w:rFonts w:eastAsia="Calibri" w:hint="eastAsia"/>
          <w:b/>
          <w:bCs/>
          <w:rtl/>
        </w:rPr>
        <w:t>לחניה</w:t>
      </w:r>
      <w:r>
        <w:rPr>
          <w:rFonts w:eastAsia="Calibri"/>
          <w:b/>
          <w:bCs/>
          <w:vertAlign w:val="superscript"/>
          <w:rtl/>
        </w:rPr>
        <w:footnoteReference w:id="139"/>
      </w:r>
      <w:r w:rsidRPr="00A210E9">
        <w:rPr>
          <w:rFonts w:eastAsia="Calibri"/>
          <w:b/>
          <w:bCs/>
          <w:rtl/>
        </w:rPr>
        <w:t xml:space="preserve"> עלה כי מבין 27 המדינות המפותחות שנסקרו לא אותרה ולו מדינה אחת </w:t>
      </w:r>
      <w:r w:rsidRPr="00A210E9">
        <w:rPr>
          <w:rFonts w:eastAsia="Calibri" w:hint="eastAsia"/>
          <w:b/>
          <w:bCs/>
          <w:rtl/>
        </w:rPr>
        <w:t>ש</w:t>
      </w:r>
      <w:r w:rsidRPr="00A210E9">
        <w:rPr>
          <w:rFonts w:eastAsia="Calibri"/>
          <w:b/>
          <w:bCs/>
          <w:rtl/>
        </w:rPr>
        <w:t xml:space="preserve">בה מותרת חניה </w:t>
      </w:r>
      <w:r w:rsidRPr="00A210E9">
        <w:rPr>
          <w:rFonts w:eastAsia="Calibri" w:hint="eastAsia"/>
          <w:b/>
          <w:bCs/>
          <w:rtl/>
        </w:rPr>
        <w:t>על</w:t>
      </w:r>
      <w:r w:rsidRPr="00A210E9">
        <w:rPr>
          <w:rFonts w:eastAsia="Calibri"/>
          <w:b/>
          <w:bCs/>
          <w:rtl/>
        </w:rPr>
        <w:t xml:space="preserve"> המדרכה במקום </w:t>
      </w:r>
      <w:r w:rsidRPr="00A210E9">
        <w:rPr>
          <w:rFonts w:eastAsia="Calibri" w:hint="eastAsia"/>
          <w:b/>
          <w:bCs/>
          <w:rtl/>
        </w:rPr>
        <w:t>שבו</w:t>
      </w:r>
      <w:r w:rsidRPr="00A210E9">
        <w:rPr>
          <w:rFonts w:eastAsia="Calibri"/>
          <w:b/>
          <w:bCs/>
          <w:rtl/>
        </w:rPr>
        <w:t xml:space="preserve"> </w:t>
      </w:r>
      <w:r w:rsidRPr="00A210E9">
        <w:rPr>
          <w:rFonts w:eastAsia="Calibri" w:hint="eastAsia"/>
          <w:b/>
          <w:bCs/>
          <w:rtl/>
        </w:rPr>
        <w:t>החניה</w:t>
      </w:r>
      <w:r w:rsidRPr="00A210E9">
        <w:rPr>
          <w:rFonts w:eastAsia="Calibri"/>
          <w:b/>
          <w:bCs/>
          <w:rtl/>
        </w:rPr>
        <w:t xml:space="preserve"> </w:t>
      </w:r>
      <w:r w:rsidRPr="00A210E9">
        <w:rPr>
          <w:rFonts w:eastAsia="Calibri" w:hint="eastAsia"/>
          <w:b/>
          <w:bCs/>
          <w:rtl/>
        </w:rPr>
        <w:t>אסורה</w:t>
      </w:r>
      <w:r w:rsidRPr="00A210E9">
        <w:rPr>
          <w:rFonts w:eastAsia="Calibri"/>
          <w:b/>
          <w:bCs/>
          <w:rtl/>
        </w:rPr>
        <w:t xml:space="preserve">, </w:t>
      </w:r>
      <w:r w:rsidRPr="00A210E9">
        <w:rPr>
          <w:rFonts w:eastAsia="Calibri" w:hint="eastAsia"/>
          <w:b/>
          <w:bCs/>
          <w:rtl/>
        </w:rPr>
        <w:t>ב</w:t>
      </w:r>
      <w:r w:rsidRPr="00A210E9">
        <w:rPr>
          <w:rFonts w:eastAsia="Calibri"/>
          <w:b/>
          <w:bCs/>
          <w:rtl/>
        </w:rPr>
        <w:t xml:space="preserve">-30% </w:t>
      </w:r>
      <w:r w:rsidRPr="00A210E9">
        <w:rPr>
          <w:rFonts w:eastAsia="Calibri" w:hint="eastAsia"/>
          <w:b/>
          <w:bCs/>
          <w:rtl/>
        </w:rPr>
        <w:t>מהן</w:t>
      </w:r>
      <w:r w:rsidRPr="00A210E9">
        <w:rPr>
          <w:rFonts w:eastAsia="Calibri"/>
          <w:b/>
          <w:bCs/>
          <w:rtl/>
        </w:rPr>
        <w:t xml:space="preserve"> מותרת חניה לרכב שנושא תג חניה במקום אסור לחניה וב-15% מהן </w:t>
      </w:r>
      <w:r w:rsidRPr="00A210E9">
        <w:rPr>
          <w:rFonts w:eastAsia="Calibri" w:hint="eastAsia"/>
          <w:b/>
          <w:bCs/>
          <w:rtl/>
        </w:rPr>
        <w:t>החניה</w:t>
      </w:r>
      <w:r w:rsidRPr="00A210E9">
        <w:rPr>
          <w:rFonts w:eastAsia="Calibri"/>
          <w:b/>
          <w:bCs/>
          <w:rtl/>
        </w:rPr>
        <w:t xml:space="preserve"> מותרת למשך יותר ממספר דקות.</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 xml:space="preserve">מהאמור עולה כי מזה שנים קיימת מצוקה קשה במקומות חניה זמינים לאנשים עם מוגבלות. הדבר מאלץ בעלי תג חניה לחנות במקומות שבהם החניה אסורה, והדבר מפריע לתנועה ולהולכי רגל. </w:t>
      </w:r>
      <w:r w:rsidRPr="00A210E9">
        <w:rPr>
          <w:rFonts w:eastAsia="Calibri" w:hint="eastAsia"/>
          <w:b/>
          <w:bCs/>
          <w:rtl/>
        </w:rPr>
        <w:t>נדגיש</w:t>
      </w:r>
      <w:r w:rsidRPr="00A210E9">
        <w:rPr>
          <w:rFonts w:eastAsia="Calibri"/>
          <w:b/>
          <w:bCs/>
          <w:rtl/>
        </w:rPr>
        <w:t xml:space="preserve"> </w:t>
      </w:r>
      <w:r w:rsidRPr="00A210E9">
        <w:rPr>
          <w:rFonts w:eastAsia="Calibri" w:hint="eastAsia"/>
          <w:b/>
          <w:bCs/>
          <w:rtl/>
        </w:rPr>
        <w:t>ש</w:t>
      </w:r>
      <w:r w:rsidRPr="00A210E9">
        <w:rPr>
          <w:rFonts w:eastAsia="Calibri"/>
          <w:b/>
          <w:bCs/>
          <w:rtl/>
        </w:rPr>
        <w:t xml:space="preserve">סעיף 4א לחוק חניה לנכים מאפשר רק לאדם </w:t>
      </w:r>
      <w:r w:rsidRPr="00A210E9">
        <w:rPr>
          <w:rFonts w:eastAsia="Calibri" w:hint="eastAsia"/>
          <w:b/>
          <w:bCs/>
          <w:rtl/>
        </w:rPr>
        <w:t>עם</w:t>
      </w:r>
      <w:r w:rsidRPr="00A210E9">
        <w:rPr>
          <w:rFonts w:eastAsia="Calibri"/>
          <w:b/>
          <w:bCs/>
          <w:rtl/>
        </w:rPr>
        <w:t xml:space="preserve"> </w:t>
      </w:r>
      <w:r w:rsidRPr="00A210E9">
        <w:rPr>
          <w:rFonts w:eastAsia="Calibri" w:hint="eastAsia"/>
          <w:b/>
          <w:bCs/>
          <w:rtl/>
        </w:rPr>
        <w:t>מוגבלות</w:t>
      </w:r>
      <w:r w:rsidRPr="00A210E9">
        <w:rPr>
          <w:rFonts w:eastAsia="Calibri"/>
          <w:b/>
          <w:bCs/>
          <w:rtl/>
        </w:rPr>
        <w:t xml:space="preserve"> או למי שמתלווה </w:t>
      </w:r>
      <w:r w:rsidRPr="00A210E9">
        <w:rPr>
          <w:rFonts w:eastAsia="Calibri" w:hint="eastAsia"/>
          <w:b/>
          <w:bCs/>
          <w:rtl/>
        </w:rPr>
        <w:t>אליו</w:t>
      </w:r>
      <w:r w:rsidRPr="00A210E9">
        <w:rPr>
          <w:rFonts w:eastAsia="Calibri"/>
          <w:b/>
          <w:bCs/>
          <w:rtl/>
        </w:rPr>
        <w:t xml:space="preserve"> לחנות את הרכב במקום </w:t>
      </w:r>
      <w:r w:rsidRPr="00A210E9">
        <w:rPr>
          <w:rFonts w:eastAsia="Calibri" w:hint="cs"/>
          <w:b/>
          <w:bCs/>
          <w:rtl/>
        </w:rPr>
        <w:t>שבו החניה אסורה</w:t>
      </w:r>
      <w:r w:rsidRPr="00A210E9">
        <w:rPr>
          <w:rFonts w:eastAsia="Calibri"/>
          <w:b/>
          <w:bCs/>
          <w:rtl/>
        </w:rPr>
        <w:t>.</w:t>
      </w:r>
      <w:r w:rsidRPr="00A210E9">
        <w:rPr>
          <w:rFonts w:eastAsia="Calibri" w:hint="cs"/>
          <w:b/>
          <w:bCs/>
          <w:rtl/>
        </w:rPr>
        <w:t xml:space="preserve"> עם זאת, הועלו</w:t>
      </w:r>
      <w:r w:rsidRPr="00A210E9">
        <w:rPr>
          <w:rFonts w:eastAsia="Calibri"/>
          <w:b/>
          <w:bCs/>
          <w:rtl/>
        </w:rPr>
        <w:t xml:space="preserve"> מקרים שבהם בעלי רכבים הנושאים תג חניה מחנים את רכבם במקומות שבהם החניה אסורה, ולעיתים אף במרחק ניכר מיעדם, אף שב</w:t>
      </w:r>
      <w:r w:rsidRPr="00A210E9">
        <w:rPr>
          <w:rFonts w:eastAsia="Calibri" w:hint="cs"/>
          <w:b/>
          <w:bCs/>
          <w:rtl/>
        </w:rPr>
        <w:t>בניין</w:t>
      </w:r>
      <w:r w:rsidRPr="00A210E9">
        <w:rPr>
          <w:rFonts w:eastAsia="Calibri"/>
          <w:b/>
          <w:bCs/>
          <w:rtl/>
        </w:rPr>
        <w:t xml:space="preserve"> שאליו הם מבקשים להגיע קיימת חניית נכים ייעודית וסמוכה</w:t>
      </w:r>
      <w:r w:rsidRPr="00A210E9">
        <w:rPr>
          <w:rFonts w:eastAsia="Calibri" w:hint="cs"/>
          <w:b/>
          <w:bCs/>
          <w:rtl/>
        </w:rPr>
        <w:t xml:space="preserve"> בתשלום; </w:t>
      </w:r>
      <w:r w:rsidRPr="00A210E9">
        <w:rPr>
          <w:rFonts w:eastAsia="Calibri"/>
          <w:b/>
          <w:bCs/>
          <w:rtl/>
        </w:rPr>
        <w:t>תופע</w:t>
      </w:r>
      <w:r w:rsidRPr="00A210E9">
        <w:rPr>
          <w:rFonts w:eastAsia="Calibri" w:hint="cs"/>
          <w:b/>
          <w:bCs/>
          <w:rtl/>
        </w:rPr>
        <w:t>ה</w:t>
      </w:r>
      <w:r w:rsidRPr="00A210E9">
        <w:rPr>
          <w:rFonts w:eastAsia="Calibri"/>
          <w:b/>
          <w:bCs/>
          <w:rtl/>
        </w:rPr>
        <w:t xml:space="preserve"> </w:t>
      </w:r>
      <w:r w:rsidRPr="00A210E9">
        <w:rPr>
          <w:rFonts w:eastAsia="Calibri" w:hint="cs"/>
          <w:b/>
          <w:bCs/>
          <w:rtl/>
        </w:rPr>
        <w:t>ז</w:t>
      </w:r>
      <w:r w:rsidRPr="00A210E9">
        <w:rPr>
          <w:rFonts w:eastAsia="Calibri"/>
          <w:b/>
          <w:bCs/>
          <w:rtl/>
        </w:rPr>
        <w:t xml:space="preserve">ו, </w:t>
      </w:r>
      <w:r w:rsidRPr="00A210E9">
        <w:rPr>
          <w:rFonts w:eastAsia="Calibri" w:hint="cs"/>
          <w:b/>
          <w:bCs/>
          <w:rtl/>
        </w:rPr>
        <w:t xml:space="preserve">אם </w:t>
      </w:r>
      <w:r w:rsidRPr="00A210E9">
        <w:rPr>
          <w:rFonts w:eastAsia="Calibri"/>
          <w:b/>
          <w:bCs/>
          <w:rtl/>
        </w:rPr>
        <w:t>היק</w:t>
      </w:r>
      <w:r w:rsidRPr="00A210E9">
        <w:rPr>
          <w:rFonts w:eastAsia="Calibri" w:hint="cs"/>
          <w:b/>
          <w:bCs/>
          <w:rtl/>
        </w:rPr>
        <w:t>פה</w:t>
      </w:r>
      <w:r w:rsidRPr="00A210E9">
        <w:rPr>
          <w:rFonts w:eastAsia="Calibri"/>
          <w:b/>
          <w:bCs/>
          <w:rtl/>
        </w:rPr>
        <w:t xml:space="preserve"> </w:t>
      </w:r>
      <w:r w:rsidRPr="00A210E9">
        <w:rPr>
          <w:rFonts w:eastAsia="Calibri" w:hint="cs"/>
          <w:b/>
          <w:bCs/>
          <w:rtl/>
        </w:rPr>
        <w:t xml:space="preserve">אכן </w:t>
      </w:r>
      <w:r w:rsidRPr="00A210E9">
        <w:rPr>
          <w:rFonts w:eastAsia="Calibri"/>
          <w:b/>
          <w:bCs/>
          <w:rtl/>
        </w:rPr>
        <w:t>נרחב,</w:t>
      </w:r>
      <w:r w:rsidRPr="00A210E9">
        <w:rPr>
          <w:rFonts w:eastAsia="Calibri" w:hint="cs"/>
          <w:b/>
          <w:bCs/>
          <w:rtl/>
        </w:rPr>
        <w:t xml:space="preserve"> עשויה להעיד על שימוש לרעה שנעשה בידי בעלי רכבים המקושרים לתג נכה.</w:t>
      </w:r>
      <w:r w:rsidRPr="00A210E9">
        <w:rPr>
          <w:rFonts w:eastAsia="Calibri"/>
          <w:b/>
          <w:bCs/>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התרשים שלהלן מציג את מספר הדוחות שנתנו העיריות אשדוד, באר שבע ותל אביב-יפו לנושאי תג חניה שחנו במקומות שבהם החניה אסורה, בשנים 2020 - 2024:</w:t>
      </w:r>
    </w:p>
    <w:p w:rsidR="00A210E9" w:rsidRPr="00A210E9" w:rsidP="00A210E9">
      <w:pPr>
        <w:spacing w:line="269" w:lineRule="auto"/>
        <w:rPr>
          <w:rFonts w:eastAsia="Calibri"/>
          <w:rtl/>
        </w:rPr>
      </w:pPr>
    </w:p>
    <w:p w:rsidR="00A210E9" w:rsidRPr="00A210E9" w:rsidP="00A210E9">
      <w:pPr>
        <w:keepNext/>
        <w:keepLines/>
        <w:spacing w:line="269" w:lineRule="auto"/>
        <w:jc w:val="center"/>
        <w:rPr>
          <w:rFonts w:eastAsia="Calibri"/>
          <w:b/>
          <w:bCs/>
          <w:rtl/>
        </w:rPr>
      </w:pPr>
      <w:r w:rsidRPr="00A210E9">
        <w:rPr>
          <w:rFonts w:eastAsia="Calibri" w:hint="eastAsia"/>
          <w:rtl/>
        </w:rPr>
        <w:t>תרשים</w:t>
      </w:r>
      <w:r w:rsidRPr="00A210E9">
        <w:rPr>
          <w:rFonts w:eastAsia="Calibri" w:hint="cs"/>
          <w:rtl/>
        </w:rPr>
        <w:t xml:space="preserve"> 19</w:t>
      </w:r>
      <w:r w:rsidRPr="00A210E9">
        <w:rPr>
          <w:rFonts w:eastAsia="Calibri"/>
          <w:rtl/>
        </w:rPr>
        <w:t>:</w:t>
      </w:r>
      <w:r w:rsidRPr="00A210E9">
        <w:rPr>
          <w:rFonts w:eastAsia="Calibri" w:hint="cs"/>
          <w:b/>
          <w:bCs/>
          <w:rtl/>
        </w:rPr>
        <w:t xml:space="preserve"> מספר הדוחות שקיבלו נושאי תג חניה בערים אשדוד, באר שבע ותל אביב-יפו, 2020 - 2024</w:t>
      </w:r>
    </w:p>
    <w:p w:rsidR="00A210E9" w:rsidRPr="00A210E9" w:rsidP="00A210E9">
      <w:pPr>
        <w:spacing w:line="269" w:lineRule="auto"/>
        <w:jc w:val="center"/>
        <w:rPr>
          <w:rFonts w:eastAsia="Calibri"/>
          <w:rtl/>
        </w:rPr>
      </w:pPr>
      <w:r w:rsidRPr="00A210E9">
        <w:rPr>
          <w:rFonts w:eastAsia="Calibri"/>
          <w:noProof/>
        </w:rPr>
        <w:drawing>
          <wp:inline distT="0" distB="0" distL="0" distR="0">
            <wp:extent cx="2160000" cy="1800000"/>
            <wp:effectExtent l="0" t="0" r="0" b="0"/>
            <wp:docPr id="50" name="תמונה 7" descr="התרשים מתאר את מספר הדוחות שקיבלו נושאי תג חניה בעיר אשדוד.&#10;שנת 2020&#10;1757 דוחות &#10;&#10;שנת 2021&#10;2258 דוחות &#10;&#10;שנת 2022&#10;2550 דוחות &#10;&#10;שנת 2023&#10;3094 דוחות&#10;&#10;שנת 2024&#10;1540 דוחות ">
              <a:extLst xmlns:a="http://schemas.openxmlformats.org/drawingml/2006/main">
                <a:ext xmlns:a="http://schemas.openxmlformats.org/drawingml/2006/main" uri="{FF2B5EF4-FFF2-40B4-BE49-F238E27FC236}">
                  <a16:creationId xmlns:a16="http://schemas.microsoft.com/office/drawing/2014/main" id="{FA2DA598-EBC1-432C-BFBD-B7457C9240A8}"/>
                </a:ext>
              </a:extLst>
            </wp:docPr>
            <wp:cNvGraphicFramePr/>
            <a:graphic xmlns:a="http://schemas.openxmlformats.org/drawingml/2006/main">
              <a:graphicData uri="http://schemas.openxmlformats.org/drawingml/2006/picture">
                <pic:pic xmlns:pic="http://schemas.openxmlformats.org/drawingml/2006/picture">
                  <pic:nvPicPr>
                    <pic:cNvPr id="50" name="תמונה 7">
                      <a:extLst>
                        <a:ext xmlns:a="http://schemas.openxmlformats.org/drawingml/2006/main" uri="{FF2B5EF4-FFF2-40B4-BE49-F238E27FC236}">
                          <a16:creationId xmlns:a16="http://schemas.microsoft.com/office/drawing/2014/main" id="{FA2DA598-EBC1-432C-BFBD-B7457C9240A8}"/>
                        </a:ext>
                      </a:extLst>
                    </pic:cNvPr>
                    <pic:cNvPicPr/>
                  </pic:nvPicPr>
                  <pic:blipFill>
                    <a:blip xmlns:r="http://schemas.openxmlformats.org/officeDocument/2006/relationships" r:embed="rId45"/>
                    <a:stretch>
                      <a:fillRect/>
                    </a:stretch>
                  </pic:blipFill>
                  <pic:spPr>
                    <a:xfrm>
                      <a:off x="0" y="0"/>
                      <a:ext cx="2160000" cy="1800000"/>
                    </a:xfrm>
                    <a:prstGeom prst="rect">
                      <a:avLst/>
                    </a:prstGeom>
                  </pic:spPr>
                </pic:pic>
              </a:graphicData>
            </a:graphic>
          </wp:inline>
        </w:drawing>
      </w:r>
      <w:r w:rsidRPr="00A210E9">
        <w:rPr>
          <w:rFonts w:eastAsia="Calibri"/>
          <w:noProof/>
        </w:rPr>
        <w:drawing>
          <wp:inline distT="0" distB="0" distL="0" distR="0">
            <wp:extent cx="2160000" cy="1800000"/>
            <wp:effectExtent l="0" t="0" r="0" b="0"/>
            <wp:docPr id="51" name="תמונה 10" descr="התרשים מתאר את מספר הדוחות שקיבלו נושאי תג חניה בעיר באר שבע. &#10;שנת 2020&#10;3453 דוחות &#10;&#10;שנת 2021&#10;4276 דוחות &#10;&#10;שנת 2022&#10;6298 דוחות &#10;&#10;שנת 2023&#10;517 דוחות&#10;">
              <a:extLst xmlns:a="http://schemas.openxmlformats.org/drawingml/2006/main">
                <a:ext xmlns:a="http://schemas.openxmlformats.org/drawingml/2006/main" uri="{FF2B5EF4-FFF2-40B4-BE49-F238E27FC236}">
                  <a16:creationId xmlns:a16="http://schemas.microsoft.com/office/drawing/2014/main" id="{8C0D7420-9DED-4117-A367-E1E0F56B329F}"/>
                </a:ext>
              </a:extLst>
            </wp:docPr>
            <wp:cNvGraphicFramePr/>
            <a:graphic xmlns:a="http://schemas.openxmlformats.org/drawingml/2006/main">
              <a:graphicData uri="http://schemas.openxmlformats.org/drawingml/2006/picture">
                <pic:pic xmlns:pic="http://schemas.openxmlformats.org/drawingml/2006/picture">
                  <pic:nvPicPr>
                    <pic:cNvPr id="51" name="תמונה 10">
                      <a:extLst>
                        <a:ext xmlns:a="http://schemas.openxmlformats.org/drawingml/2006/main" uri="{FF2B5EF4-FFF2-40B4-BE49-F238E27FC236}">
                          <a16:creationId xmlns:a16="http://schemas.microsoft.com/office/drawing/2014/main" id="{8C0D7420-9DED-4117-A367-E1E0F56B329F}"/>
                        </a:ext>
                      </a:extLst>
                    </pic:cNvPr>
                    <pic:cNvPicPr/>
                  </pic:nvPicPr>
                  <pic:blipFill>
                    <a:blip xmlns:r="http://schemas.openxmlformats.org/officeDocument/2006/relationships" r:embed="rId46"/>
                    <a:stretch>
                      <a:fillRect/>
                    </a:stretch>
                  </pic:blipFill>
                  <pic:spPr>
                    <a:xfrm>
                      <a:off x="0" y="0"/>
                      <a:ext cx="2160000" cy="1800000"/>
                    </a:xfrm>
                    <a:prstGeom prst="rect">
                      <a:avLst/>
                    </a:prstGeom>
                  </pic:spPr>
                </pic:pic>
              </a:graphicData>
            </a:graphic>
          </wp:inline>
        </w:drawing>
      </w:r>
    </w:p>
    <w:p w:rsidR="00A210E9" w:rsidRPr="00A210E9" w:rsidP="00A210E9">
      <w:pPr>
        <w:spacing w:line="269" w:lineRule="auto"/>
        <w:jc w:val="center"/>
        <w:rPr>
          <w:rFonts w:eastAsia="Calibri"/>
          <w:rtl/>
        </w:rPr>
      </w:pPr>
      <w:r w:rsidRPr="00A210E9">
        <w:rPr>
          <w:rFonts w:eastAsia="Calibri"/>
          <w:noProof/>
        </w:rPr>
        <w:drawing>
          <wp:inline distT="0" distB="0" distL="0" distR="0">
            <wp:extent cx="2160000" cy="1800000"/>
            <wp:effectExtent l="0" t="0" r="0" b="0"/>
            <wp:docPr id="9" name="תמונה 8" descr="התרשים מתאר את מספר הדוחות שקיבלו נושאי תג חניה בעיר אשדוד.&#10;שנת 2020&#10;1757 דוחות &#10;&#10;שנת 2021&#10;2258 דוחות &#10;&#10;שנת 2022&#10;2550 דוחות &#10;&#10;שנת 2023&#10;3094 דוחות&#10;&#10;שנת 2024&#10;1540 דוחות ">
              <a:extLst xmlns:a="http://schemas.openxmlformats.org/drawingml/2006/main">
                <a:ext xmlns:a="http://schemas.openxmlformats.org/drawingml/2006/main" uri="{FF2B5EF4-FFF2-40B4-BE49-F238E27FC236}">
                  <a16:creationId xmlns:a16="http://schemas.microsoft.com/office/drawing/2014/main" id="{9E50A48B-388B-4B74-A99F-5F349D3F09CA}"/>
                </a:ext>
              </a:extLst>
            </wp:docPr>
            <wp:cNvGraphicFramePr/>
            <a:graphic xmlns:a="http://schemas.openxmlformats.org/drawingml/2006/main">
              <a:graphicData uri="http://schemas.openxmlformats.org/drawingml/2006/picture">
                <pic:pic xmlns:pic="http://schemas.openxmlformats.org/drawingml/2006/picture">
                  <pic:nvPicPr>
                    <pic:cNvPr id="9" name="תמונה 8">
                      <a:extLst>
                        <a:ext xmlns:a="http://schemas.openxmlformats.org/drawingml/2006/main" uri="{FF2B5EF4-FFF2-40B4-BE49-F238E27FC236}">
                          <a16:creationId xmlns:a16="http://schemas.microsoft.com/office/drawing/2014/main" id="{9E50A48B-388B-4B74-A99F-5F349D3F09CA}"/>
                        </a:ext>
                      </a:extLst>
                    </pic:cNvPr>
                    <pic:cNvPicPr/>
                  </pic:nvPicPr>
                  <pic:blipFill>
                    <a:blip xmlns:r="http://schemas.openxmlformats.org/officeDocument/2006/relationships" r:embed="rId47"/>
                    <a:stretch>
                      <a:fillRect/>
                    </a:stretch>
                  </pic:blipFill>
                  <pic:spPr>
                    <a:xfrm>
                      <a:off x="0" y="0"/>
                      <a:ext cx="2160000" cy="1800000"/>
                    </a:xfrm>
                    <a:prstGeom prst="rect">
                      <a:avLst/>
                    </a:prstGeom>
                  </pic:spPr>
                </pic:pic>
              </a:graphicData>
            </a:graphic>
          </wp:inline>
        </w:drawing>
      </w:r>
    </w:p>
    <w:p w:rsidR="00A210E9" w:rsidRPr="00A210E9" w:rsidP="00A210E9">
      <w:pPr>
        <w:spacing w:line="269" w:lineRule="auto"/>
        <w:rPr>
          <w:rFonts w:eastAsia="Calibri"/>
          <w:szCs w:val="20"/>
          <w:rtl/>
        </w:rPr>
      </w:pPr>
      <w:r w:rsidRPr="00A210E9">
        <w:rPr>
          <w:rFonts w:eastAsia="Calibri" w:hint="eastAsia"/>
          <w:szCs w:val="20"/>
          <w:rtl/>
        </w:rPr>
        <w:t>על</w:t>
      </w:r>
      <w:r w:rsidRPr="00A210E9">
        <w:rPr>
          <w:rFonts w:eastAsia="Calibri"/>
          <w:szCs w:val="20"/>
          <w:rtl/>
        </w:rPr>
        <w:t xml:space="preserve"> פי נתונים שהתקבלו בעמותת נגישות ישראל </w:t>
      </w:r>
      <w:r w:rsidRPr="00A210E9">
        <w:rPr>
          <w:rFonts w:eastAsia="Calibri" w:hint="cs"/>
          <w:szCs w:val="20"/>
          <w:rtl/>
        </w:rPr>
        <w:t xml:space="preserve">מהרשויות המקומיות </w:t>
      </w:r>
      <w:r w:rsidRPr="00A210E9">
        <w:rPr>
          <w:rFonts w:eastAsia="Calibri" w:hint="eastAsia"/>
          <w:szCs w:val="20"/>
          <w:rtl/>
        </w:rPr>
        <w:t>ל</w:t>
      </w:r>
      <w:r w:rsidRPr="00A210E9">
        <w:rPr>
          <w:rFonts w:eastAsia="Calibri" w:hint="cs"/>
          <w:szCs w:val="20"/>
          <w:rtl/>
        </w:rPr>
        <w:t xml:space="preserve">פי </w:t>
      </w:r>
      <w:r w:rsidRPr="00A210E9">
        <w:rPr>
          <w:rFonts w:eastAsia="Calibri" w:hint="eastAsia"/>
          <w:szCs w:val="20"/>
          <w:rtl/>
        </w:rPr>
        <w:t>חוק</w:t>
      </w:r>
      <w:r w:rsidRPr="00A210E9">
        <w:rPr>
          <w:rFonts w:eastAsia="Calibri"/>
          <w:szCs w:val="20"/>
          <w:rtl/>
        </w:rPr>
        <w:t xml:space="preserve"> חופש המידע</w:t>
      </w:r>
      <w:r w:rsidRPr="00A210E9">
        <w:rPr>
          <w:rFonts w:eastAsia="Calibri" w:hint="cs"/>
          <w:szCs w:val="20"/>
          <w:rtl/>
        </w:rPr>
        <w:t xml:space="preserve"> (עיריות אשדוד ובאר שבע)</w:t>
      </w:r>
      <w:r w:rsidRPr="00A210E9">
        <w:rPr>
          <w:rFonts w:eastAsia="Calibri"/>
          <w:szCs w:val="20"/>
          <w:rtl/>
        </w:rPr>
        <w:t xml:space="preserve"> </w:t>
      </w:r>
      <w:r w:rsidRPr="00A210E9">
        <w:rPr>
          <w:rFonts w:eastAsia="Calibri" w:hint="cs"/>
          <w:szCs w:val="20"/>
          <w:rtl/>
        </w:rPr>
        <w:t>ו</w:t>
      </w:r>
      <w:r w:rsidRPr="00A210E9">
        <w:rPr>
          <w:rFonts w:eastAsia="Calibri" w:hint="eastAsia"/>
          <w:szCs w:val="20"/>
          <w:rtl/>
        </w:rPr>
        <w:t>על</w:t>
      </w:r>
      <w:r w:rsidRPr="00A210E9">
        <w:rPr>
          <w:rFonts w:eastAsia="Calibri"/>
          <w:szCs w:val="20"/>
          <w:rtl/>
        </w:rPr>
        <w:t xml:space="preserve"> פי נתוני </w:t>
      </w:r>
      <w:r w:rsidRPr="00A210E9">
        <w:rPr>
          <w:rFonts w:eastAsia="Calibri" w:hint="eastAsia"/>
          <w:szCs w:val="20"/>
          <w:rtl/>
        </w:rPr>
        <w:t>עיריית</w:t>
      </w:r>
      <w:r w:rsidRPr="00A210E9">
        <w:rPr>
          <w:rFonts w:eastAsia="Calibri"/>
          <w:szCs w:val="20"/>
          <w:rtl/>
        </w:rPr>
        <w:t xml:space="preserve"> תל אביב</w:t>
      </w:r>
      <w:r w:rsidRPr="00A210E9">
        <w:rPr>
          <w:rFonts w:eastAsia="Calibri" w:hint="cs"/>
          <w:szCs w:val="20"/>
          <w:rtl/>
        </w:rPr>
        <w:t>-יפו</w:t>
      </w:r>
      <w:r w:rsidRPr="00A210E9">
        <w:rPr>
          <w:rFonts w:eastAsia="Calibri"/>
          <w:szCs w:val="20"/>
          <w:rtl/>
        </w:rPr>
        <w:t>, בעיבוד משרד מבקר המדינה.</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 xml:space="preserve">מהתרשים עולה כי בשנת 2020, שהייתה שנת קורונה, מספר הדוחות שקיבלו בעלי תג חניה היה קטן יחסית בערים שנבדקו, ובשנים 2021 - 2022 חלה עלייה בכל שנה לעומת קודמתה. בבאר שבע חלה עלייה של 47% בשנת 2022 לעומת 2021, אולם בשנת 2023 נרשמה ירידה של 92% במספר הדוחות. באשדוד נרשמה עלייה בכל אחת מהשנים 2022 - 2023 וחלה ירידה של 50% בשנת 2024. לעומת זאת, בתל אביב-יפו נרשמה בשנת 2024 עלייה חדה של 80% במספר הדוחות.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bookmarkStart w:id="128" w:name="_Hlk219804211"/>
      <w:r w:rsidRPr="00A210E9">
        <w:rPr>
          <w:rFonts w:eastAsia="Calibri" w:hint="cs"/>
          <w:b/>
          <w:bCs/>
          <w:rtl/>
        </w:rPr>
        <w:t>משרד מבקר המדינה ממליץ למשרד הפנים, בהתייעצות עם מש"ם, להנחות במסגרת סמכויותיו את הרשויות המקומיות להתאים את המשאבים שיוקצו לאכיפת חניה של רכב במקום אסור, ולדאוג לשמירה על הסדר הציבורי תוך הקפדה על זכויותיהם של אנשים עם מוגבלות.</w:t>
      </w:r>
      <w:bookmarkEnd w:id="128"/>
      <w:r w:rsidRPr="00A210E9">
        <w:rPr>
          <w:rFonts w:eastAsia="Calibri" w:hint="cs"/>
          <w:b/>
          <w:bCs/>
          <w:rtl/>
        </w:rPr>
        <w:t xml:space="preserve"> עוד מומלץ </w:t>
      </w:r>
      <w:r w:rsidRPr="00A210E9">
        <w:rPr>
          <w:rFonts w:eastAsia="Calibri" w:hint="eastAsia"/>
          <w:b/>
          <w:bCs/>
          <w:rtl/>
        </w:rPr>
        <w:t>לבחון</w:t>
      </w:r>
      <w:r w:rsidRPr="00A210E9">
        <w:rPr>
          <w:rFonts w:eastAsia="Calibri" w:hint="cs"/>
          <w:b/>
          <w:bCs/>
          <w:rtl/>
        </w:rPr>
        <w:t xml:space="preserve"> שימוש בטכנולוגיות מתאימות לצורך הרתעה</w:t>
      </w:r>
      <w:r w:rsidRPr="00A210E9">
        <w:rPr>
          <w:rFonts w:eastAsia="Calibri"/>
          <w:b/>
          <w:bCs/>
          <w:rtl/>
        </w:rPr>
        <w:t xml:space="preserve"> ול</w:t>
      </w:r>
      <w:r w:rsidRPr="00A210E9">
        <w:rPr>
          <w:rFonts w:eastAsia="Calibri" w:hint="eastAsia"/>
          <w:b/>
          <w:bCs/>
          <w:rtl/>
        </w:rPr>
        <w:t>שיפור</w:t>
      </w:r>
      <w:r w:rsidRPr="00A210E9">
        <w:rPr>
          <w:rFonts w:eastAsia="Calibri" w:hint="cs"/>
          <w:b/>
          <w:bCs/>
          <w:rtl/>
        </w:rPr>
        <w:t xml:space="preserve"> </w:t>
      </w:r>
      <w:r w:rsidRPr="00A210E9">
        <w:rPr>
          <w:rFonts w:eastAsia="Calibri"/>
          <w:b/>
          <w:bCs/>
          <w:rtl/>
        </w:rPr>
        <w:t>האכיפה</w:t>
      </w:r>
      <w:r w:rsidRPr="00A210E9">
        <w:rPr>
          <w:rFonts w:eastAsia="Calibri" w:hint="cs"/>
          <w:b/>
          <w:bCs/>
          <w:rtl/>
        </w:rPr>
        <w:t xml:space="preserve"> ובלבד שעומדת בדרישות הדין</w:t>
      </w:r>
      <w:r w:rsidRPr="00A210E9">
        <w:rPr>
          <w:rFonts w:eastAsia="Calibri"/>
          <w:b/>
          <w:bCs/>
          <w:rtl/>
        </w:rPr>
        <w:t>,</w:t>
      </w:r>
      <w:r w:rsidRPr="00A210E9">
        <w:rPr>
          <w:rFonts w:eastAsia="Calibri" w:hint="cs"/>
          <w:b/>
          <w:bCs/>
          <w:rtl/>
        </w:rPr>
        <w:t xml:space="preserve"> </w:t>
      </w:r>
      <w:r w:rsidRPr="00A210E9">
        <w:rPr>
          <w:rFonts w:eastAsia="Calibri"/>
          <w:b/>
          <w:bCs/>
          <w:rtl/>
        </w:rPr>
        <w:t xml:space="preserve">כאשר מדובר בתופעה של חניה </w:t>
      </w:r>
      <w:r w:rsidRPr="00A210E9">
        <w:rPr>
          <w:rFonts w:eastAsia="Calibri" w:hint="cs"/>
          <w:b/>
          <w:bCs/>
          <w:rtl/>
        </w:rPr>
        <w:t xml:space="preserve">במקום אסור בכלל, ועל מדרכות כאשר יש בקרבת מקום חניות מוסדרות פנויות בפרט. </w:t>
      </w:r>
      <w:bookmarkEnd w:id="101"/>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מש"ם כתב בתשובתו כי יישום המלצה זו יסייע להבטחת שלומם של כלל המשתמשים בדרך.</w:t>
      </w:r>
    </w:p>
    <w:p w:rsidR="00A210E9" w:rsidRPr="00673C9C" w:rsidP="00673C9C">
      <w:pPr>
        <w:spacing w:line="269" w:lineRule="auto"/>
        <w:rPr>
          <w:rFonts w:eastAsia="Calibri"/>
          <w:rtl/>
        </w:rPr>
      </w:pPr>
      <w:bookmarkStart w:id="129" w:name="_Hlk214551059"/>
      <w:bookmarkEnd w:id="2"/>
    </w:p>
    <w:p w:rsidR="00A210E9" w:rsidRPr="00A210E9" w:rsidP="00A210E9">
      <w:pPr>
        <w:keepNext/>
        <w:keepLines/>
        <w:spacing w:line="269" w:lineRule="auto"/>
        <w:outlineLvl w:val="2"/>
        <w:rPr>
          <w:rFonts w:eastAsia="Times New Roman"/>
          <w:bCs/>
          <w:szCs w:val="28"/>
          <w:u w:val="single"/>
          <w:rtl/>
        </w:rPr>
      </w:pPr>
      <w:r w:rsidRPr="00A210E9">
        <w:rPr>
          <w:rFonts w:eastAsia="Times New Roman"/>
          <w:bCs/>
          <w:szCs w:val="28"/>
          <w:u w:val="single"/>
          <w:rtl/>
        </w:rPr>
        <w:t>תהליך הנפקת תג</w:t>
      </w:r>
      <w:r w:rsidRPr="00A210E9">
        <w:rPr>
          <w:rFonts w:eastAsia="Times New Roman" w:hint="cs"/>
          <w:bCs/>
          <w:szCs w:val="28"/>
          <w:u w:val="single"/>
          <w:rtl/>
        </w:rPr>
        <w:t>י</w:t>
      </w:r>
      <w:r w:rsidRPr="00A210E9">
        <w:rPr>
          <w:rFonts w:eastAsia="Times New Roman"/>
          <w:bCs/>
          <w:szCs w:val="28"/>
          <w:u w:val="single"/>
          <w:rtl/>
        </w:rPr>
        <w:t xml:space="preserve"> </w:t>
      </w:r>
      <w:r w:rsidRPr="00A210E9">
        <w:rPr>
          <w:rFonts w:eastAsia="Times New Roman" w:hint="cs"/>
          <w:bCs/>
          <w:szCs w:val="28"/>
          <w:u w:val="single"/>
          <w:rtl/>
        </w:rPr>
        <w:t>חניה</w:t>
      </w:r>
      <w:r w:rsidRPr="00A210E9">
        <w:rPr>
          <w:rFonts w:eastAsia="Times New Roman"/>
          <w:bCs/>
          <w:szCs w:val="28"/>
          <w:u w:val="single"/>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rtl/>
        </w:rPr>
        <w:t>חוק חני</w:t>
      </w:r>
      <w:r w:rsidRPr="00A210E9">
        <w:rPr>
          <w:rFonts w:eastAsia="Calibri" w:hint="cs"/>
          <w:rtl/>
        </w:rPr>
        <w:t>ה</w:t>
      </w:r>
      <w:r w:rsidRPr="00A210E9">
        <w:rPr>
          <w:rFonts w:eastAsia="Calibri"/>
          <w:rtl/>
        </w:rPr>
        <w:t xml:space="preserve"> </w:t>
      </w:r>
      <w:r w:rsidRPr="00A210E9">
        <w:rPr>
          <w:rFonts w:eastAsia="Calibri" w:hint="cs"/>
          <w:rtl/>
        </w:rPr>
        <w:t>ל</w:t>
      </w:r>
      <w:r w:rsidRPr="00A210E9">
        <w:rPr>
          <w:rFonts w:eastAsia="Calibri"/>
          <w:rtl/>
        </w:rPr>
        <w:t xml:space="preserve">נכים סימן את תחילתו של ההסדר החוקי המובנה בנושא </w:t>
      </w:r>
      <w:r w:rsidRPr="00A210E9">
        <w:rPr>
          <w:rFonts w:eastAsia="Calibri" w:hint="cs"/>
          <w:rtl/>
        </w:rPr>
        <w:t>חניות נכים</w:t>
      </w:r>
      <w:r>
        <w:rPr>
          <w:rFonts w:eastAsia="Calibri"/>
          <w:vertAlign w:val="superscript"/>
          <w:rtl/>
        </w:rPr>
        <w:footnoteReference w:id="140"/>
      </w:r>
      <w:r w:rsidRPr="00A210E9">
        <w:rPr>
          <w:rFonts w:eastAsia="Calibri"/>
          <w:rtl/>
        </w:rPr>
        <w:t>, והסמיך את משרד התחבורה להנפיק תגי חניה ייעודיים ל</w:t>
      </w:r>
      <w:r w:rsidRPr="00A210E9">
        <w:rPr>
          <w:rFonts w:eastAsia="Calibri" w:hint="cs"/>
          <w:rtl/>
        </w:rPr>
        <w:t>אנשים עם</w:t>
      </w:r>
      <w:r w:rsidRPr="00A210E9">
        <w:rPr>
          <w:rFonts w:eastAsia="Calibri"/>
          <w:rtl/>
        </w:rPr>
        <w:t xml:space="preserve"> מוגבלות בניידות</w:t>
      </w:r>
      <w:r w:rsidRPr="00A210E9">
        <w:rPr>
          <w:rFonts w:eastAsia="Calibri" w:hint="cs"/>
          <w:rtl/>
        </w:rPr>
        <w:t xml:space="preserve">. </w:t>
      </w:r>
    </w:p>
    <w:p w:rsidR="00A210E9" w:rsidRPr="00A210E9" w:rsidP="00A210E9">
      <w:pPr>
        <w:spacing w:line="269" w:lineRule="auto"/>
        <w:rPr>
          <w:rFonts w:eastAsia="Calibri"/>
          <w:color w:val="000000"/>
          <w:rtl/>
          <w:lang w:val="he-IL" w:eastAsia="he-IL"/>
        </w:rPr>
      </w:pPr>
    </w:p>
    <w:p w:rsidR="00A210E9" w:rsidRPr="00A210E9" w:rsidP="00A210E9">
      <w:pPr>
        <w:keepNext/>
        <w:keepLines/>
        <w:spacing w:line="269" w:lineRule="auto"/>
        <w:outlineLvl w:val="3"/>
        <w:rPr>
          <w:rFonts w:eastAsia="Times New Roman"/>
          <w:bCs/>
          <w:szCs w:val="26"/>
          <w:rtl/>
        </w:rPr>
      </w:pPr>
      <w:r w:rsidRPr="00A210E9">
        <w:rPr>
          <w:rFonts w:eastAsia="Times New Roman" w:hint="cs"/>
          <w:bCs/>
          <w:szCs w:val="26"/>
          <w:rtl/>
        </w:rPr>
        <w:t>אישור זכאות לתג חניה על ידי הגופים השונים</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האישורים לזכאות לתג חניה ניתנים </w:t>
      </w:r>
      <w:r w:rsidRPr="00A210E9">
        <w:rPr>
          <w:rFonts w:eastAsia="Calibri" w:hint="eastAsia"/>
          <w:rtl/>
        </w:rPr>
        <w:t>מתוקף</w:t>
      </w:r>
      <w:r w:rsidRPr="00A210E9">
        <w:rPr>
          <w:rFonts w:eastAsia="Calibri"/>
          <w:rtl/>
        </w:rPr>
        <w:t xml:space="preserve"> </w:t>
      </w:r>
      <w:r w:rsidRPr="00A210E9">
        <w:rPr>
          <w:rFonts w:eastAsia="Calibri" w:hint="cs"/>
          <w:rtl/>
        </w:rPr>
        <w:t>בדיקות רפואיות הנערכות</w:t>
      </w:r>
      <w:r w:rsidRPr="00A210E9">
        <w:rPr>
          <w:rFonts w:eastAsia="Calibri"/>
          <w:rtl/>
        </w:rPr>
        <w:t xml:space="preserve"> </w:t>
      </w:r>
      <w:r w:rsidRPr="00A210E9">
        <w:rPr>
          <w:rFonts w:eastAsia="Calibri" w:hint="cs"/>
          <w:rtl/>
        </w:rPr>
        <w:t xml:space="preserve">על ידי רופאים שהוסמכו לאשר נכות על פי דין והמועסקים בכמה גופים; או על ידי רופאים שהסמיך אגף הרישוי (רופאי אגף הרישוי).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rtl/>
        </w:rPr>
        <w:t xml:space="preserve">עם השנים החלו הגופים המאשרים </w:t>
      </w:r>
      <w:r w:rsidRPr="00A210E9">
        <w:rPr>
          <w:rFonts w:eastAsia="Calibri" w:hint="cs"/>
          <w:rtl/>
        </w:rPr>
        <w:t>ש</w:t>
      </w:r>
      <w:r w:rsidRPr="00A210E9">
        <w:rPr>
          <w:rFonts w:eastAsia="Calibri"/>
          <w:rtl/>
        </w:rPr>
        <w:t xml:space="preserve">בהם מועסקים רופאים על פי דין להעביר לאגף הרישוי מידע </w:t>
      </w:r>
      <w:r w:rsidRPr="00A210E9">
        <w:rPr>
          <w:rFonts w:eastAsia="Calibri" w:hint="cs"/>
          <w:rtl/>
        </w:rPr>
        <w:t>על</w:t>
      </w:r>
      <w:r w:rsidRPr="00A210E9">
        <w:rPr>
          <w:rFonts w:eastAsia="Calibri"/>
          <w:rtl/>
        </w:rPr>
        <w:t xml:space="preserve"> אוכלוסיות שמתוקף הנכות שנקבעה להן זכאיות גם לתג חניה, וזאת על פי סעיף 1 לחוק</w:t>
      </w:r>
      <w:r w:rsidRPr="00A210E9">
        <w:rPr>
          <w:rFonts w:eastAsia="Calibri" w:hint="cs"/>
          <w:rtl/>
        </w:rPr>
        <w:t xml:space="preserve"> חניה לאנשים עם מוגבלות -</w:t>
      </w:r>
      <w:r w:rsidRPr="00A210E9">
        <w:rPr>
          <w:rFonts w:eastAsia="Calibri"/>
          <w:rtl/>
        </w:rPr>
        <w:t xml:space="preserve"> הביטוח הלאומי ומערך הוועדות הרפואיות שלו החלו להעביר בשנת 2021 מידע לגבי מקבלי קצבאות מסוימות שעומדים בקריטריונים לזכאות לקבלת תג חניה; אגף השיקום </w:t>
      </w:r>
      <w:r w:rsidRPr="00A210E9">
        <w:rPr>
          <w:rFonts w:eastAsia="Calibri" w:hint="cs"/>
          <w:rtl/>
        </w:rPr>
        <w:t xml:space="preserve">העביר מידע </w:t>
      </w:r>
      <w:r w:rsidRPr="00A210E9">
        <w:rPr>
          <w:rFonts w:eastAsia="Calibri"/>
          <w:rtl/>
        </w:rPr>
        <w:t xml:space="preserve">לגבי נכי צה״ל שמוגבלים בניידות; משרד הרווחה </w:t>
      </w:r>
      <w:r w:rsidRPr="00A210E9">
        <w:rPr>
          <w:rFonts w:eastAsia="Calibri" w:hint="cs"/>
          <w:rtl/>
        </w:rPr>
        <w:t xml:space="preserve">העביר מידע </w:t>
      </w:r>
      <w:r w:rsidRPr="00A210E9">
        <w:rPr>
          <w:rFonts w:eastAsia="Calibri"/>
          <w:rtl/>
        </w:rPr>
        <w:t xml:space="preserve">לגבי עיוורים. העברת המידע נעשית ברובה בערוצים דיגיטליים מאובטחים </w:t>
      </w:r>
      <w:r w:rsidRPr="00A210E9">
        <w:rPr>
          <w:rFonts w:eastAsia="Calibri" w:hint="cs"/>
          <w:rtl/>
        </w:rPr>
        <w:t>ע</w:t>
      </w:r>
      <w:r w:rsidRPr="00A210E9">
        <w:rPr>
          <w:rFonts w:eastAsia="Calibri"/>
          <w:rtl/>
        </w:rPr>
        <w:t>ל</w:t>
      </w:r>
      <w:r w:rsidRPr="00A210E9">
        <w:rPr>
          <w:rFonts w:eastAsia="Calibri" w:hint="cs"/>
          <w:rtl/>
        </w:rPr>
        <w:t xml:space="preserve"> פי </w:t>
      </w:r>
      <w:r w:rsidRPr="00A210E9">
        <w:rPr>
          <w:rFonts w:eastAsia="Calibri"/>
          <w:rtl/>
        </w:rPr>
        <w:t>הסכמי שיתוף מידע ודיני הגנת הפרטיות. רוב המידע שמועבר באופן זה מתעדכן באופן ישיר ואוטומטי במערכות המידע של משרד התחבורה שמנוהלות ביחידה למוגבלי ניידות באגף הרישוי</w:t>
      </w:r>
      <w:r w:rsidRPr="00A210E9">
        <w:rPr>
          <w:rFonts w:eastAsia="Calibri" w:hint="cs"/>
          <w:rtl/>
        </w:rPr>
        <w:t>,</w:t>
      </w:r>
      <w:r w:rsidRPr="00A210E9">
        <w:rPr>
          <w:rFonts w:eastAsia="Calibri"/>
          <w:rtl/>
        </w:rPr>
        <w:t xml:space="preserve"> וכך מתאפשרת התנעה של תהליך הנפקת התג בלי שזכאים אלה נדרשים לפנות בעצמם בבקשה לאגף הרישוי.</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להלן פירוט המנגנון לקביעת זכאות בכל אחד מהגופים המאשרים:</w:t>
      </w:r>
    </w:p>
    <w:p w:rsidR="00A210E9" w:rsidRPr="00A210E9" w:rsidP="00A210E9">
      <w:pPr>
        <w:spacing w:line="269" w:lineRule="auto"/>
        <w:rPr>
          <w:rFonts w:eastAsia="Calibri"/>
          <w:rtl/>
        </w:rPr>
      </w:pPr>
    </w:p>
    <w:p w:rsidR="00A210E9" w:rsidRPr="00A210E9" w:rsidP="00A210E9">
      <w:pPr>
        <w:spacing w:line="269" w:lineRule="auto"/>
        <w:rPr>
          <w:rFonts w:eastAsia="Calibri"/>
          <w:b/>
          <w:bCs/>
          <w:rtl/>
        </w:rPr>
      </w:pPr>
      <w:r w:rsidRPr="00A210E9">
        <w:rPr>
          <w:rFonts w:eastAsia="Calibri" w:hint="cs"/>
          <w:b/>
          <w:bCs/>
          <w:rtl/>
        </w:rPr>
        <w:t>המוסד לביטוח לאומי - ועדות רפואיות לקביעת זכאות לקצבאות</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הביטוח הלאומי מקנה</w:t>
      </w:r>
      <w:r w:rsidRPr="00A210E9">
        <w:rPr>
          <w:rFonts w:eastAsia="Calibri" w:hint="cs"/>
          <w:b/>
          <w:bCs/>
          <w:rtl/>
        </w:rPr>
        <w:t xml:space="preserve"> </w:t>
      </w:r>
      <w:r w:rsidRPr="00A210E9">
        <w:rPr>
          <w:rFonts w:eastAsia="Calibri" w:hint="cs"/>
          <w:rtl/>
        </w:rPr>
        <w:t>ל</w:t>
      </w:r>
      <w:r w:rsidRPr="00A210E9">
        <w:rPr>
          <w:rFonts w:eastAsia="Calibri"/>
          <w:rtl/>
        </w:rPr>
        <w:t>אנשים עם מוגבלות זכויות שונות המותנות באבחון רפואי במסגרת ועדה רפואית</w:t>
      </w:r>
      <w:r w:rsidRPr="00A210E9">
        <w:rPr>
          <w:rFonts w:eastAsia="Calibri" w:hint="cs"/>
          <w:rtl/>
        </w:rPr>
        <w:t xml:space="preserve">. הרכב הוועדות כולל רופא מומחה שתפקידו לקבוע את דרגת הנכות על סמך מסמכים רפואיים ובדיקה פיזית של הפונה. עם הוועדות הרפואיות ניתן למנות גם </w:t>
      </w:r>
      <w:r w:rsidRPr="00A210E9">
        <w:rPr>
          <w:rFonts w:eastAsia="Calibri"/>
          <w:rtl/>
        </w:rPr>
        <w:t>ועדות נכות כללית</w:t>
      </w:r>
      <w:r w:rsidRPr="00A210E9">
        <w:rPr>
          <w:rFonts w:eastAsia="Calibri" w:hint="cs"/>
          <w:rtl/>
        </w:rPr>
        <w:t xml:space="preserve"> </w:t>
      </w:r>
      <w:r w:rsidRPr="00A210E9">
        <w:rPr>
          <w:rFonts w:eastAsia="Calibri"/>
          <w:rtl/>
        </w:rPr>
        <w:t>עבור אדם עם מוגבלות שנפגע כושרו להשתכר; ועדות נכות מעבודה עבור מי שסובל</w:t>
      </w:r>
      <w:r w:rsidRPr="00A210E9">
        <w:rPr>
          <w:rFonts w:eastAsia="Calibri" w:hint="cs"/>
          <w:rtl/>
        </w:rPr>
        <w:t xml:space="preserve"> </w:t>
      </w:r>
      <w:r w:rsidRPr="00A210E9">
        <w:rPr>
          <w:rFonts w:eastAsia="Calibri"/>
          <w:rtl/>
        </w:rPr>
        <w:t xml:space="preserve">ממוגבלות עקב פגיעה במסגרת עבודתו; ועדת ילד </w:t>
      </w:r>
      <w:r w:rsidRPr="00A210E9">
        <w:rPr>
          <w:rFonts w:eastAsia="Calibri" w:hint="cs"/>
          <w:rtl/>
        </w:rPr>
        <w:t xml:space="preserve">עם מוגבלות </w:t>
      </w:r>
      <w:r w:rsidRPr="00A210E9">
        <w:rPr>
          <w:rFonts w:eastAsia="Calibri"/>
          <w:rtl/>
        </w:rPr>
        <w:t>עבור ילדים ונוער עם מוגבלות; ועדת שירותים</w:t>
      </w:r>
      <w:r w:rsidRPr="00A210E9">
        <w:rPr>
          <w:rFonts w:eastAsia="Calibri" w:hint="cs"/>
          <w:rtl/>
        </w:rPr>
        <w:t xml:space="preserve"> </w:t>
      </w:r>
      <w:r w:rsidRPr="00A210E9">
        <w:rPr>
          <w:rFonts w:eastAsia="Calibri"/>
          <w:rtl/>
        </w:rPr>
        <w:t>מיוחדים שנועד</w:t>
      </w:r>
      <w:r w:rsidRPr="00A210E9">
        <w:rPr>
          <w:rFonts w:eastAsia="Calibri" w:hint="cs"/>
          <w:rtl/>
        </w:rPr>
        <w:t>ה</w:t>
      </w:r>
      <w:r w:rsidRPr="00A210E9">
        <w:rPr>
          <w:rFonts w:eastAsia="Calibri"/>
          <w:rtl/>
        </w:rPr>
        <w:t xml:space="preserve"> לבדוק ולהעריך את מידת התלות של התובע בזולת </w:t>
      </w:r>
      <w:r w:rsidRPr="00A210E9">
        <w:rPr>
          <w:rFonts w:eastAsia="Calibri" w:hint="cs"/>
          <w:rtl/>
        </w:rPr>
        <w:t>(</w:t>
      </w:r>
      <w:r w:rsidRPr="00A210E9">
        <w:rPr>
          <w:rFonts w:eastAsia="Calibri"/>
          <w:rtl/>
        </w:rPr>
        <w:t>שר"ם</w:t>
      </w:r>
      <w:r w:rsidRPr="00A210E9">
        <w:rPr>
          <w:rFonts w:eastAsia="Calibri" w:hint="cs"/>
          <w:rtl/>
        </w:rPr>
        <w:t>)</w:t>
      </w:r>
      <w:r w:rsidRPr="00A210E9">
        <w:rPr>
          <w:rFonts w:eastAsia="Calibri"/>
          <w:rtl/>
        </w:rPr>
        <w:t xml:space="preserve">; </w:t>
      </w:r>
      <w:r w:rsidRPr="00A210E9">
        <w:rPr>
          <w:rFonts w:eastAsia="Calibri" w:hint="cs"/>
          <w:rtl/>
        </w:rPr>
        <w:t xml:space="preserve">ועדה לקביעת דרגת נכות עבור נפגעי פעולות איבה; </w:t>
      </w:r>
      <w:r w:rsidRPr="00A210E9">
        <w:rPr>
          <w:rFonts w:eastAsia="Calibri"/>
          <w:rtl/>
        </w:rPr>
        <w:t>ועד</w:t>
      </w:r>
      <w:r w:rsidRPr="00A210E9">
        <w:rPr>
          <w:rFonts w:eastAsia="Calibri" w:hint="cs"/>
          <w:rtl/>
        </w:rPr>
        <w:t>ה</w:t>
      </w:r>
      <w:r w:rsidRPr="00A210E9">
        <w:rPr>
          <w:rFonts w:eastAsia="Calibri"/>
          <w:rtl/>
        </w:rPr>
        <w:t xml:space="preserve"> </w:t>
      </w:r>
      <w:r w:rsidRPr="00A210E9">
        <w:rPr>
          <w:rFonts w:eastAsia="Calibri" w:hint="cs"/>
          <w:rtl/>
        </w:rPr>
        <w:t xml:space="preserve">לקבלת </w:t>
      </w:r>
      <w:r w:rsidRPr="00A210E9">
        <w:rPr>
          <w:rFonts w:eastAsia="Calibri"/>
          <w:rtl/>
        </w:rPr>
        <w:t>פטור ממס הכנסה</w:t>
      </w:r>
      <w:r w:rsidRPr="00A210E9">
        <w:rPr>
          <w:rFonts w:eastAsia="Calibri" w:hint="cs"/>
          <w:rtl/>
        </w:rPr>
        <w:t xml:space="preserve"> לאנשים עם מוגבלות הזכאים להקלות במס</w:t>
      </w:r>
      <w:r w:rsidRPr="00A210E9">
        <w:rPr>
          <w:rFonts w:eastAsia="Calibri"/>
          <w:rtl/>
        </w:rPr>
        <w:t>.</w:t>
      </w:r>
      <w:r w:rsidRPr="00A210E9">
        <w:rPr>
          <w:rFonts w:eastAsia="Calibri" w:hint="cs"/>
          <w:rtl/>
        </w:rPr>
        <w:t xml:space="preserve"> בדוח מבקר המדינה משנת 2020 נמצא כי </w:t>
      </w:r>
      <w:r w:rsidRPr="00A210E9">
        <w:rPr>
          <w:rFonts w:eastAsia="Calibri"/>
          <w:rtl/>
        </w:rPr>
        <w:t>איכות השירות בוועדות הרפואי</w:t>
      </w:r>
      <w:r w:rsidRPr="00A210E9">
        <w:rPr>
          <w:rFonts w:eastAsia="Calibri" w:hint="cs"/>
          <w:rtl/>
        </w:rPr>
        <w:t>ו</w:t>
      </w:r>
      <w:r w:rsidRPr="00A210E9">
        <w:rPr>
          <w:rFonts w:eastAsia="Calibri"/>
          <w:rtl/>
        </w:rPr>
        <w:t>ת אינה מספ</w:t>
      </w:r>
      <w:r w:rsidRPr="00A210E9">
        <w:rPr>
          <w:rFonts w:eastAsia="Calibri" w:hint="cs"/>
          <w:rtl/>
        </w:rPr>
        <w:t>י</w:t>
      </w:r>
      <w:r w:rsidRPr="00A210E9">
        <w:rPr>
          <w:rFonts w:eastAsia="Calibri"/>
          <w:rtl/>
        </w:rPr>
        <w:t>ק</w:t>
      </w:r>
      <w:r w:rsidRPr="00A210E9">
        <w:rPr>
          <w:rFonts w:eastAsia="Calibri" w:hint="cs"/>
          <w:rtl/>
        </w:rPr>
        <w:t>ה</w:t>
      </w:r>
      <w:r>
        <w:rPr>
          <w:rFonts w:eastAsia="Calibri"/>
          <w:vertAlign w:val="superscript"/>
          <w:rtl/>
        </w:rPr>
        <w:footnoteReference w:id="141"/>
      </w:r>
      <w:r w:rsidRPr="00A210E9">
        <w:rPr>
          <w:rFonts w:eastAsia="Calibri"/>
          <w:rtl/>
        </w:rPr>
        <w:t>. הדבר התבטא</w:t>
      </w:r>
      <w:r w:rsidRPr="00A210E9">
        <w:rPr>
          <w:rFonts w:eastAsia="Calibri" w:hint="cs"/>
          <w:rtl/>
        </w:rPr>
        <w:t xml:space="preserve"> בין היתר</w:t>
      </w:r>
      <w:r w:rsidRPr="00A210E9">
        <w:rPr>
          <w:rFonts w:eastAsia="Calibri"/>
          <w:rtl/>
        </w:rPr>
        <w:t xml:space="preserve"> במשך זמן המתנה ארוך לקבלת החלטה</w:t>
      </w:r>
      <w:r w:rsidRPr="00A210E9">
        <w:rPr>
          <w:rFonts w:eastAsia="Calibri" w:hint="cs"/>
          <w:rtl/>
        </w:rPr>
        <w:t xml:space="preserve"> </w:t>
      </w:r>
      <w:r w:rsidRPr="00A210E9">
        <w:rPr>
          <w:rFonts w:eastAsia="Calibri"/>
          <w:rtl/>
        </w:rPr>
        <w:t xml:space="preserve">בוועדה </w:t>
      </w:r>
      <w:r w:rsidRPr="00A210E9">
        <w:rPr>
          <w:rFonts w:eastAsia="Calibri" w:hint="cs"/>
          <w:rtl/>
        </w:rPr>
        <w:t>(</w:t>
      </w:r>
      <w:r w:rsidRPr="00A210E9">
        <w:rPr>
          <w:rFonts w:eastAsia="Calibri"/>
          <w:rtl/>
        </w:rPr>
        <w:t>113 ימים בממוצע בוועדת נכות מעבודה</w:t>
      </w:r>
      <w:r w:rsidRPr="00A210E9">
        <w:rPr>
          <w:rFonts w:eastAsia="Calibri" w:hint="cs"/>
          <w:rtl/>
        </w:rPr>
        <w:t>)</w:t>
      </w:r>
      <w:r w:rsidRPr="00A210E9">
        <w:rPr>
          <w:rFonts w:eastAsia="Calibri"/>
          <w:rtl/>
        </w:rPr>
        <w:t xml:space="preserve">, בשונות בין זמני ההמתנה בסניפים השונים </w:t>
      </w:r>
      <w:r w:rsidRPr="00A210E9">
        <w:rPr>
          <w:rFonts w:eastAsia="Calibri" w:hint="cs"/>
          <w:rtl/>
        </w:rPr>
        <w:t>ו</w:t>
      </w:r>
      <w:r w:rsidRPr="00A210E9">
        <w:rPr>
          <w:rFonts w:eastAsia="Calibri"/>
          <w:rtl/>
        </w:rPr>
        <w:t>בזמינות השירות בוועדות</w:t>
      </w:r>
      <w:r w:rsidRPr="00A210E9">
        <w:rPr>
          <w:rFonts w:eastAsia="Calibri" w:hint="cs"/>
          <w:rtl/>
        </w:rPr>
        <w:t>.</w:t>
      </w:r>
      <w:r w:rsidRPr="00A210E9">
        <w:rPr>
          <w:rFonts w:eastAsia="Calibri"/>
          <w:rtl/>
        </w:rPr>
        <w:t xml:space="preserve"> </w:t>
      </w:r>
      <w:r w:rsidRPr="00A210E9">
        <w:rPr>
          <w:rFonts w:eastAsia="Calibri" w:hint="cs"/>
          <w:rtl/>
        </w:rPr>
        <w:t xml:space="preserve">בדוח צוין כי </w:t>
      </w:r>
      <w:r w:rsidRPr="00A210E9">
        <w:rPr>
          <w:rFonts w:eastAsia="Calibri"/>
          <w:rtl/>
        </w:rPr>
        <w:t>אחת הסיבות המרכזיות למצב זה היא</w:t>
      </w:r>
      <w:r w:rsidRPr="00A210E9">
        <w:rPr>
          <w:rFonts w:eastAsia="Calibri" w:hint="cs"/>
          <w:rtl/>
        </w:rPr>
        <w:t xml:space="preserve"> </w:t>
      </w:r>
      <w:r w:rsidRPr="00A210E9">
        <w:rPr>
          <w:rFonts w:eastAsia="Calibri"/>
          <w:rtl/>
        </w:rPr>
        <w:t>מחסור ברופאים.</w:t>
      </w:r>
      <w:r w:rsidRPr="00A210E9">
        <w:rPr>
          <w:rFonts w:eastAsia="Calibri" w:hint="cs"/>
          <w:rtl/>
        </w:rPr>
        <w:t xml:space="preserve"> </w:t>
      </w:r>
    </w:p>
    <w:p w:rsidR="00A210E9" w:rsidRPr="00A210E9" w:rsidP="00A210E9">
      <w:pPr>
        <w:spacing w:line="269" w:lineRule="auto"/>
        <w:rPr>
          <w:rFonts w:eastAsia="Calibri"/>
          <w:rtl/>
        </w:rPr>
      </w:pPr>
    </w:p>
    <w:p w:rsidR="00A210E9" w:rsidRPr="00A210E9" w:rsidP="00A210E9">
      <w:pPr>
        <w:spacing w:line="269" w:lineRule="auto"/>
        <w:rPr>
          <w:rFonts w:eastAsia="Calibri"/>
          <w:b/>
          <w:bCs/>
          <w:rtl/>
        </w:rPr>
      </w:pPr>
      <w:r w:rsidRPr="00A210E9">
        <w:rPr>
          <w:rFonts w:eastAsia="Calibri" w:hint="cs"/>
          <w:b/>
          <w:bCs/>
          <w:rtl/>
        </w:rPr>
        <w:t>המוסד לביטוח לאומי - ועדה רפואית של משרד הבריאות לקביעת קצבת ניידות</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הביטוח הלאומי מעניק מגוון הטבות לבעלי ליקויים ברגליים המגבילים את ניידותם. מרבית ההטבות ניתנות לבעלי הרכב. את המוגבלות בניידות קובעות ועדות רפואיות של משרד הבריאות על סמך בדיקה פיזית של האנשים עם מוגבלות. לפי רשימת ליקויים מוגדרת</w:t>
      </w:r>
      <w:r>
        <w:rPr>
          <w:rFonts w:eastAsia="Calibri"/>
          <w:vertAlign w:val="superscript"/>
          <w:rtl/>
        </w:rPr>
        <w:footnoteReference w:id="142"/>
      </w:r>
      <w:r w:rsidRPr="00A210E9">
        <w:rPr>
          <w:rFonts w:eastAsia="Calibri" w:hint="cs"/>
          <w:rtl/>
        </w:rPr>
        <w:t xml:space="preserve"> הוועדות קובעות אם יש ליקוי ואם יש הזדקקות לכיסא גלגלים ושימוש בו. כמו כן, ועדות אלה קובעות אם הליקוי שנקבע עשוי להשתנות או שהוא נקבע לצמיתות</w:t>
      </w:r>
      <w:r>
        <w:rPr>
          <w:rFonts w:eastAsia="Calibri"/>
          <w:vertAlign w:val="superscript"/>
          <w:rtl/>
        </w:rPr>
        <w:footnoteReference w:id="143"/>
      </w:r>
      <w:r w:rsidRPr="00A210E9">
        <w:rPr>
          <w:rFonts w:eastAsia="Calibri" w:hint="cs"/>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משרד הרווחה</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rtl/>
        </w:rPr>
        <w:t xml:space="preserve">רופאי </w:t>
      </w:r>
      <w:r w:rsidRPr="00A210E9">
        <w:rPr>
          <w:rFonts w:eastAsia="Calibri" w:hint="cs"/>
          <w:rtl/>
        </w:rPr>
        <w:t>האמון</w:t>
      </w:r>
      <w:r>
        <w:rPr>
          <w:rFonts w:eastAsia="Calibri"/>
          <w:vertAlign w:val="superscript"/>
          <w:rtl/>
        </w:rPr>
        <w:footnoteReference w:id="144"/>
      </w:r>
      <w:r w:rsidRPr="00A210E9">
        <w:rPr>
          <w:rFonts w:eastAsia="Calibri" w:hint="cs"/>
          <w:rtl/>
        </w:rPr>
        <w:t xml:space="preserve"> הפועלים מטעם </w:t>
      </w:r>
      <w:r w:rsidRPr="00A210E9">
        <w:rPr>
          <w:rFonts w:eastAsia="Calibri"/>
          <w:rtl/>
        </w:rPr>
        <w:t xml:space="preserve">משרד הרווחה </w:t>
      </w:r>
      <w:r w:rsidRPr="00A210E9">
        <w:rPr>
          <w:rFonts w:eastAsia="Calibri" w:hint="cs"/>
          <w:rtl/>
        </w:rPr>
        <w:t xml:space="preserve">בודקים את תפקודי הראייה של הפונים אליהם, ועל בסיס חוות הדעת המקצועית שלהם קובעים הגורמים המקצועיים במשרד את זכאותם של הפונים לתעודת עיוור. על בסיס </w:t>
      </w:r>
      <w:r w:rsidRPr="00A210E9">
        <w:rPr>
          <w:rFonts w:eastAsia="Calibri"/>
          <w:rtl/>
        </w:rPr>
        <w:t xml:space="preserve">קביעה זו </w:t>
      </w:r>
      <w:r w:rsidRPr="00A210E9">
        <w:rPr>
          <w:rFonts w:eastAsia="Calibri" w:hint="cs"/>
          <w:rtl/>
        </w:rPr>
        <w:t xml:space="preserve">מנפיק משרד התחבורה תג חניה </w:t>
      </w:r>
      <w:r w:rsidRPr="00A210E9">
        <w:rPr>
          <w:rFonts w:eastAsia="Calibri"/>
          <w:rtl/>
        </w:rPr>
        <w:t>עבור עיוורים</w:t>
      </w:r>
      <w:r w:rsidRPr="00A210E9">
        <w:rPr>
          <w:rFonts w:eastAsia="Calibri" w:hint="cs"/>
          <w:rtl/>
        </w:rPr>
        <w:t>,</w:t>
      </w:r>
      <w:r w:rsidRPr="00A210E9">
        <w:rPr>
          <w:rFonts w:eastAsia="Calibri"/>
          <w:rtl/>
        </w:rPr>
        <w:t xml:space="preserve"> גם כאשר אין </w:t>
      </w:r>
      <w:r w:rsidRPr="00A210E9">
        <w:rPr>
          <w:rFonts w:eastAsia="Calibri" w:hint="cs"/>
          <w:rtl/>
        </w:rPr>
        <w:t xml:space="preserve">להם </w:t>
      </w:r>
      <w:r w:rsidRPr="00A210E9">
        <w:rPr>
          <w:rFonts w:eastAsia="Calibri"/>
          <w:rtl/>
        </w:rPr>
        <w:t>מגבלה פיזית נוספת.</w:t>
      </w:r>
      <w:r w:rsidRPr="00A210E9">
        <w:rPr>
          <w:rFonts w:eastAsia="Calibri" w:hint="cs"/>
          <w:b/>
          <w:bCs/>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משרד הביטחון - אגף השיקום</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rtl/>
        </w:rPr>
        <w:t xml:space="preserve">רופאי אגף השיקום קובעים </w:t>
      </w:r>
      <w:r w:rsidRPr="00A210E9">
        <w:rPr>
          <w:rFonts w:eastAsia="Calibri" w:hint="cs"/>
          <w:rtl/>
        </w:rPr>
        <w:t xml:space="preserve">בין היתר </w:t>
      </w:r>
      <w:r w:rsidRPr="00A210E9">
        <w:rPr>
          <w:rFonts w:eastAsia="Calibri"/>
          <w:rtl/>
        </w:rPr>
        <w:t xml:space="preserve">את </w:t>
      </w:r>
      <w:r w:rsidRPr="00A210E9">
        <w:rPr>
          <w:rFonts w:eastAsia="Calibri" w:hint="eastAsia"/>
          <w:rtl/>
        </w:rPr>
        <w:t>שיעורי</w:t>
      </w:r>
      <w:r w:rsidRPr="00A210E9">
        <w:rPr>
          <w:rFonts w:eastAsia="Calibri"/>
          <w:rtl/>
        </w:rPr>
        <w:t xml:space="preserve"> הנכות</w:t>
      </w:r>
      <w:r w:rsidRPr="00A210E9">
        <w:rPr>
          <w:rFonts w:eastAsia="Calibri" w:hint="cs"/>
          <w:rtl/>
        </w:rPr>
        <w:t>, ובוחנים את הזכאות לתג חניה. מתוקף בדיקה זו</w:t>
      </w:r>
      <w:r w:rsidRPr="00A210E9">
        <w:rPr>
          <w:rFonts w:eastAsia="Calibri"/>
          <w:rtl/>
        </w:rPr>
        <w:t xml:space="preserve"> </w:t>
      </w:r>
      <w:r w:rsidRPr="00A210E9">
        <w:rPr>
          <w:rFonts w:eastAsia="Calibri" w:hint="cs"/>
          <w:rtl/>
        </w:rPr>
        <w:t xml:space="preserve">מאושרת </w:t>
      </w:r>
      <w:r w:rsidRPr="00A210E9">
        <w:rPr>
          <w:rFonts w:eastAsia="Calibri"/>
          <w:rtl/>
        </w:rPr>
        <w:t>הזכאות לתג חניה עבור נכי צה״ל וכוחות הביטחון</w:t>
      </w:r>
      <w:r w:rsidRPr="00A210E9">
        <w:rPr>
          <w:rFonts w:eastAsia="Calibri" w:hint="cs"/>
          <w:rtl/>
        </w:rPr>
        <w:t xml:space="preserve"> (כולל נכי צה"ל עיוורים)</w:t>
      </w:r>
      <w:r w:rsidRPr="00A210E9">
        <w:rPr>
          <w:rFonts w:eastAsia="Calibri"/>
          <w:rtl/>
        </w:rPr>
        <w:t xml:space="preserve"> על</w:t>
      </w:r>
      <w:r w:rsidRPr="00A210E9">
        <w:rPr>
          <w:rFonts w:ascii="Cambria Math" w:eastAsia="Calibri" w:hAnsi="Cambria Math" w:cs="Cambria Math" w:hint="cs"/>
          <w:rtl/>
        </w:rPr>
        <w:t xml:space="preserve"> </w:t>
      </w:r>
      <w:r w:rsidRPr="00A210E9">
        <w:rPr>
          <w:rFonts w:ascii="David" w:eastAsia="Calibri" w:hAnsi="David" w:hint="cs"/>
          <w:rtl/>
        </w:rPr>
        <w:t>פי</w:t>
      </w:r>
      <w:r w:rsidRPr="00A210E9">
        <w:rPr>
          <w:rFonts w:eastAsia="Calibri"/>
          <w:rtl/>
        </w:rPr>
        <w:t xml:space="preserve"> </w:t>
      </w:r>
      <w:r w:rsidRPr="00A210E9">
        <w:rPr>
          <w:rFonts w:ascii="David" w:eastAsia="Calibri" w:hAnsi="David" w:hint="cs"/>
          <w:rtl/>
        </w:rPr>
        <w:t>קריטריונים</w:t>
      </w:r>
      <w:r w:rsidRPr="00A210E9">
        <w:rPr>
          <w:rFonts w:eastAsia="Calibri"/>
          <w:rtl/>
        </w:rPr>
        <w:t xml:space="preserve"> </w:t>
      </w:r>
      <w:r w:rsidRPr="00A210E9">
        <w:rPr>
          <w:rFonts w:ascii="David" w:eastAsia="Calibri" w:hAnsi="David" w:hint="cs"/>
          <w:rtl/>
        </w:rPr>
        <w:t>המוגדרים</w:t>
      </w:r>
      <w:r w:rsidRPr="00A210E9">
        <w:rPr>
          <w:rFonts w:eastAsia="Calibri"/>
          <w:rtl/>
        </w:rPr>
        <w:t xml:space="preserve"> </w:t>
      </w:r>
      <w:r w:rsidRPr="00A210E9">
        <w:rPr>
          <w:rFonts w:eastAsia="Calibri" w:hint="cs"/>
          <w:rtl/>
        </w:rPr>
        <w:t>ב</w:t>
      </w:r>
      <w:r w:rsidRPr="00A210E9">
        <w:rPr>
          <w:rFonts w:eastAsia="Calibri"/>
          <w:rtl/>
        </w:rPr>
        <w:t>תקנות הנכים (מבחנים לקביעת דרגות נכות)</w:t>
      </w:r>
      <w:r w:rsidRPr="00A210E9">
        <w:rPr>
          <w:rFonts w:eastAsia="Calibri" w:hint="cs"/>
          <w:rtl/>
        </w:rPr>
        <w:t>, התש"ל-1969</w:t>
      </w:r>
      <w:r>
        <w:rPr>
          <w:rFonts w:eastAsia="Calibri"/>
          <w:vertAlign w:val="superscript"/>
          <w:rtl/>
        </w:rPr>
        <w:footnoteReference w:id="145"/>
      </w:r>
      <w:r w:rsidRPr="00A210E9">
        <w:rPr>
          <w:rFonts w:eastAsia="Calibri" w:hint="cs"/>
          <w:rtl/>
        </w:rPr>
        <w:t xml:space="preserve"> </w:t>
      </w:r>
      <w:r w:rsidRPr="00A210E9">
        <w:rPr>
          <w:rFonts w:eastAsia="Calibri"/>
          <w:rtl/>
        </w:rPr>
        <w:t>(</w:t>
      </w:r>
      <w:r w:rsidRPr="00A210E9">
        <w:rPr>
          <w:rFonts w:ascii="David" w:eastAsia="Calibri" w:hAnsi="David" w:hint="cs"/>
          <w:rtl/>
        </w:rPr>
        <w:t>כגון</w:t>
      </w:r>
      <w:r w:rsidRPr="00A210E9">
        <w:rPr>
          <w:rFonts w:eastAsia="Calibri"/>
          <w:rtl/>
        </w:rPr>
        <w:t xml:space="preserve"> </w:t>
      </w:r>
      <w:r w:rsidRPr="00A210E9">
        <w:rPr>
          <w:rFonts w:ascii="David" w:eastAsia="Calibri" w:hAnsi="David" w:hint="cs"/>
          <w:rtl/>
        </w:rPr>
        <w:t>נכות</w:t>
      </w:r>
      <w:r w:rsidRPr="00A210E9">
        <w:rPr>
          <w:rFonts w:eastAsia="Calibri"/>
          <w:rtl/>
        </w:rPr>
        <w:t xml:space="preserve"> </w:t>
      </w:r>
      <w:r w:rsidRPr="00A210E9">
        <w:rPr>
          <w:rFonts w:ascii="David" w:eastAsia="Calibri" w:hAnsi="David" w:hint="cs"/>
          <w:rtl/>
        </w:rPr>
        <w:t>של</w:t>
      </w:r>
      <w:r w:rsidRPr="00A210E9">
        <w:rPr>
          <w:rFonts w:eastAsia="Calibri"/>
          <w:rtl/>
        </w:rPr>
        <w:t xml:space="preserve"> </w:t>
      </w:r>
      <w:r w:rsidRPr="00A210E9">
        <w:rPr>
          <w:rFonts w:eastAsia="Calibri" w:hint="cs"/>
          <w:rtl/>
        </w:rPr>
        <w:t>30%</w:t>
      </w:r>
      <w:r w:rsidRPr="00A210E9">
        <w:rPr>
          <w:rFonts w:eastAsia="Calibri"/>
          <w:rtl/>
        </w:rPr>
        <w:t xml:space="preserve"> </w:t>
      </w:r>
      <w:r w:rsidRPr="00A210E9">
        <w:rPr>
          <w:rFonts w:ascii="David" w:eastAsia="Calibri" w:hAnsi="David" w:hint="cs"/>
          <w:rtl/>
        </w:rPr>
        <w:t>לפחות</w:t>
      </w:r>
      <w:r w:rsidRPr="00A210E9">
        <w:rPr>
          <w:rFonts w:eastAsia="Calibri"/>
          <w:rtl/>
        </w:rPr>
        <w:t xml:space="preserve"> </w:t>
      </w:r>
      <w:r w:rsidRPr="00A210E9">
        <w:rPr>
          <w:rFonts w:ascii="David" w:eastAsia="Calibri" w:hAnsi="David" w:hint="cs"/>
          <w:rtl/>
        </w:rPr>
        <w:t>ברגליים</w:t>
      </w:r>
      <w:r w:rsidRPr="00A210E9">
        <w:rPr>
          <w:rFonts w:eastAsia="Calibri"/>
          <w:rtl/>
        </w:rPr>
        <w:t xml:space="preserve"> </w:t>
      </w:r>
      <w:r w:rsidRPr="00A210E9">
        <w:rPr>
          <w:rFonts w:ascii="David" w:eastAsia="Calibri" w:hAnsi="David" w:hint="cs"/>
          <w:rtl/>
        </w:rPr>
        <w:t>או</w:t>
      </w:r>
      <w:r w:rsidRPr="00A210E9">
        <w:rPr>
          <w:rFonts w:eastAsia="Calibri"/>
          <w:rtl/>
        </w:rPr>
        <w:t xml:space="preserve"> </w:t>
      </w:r>
      <w:r w:rsidRPr="00A210E9">
        <w:rPr>
          <w:rFonts w:ascii="David" w:eastAsia="Calibri" w:hAnsi="David" w:hint="cs"/>
          <w:rtl/>
        </w:rPr>
        <w:t>עיוורון</w:t>
      </w:r>
      <w:r w:rsidRPr="00A210E9">
        <w:rPr>
          <w:rFonts w:eastAsia="Calibri"/>
          <w:rtl/>
        </w:rPr>
        <w:t xml:space="preserve">). </w:t>
      </w:r>
      <w:r w:rsidRPr="00A210E9">
        <w:rPr>
          <w:rFonts w:eastAsia="Calibri" w:hint="cs"/>
          <w:rtl/>
        </w:rPr>
        <w:t xml:space="preserve">בחינת הבקשות נעשית על סמך המסמכים הרפואיים ובדיקה פיזית של הפונים. </w:t>
      </w:r>
      <w:r w:rsidRPr="00A210E9">
        <w:rPr>
          <w:rFonts w:eastAsia="Calibri"/>
          <w:rtl/>
        </w:rPr>
        <w:t xml:space="preserve">לאחר קבלת </w:t>
      </w:r>
      <w:r w:rsidRPr="00A210E9">
        <w:rPr>
          <w:rFonts w:eastAsia="Calibri" w:hint="cs"/>
          <w:rtl/>
        </w:rPr>
        <w:t>ה</w:t>
      </w:r>
      <w:r w:rsidRPr="00A210E9">
        <w:rPr>
          <w:rFonts w:eastAsia="Calibri"/>
          <w:rtl/>
        </w:rPr>
        <w:t xml:space="preserve">החלטה </w:t>
      </w:r>
      <w:r w:rsidRPr="00A210E9">
        <w:rPr>
          <w:rFonts w:eastAsia="Calibri" w:hint="cs"/>
          <w:rtl/>
        </w:rPr>
        <w:t>על מתן זכאות לתג חניה</w:t>
      </w:r>
      <w:r w:rsidRPr="00A210E9">
        <w:rPr>
          <w:rFonts w:eastAsia="Calibri"/>
          <w:rtl/>
        </w:rPr>
        <w:t xml:space="preserve"> מועבר</w:t>
      </w:r>
      <w:r w:rsidRPr="00A210E9">
        <w:rPr>
          <w:rFonts w:eastAsia="Calibri" w:hint="cs"/>
          <w:rtl/>
        </w:rPr>
        <w:t xml:space="preserve"> באופן אוטומטי</w:t>
      </w:r>
      <w:r w:rsidRPr="00A210E9">
        <w:rPr>
          <w:rFonts w:eastAsia="Calibri"/>
          <w:rtl/>
        </w:rPr>
        <w:t xml:space="preserve"> ה</w:t>
      </w:r>
      <w:r w:rsidRPr="00A210E9">
        <w:rPr>
          <w:rFonts w:eastAsia="Calibri" w:hint="cs"/>
          <w:rtl/>
        </w:rPr>
        <w:t>מידע בדבר ה</w:t>
      </w:r>
      <w:r w:rsidRPr="00A210E9">
        <w:rPr>
          <w:rFonts w:eastAsia="Calibri"/>
          <w:rtl/>
        </w:rPr>
        <w:t>זכאות ממשרד הביטחון ל</w:t>
      </w:r>
      <w:r w:rsidRPr="00A210E9">
        <w:rPr>
          <w:rFonts w:eastAsia="Calibri" w:hint="cs"/>
          <w:rtl/>
        </w:rPr>
        <w:t>אגף הרישוי. אגף הרישוי</w:t>
      </w:r>
      <w:r w:rsidRPr="00A210E9">
        <w:rPr>
          <w:rFonts w:eastAsia="Calibri"/>
          <w:rtl/>
        </w:rPr>
        <w:t xml:space="preserve"> מנפיק את התג ושולח אותו לאדם עם מוגבלות ללא צורך בהגשת בקשה נוספת</w:t>
      </w:r>
      <w:r w:rsidRPr="00A210E9">
        <w:rPr>
          <w:rFonts w:eastAsia="Calibri" w:hint="cs"/>
          <w:rtl/>
        </w:rPr>
        <w:t>. במהלך מלחמת חרבות ברזל הונהגה הוראת שעה שקיצרה את התהליך עבור נכי צה"ל שנפצעו במלחמה, וזאת בשל הפצועים הרבים והצורך לתת לכולם מענה מהיר והולם. בשיתוף פעולה עם משרד התחבורה הונפקו תגים זמניים ונשלחו לאגף השיקום, והוא חילק אותם ישירות לנכי צה"ל וכוחות הביטחון.</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eastAsia"/>
          <w:rtl/>
        </w:rPr>
        <w:t>אגף</w:t>
      </w:r>
      <w:r w:rsidRPr="00A210E9">
        <w:rPr>
          <w:rFonts w:eastAsia="Calibri"/>
          <w:rtl/>
        </w:rPr>
        <w:t xml:space="preserve"> </w:t>
      </w:r>
      <w:r w:rsidRPr="00A210E9">
        <w:rPr>
          <w:rFonts w:eastAsia="Calibri" w:hint="eastAsia"/>
          <w:rtl/>
        </w:rPr>
        <w:t>השיקום</w:t>
      </w:r>
      <w:r w:rsidRPr="00A210E9">
        <w:rPr>
          <w:rFonts w:eastAsia="Calibri"/>
          <w:rtl/>
        </w:rPr>
        <w:t xml:space="preserve"> כתב </w:t>
      </w:r>
      <w:r w:rsidRPr="00A210E9">
        <w:rPr>
          <w:rFonts w:eastAsia="Calibri" w:hint="eastAsia"/>
          <w:rtl/>
        </w:rPr>
        <w:t>בתשובתו</w:t>
      </w:r>
      <w:r w:rsidRPr="00A210E9">
        <w:rPr>
          <w:rFonts w:eastAsia="Calibri"/>
          <w:rtl/>
        </w:rPr>
        <w:t xml:space="preserve"> </w:t>
      </w:r>
      <w:r w:rsidRPr="00A210E9">
        <w:rPr>
          <w:rFonts w:eastAsia="Calibri" w:hint="eastAsia"/>
          <w:rtl/>
        </w:rPr>
        <w:t>ממאי</w:t>
      </w:r>
      <w:r w:rsidRPr="00A210E9">
        <w:rPr>
          <w:rFonts w:eastAsia="Calibri"/>
          <w:rtl/>
        </w:rPr>
        <w:t xml:space="preserve"> 2026</w:t>
      </w:r>
      <w:r w:rsidRPr="00A210E9">
        <w:rPr>
          <w:rFonts w:eastAsia="Calibri" w:hint="cs"/>
          <w:rtl/>
        </w:rPr>
        <w:t xml:space="preserve"> </w:t>
      </w:r>
      <w:r w:rsidRPr="00A210E9">
        <w:rPr>
          <w:rFonts w:eastAsia="Calibri"/>
          <w:rtl/>
        </w:rPr>
        <w:t xml:space="preserve">(להלן </w:t>
      </w:r>
      <w:r w:rsidRPr="00A210E9">
        <w:rPr>
          <w:rFonts w:eastAsia="Calibri" w:hint="cs"/>
          <w:rtl/>
        </w:rPr>
        <w:t>-</w:t>
      </w:r>
      <w:r w:rsidRPr="00A210E9">
        <w:rPr>
          <w:rFonts w:eastAsia="Calibri"/>
          <w:rtl/>
        </w:rPr>
        <w:t xml:space="preserve"> תשובת אגף השיקום) כי פצוע חדש מוזמן לשיחת היכרות במחוז אגף השיקום, במהלכה בין היתר מתבצעת בדיקת זכאות לתג חניה. </w:t>
      </w:r>
      <w:r w:rsidRPr="00A210E9">
        <w:rPr>
          <w:rFonts w:eastAsia="Calibri" w:hint="cs"/>
          <w:rtl/>
        </w:rPr>
        <w:t xml:space="preserve">אם נמצא כי </w:t>
      </w:r>
      <w:r w:rsidRPr="00A210E9">
        <w:rPr>
          <w:rFonts w:eastAsia="Calibri" w:hint="eastAsia"/>
          <w:rtl/>
        </w:rPr>
        <w:t>הפצוע</w:t>
      </w:r>
      <w:r w:rsidRPr="00A210E9">
        <w:rPr>
          <w:rFonts w:eastAsia="Calibri"/>
          <w:rtl/>
        </w:rPr>
        <w:t xml:space="preserve"> עומד בקריטריונים, הבקשה </w:t>
      </w:r>
      <w:r w:rsidRPr="00A210E9">
        <w:rPr>
          <w:rFonts w:eastAsia="Calibri" w:hint="cs"/>
          <w:rtl/>
        </w:rPr>
        <w:t xml:space="preserve">להנפקת התג </w:t>
      </w:r>
      <w:r w:rsidRPr="00A210E9">
        <w:rPr>
          <w:rFonts w:eastAsia="Calibri"/>
          <w:rtl/>
        </w:rPr>
        <w:t>מופנית למשרד התחבורה.</w:t>
      </w:r>
    </w:p>
    <w:p w:rsidR="00A210E9" w:rsidRPr="00A210E9" w:rsidP="00A210E9">
      <w:pPr>
        <w:spacing w:line="269" w:lineRule="auto"/>
        <w:rPr>
          <w:rFonts w:eastAsia="Calibri"/>
          <w:rtl/>
        </w:rPr>
      </w:pPr>
    </w:p>
    <w:p w:rsidR="00A210E9" w:rsidRPr="00A210E9" w:rsidP="00A210E9">
      <w:pPr>
        <w:spacing w:line="269" w:lineRule="auto"/>
        <w:rPr>
          <w:rFonts w:eastAsia="Calibri"/>
          <w:rtl/>
        </w:rPr>
      </w:pPr>
      <w:r w:rsidRPr="00A210E9">
        <w:rPr>
          <w:rFonts w:eastAsia="Calibri" w:hint="cs"/>
          <w:b/>
          <w:bCs/>
          <w:rtl/>
        </w:rPr>
        <w:t xml:space="preserve">אגף הרישוי במשרד התחבורה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עד שנת 2000 </w:t>
      </w:r>
      <w:r w:rsidRPr="00A210E9">
        <w:rPr>
          <w:rFonts w:eastAsia="Calibri"/>
          <w:rtl/>
        </w:rPr>
        <w:t xml:space="preserve">לשכות הבריאות המחוזיות של משרד הבריאות הן שקבעו את הזכאות לתג </w:t>
      </w:r>
      <w:r w:rsidRPr="00A210E9">
        <w:rPr>
          <w:rFonts w:eastAsia="Calibri" w:hint="cs"/>
          <w:rtl/>
        </w:rPr>
        <w:t xml:space="preserve">חניה </w:t>
      </w:r>
      <w:r w:rsidRPr="00A210E9">
        <w:rPr>
          <w:rFonts w:eastAsia="Calibri"/>
          <w:rtl/>
        </w:rPr>
        <w:t>עבור רוב מבקשי תגי החניה</w:t>
      </w:r>
      <w:r w:rsidRPr="00A210E9">
        <w:rPr>
          <w:rFonts w:eastAsia="Calibri" w:hint="cs"/>
          <w:rtl/>
        </w:rPr>
        <w:t>,</w:t>
      </w:r>
      <w:r w:rsidRPr="00A210E9">
        <w:rPr>
          <w:rFonts w:eastAsia="Calibri"/>
          <w:rtl/>
        </w:rPr>
        <w:t xml:space="preserve"> </w:t>
      </w:r>
      <w:r w:rsidRPr="00A210E9">
        <w:rPr>
          <w:rFonts w:eastAsia="Calibri" w:hint="cs"/>
          <w:rtl/>
        </w:rPr>
        <w:t>ו</w:t>
      </w:r>
      <w:r w:rsidRPr="00A210E9">
        <w:rPr>
          <w:rFonts w:eastAsia="Calibri"/>
          <w:rtl/>
        </w:rPr>
        <w:t>משרד התחבורה הנפיק את התג הפיזי</w:t>
      </w:r>
      <w:r w:rsidRPr="00A210E9">
        <w:rPr>
          <w:rFonts w:eastAsia="Calibri" w:hint="cs"/>
          <w:rtl/>
        </w:rPr>
        <w:t>.</w:t>
      </w:r>
      <w:r w:rsidRPr="00A210E9">
        <w:rPr>
          <w:rFonts w:eastAsia="Calibri"/>
          <w:rtl/>
        </w:rPr>
        <w:t xml:space="preserve"> משנת 2000 יושם תיקון בחוק (נוסף סעיף 1א) שאיפשר לאוכלוסיות שיוריות</w:t>
      </w:r>
      <w:r w:rsidRPr="00A210E9">
        <w:rPr>
          <w:rFonts w:eastAsia="Calibri" w:hint="cs"/>
          <w:rtl/>
        </w:rPr>
        <w:t xml:space="preserve"> </w:t>
      </w:r>
      <w:r w:rsidRPr="00A210E9">
        <w:rPr>
          <w:rFonts w:eastAsia="Calibri"/>
          <w:rtl/>
        </w:rPr>
        <w:t xml:space="preserve">שאינן נכנסות בגדר הקריטריונים שבסעיף 1 לחוק, לפנות למשרד התחבורה </w:t>
      </w:r>
      <w:r w:rsidRPr="00A210E9">
        <w:rPr>
          <w:rFonts w:eastAsia="Calibri" w:hint="cs"/>
          <w:rtl/>
        </w:rPr>
        <w:t xml:space="preserve">בבקשה לקבל </w:t>
      </w:r>
      <w:r w:rsidRPr="00A210E9">
        <w:rPr>
          <w:rFonts w:eastAsia="Calibri"/>
          <w:rtl/>
        </w:rPr>
        <w:t>תג</w:t>
      </w:r>
      <w:r w:rsidRPr="00A210E9">
        <w:rPr>
          <w:rFonts w:eastAsia="Calibri" w:hint="cs"/>
          <w:rtl/>
        </w:rPr>
        <w:t xml:space="preserve"> חניה</w:t>
      </w:r>
      <w:r w:rsidRPr="00A210E9">
        <w:rPr>
          <w:rFonts w:eastAsia="Calibri"/>
          <w:rtl/>
        </w:rPr>
        <w:t xml:space="preserve">, אולם בפועל </w:t>
      </w:r>
      <w:r w:rsidRPr="00A210E9">
        <w:rPr>
          <w:rFonts w:eastAsia="Calibri" w:hint="cs"/>
          <w:rtl/>
        </w:rPr>
        <w:t xml:space="preserve">המענה ניתן על ידי </w:t>
      </w:r>
      <w:r w:rsidRPr="00A210E9">
        <w:rPr>
          <w:rFonts w:eastAsia="Calibri"/>
          <w:rtl/>
        </w:rPr>
        <w:t>לשכות הבריאות המחוזיות הכפופות למשרד הבריאות</w:t>
      </w:r>
      <w:r w:rsidRPr="00A210E9">
        <w:rPr>
          <w:rFonts w:eastAsia="Calibri" w:hint="cs"/>
          <w:rtl/>
        </w:rPr>
        <w:t>.</w:t>
      </w:r>
      <w:r w:rsidRPr="00A210E9">
        <w:rPr>
          <w:rFonts w:eastAsia="Calibri"/>
          <w:rtl/>
        </w:rPr>
        <w:t xml:space="preserve"> </w:t>
      </w:r>
      <w:r w:rsidRPr="00A210E9">
        <w:rPr>
          <w:rFonts w:eastAsia="Calibri" w:hint="cs"/>
          <w:rtl/>
        </w:rPr>
        <w:t>בתחילת 2008 עברה בחינת הזכאות לתג חניה על פי סעיף 1א לחוק מלשכות הבריאות המחוזיות למשרד התחבורה. בדיקת הבקשות בוצעה שלא במסגרת ועדות רפואיות, כפי שהתקיים בלשכות הבריאות המחוזיות, אלא משרד התחבורה, נעזר לשם כך בשירותיה של חברה פרטית. והרופאים מטעמה המליצו לאשר או לדחות את בקשה לזכאות לתג חניה על בסיס מסמכים רפואיים בלבד שהגיש המבקש. יצוין כי לאורך השנים התנהל דיון בין משרד התחבורה, משרד הבריאות והביטוח הלאומי סביב זהות הגוף שצריך להיות אחראי באופן קבוע לתהליך קביעת הזכאות על פי סעיף 1א לחוק.</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משרד התחבורה כתב בתשובתו כי </w:t>
      </w:r>
      <w:r w:rsidRPr="00A210E9">
        <w:rPr>
          <w:rFonts w:eastAsia="Calibri"/>
          <w:rtl/>
        </w:rPr>
        <w:t xml:space="preserve">בדיקה רפואית מלאה </w:t>
      </w:r>
      <w:r w:rsidRPr="00A210E9">
        <w:rPr>
          <w:rFonts w:eastAsia="Calibri" w:hint="cs"/>
          <w:rtl/>
        </w:rPr>
        <w:t>במתכונת המשמשת לצורך</w:t>
      </w:r>
      <w:r w:rsidRPr="00A210E9">
        <w:rPr>
          <w:rFonts w:eastAsia="Calibri"/>
          <w:rtl/>
        </w:rPr>
        <w:t xml:space="preserve"> קביעת</w:t>
      </w:r>
      <w:r w:rsidRPr="00A210E9">
        <w:rPr>
          <w:rFonts w:eastAsia="Calibri" w:hint="cs"/>
          <w:rtl/>
        </w:rPr>
        <w:t xml:space="preserve"> </w:t>
      </w:r>
      <w:r w:rsidRPr="00A210E9">
        <w:rPr>
          <w:rFonts w:eastAsia="Calibri"/>
          <w:rtl/>
        </w:rPr>
        <w:t>נכות הייתה מחייבת הקמת מערך ועדות רפואיות</w:t>
      </w:r>
      <w:r w:rsidRPr="00A210E9">
        <w:rPr>
          <w:rFonts w:eastAsia="Calibri" w:hint="cs"/>
          <w:rtl/>
        </w:rPr>
        <w:t>,</w:t>
      </w:r>
      <w:r w:rsidRPr="00A210E9">
        <w:rPr>
          <w:rFonts w:eastAsia="Calibri"/>
          <w:rtl/>
        </w:rPr>
        <w:t xml:space="preserve"> שכל י</w:t>
      </w:r>
      <w:r w:rsidRPr="00A210E9">
        <w:rPr>
          <w:rFonts w:eastAsia="Calibri" w:hint="cs"/>
          <w:rtl/>
        </w:rPr>
        <w:t>י</w:t>
      </w:r>
      <w:r w:rsidRPr="00A210E9">
        <w:rPr>
          <w:rFonts w:eastAsia="Calibri"/>
          <w:rtl/>
        </w:rPr>
        <w:t>עודו הוא מתן פתרון</w:t>
      </w:r>
      <w:r w:rsidRPr="00A210E9">
        <w:rPr>
          <w:rFonts w:eastAsia="Calibri" w:hint="cs"/>
          <w:rtl/>
        </w:rPr>
        <w:t xml:space="preserve"> </w:t>
      </w:r>
      <w:r w:rsidRPr="00A210E9">
        <w:rPr>
          <w:rFonts w:eastAsia="Calibri"/>
          <w:rtl/>
        </w:rPr>
        <w:t>לאוכלוסייה שיורית, עניין שבשום שלב לא ניתנו למשרד התחבורה המשאבים או כוח</w:t>
      </w:r>
      <w:r w:rsidRPr="00A210E9">
        <w:rPr>
          <w:rFonts w:eastAsia="Calibri" w:hint="cs"/>
          <w:rtl/>
        </w:rPr>
        <w:t xml:space="preserve"> </w:t>
      </w:r>
      <w:r w:rsidRPr="00A210E9">
        <w:rPr>
          <w:rFonts w:eastAsia="Calibri"/>
          <w:rtl/>
        </w:rPr>
        <w:t>האדם הנדרשים</w:t>
      </w:r>
      <w:r w:rsidRPr="00A210E9">
        <w:rPr>
          <w:rFonts w:eastAsia="Calibri" w:hint="cs"/>
          <w:rtl/>
        </w:rPr>
        <w:t xml:space="preserve"> להסדרתו, מה גם שהמשרד אינו מומחה לתחומי רפואה או נכויות.</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כאמור, </w:t>
      </w:r>
      <w:r w:rsidRPr="00A210E9">
        <w:rPr>
          <w:rFonts w:eastAsia="Calibri"/>
          <w:rtl/>
        </w:rPr>
        <w:t>רופאי אגף הרישוי במשרד התחבורה</w:t>
      </w:r>
      <w:r w:rsidRPr="00A210E9">
        <w:rPr>
          <w:rFonts w:eastAsia="Calibri" w:hint="cs"/>
          <w:rtl/>
        </w:rPr>
        <w:t xml:space="preserve"> מועסקים על ידי המשרד במיקור חוץ, ועל פי סמכות שניתנה למשרד התחבורה מתוקף סעיף 1א בחוק, הם מטפלים באוכלוסיות השיוריות שלא קיבלו או אינן יכולות לקבל זכאות לנכות מגופים אחרים. הרופאים </w:t>
      </w:r>
      <w:r w:rsidRPr="00A210E9">
        <w:rPr>
          <w:rFonts w:eastAsia="Calibri"/>
          <w:rtl/>
        </w:rPr>
        <w:t xml:space="preserve">בוחנים את </w:t>
      </w:r>
      <w:r w:rsidRPr="00A210E9">
        <w:rPr>
          <w:rFonts w:eastAsia="Calibri" w:hint="cs"/>
          <w:rtl/>
        </w:rPr>
        <w:t xml:space="preserve">המסמכים </w:t>
      </w:r>
      <w:r w:rsidRPr="00A210E9">
        <w:rPr>
          <w:rFonts w:eastAsia="Calibri"/>
          <w:rtl/>
        </w:rPr>
        <w:t>הרפואי</w:t>
      </w:r>
      <w:r w:rsidRPr="00A210E9">
        <w:rPr>
          <w:rFonts w:eastAsia="Calibri" w:hint="cs"/>
          <w:rtl/>
        </w:rPr>
        <w:t>ים</w:t>
      </w:r>
      <w:r w:rsidRPr="00A210E9">
        <w:rPr>
          <w:rFonts w:eastAsia="Calibri"/>
          <w:rtl/>
        </w:rPr>
        <w:t xml:space="preserve"> </w:t>
      </w:r>
      <w:r w:rsidRPr="00A210E9">
        <w:rPr>
          <w:rFonts w:eastAsia="Calibri" w:hint="cs"/>
          <w:rtl/>
        </w:rPr>
        <w:t>שצורפו לבקשות לתג חניה ומבצעים</w:t>
      </w:r>
      <w:r w:rsidRPr="00A210E9">
        <w:rPr>
          <w:rFonts w:eastAsia="Calibri"/>
          <w:rtl/>
        </w:rPr>
        <w:t xml:space="preserve"> הערכה מקצועית של המצב הרפואי</w:t>
      </w:r>
      <w:r w:rsidRPr="00A210E9">
        <w:rPr>
          <w:rFonts w:eastAsia="Calibri" w:hint="cs"/>
          <w:rtl/>
        </w:rPr>
        <w:t xml:space="preserve">, </w:t>
      </w:r>
      <w:r w:rsidRPr="00A210E9">
        <w:rPr>
          <w:rFonts w:eastAsia="Calibri"/>
          <w:rtl/>
        </w:rPr>
        <w:t>ו</w:t>
      </w:r>
      <w:r w:rsidRPr="00A210E9">
        <w:rPr>
          <w:rFonts w:eastAsia="Calibri" w:hint="cs"/>
          <w:rtl/>
        </w:rPr>
        <w:t>בהתאם לכך מחליטים</w:t>
      </w:r>
      <w:r w:rsidRPr="00A210E9">
        <w:rPr>
          <w:rFonts w:eastAsia="Calibri"/>
          <w:rtl/>
        </w:rPr>
        <w:t xml:space="preserve"> </w:t>
      </w:r>
      <w:r w:rsidRPr="00A210E9">
        <w:rPr>
          <w:rFonts w:eastAsia="Calibri" w:hint="cs"/>
          <w:rtl/>
        </w:rPr>
        <w:t>אם לאשר או לדחות בקשה ל</w:t>
      </w:r>
      <w:r w:rsidRPr="00A210E9">
        <w:rPr>
          <w:rFonts w:eastAsia="Calibri"/>
          <w:rtl/>
        </w:rPr>
        <w:t>הנפקת תג</w:t>
      </w:r>
      <w:r w:rsidRPr="00A210E9">
        <w:rPr>
          <w:rFonts w:eastAsia="Calibri" w:hint="cs"/>
          <w:rtl/>
        </w:rPr>
        <w:t xml:space="preserve"> חניה. רופאי אגף הרישוי אינם פוגשים את מבקשי התג, ועל כן הם גם אינם בודקים אותם פיזית לפני מתן ההחלטה.</w:t>
      </w:r>
    </w:p>
    <w:p w:rsidR="00A210E9" w:rsidRPr="00A210E9" w:rsidP="00A210E9">
      <w:pPr>
        <w:keepNext/>
        <w:keepLines/>
        <w:spacing w:line="269" w:lineRule="auto"/>
        <w:ind w:left="-567"/>
        <w:rPr>
          <w:rFonts w:eastAsia="Calibri"/>
          <w:szCs w:val="20"/>
          <w:rtl/>
        </w:rPr>
      </w:pPr>
      <w:r w:rsidRPr="00A210E9">
        <w:rPr>
          <w:rFonts w:eastAsia="Calibri"/>
          <w:szCs w:val="20"/>
          <w:rtl/>
        </w:rPr>
        <w:t xml:space="preserve"> </w:t>
      </w:r>
    </w:p>
    <w:p w:rsidR="00A210E9" w:rsidRPr="00A210E9" w:rsidP="00A210E9">
      <w:pPr>
        <w:spacing w:line="269" w:lineRule="auto"/>
        <w:rPr>
          <w:rFonts w:eastAsia="Calibri"/>
          <w:rtl/>
        </w:rPr>
      </w:pPr>
      <w:r w:rsidRPr="00A210E9">
        <w:rPr>
          <w:rFonts w:eastAsia="Calibri"/>
          <w:rtl/>
        </w:rPr>
        <w:t xml:space="preserve">תהליך </w:t>
      </w:r>
      <w:r w:rsidRPr="00A210E9">
        <w:rPr>
          <w:rFonts w:eastAsia="Calibri" w:hint="cs"/>
          <w:rtl/>
        </w:rPr>
        <w:t xml:space="preserve">אישור הזכאות על ידי אגף הרישוי </w:t>
      </w:r>
      <w:r w:rsidRPr="00A210E9">
        <w:rPr>
          <w:rFonts w:eastAsia="Calibri"/>
          <w:rtl/>
        </w:rPr>
        <w:t xml:space="preserve">עבר </w:t>
      </w:r>
      <w:r w:rsidRPr="00A210E9">
        <w:rPr>
          <w:rFonts w:eastAsia="Calibri" w:hint="cs"/>
          <w:rtl/>
        </w:rPr>
        <w:t xml:space="preserve">עם השנים </w:t>
      </w:r>
      <w:r w:rsidRPr="00A210E9">
        <w:rPr>
          <w:rFonts w:eastAsia="Calibri"/>
          <w:rtl/>
        </w:rPr>
        <w:t xml:space="preserve">גלגולים </w:t>
      </w:r>
      <w:r w:rsidRPr="00A210E9">
        <w:rPr>
          <w:rFonts w:eastAsia="Calibri" w:hint="cs"/>
          <w:rtl/>
        </w:rPr>
        <w:t>מהותיים.</w:t>
      </w:r>
      <w:r w:rsidRPr="00A210E9">
        <w:rPr>
          <w:rFonts w:eastAsia="Calibri"/>
          <w:rtl/>
        </w:rPr>
        <w:t xml:space="preserve"> בתחילה</w:t>
      </w:r>
      <w:r w:rsidRPr="00A210E9">
        <w:rPr>
          <w:rFonts w:eastAsia="Calibri" w:hint="cs"/>
          <w:rtl/>
        </w:rPr>
        <w:t xml:space="preserve"> לא</w:t>
      </w:r>
      <w:r w:rsidRPr="00A210E9">
        <w:rPr>
          <w:rFonts w:eastAsia="Calibri"/>
          <w:rtl/>
        </w:rPr>
        <w:t xml:space="preserve"> היה</w:t>
      </w:r>
      <w:r w:rsidRPr="00A210E9">
        <w:rPr>
          <w:rFonts w:eastAsia="Calibri" w:hint="cs"/>
          <w:rtl/>
        </w:rPr>
        <w:t xml:space="preserve"> התהליך</w:t>
      </w:r>
      <w:r w:rsidRPr="00A210E9">
        <w:rPr>
          <w:rFonts w:eastAsia="Calibri"/>
          <w:rtl/>
        </w:rPr>
        <w:t xml:space="preserve"> </w:t>
      </w:r>
      <w:r w:rsidRPr="00A210E9">
        <w:rPr>
          <w:rFonts w:eastAsia="Calibri" w:hint="cs"/>
          <w:rtl/>
        </w:rPr>
        <w:t>ממוחשב</w:t>
      </w:r>
      <w:r w:rsidRPr="00A210E9">
        <w:rPr>
          <w:rFonts w:eastAsia="Calibri"/>
          <w:rtl/>
        </w:rPr>
        <w:t xml:space="preserve">, אולם עם העלייה במספר הבקשות והרחבת </w:t>
      </w:r>
      <w:r w:rsidRPr="00A210E9">
        <w:rPr>
          <w:rFonts w:eastAsia="Calibri" w:hint="cs"/>
          <w:rtl/>
        </w:rPr>
        <w:t>האוכלוסיות</w:t>
      </w:r>
      <w:r w:rsidRPr="00A210E9">
        <w:rPr>
          <w:rFonts w:eastAsia="Calibri"/>
          <w:rtl/>
        </w:rPr>
        <w:t xml:space="preserve"> הזכא</w:t>
      </w:r>
      <w:r w:rsidRPr="00A210E9">
        <w:rPr>
          <w:rFonts w:eastAsia="Calibri" w:hint="cs"/>
          <w:rtl/>
        </w:rPr>
        <w:t>י</w:t>
      </w:r>
      <w:r w:rsidRPr="00A210E9">
        <w:rPr>
          <w:rFonts w:eastAsia="Calibri"/>
          <w:rtl/>
        </w:rPr>
        <w:t>ות, הפך</w:t>
      </w:r>
      <w:r w:rsidRPr="00A210E9">
        <w:rPr>
          <w:rFonts w:eastAsia="Calibri" w:hint="cs"/>
          <w:rtl/>
        </w:rPr>
        <w:t xml:space="preserve"> התהליך</w:t>
      </w:r>
      <w:r w:rsidRPr="00A210E9">
        <w:rPr>
          <w:rFonts w:eastAsia="Calibri"/>
          <w:rtl/>
        </w:rPr>
        <w:t xml:space="preserve"> לרב</w:t>
      </w:r>
      <w:r w:rsidRPr="00A210E9">
        <w:rPr>
          <w:rFonts w:eastAsia="Calibri" w:hint="cs"/>
          <w:rtl/>
        </w:rPr>
        <w:t>-</w:t>
      </w:r>
      <w:r w:rsidRPr="00A210E9">
        <w:rPr>
          <w:rFonts w:eastAsia="Calibri"/>
          <w:rtl/>
        </w:rPr>
        <w:t>שלבי</w:t>
      </w:r>
      <w:r w:rsidRPr="00A210E9">
        <w:rPr>
          <w:rFonts w:eastAsia="Calibri" w:hint="cs"/>
          <w:rtl/>
        </w:rPr>
        <w:t xml:space="preserve"> ו</w:t>
      </w:r>
      <w:r w:rsidRPr="00A210E9">
        <w:rPr>
          <w:rFonts w:eastAsia="Calibri"/>
          <w:rtl/>
        </w:rPr>
        <w:t>מורכב יותר</w:t>
      </w:r>
      <w:r w:rsidRPr="00A210E9">
        <w:rPr>
          <w:rFonts w:eastAsia="Calibri" w:hint="cs"/>
          <w:rtl/>
        </w:rPr>
        <w:t>, ובו זמנית גם דיגיטלי ומונגש יותר לציבור</w:t>
      </w:r>
      <w:r w:rsidRPr="00A210E9">
        <w:rPr>
          <w:rFonts w:eastAsia="Calibri"/>
          <w:rtl/>
        </w:rPr>
        <w:t xml:space="preserve">. המודעות הנמוכה לזכאות לתג חניה הובילה למצב שבו רבים </w:t>
      </w:r>
      <w:r w:rsidRPr="00A210E9">
        <w:rPr>
          <w:rFonts w:eastAsia="Calibri" w:hint="cs"/>
          <w:rtl/>
        </w:rPr>
        <w:t>מ</w:t>
      </w:r>
      <w:r w:rsidRPr="00A210E9">
        <w:rPr>
          <w:rFonts w:eastAsia="Calibri"/>
          <w:rtl/>
        </w:rPr>
        <w:t>הזכאים לא מימשו את זכותם</w:t>
      </w:r>
      <w:r w:rsidRPr="00A210E9">
        <w:rPr>
          <w:rFonts w:eastAsia="Calibri" w:hint="cs"/>
          <w:rtl/>
        </w:rPr>
        <w:t xml:space="preserve">, ולכן </w:t>
      </w:r>
      <w:r w:rsidRPr="00A210E9">
        <w:rPr>
          <w:rFonts w:eastAsia="Calibri"/>
          <w:rtl/>
        </w:rPr>
        <w:t>התפתחה במשרד</w:t>
      </w:r>
      <w:r w:rsidRPr="00A210E9">
        <w:rPr>
          <w:rFonts w:eastAsia="Calibri" w:hint="cs"/>
          <w:rtl/>
        </w:rPr>
        <w:t xml:space="preserve"> התחבורה</w:t>
      </w:r>
      <w:r w:rsidRPr="00A210E9">
        <w:rPr>
          <w:rFonts w:eastAsia="Calibri"/>
          <w:rtl/>
        </w:rPr>
        <w:t xml:space="preserve"> התודעה כי יש להקים תהליך פשוט, נגיש וקצר שבו מגיש הבקשה יוכל לקבל את תג החניה </w:t>
      </w:r>
      <w:r w:rsidRPr="00A210E9">
        <w:rPr>
          <w:rFonts w:eastAsia="Calibri" w:hint="cs"/>
          <w:rtl/>
        </w:rPr>
        <w:t>ב</w:t>
      </w:r>
      <w:r w:rsidRPr="00A210E9">
        <w:rPr>
          <w:rFonts w:eastAsia="Calibri"/>
          <w:rtl/>
        </w:rPr>
        <w:t xml:space="preserve">תוך ימים ספורים בלבד, </w:t>
      </w:r>
      <w:r w:rsidRPr="00A210E9">
        <w:rPr>
          <w:rFonts w:eastAsia="Calibri" w:hint="cs"/>
          <w:rtl/>
        </w:rPr>
        <w:t>ובאופן מקוון</w:t>
      </w:r>
      <w:r>
        <w:rPr>
          <w:rFonts w:eastAsia="Calibri"/>
          <w:vertAlign w:val="superscript"/>
          <w:rtl/>
        </w:rPr>
        <w:footnoteReference w:id="146"/>
      </w:r>
      <w:r w:rsidRPr="00A210E9">
        <w:rPr>
          <w:rFonts w:eastAsia="Calibri"/>
          <w:rtl/>
        </w:rPr>
        <w:t>.</w:t>
      </w:r>
      <w:r w:rsidRPr="00A210E9">
        <w:rPr>
          <w:rFonts w:eastAsia="Calibri" w:hint="cs"/>
          <w:rtl/>
        </w:rPr>
        <w:t xml:space="preserve"> </w:t>
      </w:r>
      <w:r w:rsidRPr="00A210E9">
        <w:rPr>
          <w:rFonts w:eastAsia="Calibri"/>
          <w:rtl/>
        </w:rPr>
        <w:t xml:space="preserve">האפשרות להגשת בקשה לקבלת תג </w:t>
      </w:r>
      <w:r w:rsidRPr="00A210E9">
        <w:rPr>
          <w:rFonts w:eastAsia="Calibri" w:hint="cs"/>
          <w:rtl/>
        </w:rPr>
        <w:t>חניה</w:t>
      </w:r>
      <w:r w:rsidRPr="00A210E9">
        <w:rPr>
          <w:rFonts w:eastAsia="Calibri"/>
          <w:rtl/>
        </w:rPr>
        <w:t xml:space="preserve"> באופן מקוון באזור האישי הממשלתי </w:t>
      </w:r>
      <w:r w:rsidRPr="00A210E9">
        <w:rPr>
          <w:rFonts w:eastAsia="Calibri" w:hint="cs"/>
          <w:rtl/>
        </w:rPr>
        <w:t>מונגשת לציבור מ</w:t>
      </w:r>
      <w:r w:rsidRPr="00A210E9">
        <w:rPr>
          <w:rFonts w:eastAsia="Calibri"/>
          <w:rtl/>
        </w:rPr>
        <w:t xml:space="preserve">מאי 2021.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נכון למועד סיום הביקורת, אגף הרישוי מקבל מידע באופן ישיר מהביטוח הלאומי, ממשרד הרווחה ומאגף השיקום על אוכלוסיות מסוימות, והוא מנפיק עבורן תגי חניה. כך, בשנת 2021 הוסדר בין משרד התחבורה והביטוח הלאומי כי הביטוח הלאומי יעביר באופן יזום ואוטומטי לאגף הרישוי רשימות של מקבלי קצבאות הזכאים לתג חניה לאחר שנקבעה להם זכאות לקצבה בוועדות הרפואיות של הביטוח הלאומי</w:t>
      </w:r>
      <w:r>
        <w:rPr>
          <w:rFonts w:eastAsia="Calibri"/>
          <w:vertAlign w:val="superscript"/>
          <w:rtl/>
        </w:rPr>
        <w:footnoteReference w:id="147"/>
      </w:r>
      <w:r w:rsidRPr="00A210E9">
        <w:rPr>
          <w:rFonts w:eastAsia="Calibri" w:hint="cs"/>
          <w:rtl/>
        </w:rPr>
        <w:t xml:space="preserve">, העיקריים שבהם: מקבלי קצבת ניידות בשיעור של 60% ומעלה (ביניהם אלה שמרותקים לכיסא גלגלים ואלה שלא מרותקים לכיסא גלגלים), מקבלי קצבת שירותים מיוחדים (שר"ם) בשיעור של 188% ומעלה, וכן מקבלי קצבת ילד עם מוגבלות </w:t>
      </w:r>
      <w:r w:rsidRPr="00A210E9">
        <w:rPr>
          <w:rFonts w:eastAsia="Calibri"/>
          <w:rtl/>
        </w:rPr>
        <w:t>העומדים בתנאי הזכאות שנקבעו בהסדר</w:t>
      </w:r>
      <w:r w:rsidRPr="00A210E9">
        <w:rPr>
          <w:rFonts w:eastAsia="Calibri" w:hint="cs"/>
          <w:rtl/>
        </w:rPr>
        <w:t xml:space="preserve">. באופן הזה הוקל על אוכלוסיות אלה הנטל הביורוקרטי הנובע מהגשה יזומה של בקשה לאגף הרישוי. </w:t>
      </w:r>
    </w:p>
    <w:p w:rsidR="003E4BC0">
      <w:pPr>
        <w:bidi w:val="0"/>
        <w:spacing w:after="200" w:line="276" w:lineRule="auto"/>
        <w:rPr>
          <w:rFonts w:eastAsia="Calibri"/>
          <w:rtl/>
        </w:rPr>
      </w:pPr>
      <w:r>
        <w:rPr>
          <w:rFonts w:eastAsia="Calibri"/>
          <w:rtl/>
        </w:rPr>
        <w:br w:type="page"/>
      </w:r>
    </w:p>
    <w:p w:rsidR="00A210E9" w:rsidRPr="00A210E9" w:rsidP="00A210E9">
      <w:pPr>
        <w:spacing w:line="269" w:lineRule="auto"/>
        <w:rPr>
          <w:rFonts w:eastAsia="Calibri"/>
          <w:rtl/>
        </w:rPr>
      </w:pPr>
      <w:r w:rsidRPr="00A210E9">
        <w:rPr>
          <w:rFonts w:eastAsia="Calibri" w:hint="cs"/>
          <w:rtl/>
        </w:rPr>
        <w:t xml:space="preserve">באתר משרד התחבורה מצוין כי </w:t>
      </w:r>
      <w:r w:rsidRPr="00A210E9">
        <w:rPr>
          <w:rFonts w:eastAsia="Calibri"/>
          <w:rtl/>
        </w:rPr>
        <w:t>לאחר שקיבלו הודעה על הזכאות</w:t>
      </w:r>
      <w:r w:rsidRPr="00A210E9">
        <w:rPr>
          <w:rFonts w:eastAsia="Calibri" w:hint="cs"/>
          <w:rtl/>
        </w:rPr>
        <w:t>,</w:t>
      </w:r>
      <w:r w:rsidRPr="00A210E9">
        <w:rPr>
          <w:rFonts w:eastAsia="Calibri"/>
          <w:rtl/>
        </w:rPr>
        <w:t xml:space="preserve"> בעלי תעודת עיוור ממשרד הרווחה, </w:t>
      </w:r>
      <w:r w:rsidRPr="00A210E9">
        <w:rPr>
          <w:rFonts w:eastAsia="Calibri" w:hint="cs"/>
          <w:rtl/>
        </w:rPr>
        <w:t>אנשים עם מוגבלות</w:t>
      </w:r>
      <w:r w:rsidRPr="00A210E9">
        <w:rPr>
          <w:rFonts w:eastAsia="Calibri"/>
          <w:rtl/>
        </w:rPr>
        <w:t xml:space="preserve"> מטעם אגף השיקום </w:t>
      </w:r>
      <w:r w:rsidRPr="00A210E9">
        <w:rPr>
          <w:rFonts w:eastAsia="Calibri" w:hint="cs"/>
          <w:rtl/>
        </w:rPr>
        <w:t>ו</w:t>
      </w:r>
      <w:r w:rsidRPr="00A210E9">
        <w:rPr>
          <w:rFonts w:eastAsia="Calibri"/>
          <w:rtl/>
        </w:rPr>
        <w:t>בעלי זכאות מהביטוח הלאומי</w:t>
      </w:r>
      <w:r w:rsidRPr="00A210E9">
        <w:rPr>
          <w:rFonts w:eastAsia="Calibri" w:hint="cs"/>
          <w:rtl/>
        </w:rPr>
        <w:t xml:space="preserve"> יכולים </w:t>
      </w:r>
      <w:r w:rsidRPr="00A210E9">
        <w:rPr>
          <w:rFonts w:eastAsia="Calibri"/>
          <w:rtl/>
        </w:rPr>
        <w:t xml:space="preserve">להגיש בקשה באמצעות טופס דיגיטלי לעדכון רכבים בתג </w:t>
      </w:r>
      <w:r w:rsidRPr="00A210E9">
        <w:rPr>
          <w:rFonts w:eastAsia="Calibri" w:hint="cs"/>
          <w:rtl/>
        </w:rPr>
        <w:t>ה</w:t>
      </w:r>
      <w:r w:rsidRPr="00A210E9">
        <w:rPr>
          <w:rFonts w:eastAsia="Calibri"/>
          <w:rtl/>
        </w:rPr>
        <w:t>חניה ללא צורך בצירוף מסמכים נוספים</w:t>
      </w:r>
      <w:r>
        <w:rPr>
          <w:rFonts w:eastAsia="Calibri"/>
          <w:vertAlign w:val="superscript"/>
          <w:rtl/>
        </w:rPr>
        <w:footnoteReference w:id="148"/>
      </w:r>
      <w:r w:rsidRPr="00A210E9">
        <w:rPr>
          <w:rFonts w:eastAsia="Calibri" w:hint="cs"/>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שני התרשימים שלהלן מציגים את התפלגות תגי החניה שאושרו על ידי הגופים השונים ואת ההתפלגות השנתית של תגי החניה (בהתאמה), בשנים 2011 - 2024:</w:t>
      </w:r>
    </w:p>
    <w:p w:rsidR="00A210E9" w:rsidRPr="00A210E9" w:rsidP="00A210E9">
      <w:pPr>
        <w:keepNext/>
        <w:keepLines/>
        <w:spacing w:line="269" w:lineRule="auto"/>
        <w:ind w:left="-567"/>
        <w:rPr>
          <w:rFonts w:eastAsia="Calibri"/>
          <w:szCs w:val="20"/>
          <w:rtl/>
        </w:rPr>
      </w:pPr>
    </w:p>
    <w:p w:rsidR="00A210E9" w:rsidRPr="00A210E9" w:rsidP="00A210E9">
      <w:pPr>
        <w:keepNext/>
        <w:keepLines/>
        <w:spacing w:line="269" w:lineRule="auto"/>
        <w:jc w:val="center"/>
        <w:rPr>
          <w:rFonts w:eastAsia="Calibri"/>
          <w:b/>
          <w:bCs/>
          <w:rtl/>
        </w:rPr>
      </w:pPr>
      <w:r w:rsidRPr="00A210E9">
        <w:rPr>
          <w:rFonts w:eastAsia="Calibri" w:hint="eastAsia"/>
          <w:rtl/>
        </w:rPr>
        <w:t>תרשים</w:t>
      </w:r>
      <w:r w:rsidRPr="00A210E9">
        <w:rPr>
          <w:rFonts w:eastAsia="Calibri"/>
          <w:rtl/>
        </w:rPr>
        <w:t xml:space="preserve"> </w:t>
      </w:r>
      <w:r w:rsidRPr="00A210E9">
        <w:rPr>
          <w:rFonts w:eastAsia="Calibri" w:hint="cs"/>
          <w:rtl/>
        </w:rPr>
        <w:t>20</w:t>
      </w:r>
      <w:r w:rsidRPr="00A210E9">
        <w:rPr>
          <w:rFonts w:eastAsia="Calibri"/>
          <w:rtl/>
        </w:rPr>
        <w:t>:</w:t>
      </w:r>
      <w:r w:rsidRPr="00A210E9">
        <w:rPr>
          <w:rFonts w:eastAsia="Calibri" w:hint="cs"/>
          <w:b/>
          <w:bCs/>
          <w:rtl/>
        </w:rPr>
        <w:t xml:space="preserve"> התפלגות מלאי תגי החניה לפי גוף מאשר נכון ליולי 2025</w:t>
      </w:r>
    </w:p>
    <w:p w:rsidR="00A210E9" w:rsidRPr="00A210E9" w:rsidP="00A210E9">
      <w:pPr>
        <w:spacing w:line="269" w:lineRule="auto"/>
        <w:jc w:val="center"/>
        <w:rPr>
          <w:rFonts w:eastAsia="Calibri"/>
          <w:rtl/>
        </w:rPr>
      </w:pPr>
      <w:r w:rsidRPr="00A210E9">
        <w:rPr>
          <w:rFonts w:eastAsia="Calibri"/>
          <w:noProof/>
        </w:rPr>
        <w:drawing>
          <wp:inline distT="0" distB="0" distL="0" distR="0">
            <wp:extent cx="3970925" cy="3552639"/>
            <wp:effectExtent l="19050" t="19050" r="10795" b="10160"/>
            <wp:docPr id="79" name="תמונה 79" descr="התמונה מציגה תרשים עוגה (פאי) המתאר התפלגות באחוזים של גורמים שונים.&#10;&#10;הפלח הגדול ביותר, המהווה את רוב העוגה, שייך ל**&quot;רופא אגף הרישוי&quot;** ומהווה 69.16% מהשלם.&#10;&#10;להלן פירוט כל הפלחים המרכיבים את העוגה, מהגדול לקטן:&#10;&#10;רופא אגף הרישוי: 69.16% (הפלח הכחול הגדול)&#10;&#10;ביטוח לאומי: 11.99% (הפלח האדום)&#10;&#10;משרד הבריאות: 11.72% (הפלח הירוק)&#10;&#10;משרד הרווחה: 4.73% (הפלח הסגול)&#10;&#10;משרד הביטחון: 2.39% (הפלח הטורקיז)&#10;&#10;הרשות לזכויות ניצולי השואה: 0.01% (הפלח הצהוב הקטן ביות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9"/>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rcRect l="5104"/>
                    <a:stretch>
                      <a:fillRect/>
                    </a:stretch>
                  </pic:blipFill>
                  <pic:spPr bwMode="auto">
                    <a:xfrm>
                      <a:off x="0" y="0"/>
                      <a:ext cx="3986612" cy="3566674"/>
                    </a:xfrm>
                    <a:prstGeom prst="rect">
                      <a:avLst/>
                    </a:prstGeom>
                    <a:noFill/>
                    <a:ln>
                      <a:solidFill>
                        <a:sysClr val="window" lastClr="FFFFFF">
                          <a:lumMod val="85000"/>
                        </a:sysClr>
                      </a:solidFill>
                    </a:ln>
                    <a:extLst>
                      <a:ext xmlns:a="http://schemas.openxmlformats.org/drawingml/2006/main" uri="{53640926-AAD7-44D8-BBD7-CCE9431645EC}">
                        <a14:shadowObscured xmlns:a14="http://schemas.microsoft.com/office/drawing/2010/main"/>
                      </a:ext>
                    </a:extLst>
                  </pic:spPr>
                </pic:pic>
              </a:graphicData>
            </a:graphic>
          </wp:inline>
        </w:drawing>
      </w:r>
    </w:p>
    <w:p w:rsidR="00A210E9" w:rsidRPr="00A210E9" w:rsidP="00A210E9">
      <w:pPr>
        <w:spacing w:line="269" w:lineRule="auto"/>
        <w:rPr>
          <w:rFonts w:eastAsia="Calibri"/>
          <w:sz w:val="22"/>
          <w:szCs w:val="22"/>
          <w:rtl/>
        </w:rPr>
      </w:pPr>
      <w:r w:rsidRPr="00A210E9">
        <w:rPr>
          <w:rFonts w:eastAsia="Calibri" w:hint="eastAsia"/>
          <w:sz w:val="22"/>
          <w:szCs w:val="22"/>
          <w:rtl/>
        </w:rPr>
        <w:t>על</w:t>
      </w:r>
      <w:r w:rsidRPr="00A210E9">
        <w:rPr>
          <w:rFonts w:eastAsia="Calibri"/>
          <w:sz w:val="22"/>
          <w:szCs w:val="22"/>
          <w:rtl/>
        </w:rPr>
        <w:t xml:space="preserve"> פי נתוני משרד התחבורה, בעיבוד משרד מבקר המדינה</w:t>
      </w:r>
      <w:r w:rsidRPr="00A210E9">
        <w:rPr>
          <w:rFonts w:eastAsia="Calibri" w:hint="cs"/>
          <w:sz w:val="22"/>
          <w:szCs w:val="22"/>
          <w:rtl/>
        </w:rPr>
        <w:t>.</w:t>
      </w:r>
    </w:p>
    <w:p w:rsidR="00A210E9" w:rsidRPr="00A210E9" w:rsidP="00A210E9">
      <w:pPr>
        <w:keepNext/>
        <w:keepLines/>
        <w:spacing w:line="269" w:lineRule="auto"/>
        <w:jc w:val="center"/>
        <w:rPr>
          <w:rFonts w:eastAsia="Calibri"/>
          <w:b/>
          <w:bCs/>
          <w:rtl/>
        </w:rPr>
      </w:pPr>
      <w:r w:rsidRPr="00A210E9">
        <w:rPr>
          <w:rFonts w:eastAsia="Calibri" w:hint="eastAsia"/>
          <w:rtl/>
        </w:rPr>
        <w:t>תרשים</w:t>
      </w:r>
      <w:r w:rsidRPr="00A210E9">
        <w:rPr>
          <w:rFonts w:eastAsia="Calibri"/>
          <w:rtl/>
        </w:rPr>
        <w:t xml:space="preserve"> </w:t>
      </w:r>
      <w:r w:rsidRPr="00A210E9">
        <w:rPr>
          <w:rFonts w:eastAsia="Calibri" w:hint="cs"/>
          <w:rtl/>
        </w:rPr>
        <w:t>21</w:t>
      </w:r>
      <w:r w:rsidRPr="00A210E9">
        <w:rPr>
          <w:rFonts w:eastAsia="Calibri"/>
          <w:rtl/>
        </w:rPr>
        <w:t>:</w:t>
      </w:r>
      <w:r w:rsidRPr="00A210E9">
        <w:rPr>
          <w:rFonts w:eastAsia="Calibri" w:hint="cs"/>
          <w:b/>
          <w:bCs/>
          <w:rtl/>
        </w:rPr>
        <w:t xml:space="preserve"> ההתפלגות השנתית של תגי החניה שאושרו על ידי הגופים השונים, </w:t>
      </w:r>
    </w:p>
    <w:p w:rsidR="00A210E9" w:rsidRPr="00A210E9" w:rsidP="00A210E9">
      <w:pPr>
        <w:keepNext/>
        <w:keepLines/>
        <w:spacing w:line="269" w:lineRule="auto"/>
        <w:jc w:val="center"/>
        <w:rPr>
          <w:rFonts w:eastAsia="Calibri"/>
          <w:rtl/>
        </w:rPr>
      </w:pPr>
      <w:r w:rsidRPr="00A210E9">
        <w:rPr>
          <w:rFonts w:eastAsia="Calibri" w:hint="cs"/>
          <w:b/>
          <w:bCs/>
          <w:rtl/>
        </w:rPr>
        <w:t>2011 - 2024</w:t>
      </w:r>
      <w:r w:rsidRPr="00A210E9">
        <w:rPr>
          <w:rFonts w:eastAsia="Calibri" w:hint="cs"/>
          <w:rtl/>
        </w:rPr>
        <w:t xml:space="preserve">* </w:t>
      </w:r>
      <w:r w:rsidRPr="00A210E9">
        <w:rPr>
          <w:rFonts w:eastAsia="Calibri"/>
          <w:b/>
          <w:bCs/>
          <w:rtl/>
        </w:rPr>
        <w:t>(</w:t>
      </w:r>
      <w:r w:rsidRPr="00A210E9">
        <w:rPr>
          <w:rFonts w:eastAsia="Calibri" w:hint="eastAsia"/>
          <w:b/>
          <w:bCs/>
          <w:rtl/>
        </w:rPr>
        <w:t>באלפים</w:t>
      </w:r>
      <w:r w:rsidRPr="00A210E9">
        <w:rPr>
          <w:rFonts w:eastAsia="Calibri"/>
          <w:b/>
          <w:bCs/>
          <w:rtl/>
        </w:rPr>
        <w:t>)</w:t>
      </w:r>
    </w:p>
    <w:p w:rsidR="00A210E9" w:rsidRPr="00A210E9" w:rsidP="00A210E9">
      <w:pPr>
        <w:spacing w:line="269" w:lineRule="auto"/>
        <w:jc w:val="center"/>
        <w:rPr>
          <w:rFonts w:eastAsia="Calibri"/>
          <w:rtl/>
        </w:rPr>
      </w:pPr>
      <w:r w:rsidRPr="00A210E9">
        <w:rPr>
          <w:rFonts w:eastAsia="Calibri"/>
          <w:noProof/>
        </w:rPr>
        <w:drawing>
          <wp:inline distT="0" distB="0" distL="0" distR="0">
            <wp:extent cx="5303181" cy="3910818"/>
            <wp:effectExtent l="0" t="0" r="0" b="0"/>
            <wp:docPr id="18" name="תמונה 18" descr="תיאור כללי של הגרף:&#10;ציר ה-X (האופקי): מייצג את השנים, מ-2011 עד 2024.&#10;&#10;ציר ה-Y (האנכי): מייצג ערך מספרי, מ-0 ועד 120.&#10;&#10;העמודות: כל עמודה מציגה את הסכום הכולל לשנה מסוימת, כאשר כל צבע בתוך העמודה מייצג קטגוריה אחרת.&#10;&#10;הקטגוריות (לפי המקרא):&#10;כחול: רופא רישוי אגף אשפוז (נראה שמדובר באותו &quot;רופא אגף רישוי&quot; מהגרף הקודם)&#10;&#10;אדום: משרד הביטחון&#10;ירוק: משרד הרווחה&#10;סגול: הרשות לזכויות ניצולי השואה&#10;טורקיז: משרד הבריאות&#10;כתום: ביטוח לאומי&#10;&#10;ניתוח המגמות בגרף:&#10;מגמה כללית: ישנה עלייה ברורה וחדה בערך הכולל (גובה העמודות) לאורך כל התקופה, במיוחד החל משנת 2020.&#10;&#10;הקטגוריה הדומיננטית (כחול - רופא אגף רישוי): מהווה את החלק העיקרי והגדול ביותר של כל עמודה, לאורך כל השנים.&#10;&#10;קטגוריית &quot;ביטוח לאומי&quot; (כתום): קטגוריה זו כמעט ואינה קיימת בשנים הראשונות, אך מתחילה לגדול ולהפוך למשמעותית יותר החל משנת 2020, ומייצגת חלק ניכר מהעמודות בשנים 2021-2024.&#10;&#10;שאר הקטגוריות (אדום, ירוק, סגול, טורקיז): מהוות חלק קטן מאוד ואף זניח מהעמודות, בעיקר בשנים המאוחרות יותר.&#10;&#10;הערכים הבולטים:&#10;&#10;בשנים 2011-2019, הערך הכולל עולה בהדרגה מכ-7 עד כ-35.&#10;&#10;בשנת 2021 יש קפיצה משמעותית לכ-61.&#10;&#10;בשנת 2022 הערך הכולל הוא כ-80.&#10;&#10;בשנת 2023 הערך הכולל הוא כ-80.&#10;&#10;בשנת 2024 רואים את הערך הגבוה ביותר, 100. עמודה זו מורכבת בעיקר משני חלקים:&#10;94 (כחול - רופא אגף רישוי)&#10;6 (כתום - ביטוח לאומ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pic:cNvPicPr>
                      <a:picLocks noChangeAspect="1" noChangeArrowheads="1"/>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312428" cy="3917637"/>
                    </a:xfrm>
                    <a:prstGeom prst="rect">
                      <a:avLst/>
                    </a:prstGeom>
                    <a:noFill/>
                  </pic:spPr>
                </pic:pic>
              </a:graphicData>
            </a:graphic>
          </wp:inline>
        </w:drawing>
      </w:r>
    </w:p>
    <w:p w:rsidR="00A210E9" w:rsidRPr="00A210E9" w:rsidP="00A210E9">
      <w:pPr>
        <w:spacing w:line="269" w:lineRule="auto"/>
        <w:rPr>
          <w:rFonts w:eastAsia="Calibri"/>
          <w:szCs w:val="20"/>
          <w:rtl/>
        </w:rPr>
      </w:pPr>
      <w:r w:rsidRPr="00A210E9">
        <w:rPr>
          <w:rFonts w:eastAsia="Calibri" w:hint="eastAsia"/>
          <w:szCs w:val="20"/>
          <w:rtl/>
        </w:rPr>
        <w:t>על</w:t>
      </w:r>
      <w:r w:rsidRPr="00A210E9">
        <w:rPr>
          <w:rFonts w:eastAsia="Calibri"/>
          <w:szCs w:val="20"/>
          <w:rtl/>
        </w:rPr>
        <w:t xml:space="preserve"> פי נתוני משרד התחבורה, בעיבוד משרד מבקר המדינה</w:t>
      </w:r>
      <w:r w:rsidRPr="00A210E9">
        <w:rPr>
          <w:rFonts w:eastAsia="Calibri" w:hint="cs"/>
          <w:szCs w:val="20"/>
          <w:rtl/>
        </w:rPr>
        <w:t>.</w:t>
      </w:r>
    </w:p>
    <w:p w:rsidR="00A210E9" w:rsidRPr="00A210E9" w:rsidP="00A210E9">
      <w:pPr>
        <w:spacing w:line="269" w:lineRule="auto"/>
        <w:rPr>
          <w:rFonts w:eastAsia="Calibri"/>
          <w:szCs w:val="20"/>
          <w:rtl/>
        </w:rPr>
      </w:pPr>
      <w:r w:rsidRPr="00A210E9">
        <w:rPr>
          <w:rFonts w:eastAsia="Calibri"/>
          <w:szCs w:val="20"/>
          <w:rtl/>
        </w:rPr>
        <w:t>* כיום</w:t>
      </w:r>
      <w:r w:rsidRPr="00A210E9">
        <w:rPr>
          <w:rFonts w:eastAsia="Calibri" w:hint="cs"/>
          <w:szCs w:val="20"/>
          <w:rtl/>
        </w:rPr>
        <w:t>,</w:t>
      </w:r>
      <w:r w:rsidRPr="00A210E9">
        <w:rPr>
          <w:rFonts w:eastAsia="Calibri"/>
          <w:szCs w:val="20"/>
          <w:rtl/>
        </w:rPr>
        <w:t xml:space="preserve"> משרד הבריאות </w:t>
      </w:r>
      <w:r w:rsidRPr="00A210E9">
        <w:rPr>
          <w:rFonts w:eastAsia="Calibri" w:hint="cs"/>
          <w:szCs w:val="20"/>
          <w:rtl/>
        </w:rPr>
        <w:t xml:space="preserve">אינו </w:t>
      </w:r>
      <w:r w:rsidRPr="00A210E9">
        <w:rPr>
          <w:rFonts w:eastAsia="Calibri" w:hint="eastAsia"/>
          <w:szCs w:val="20"/>
          <w:rtl/>
        </w:rPr>
        <w:t>פועל</w:t>
      </w:r>
      <w:r w:rsidRPr="00A210E9">
        <w:rPr>
          <w:rFonts w:eastAsia="Calibri"/>
          <w:szCs w:val="20"/>
          <w:rtl/>
        </w:rPr>
        <w:t xml:space="preserve"> באופן נפרד אלא </w:t>
      </w:r>
      <w:r w:rsidRPr="00A210E9">
        <w:rPr>
          <w:rFonts w:eastAsia="Calibri" w:hint="cs"/>
          <w:szCs w:val="20"/>
          <w:rtl/>
        </w:rPr>
        <w:t xml:space="preserve">הוא </w:t>
      </w:r>
      <w:r w:rsidRPr="00A210E9">
        <w:rPr>
          <w:rFonts w:eastAsia="Calibri" w:hint="eastAsia"/>
          <w:szCs w:val="20"/>
          <w:rtl/>
        </w:rPr>
        <w:t>מפעיל</w:t>
      </w:r>
      <w:r w:rsidRPr="00A210E9">
        <w:rPr>
          <w:rFonts w:eastAsia="Calibri"/>
          <w:szCs w:val="20"/>
          <w:rtl/>
        </w:rPr>
        <w:t xml:space="preserve"> </w:t>
      </w:r>
      <w:r w:rsidRPr="00A210E9">
        <w:rPr>
          <w:rFonts w:eastAsia="Calibri" w:hint="eastAsia"/>
          <w:szCs w:val="20"/>
          <w:rtl/>
        </w:rPr>
        <w:t>ועדות</w:t>
      </w:r>
      <w:r w:rsidRPr="00A210E9">
        <w:rPr>
          <w:rFonts w:eastAsia="Calibri"/>
          <w:szCs w:val="20"/>
          <w:rtl/>
        </w:rPr>
        <w:t xml:space="preserve"> רפואיות עבור הביטוח הלאומי.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bookmarkStart w:id="130" w:name="_Hlk223942173"/>
      <w:r w:rsidRPr="00A210E9">
        <w:rPr>
          <w:rFonts w:eastAsia="Calibri" w:hint="cs"/>
          <w:b/>
          <w:bCs/>
          <w:rtl/>
        </w:rPr>
        <w:t xml:space="preserve">משני התרשימים עולה כי עם השנים גדל מספר הבקשות שאושרו על ידי רופאי אגף הרישוי בקצב מהיר, ובהתאם לכך חלקו של אגף הרישוי בכל הבקשות שאושרו על ידי הגופים השונים גדל אף הוא. נכון ליולי 2025 כ-70% ממלאי תגי החניה אושרו על ידי רופאי אגף הרישוי. בשנת 2024 לבדה אישרו רופאי אגף הרישוי יותר מ-93% מכלל הבקשות (כ-94,000 בקשות מתוך </w:t>
      </w:r>
      <w:r w:rsidR="008529F8">
        <w:rPr>
          <w:rFonts w:eastAsia="Calibri"/>
          <w:b/>
          <w:bCs/>
          <w:rtl/>
        </w:rPr>
        <w:br/>
      </w:r>
      <w:r w:rsidRPr="00A210E9">
        <w:rPr>
          <w:rFonts w:eastAsia="Calibri" w:hint="cs"/>
          <w:b/>
          <w:bCs/>
          <w:rtl/>
        </w:rPr>
        <w:t>כ-101,000 בקשות שאושרו בסך הכול).</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משרד התחבורה כתב בתשובתו (ממאי 2026)</w:t>
      </w:r>
      <w:r w:rsidRPr="00A210E9">
        <w:rPr>
          <w:rFonts w:eastAsia="Calibri" w:hint="cs"/>
        </w:rPr>
        <w:t xml:space="preserve"> </w:t>
      </w:r>
      <w:r w:rsidRPr="00A210E9">
        <w:rPr>
          <w:rFonts w:eastAsia="Calibri" w:hint="cs"/>
          <w:rtl/>
        </w:rPr>
        <w:t xml:space="preserve">כי </w:t>
      </w:r>
      <w:r w:rsidRPr="00A210E9">
        <w:rPr>
          <w:rFonts w:eastAsia="Calibri"/>
          <w:rtl/>
        </w:rPr>
        <w:t xml:space="preserve">על פי החוק רשות הרישוי </w:t>
      </w:r>
      <w:r w:rsidRPr="00A210E9">
        <w:rPr>
          <w:rFonts w:eastAsia="Calibri" w:hint="cs"/>
          <w:rtl/>
        </w:rPr>
        <w:t>מוסמכת</w:t>
      </w:r>
      <w:r w:rsidRPr="00A210E9">
        <w:rPr>
          <w:rFonts w:eastAsia="Calibri"/>
          <w:rtl/>
        </w:rPr>
        <w:t xml:space="preserve"> להחליט אך ורק בעניינם של מבקשים</w:t>
      </w:r>
      <w:r w:rsidRPr="00A210E9">
        <w:rPr>
          <w:rFonts w:eastAsia="Calibri" w:hint="cs"/>
          <w:rtl/>
        </w:rPr>
        <w:t xml:space="preserve"> </w:t>
      </w:r>
      <w:r w:rsidRPr="00A210E9">
        <w:rPr>
          <w:rFonts w:eastAsia="Calibri"/>
          <w:rtl/>
        </w:rPr>
        <w:t>שיוריים, אך בפועל לאורך השנים הורחב יתר</w:t>
      </w:r>
      <w:r w:rsidRPr="00A210E9">
        <w:rPr>
          <w:rFonts w:eastAsia="Calibri" w:hint="cs"/>
          <w:rtl/>
        </w:rPr>
        <w:t xml:space="preserve"> </w:t>
      </w:r>
      <w:r w:rsidRPr="00A210E9">
        <w:rPr>
          <w:rFonts w:eastAsia="Calibri"/>
          <w:rtl/>
        </w:rPr>
        <w:t>על המידה השימוש במסלול השיורי של רשות הרישוי</w:t>
      </w:r>
      <w:r w:rsidRPr="00A210E9">
        <w:rPr>
          <w:rFonts w:eastAsia="Calibri" w:hint="cs"/>
          <w:rtl/>
        </w:rPr>
        <w:t>,</w:t>
      </w:r>
      <w:r w:rsidRPr="00A210E9">
        <w:rPr>
          <w:rFonts w:eastAsia="Calibri"/>
          <w:rtl/>
        </w:rPr>
        <w:t xml:space="preserve"> </w:t>
      </w:r>
      <w:r w:rsidRPr="00A210E9">
        <w:rPr>
          <w:rFonts w:eastAsia="Calibri" w:hint="cs"/>
          <w:rtl/>
        </w:rPr>
        <w:t>ו</w:t>
      </w:r>
      <w:r w:rsidRPr="00A210E9">
        <w:rPr>
          <w:rFonts w:eastAsia="Calibri"/>
          <w:rtl/>
        </w:rPr>
        <w:t>היא נותרה הגורם המרכזי שטיפל במבקשי תג. מצב דברים זה</w:t>
      </w:r>
      <w:r w:rsidRPr="00A210E9">
        <w:rPr>
          <w:rFonts w:eastAsia="Calibri" w:hint="cs"/>
          <w:rtl/>
        </w:rPr>
        <w:t xml:space="preserve">, </w:t>
      </w:r>
      <w:r w:rsidRPr="00A210E9">
        <w:rPr>
          <w:rFonts w:eastAsia="Calibri"/>
          <w:rtl/>
        </w:rPr>
        <w:t>בשילוב עם ההנגשה הדיגיטלית, איפשר הגשת בקשות ללא כל מגבלה. לנוכח העובדה שבעבר המשרד לא נמנע מבחינת</w:t>
      </w:r>
      <w:r w:rsidRPr="00A210E9">
        <w:rPr>
          <w:rFonts w:eastAsia="Calibri" w:hint="cs"/>
          <w:rtl/>
        </w:rPr>
        <w:t xml:space="preserve"> </w:t>
      </w:r>
      <w:r w:rsidRPr="00A210E9">
        <w:rPr>
          <w:rFonts w:eastAsia="Calibri"/>
          <w:rtl/>
        </w:rPr>
        <w:t>בקשות שאינן שיוריות גרידא, כאשר גם לא היה גורם ממשלתי אחר שהסכים לבדוק אותן, הרי</w:t>
      </w:r>
      <w:r w:rsidRPr="00A210E9">
        <w:rPr>
          <w:rFonts w:eastAsia="Calibri" w:hint="cs"/>
          <w:rtl/>
        </w:rPr>
        <w:t xml:space="preserve"> </w:t>
      </w:r>
      <w:r w:rsidRPr="00A210E9">
        <w:rPr>
          <w:rFonts w:eastAsia="Calibri"/>
          <w:rtl/>
        </w:rPr>
        <w:t xml:space="preserve">שכעת </w:t>
      </w:r>
      <w:r w:rsidRPr="00A210E9">
        <w:rPr>
          <w:rFonts w:eastAsia="Calibri" w:hint="cs"/>
          <w:rtl/>
        </w:rPr>
        <w:t>חל גידול ניכר במספר</w:t>
      </w:r>
      <w:r w:rsidRPr="00A210E9">
        <w:rPr>
          <w:rFonts w:eastAsia="Calibri"/>
          <w:rtl/>
        </w:rPr>
        <w:t xml:space="preserve"> הבקשות בכלל ו</w:t>
      </w:r>
      <w:r w:rsidRPr="00A210E9">
        <w:rPr>
          <w:rFonts w:eastAsia="Calibri" w:hint="cs"/>
          <w:rtl/>
        </w:rPr>
        <w:t xml:space="preserve">בבקשות </w:t>
      </w:r>
      <w:r w:rsidRPr="00A210E9">
        <w:rPr>
          <w:rFonts w:eastAsia="Calibri"/>
          <w:rtl/>
        </w:rPr>
        <w:t>כאלה בפרט.</w:t>
      </w:r>
    </w:p>
    <w:bookmarkEnd w:id="130"/>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 xml:space="preserve">על פי לשון החוק, </w:t>
      </w:r>
      <w:bookmarkStart w:id="131" w:name="_Hlk223942341"/>
      <w:r w:rsidRPr="00A210E9">
        <w:rPr>
          <w:rFonts w:eastAsia="Calibri" w:hint="cs"/>
          <w:b/>
          <w:bCs/>
          <w:rtl/>
        </w:rPr>
        <w:t>רופאי אגף הרישוי אמורים לאשר בקשות לתגי חניה רק עבור אוכלוסיות שיוריות</w:t>
      </w:r>
      <w:bookmarkEnd w:id="131"/>
      <w:r w:rsidRPr="00A210E9">
        <w:rPr>
          <w:rFonts w:eastAsia="Calibri" w:hint="cs"/>
          <w:b/>
          <w:bCs/>
          <w:rtl/>
        </w:rPr>
        <w:t>, שאינן נבחנות על ידי הרופאים המוסמכים על פי דין, למשל אנשים עם מוגבלות שהופיעה לאחר גיל פרישה ולכן אינם זכאים לקצבת נכות, או אנשים שהכנסתם גבוהה מהרף המרבי שנקבע כתנאי לזכאות לקצבת נכות כללית. למרות זאת, בביקורת עלה כי הרוב המכריע של האישורים לתגי חניה ניתנים על ידי רופאים אלה. בניגוד לגופים מאשרים אחרים, רופאי אגף הרישוי אינם פוגשים את הפונים והחלטתם מתקבלת ללא בדיקה פיזית של הפונים. מצב מתמשך שבו רוב הזכאויות לתג חניה נקבעות ללא בדיקה פיזית, עלול לפגום באמינות תהליך הנפקת תגי חניה בעיני כלל הציבור, ובפרט בעיני אנשים עם מוגבלות שהתג נועד להם מלכתחילה.</w:t>
      </w:r>
    </w:p>
    <w:p w:rsidR="00A210E9" w:rsidRPr="00A210E9" w:rsidP="00A210E9">
      <w:pPr>
        <w:spacing w:line="269" w:lineRule="auto"/>
        <w:rPr>
          <w:rFonts w:eastAsia="Calibri"/>
          <w:rtl/>
        </w:rPr>
      </w:pPr>
      <w:r w:rsidRPr="00A210E9">
        <w:rPr>
          <w:rFonts w:eastAsia="Calibri" w:hint="cs"/>
          <w:rtl/>
        </w:rPr>
        <w:t xml:space="preserve">בהחלטת הממשלה 3584 שהתקבלה בדצמבר 2025 הוחלט כי הצוות הבין-משרדי 2025 יגבש נוהל חדש להנפקת תגי חניה ובמסגרתו תתבסס הנפקתם על בדיקות רפואיות שיבצעו הגורמים המוסמכים לאשר נכות על פי דין (כלומר, לפי סעיף 1 לחוק).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משרד התחבורה כתב בתשובתו כי </w:t>
      </w:r>
      <w:r w:rsidRPr="00A210E9">
        <w:rPr>
          <w:rFonts w:eastAsia="Calibri"/>
          <w:rtl/>
        </w:rPr>
        <w:t>המתווה החדש שגובש</w:t>
      </w:r>
      <w:r w:rsidRPr="00A210E9">
        <w:rPr>
          <w:rFonts w:eastAsia="Calibri" w:hint="cs"/>
          <w:rtl/>
        </w:rPr>
        <w:t xml:space="preserve"> </w:t>
      </w:r>
      <w:r w:rsidRPr="00A210E9">
        <w:rPr>
          <w:rFonts w:eastAsia="Calibri"/>
          <w:rtl/>
        </w:rPr>
        <w:t xml:space="preserve">על ידי </w:t>
      </w:r>
      <w:r w:rsidRPr="00A210E9">
        <w:rPr>
          <w:rFonts w:eastAsia="Calibri" w:hint="cs"/>
          <w:rtl/>
        </w:rPr>
        <w:t>הצוות הבין-משרדי 2025</w:t>
      </w:r>
      <w:r w:rsidRPr="00A210E9">
        <w:rPr>
          <w:rFonts w:eastAsia="Calibri"/>
          <w:rtl/>
        </w:rPr>
        <w:t xml:space="preserve"> מבוסס על העברת מרכז הכובד לגורמים המוסמכים לאשר נכות</w:t>
      </w:r>
      <w:r w:rsidRPr="00A210E9">
        <w:rPr>
          <w:rFonts w:eastAsia="Calibri" w:hint="cs"/>
          <w:rtl/>
        </w:rPr>
        <w:t xml:space="preserve"> </w:t>
      </w:r>
      <w:r w:rsidRPr="00A210E9">
        <w:rPr>
          <w:rFonts w:eastAsia="Calibri"/>
          <w:rtl/>
        </w:rPr>
        <w:t xml:space="preserve">לפי דין, ובפרט לביטוח הלאומי, </w:t>
      </w:r>
      <w:r w:rsidRPr="00A210E9">
        <w:rPr>
          <w:rFonts w:eastAsia="Calibri" w:hint="cs"/>
          <w:rtl/>
        </w:rPr>
        <w:t>וכי</w:t>
      </w:r>
      <w:r w:rsidRPr="00A210E9">
        <w:rPr>
          <w:rFonts w:eastAsia="Calibri"/>
          <w:rtl/>
        </w:rPr>
        <w:t xml:space="preserve"> תפקידה של רשות הרישוי יתמקד בריכוז הנתונים,</w:t>
      </w:r>
      <w:r w:rsidRPr="00A210E9">
        <w:rPr>
          <w:rFonts w:eastAsia="Calibri" w:hint="cs"/>
          <w:rtl/>
        </w:rPr>
        <w:t xml:space="preserve"> </w:t>
      </w:r>
      <w:r w:rsidRPr="00A210E9">
        <w:rPr>
          <w:rFonts w:eastAsia="Calibri"/>
          <w:rtl/>
        </w:rPr>
        <w:t>בהנפק</w:t>
      </w:r>
      <w:r w:rsidRPr="00A210E9">
        <w:rPr>
          <w:rFonts w:eastAsia="Calibri" w:hint="cs"/>
          <w:rtl/>
        </w:rPr>
        <w:t>ת תגי חניה</w:t>
      </w:r>
      <w:r w:rsidRPr="00A210E9">
        <w:rPr>
          <w:rFonts w:eastAsia="Calibri"/>
          <w:rtl/>
        </w:rPr>
        <w:t xml:space="preserve"> ובבחינת מקרים מצומצמים ומגודרים אשר אינם יכולים להבחן במערכת אחרת.</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eastAsia"/>
          <w:rtl/>
        </w:rPr>
        <w:t>החשכ</w:t>
      </w:r>
      <w:r w:rsidRPr="00A210E9">
        <w:rPr>
          <w:rFonts w:eastAsia="Calibri"/>
          <w:rtl/>
        </w:rPr>
        <w:t>"ל מסר בתשוב</w:t>
      </w:r>
      <w:r w:rsidRPr="00A210E9">
        <w:rPr>
          <w:rFonts w:eastAsia="Calibri" w:hint="cs"/>
          <w:rtl/>
        </w:rPr>
        <w:t>ו</w:t>
      </w:r>
      <w:r w:rsidRPr="00A210E9">
        <w:rPr>
          <w:rFonts w:eastAsia="Calibri"/>
          <w:rtl/>
        </w:rPr>
        <w:t>ת</w:t>
      </w:r>
      <w:r w:rsidRPr="00A210E9">
        <w:rPr>
          <w:rFonts w:eastAsia="Calibri" w:hint="cs"/>
          <w:rtl/>
        </w:rPr>
        <w:t>י</w:t>
      </w:r>
      <w:r w:rsidRPr="00A210E9">
        <w:rPr>
          <w:rFonts w:eastAsia="Calibri"/>
          <w:rtl/>
        </w:rPr>
        <w:t xml:space="preserve">ו </w:t>
      </w:r>
      <w:r w:rsidRPr="00A210E9">
        <w:rPr>
          <w:rFonts w:eastAsia="Calibri" w:hint="eastAsia"/>
          <w:rtl/>
        </w:rPr>
        <w:t>כי</w:t>
      </w:r>
      <w:r w:rsidRPr="00A210E9">
        <w:rPr>
          <w:rFonts w:eastAsia="Calibri"/>
          <w:rtl/>
        </w:rPr>
        <w:t xml:space="preserve"> בטיוטת </w:t>
      </w:r>
      <w:r w:rsidRPr="00A210E9">
        <w:rPr>
          <w:rFonts w:eastAsia="Calibri" w:hint="cs"/>
          <w:rtl/>
        </w:rPr>
        <w:t>הדוח שהוא מגבש הגדיר הצוות הבין-משרדי 2025</w:t>
      </w:r>
      <w:r w:rsidRPr="00A210E9">
        <w:rPr>
          <w:rFonts w:eastAsia="Calibri"/>
          <w:rtl/>
        </w:rPr>
        <w:t xml:space="preserve"> כי קביעת הזכאות לתג תתבסס ככלל על החלטות הגופים המוסמכים לקביעת נכות על פי דין</w:t>
      </w:r>
      <w:r w:rsidRPr="00A210E9">
        <w:rPr>
          <w:rFonts w:eastAsia="Calibri" w:hint="cs"/>
          <w:rtl/>
        </w:rPr>
        <w:t>, שהם בעלי</w:t>
      </w:r>
      <w:r w:rsidRPr="00A210E9">
        <w:rPr>
          <w:rFonts w:eastAsia="Calibri"/>
          <w:rtl/>
        </w:rPr>
        <w:t xml:space="preserve"> ידע ומומחיות בביצוע בדיקות רפואיות, ובראשם הביטוח הלאומי, ולא על בדיקות של רופאי רשות הרישוי. </w:t>
      </w:r>
      <w:r w:rsidRPr="00A210E9">
        <w:rPr>
          <w:rFonts w:eastAsia="Calibri" w:hint="eastAsia"/>
          <w:rtl/>
        </w:rPr>
        <w:t>עוד</w:t>
      </w:r>
      <w:r w:rsidRPr="00A210E9">
        <w:rPr>
          <w:rFonts w:eastAsia="Calibri"/>
          <w:rtl/>
        </w:rPr>
        <w:t xml:space="preserve"> </w:t>
      </w:r>
      <w:r w:rsidRPr="00A210E9">
        <w:rPr>
          <w:rFonts w:eastAsia="Calibri" w:hint="eastAsia"/>
          <w:rtl/>
        </w:rPr>
        <w:t>ציין</w:t>
      </w:r>
      <w:r w:rsidRPr="00A210E9">
        <w:rPr>
          <w:rFonts w:eastAsia="Calibri"/>
          <w:rtl/>
        </w:rPr>
        <w:t xml:space="preserve"> </w:t>
      </w:r>
      <w:r w:rsidRPr="00A210E9">
        <w:rPr>
          <w:rFonts w:eastAsia="Calibri" w:hint="cs"/>
          <w:rtl/>
        </w:rPr>
        <w:t xml:space="preserve">אגף החשכ"ל </w:t>
      </w:r>
      <w:r w:rsidRPr="00A210E9">
        <w:rPr>
          <w:rFonts w:eastAsia="Calibri" w:hint="eastAsia"/>
          <w:rtl/>
        </w:rPr>
        <w:t>כי</w:t>
      </w:r>
      <w:r w:rsidRPr="00A210E9">
        <w:rPr>
          <w:rFonts w:eastAsia="Calibri"/>
          <w:rtl/>
        </w:rPr>
        <w:t xml:space="preserve"> </w:t>
      </w:r>
      <w:r w:rsidRPr="00A210E9">
        <w:rPr>
          <w:rFonts w:eastAsia="Calibri" w:hint="eastAsia"/>
          <w:rtl/>
        </w:rPr>
        <w:t>הצוות</w:t>
      </w:r>
      <w:r w:rsidRPr="00A210E9">
        <w:rPr>
          <w:rFonts w:eastAsia="Calibri"/>
          <w:rtl/>
        </w:rPr>
        <w:t xml:space="preserve"> </w:t>
      </w:r>
      <w:r w:rsidRPr="00A210E9">
        <w:rPr>
          <w:rFonts w:eastAsia="Calibri" w:hint="eastAsia"/>
          <w:rtl/>
        </w:rPr>
        <w:t>ה</w:t>
      </w:r>
      <w:r w:rsidRPr="00A210E9">
        <w:rPr>
          <w:rFonts w:eastAsia="Calibri"/>
          <w:rtl/>
        </w:rPr>
        <w:t xml:space="preserve">דגיש </w:t>
      </w:r>
      <w:r w:rsidRPr="00A210E9">
        <w:rPr>
          <w:rFonts w:eastAsia="Calibri" w:hint="cs"/>
          <w:rtl/>
        </w:rPr>
        <w:t xml:space="preserve">בטיוטת הדוח </w:t>
      </w:r>
      <w:r w:rsidRPr="00A210E9">
        <w:rPr>
          <w:rFonts w:eastAsia="Calibri"/>
          <w:rtl/>
        </w:rPr>
        <w:t xml:space="preserve">כי בניגוד להליך שהופעל ברשות הרישוי, שהתבסס על מסמכים רפואיים בלבד </w:t>
      </w:r>
      <w:r w:rsidRPr="00A210E9">
        <w:rPr>
          <w:rFonts w:eastAsia="Calibri" w:hint="cs"/>
          <w:rtl/>
        </w:rPr>
        <w:t xml:space="preserve">והתבצע </w:t>
      </w:r>
      <w:r w:rsidRPr="00A210E9">
        <w:rPr>
          <w:rFonts w:eastAsia="Calibri"/>
          <w:rtl/>
        </w:rPr>
        <w:t xml:space="preserve">וללא בדיקה פיזית, בגופים אלו </w:t>
      </w:r>
      <w:r w:rsidRPr="00A210E9">
        <w:rPr>
          <w:rFonts w:eastAsia="Calibri" w:hint="cs"/>
          <w:rtl/>
        </w:rPr>
        <w:t>מתבצעות</w:t>
      </w:r>
      <w:r w:rsidRPr="00A210E9">
        <w:rPr>
          <w:rFonts w:eastAsia="Calibri"/>
          <w:rtl/>
        </w:rPr>
        <w:t xml:space="preserve"> בדיקות רפואיות ותפקודיות סדורות, </w:t>
      </w:r>
      <w:r w:rsidRPr="00A210E9">
        <w:rPr>
          <w:rFonts w:eastAsia="Calibri" w:hint="cs"/>
          <w:rtl/>
        </w:rPr>
        <w:t>ובעת הצורך</w:t>
      </w:r>
      <w:r w:rsidRPr="00A210E9">
        <w:rPr>
          <w:rFonts w:eastAsia="Calibri"/>
          <w:rtl/>
        </w:rPr>
        <w:t xml:space="preserve"> מבוצעת גם בדיקה פיזית של הפונה. </w:t>
      </w:r>
      <w:r w:rsidRPr="00A210E9">
        <w:rPr>
          <w:rFonts w:eastAsia="Calibri" w:hint="eastAsia"/>
          <w:rtl/>
        </w:rPr>
        <w:t>החשכ</w:t>
      </w:r>
      <w:r w:rsidRPr="00A210E9">
        <w:rPr>
          <w:rFonts w:eastAsia="Calibri"/>
          <w:rtl/>
        </w:rPr>
        <w:t xml:space="preserve">"ל הוסיף כי המידע הרפואי הרלוונטי יועבר למשרד התחבורה </w:t>
      </w:r>
      <w:r w:rsidRPr="00A210E9">
        <w:rPr>
          <w:rFonts w:eastAsia="Calibri" w:hint="cs"/>
          <w:rtl/>
        </w:rPr>
        <w:t>ומשרד זה ימשיך לבדוק את התנאים המצויים בתחום סמכותו ו</w:t>
      </w:r>
      <w:r w:rsidRPr="00A210E9">
        <w:rPr>
          <w:rFonts w:eastAsia="Calibri"/>
          <w:rtl/>
        </w:rPr>
        <w:t xml:space="preserve">ימשיך </w:t>
      </w:r>
      <w:r w:rsidRPr="00A210E9">
        <w:rPr>
          <w:rFonts w:eastAsia="Calibri" w:hint="cs"/>
          <w:rtl/>
        </w:rPr>
        <w:t>לשאת באחריות</w:t>
      </w:r>
      <w:r w:rsidRPr="00A210E9">
        <w:rPr>
          <w:rFonts w:eastAsia="Calibri"/>
          <w:rtl/>
        </w:rPr>
        <w:t xml:space="preserve"> </w:t>
      </w:r>
      <w:r w:rsidRPr="00A210E9">
        <w:rPr>
          <w:rFonts w:eastAsia="Calibri" w:hint="cs"/>
          <w:rtl/>
        </w:rPr>
        <w:t>ל</w:t>
      </w:r>
      <w:r w:rsidRPr="00A210E9">
        <w:rPr>
          <w:rFonts w:eastAsia="Calibri"/>
          <w:rtl/>
        </w:rPr>
        <w:t>הנפקת התג</w:t>
      </w:r>
      <w:r w:rsidRPr="00A210E9">
        <w:rPr>
          <w:rFonts w:eastAsia="Calibri" w:hint="cs"/>
          <w:rtl/>
        </w:rPr>
        <w:t xml:space="preserve"> ול</w:t>
      </w:r>
      <w:r w:rsidRPr="00A210E9">
        <w:rPr>
          <w:rFonts w:eastAsia="Calibri"/>
          <w:rtl/>
        </w:rPr>
        <w:t>ניהול ההיבטים התחבורתיים והמינהליים של ההליך.</w:t>
      </w:r>
    </w:p>
    <w:p w:rsidR="00A210E9" w:rsidRPr="00A210E9" w:rsidP="00A210E9">
      <w:pPr>
        <w:keepNext/>
        <w:keepLines/>
        <w:spacing w:line="269" w:lineRule="auto"/>
        <w:ind w:left="-567"/>
        <w:rPr>
          <w:rFonts w:eastAsia="Calibri"/>
          <w:szCs w:val="20"/>
          <w:rtl/>
        </w:rPr>
      </w:pPr>
      <w:r w:rsidRPr="00A210E9">
        <w:rPr>
          <w:rFonts w:eastAsia="Calibri" w:hint="cs"/>
          <w:szCs w:val="20"/>
          <w:rtl/>
        </w:rPr>
        <w:t xml:space="preserve"> </w:t>
      </w:r>
    </w:p>
    <w:p w:rsidR="00A210E9" w:rsidRPr="00A210E9" w:rsidP="00A210E9">
      <w:pPr>
        <w:spacing w:line="269" w:lineRule="auto"/>
        <w:rPr>
          <w:rFonts w:eastAsia="Calibri"/>
          <w:b/>
          <w:bCs/>
          <w:rtl/>
        </w:rPr>
      </w:pPr>
      <w:r w:rsidRPr="00A210E9">
        <w:rPr>
          <w:rFonts w:eastAsia="Calibri" w:hint="cs"/>
          <w:b/>
          <w:bCs/>
          <w:rtl/>
        </w:rPr>
        <w:t>מתוקף אחריותו על פי חוק חניה לנכים, מומלץ למשרד התחבורה, בשיתוף הביטוח הלאומי, משרד הבריאות ונציבות שוויון זכויות, ותוך שמיעת ארגונים המייצגים אנשים עם מוגבלות, למצוא פתרונות מתאימים כדי לצמצם את היקף האוכלוסייה השיורית שמטופלת על ידי רופאי אגף הרישוי, וליצור מצב שבו מרבית התגים יאושרו על ידי רופאים המוסמכים לכך על פי דין.</w:t>
      </w:r>
    </w:p>
    <w:p w:rsidR="00A210E9" w:rsidRPr="00A210E9" w:rsidP="00A210E9">
      <w:pPr>
        <w:spacing w:line="269" w:lineRule="auto"/>
        <w:rPr>
          <w:rFonts w:eastAsia="Calibri"/>
          <w:b/>
          <w:bCs/>
          <w:rtl/>
        </w:rPr>
      </w:pPr>
    </w:p>
    <w:p w:rsidR="00A210E9" w:rsidRPr="00A210E9" w:rsidP="00A210E9">
      <w:pPr>
        <w:keepNext/>
        <w:keepLines/>
        <w:spacing w:line="269" w:lineRule="auto"/>
        <w:outlineLvl w:val="3"/>
        <w:rPr>
          <w:rFonts w:eastAsia="Times New Roman"/>
          <w:bCs/>
          <w:szCs w:val="26"/>
          <w:rtl/>
        </w:rPr>
      </w:pPr>
      <w:r w:rsidRPr="00A210E9">
        <w:rPr>
          <w:rFonts w:eastAsia="Times New Roman" w:hint="eastAsia"/>
          <w:bCs/>
          <w:szCs w:val="26"/>
          <w:rtl/>
        </w:rPr>
        <w:t>נ</w:t>
      </w:r>
      <w:r w:rsidRPr="00A210E9">
        <w:rPr>
          <w:rFonts w:eastAsia="Times New Roman" w:hint="cs"/>
          <w:bCs/>
          <w:szCs w:val="26"/>
          <w:rtl/>
        </w:rPr>
        <w:t>ו</w:t>
      </w:r>
      <w:r w:rsidRPr="00A210E9">
        <w:rPr>
          <w:rFonts w:eastAsia="Times New Roman" w:hint="eastAsia"/>
          <w:bCs/>
          <w:szCs w:val="26"/>
          <w:rtl/>
        </w:rPr>
        <w:t>הלי</w:t>
      </w:r>
      <w:r w:rsidRPr="00A210E9">
        <w:rPr>
          <w:rFonts w:eastAsia="Times New Roman" w:hint="cs"/>
          <w:bCs/>
          <w:szCs w:val="26"/>
          <w:rtl/>
        </w:rPr>
        <w:t xml:space="preserve"> עבודה של רשות הרישוי</w:t>
      </w:r>
    </w:p>
    <w:p w:rsidR="00A210E9" w:rsidRPr="00A210E9" w:rsidP="00A210E9">
      <w:pPr>
        <w:keepNext/>
        <w:keepLines/>
        <w:spacing w:line="269" w:lineRule="auto"/>
        <w:ind w:left="-567"/>
        <w:rPr>
          <w:rFonts w:eastAsia="Calibri"/>
          <w:szCs w:val="20"/>
          <w:rtl/>
        </w:rPr>
      </w:pPr>
    </w:p>
    <w:p w:rsidR="00A210E9" w:rsidRPr="00A210E9" w:rsidP="00A210E9">
      <w:pPr>
        <w:numPr>
          <w:ilvl w:val="0"/>
          <w:numId w:val="16"/>
        </w:numPr>
        <w:spacing w:line="269" w:lineRule="auto"/>
        <w:ind w:left="312"/>
        <w:contextualSpacing/>
        <w:rPr>
          <w:rFonts w:eastAsia="Calibri"/>
          <w:rtl/>
        </w:rPr>
      </w:pPr>
      <w:r w:rsidRPr="00A210E9">
        <w:rPr>
          <w:rFonts w:eastAsia="Calibri" w:hint="cs"/>
          <w:rtl/>
        </w:rPr>
        <w:t>הוראת נוהל 2/2015, שכותרתה "הטיפול במוגבלי ניידות, קבלת תג [חניה], אגרת רישוי מופחתת" (להלן - נוהל 2/2015), משמשת נוהל עבודה עבור רוב רכיבי תהליך הנפקת תגי חניה. הנוהל ממוען הן לגורמים בתוך משרד התחבורה והן לגורמים חיצוניים כמו משטרת ישראל, מרכז השלטון המקומי וארגונים המייצגים אנשים עם מוגבלות.</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ind w:left="312"/>
        <w:rPr>
          <w:rFonts w:eastAsia="Calibri"/>
          <w:rtl/>
        </w:rPr>
      </w:pPr>
      <w:r w:rsidRPr="00A210E9">
        <w:rPr>
          <w:rFonts w:eastAsia="Calibri"/>
          <w:rtl/>
        </w:rPr>
        <w:t>גוף הנוהל מתייחס לתהליכי עבודה ישנים ולא עודכנו בו תהליכי העבודה החדשים המנוהלים באופן ממוחשב</w:t>
      </w:r>
      <w:r w:rsidRPr="00A210E9">
        <w:rPr>
          <w:rFonts w:eastAsia="Calibri" w:hint="cs"/>
          <w:rtl/>
        </w:rPr>
        <w:t>. כמו כן, הוא אינו כולל רכיבים מהותיים -</w:t>
      </w:r>
      <w:r w:rsidRPr="00A210E9">
        <w:rPr>
          <w:rFonts w:eastAsia="Calibri" w:hint="cs"/>
        </w:rPr>
        <w:t xml:space="preserve"> </w:t>
      </w:r>
      <w:r w:rsidRPr="00A210E9">
        <w:rPr>
          <w:rFonts w:eastAsia="Calibri" w:hint="cs"/>
          <w:rtl/>
        </w:rPr>
        <w:t xml:space="preserve">בהיעדר קריטריונים ברורים לזכאות לתג חניה, גם נוהל זה אינו מגדיר את אוכלוסיות הזכאיות לתגי חניה; בהיעדר קריטריונים ברורים לגבי תוקף התג, גם נושא זה אינו מקבל ביטוי בנוהל; הנוהל אינו מתייחס לבקרות על תהליך הנפקת התג בכלל ועל תהליך הבחינה הרפואית של הבקשות בפרט. נוסף על כך, הנוהל מציין כי ניתן להגיש ערעור על החלטה בבקשה, אולם בפועל אפשרות זו לא הייתה קיימת, והדרך היחידה לעשות כן הייתה באמצעות הגשת בקשה נוספת שנבחנה מחדש.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ind w:left="312"/>
        <w:rPr>
          <w:rFonts w:eastAsia="Calibri"/>
          <w:rtl/>
        </w:rPr>
      </w:pPr>
      <w:r w:rsidRPr="00A210E9">
        <w:rPr>
          <w:rFonts w:eastAsia="Calibri"/>
          <w:rtl/>
        </w:rPr>
        <w:t>ב</w:t>
      </w:r>
      <w:r w:rsidRPr="00A210E9">
        <w:rPr>
          <w:rFonts w:eastAsia="Calibri" w:hint="cs"/>
          <w:rtl/>
        </w:rPr>
        <w:t xml:space="preserve">שנת </w:t>
      </w:r>
      <w:r w:rsidRPr="00A210E9">
        <w:rPr>
          <w:rFonts w:eastAsia="Calibri"/>
          <w:rtl/>
        </w:rPr>
        <w:t>2018 העירה</w:t>
      </w:r>
      <w:r w:rsidRPr="00A210E9">
        <w:rPr>
          <w:rFonts w:eastAsia="Calibri" w:hint="cs"/>
          <w:rtl/>
        </w:rPr>
        <w:t xml:space="preserve"> המבקרת</w:t>
      </w:r>
      <w:r w:rsidRPr="00A210E9">
        <w:rPr>
          <w:rFonts w:eastAsia="Calibri"/>
          <w:rtl/>
        </w:rPr>
        <w:t xml:space="preserve"> הפנימית </w:t>
      </w:r>
      <w:r w:rsidRPr="00A210E9">
        <w:rPr>
          <w:rFonts w:eastAsia="Calibri" w:hint="cs"/>
          <w:rtl/>
        </w:rPr>
        <w:t>של משרד התחבורה</w:t>
      </w:r>
      <w:r>
        <w:rPr>
          <w:rFonts w:eastAsia="Calibri"/>
          <w:vertAlign w:val="superscript"/>
          <w:rtl/>
        </w:rPr>
        <w:footnoteReference w:id="149"/>
      </w:r>
      <w:r w:rsidRPr="00A210E9">
        <w:rPr>
          <w:rFonts w:eastAsia="Calibri"/>
          <w:rtl/>
        </w:rPr>
        <w:t xml:space="preserve"> למשרד </w:t>
      </w:r>
      <w:r w:rsidRPr="00A210E9">
        <w:rPr>
          <w:rFonts w:eastAsia="Calibri" w:hint="cs"/>
          <w:rtl/>
        </w:rPr>
        <w:t>על</w:t>
      </w:r>
      <w:r w:rsidRPr="00A210E9">
        <w:rPr>
          <w:rFonts w:eastAsia="Calibri"/>
          <w:rtl/>
        </w:rPr>
        <w:t xml:space="preserve"> היעדר קריטריונים ברורים ומוסכמים </w:t>
      </w:r>
      <w:r w:rsidRPr="00A210E9">
        <w:rPr>
          <w:rFonts w:eastAsia="Calibri" w:hint="cs"/>
          <w:rtl/>
        </w:rPr>
        <w:t>שישמשו את</w:t>
      </w:r>
      <w:r w:rsidRPr="00A210E9">
        <w:rPr>
          <w:rFonts w:eastAsia="Calibri"/>
          <w:rtl/>
        </w:rPr>
        <w:t xml:space="preserve"> הרופאים הבודקים את הבקשות לקבלת תג חניה</w:t>
      </w:r>
      <w:r w:rsidRPr="00A210E9">
        <w:rPr>
          <w:rFonts w:eastAsia="Calibri" w:hint="cs"/>
          <w:rtl/>
        </w:rPr>
        <w:t>. היא המליצה: "</w:t>
      </w:r>
      <w:r w:rsidRPr="00A210E9">
        <w:rPr>
          <w:rFonts w:eastAsia="Calibri"/>
          <w:rtl/>
        </w:rPr>
        <w:t xml:space="preserve">על אגף </w:t>
      </w:r>
      <w:r w:rsidRPr="00A210E9">
        <w:rPr>
          <w:rFonts w:eastAsia="Calibri" w:hint="cs"/>
          <w:rtl/>
        </w:rPr>
        <w:t>ה</w:t>
      </w:r>
      <w:r w:rsidRPr="00A210E9">
        <w:rPr>
          <w:rFonts w:eastAsia="Calibri"/>
          <w:rtl/>
        </w:rPr>
        <w:t>רישוי בשיתוף הלשכה המשפטית לשוב ולהעלות עניין זה לסדר היום ולפעול ביתר נחישות להסדרתו בהקדם</w:t>
      </w:r>
      <w:r w:rsidRPr="00A210E9">
        <w:rPr>
          <w:rFonts w:eastAsia="Calibri" w:hint="cs"/>
          <w:rtl/>
        </w:rPr>
        <w:t>". המבקרת הוסיפה כי</w:t>
      </w:r>
      <w:r w:rsidRPr="00A210E9">
        <w:rPr>
          <w:rFonts w:eastAsia="Calibri"/>
          <w:rtl/>
        </w:rPr>
        <w:t xml:space="preserve"> </w:t>
      </w:r>
      <w:r w:rsidRPr="00A210E9">
        <w:rPr>
          <w:rFonts w:eastAsia="Calibri" w:hint="cs"/>
          <w:rtl/>
        </w:rPr>
        <w:t>"</w:t>
      </w:r>
      <w:r w:rsidRPr="00A210E9">
        <w:rPr>
          <w:rFonts w:eastAsia="Calibri"/>
          <w:rtl/>
        </w:rPr>
        <w:t>נושא הגדרת הקריטריונים מתעכב מזה שנים ויש צורך לקדמו באופן שהשלמת הפעילות כסדרה תצמצם את מרחב הפרשנות האישית של הרופא בעת בדיקת הבקשות ותאפשר הנמקות ראויות וברורות</w:t>
      </w:r>
      <w:r w:rsidRPr="00A210E9">
        <w:rPr>
          <w:rFonts w:eastAsia="Calibri" w:hint="cs"/>
          <w:rtl/>
        </w:rPr>
        <w:t>,</w:t>
      </w:r>
      <w:r w:rsidRPr="00A210E9">
        <w:rPr>
          <w:rFonts w:eastAsia="Calibri"/>
          <w:rtl/>
        </w:rPr>
        <w:t xml:space="preserve"> שיהיה בהן בין השאר כדי לצמצם פניות חוזרות של אזרחים שבקשתם נדחתה</w:t>
      </w:r>
      <w:r w:rsidRPr="00A210E9">
        <w:rPr>
          <w:rFonts w:eastAsia="Calibri" w:hint="cs"/>
          <w:rtl/>
        </w:rPr>
        <w:t>". בשנת 2024 ציינה הביקורת הפנימית, בדוח מעקב אחר תיקון הליקויים שנמצאו בשנת 2018, כי אומנם נערכו דיונים בהובלת משרד התחבורה, בין היתר מול משרד הבריאות ובט"ל, בנוגע לגיבוש נהלים וקריטריונים חדשים, אולם צעדים אלה טרם הניבו תוצאות. בהיעדר שינוי בתהליכי העבודה הקיימים, מרבית הליקויים שנמצאו בתהליך הטיפול בתגים עדיין עומדים בעינם. עוד ציינה כי מומלץ לפרסם נוהל שבין היתר יפרט את הסמכויות ותחומי האחריות של הגורמים השונים המעורבים בטיפול בתגי חניה ואת תהליכי העבודה המתקיימים ביניהם, יציג תרשים של אבני הדרך בטיפול בבקשות לסוגיהן השונים ויקבע הנחיות תפעוליות לעובדים.</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ind w:left="312"/>
        <w:rPr>
          <w:rFonts w:eastAsia="Calibri"/>
          <w:rtl/>
        </w:rPr>
      </w:pPr>
      <w:r w:rsidRPr="00A210E9">
        <w:rPr>
          <w:rFonts w:eastAsia="Calibri" w:hint="cs"/>
          <w:rtl/>
        </w:rPr>
        <w:t>ביוני 2025 פרסם משרד התחבורה לציבור נוהל "</w:t>
      </w:r>
      <w:r w:rsidRPr="00A210E9">
        <w:rPr>
          <w:rFonts w:eastAsia="Calibri"/>
          <w:rtl/>
        </w:rPr>
        <w:t>הגשת בקשות בדבר זכאות רפואית לתג חניה</w:t>
      </w:r>
      <w:r w:rsidRPr="00A210E9">
        <w:rPr>
          <w:rFonts w:eastAsia="Calibri" w:hint="cs"/>
          <w:rtl/>
        </w:rPr>
        <w:t>...</w:t>
      </w:r>
      <w:r w:rsidRPr="00A210E9">
        <w:rPr>
          <w:rFonts w:eastAsia="Calibri"/>
          <w:rtl/>
        </w:rPr>
        <w:t xml:space="preserve"> והשגה על החלטה</w:t>
      </w:r>
      <w:r w:rsidRPr="00A210E9">
        <w:rPr>
          <w:rFonts w:eastAsia="Calibri" w:hint="cs"/>
          <w:rtl/>
        </w:rPr>
        <w:t>"</w:t>
      </w:r>
      <w:r>
        <w:rPr>
          <w:rFonts w:eastAsia="Calibri"/>
          <w:vertAlign w:val="superscript"/>
          <w:rtl/>
        </w:rPr>
        <w:footnoteReference w:id="150"/>
      </w:r>
      <w:r w:rsidRPr="00A210E9">
        <w:rPr>
          <w:rFonts w:eastAsia="Calibri" w:hint="cs"/>
          <w:rtl/>
        </w:rPr>
        <w:t xml:space="preserve"> (להלן - נוהל 2025). הנוהל מגדיר את </w:t>
      </w:r>
      <w:r w:rsidRPr="00A210E9">
        <w:rPr>
          <w:rFonts w:eastAsia="Calibri"/>
          <w:rtl/>
        </w:rPr>
        <w:t xml:space="preserve">אופן הגשת בקשה לתג חניה </w:t>
      </w:r>
      <w:r w:rsidRPr="00A210E9">
        <w:rPr>
          <w:rFonts w:eastAsia="Calibri" w:hint="cs"/>
          <w:rtl/>
        </w:rPr>
        <w:t xml:space="preserve">לאגף הרישוי, והוא אינו עוסק באישור זכאות לתג על ידי רופאים אחרים המוסמכים על פי דין. הנוהל מפרט בין היתר אילו מסמכים רפואיים חתומים בידי רופאים מקצועיים יש לצרף לבקשה, את </w:t>
      </w:r>
      <w:r w:rsidRPr="00A210E9">
        <w:rPr>
          <w:rFonts w:eastAsia="Calibri"/>
          <w:rtl/>
        </w:rPr>
        <w:t xml:space="preserve">האופן </w:t>
      </w:r>
      <w:r w:rsidRPr="00A210E9">
        <w:rPr>
          <w:rFonts w:eastAsia="Calibri" w:hint="cs"/>
          <w:rtl/>
        </w:rPr>
        <w:t>ש</w:t>
      </w:r>
      <w:r w:rsidRPr="00A210E9">
        <w:rPr>
          <w:rFonts w:eastAsia="Calibri"/>
          <w:rtl/>
        </w:rPr>
        <w:t>בו ניתן להגיש השגה ו</w:t>
      </w:r>
      <w:r w:rsidRPr="00A210E9">
        <w:rPr>
          <w:rFonts w:eastAsia="Calibri" w:hint="cs"/>
          <w:rtl/>
        </w:rPr>
        <w:t xml:space="preserve">את </w:t>
      </w:r>
      <w:r w:rsidRPr="00A210E9">
        <w:rPr>
          <w:rFonts w:eastAsia="Calibri"/>
          <w:rtl/>
        </w:rPr>
        <w:t xml:space="preserve">המועד </w:t>
      </w:r>
      <w:r w:rsidRPr="00A210E9">
        <w:rPr>
          <w:rFonts w:eastAsia="Calibri" w:hint="cs"/>
          <w:rtl/>
        </w:rPr>
        <w:t>ש</w:t>
      </w:r>
      <w:r w:rsidRPr="00A210E9">
        <w:rPr>
          <w:rFonts w:eastAsia="Calibri"/>
          <w:rtl/>
        </w:rPr>
        <w:t xml:space="preserve">בו ניתן להגיש בקשה </w:t>
      </w:r>
      <w:r w:rsidRPr="00A210E9">
        <w:rPr>
          <w:rFonts w:eastAsia="Calibri" w:hint="cs"/>
          <w:rtl/>
        </w:rPr>
        <w:t xml:space="preserve">נוספת </w:t>
      </w:r>
      <w:r w:rsidRPr="00A210E9">
        <w:rPr>
          <w:rFonts w:eastAsia="Calibri"/>
          <w:rtl/>
        </w:rPr>
        <w:t>עקב שינוי במצב הרפואי.</w:t>
      </w:r>
      <w:r w:rsidRPr="00A210E9">
        <w:rPr>
          <w:rFonts w:eastAsia="Calibri" w:hint="cs"/>
          <w:rtl/>
        </w:rPr>
        <w:t xml:space="preserve"> הנוהל מתייחס גם לכמה רכיבים אשר בעבר הטיפול בהם לא היה מוסדר - הנוהל מאפשר השלמת מסמכים במקרה שרופא אגף הרישוי מחליט כי יש להשלים מסמכים או מידע; הנוהל מגדיר את התנאים להגשת </w:t>
      </w:r>
      <w:r w:rsidRPr="00A210E9">
        <w:rPr>
          <w:rFonts w:eastAsia="Calibri"/>
          <w:rtl/>
        </w:rPr>
        <w:t>בקשה חוזרת עקב החמרה במצב הרפואי</w:t>
      </w:r>
      <w:r w:rsidRPr="00A210E9">
        <w:rPr>
          <w:rFonts w:eastAsia="Calibri" w:hint="cs"/>
          <w:rtl/>
        </w:rPr>
        <w:t xml:space="preserve"> או להגשת </w:t>
      </w:r>
      <w:r w:rsidRPr="00A210E9">
        <w:rPr>
          <w:rFonts w:eastAsia="Calibri"/>
          <w:rtl/>
        </w:rPr>
        <w:t>השגה על החלטת רופא</w:t>
      </w:r>
      <w:r w:rsidRPr="00A210E9">
        <w:rPr>
          <w:rFonts w:eastAsia="Calibri" w:hint="cs"/>
          <w:rtl/>
        </w:rPr>
        <w:t>; הנוהל קובע כי ניתן להגיש בקשה חדשה לאחר שנדחתה השגה או בקשה קודמת כעבור שישה חודשים. רוב רכיבי הנוהל נכנסו לתוקף ביוני 2025 ושאר הרכיבים בתחילת אוגוסט 2025</w:t>
      </w:r>
      <w:r w:rsidRPr="00A210E9">
        <w:rPr>
          <w:rFonts w:eastAsia="Calibri"/>
          <w:rtl/>
        </w:rPr>
        <w:t>.</w:t>
      </w:r>
      <w:r w:rsidRPr="00A210E9">
        <w:rPr>
          <w:rFonts w:eastAsia="Calibri" w:hint="cs"/>
          <w:rtl/>
        </w:rPr>
        <w:t xml:space="preserve"> תוקפו של הנוהל נקבע כהוראת שעה למשך שנה שבמהלכה ייבחנו שינויים מהותיים בתהליך הנפקת התגים וכן יופקו לקחים מיישום הנוהל. משרד התחבורה כתב בתשובתו כי </w:t>
      </w:r>
      <w:r w:rsidRPr="00A210E9">
        <w:rPr>
          <w:rFonts w:eastAsia="Calibri"/>
          <w:rtl/>
        </w:rPr>
        <w:t xml:space="preserve">במסגרת ההסדרה מקודם פתרון מחשובי שיאפשר להגיש בקשת החמרת מצב </w:t>
      </w:r>
      <w:r w:rsidRPr="00A210E9">
        <w:rPr>
          <w:rFonts w:eastAsia="Calibri" w:hint="cs"/>
          <w:rtl/>
        </w:rPr>
        <w:t>בתדירות מוגדרת, והוסיף כי תוסר</w:t>
      </w:r>
      <w:r w:rsidRPr="00A210E9">
        <w:rPr>
          <w:rFonts w:eastAsia="Calibri"/>
          <w:rtl/>
        </w:rPr>
        <w:t xml:space="preserve"> האפשרות להגיש בקשות חוזרות באופן בלתי מוגבל.</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ind w:left="312"/>
        <w:rPr>
          <w:rFonts w:eastAsia="Calibri"/>
          <w:b/>
          <w:bCs/>
          <w:rtl/>
        </w:rPr>
      </w:pPr>
      <w:r w:rsidRPr="00A210E9">
        <w:rPr>
          <w:rFonts w:eastAsia="Calibri" w:hint="cs"/>
          <w:b/>
          <w:bCs/>
          <w:rtl/>
        </w:rPr>
        <w:t>נוהל 2/2015 ונוהל 2025 של משרד התחבורה עוסקים שניהם בתהליך זהה של הנפקת תגי חניה לאנשים עם מוגבלות אולם עם דגשים שונים גם במטרות</w:t>
      </w:r>
      <w:r>
        <w:rPr>
          <w:rFonts w:eastAsia="Calibri"/>
          <w:b/>
          <w:bCs/>
          <w:vertAlign w:val="superscript"/>
          <w:rtl/>
        </w:rPr>
        <w:footnoteReference w:id="151"/>
      </w:r>
      <w:r w:rsidRPr="00A210E9">
        <w:rPr>
          <w:rFonts w:eastAsia="Calibri" w:hint="cs"/>
          <w:b/>
          <w:bCs/>
          <w:rtl/>
        </w:rPr>
        <w:t xml:space="preserve"> וגם בתהליך. בנוהל 2025 לא מצוין אם הוא מחליף את נוהל 2/2015 או מוסיף עליו. בפועל, אין חפיפה מלאה בין הנושאים הכלולים בשני הנהלים. חלק מהנושאים חופפים, אך יש בהם אי-הלימה בחלק מהפרמטרים כמו משך הזמן שבו ניתן להגיש השגה על החלטה שהתקבלה לבקשה לתג חניה או משך הזמן שבו ניתן להגיש בקשה חוזרת לתג וזאת משום שנוהל 2025 מותאם לתהליכים מעודכנים יותר שהוסדרו בשנת 2025, כמו תהליך ההשגה.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ind w:left="312"/>
        <w:rPr>
          <w:rFonts w:eastAsia="Calibri"/>
          <w:rtl/>
        </w:rPr>
      </w:pPr>
      <w:r w:rsidRPr="00A210E9">
        <w:rPr>
          <w:rFonts w:eastAsia="Calibri" w:hint="cs"/>
          <w:rtl/>
        </w:rPr>
        <w:t>באתר אגף הרישוי במרשתת (אינטרנט) מפורסם "מדריך תג חניה לנכה"</w:t>
      </w:r>
      <w:r>
        <w:rPr>
          <w:rFonts w:eastAsia="Calibri"/>
          <w:vertAlign w:val="superscript"/>
          <w:rtl/>
        </w:rPr>
        <w:footnoteReference w:id="152"/>
      </w:r>
      <w:r w:rsidRPr="00A210E9">
        <w:rPr>
          <w:rFonts w:eastAsia="Calibri" w:hint="cs"/>
          <w:rtl/>
        </w:rPr>
        <w:t xml:space="preserve">, הכולל מידע בנושא ואף בו יש סתירות בין שני הנהלים וההנחיות באתר. למשל, בלשונית של </w:t>
      </w:r>
      <w:r w:rsidRPr="00A210E9">
        <w:rPr>
          <w:rFonts w:eastAsia="Calibri"/>
          <w:rtl/>
        </w:rPr>
        <w:t>הגשת בקשה</w:t>
      </w:r>
      <w:r w:rsidRPr="00A210E9">
        <w:rPr>
          <w:rFonts w:eastAsia="Calibri" w:hint="cs"/>
          <w:rtl/>
        </w:rPr>
        <w:t xml:space="preserve"> לתג חניה מופיע כי ההגשה נעשית</w:t>
      </w:r>
      <w:r w:rsidRPr="00A210E9">
        <w:rPr>
          <w:rFonts w:eastAsia="Calibri"/>
          <w:rtl/>
        </w:rPr>
        <w:t xml:space="preserve"> באמצעות טופס דיגיטלי</w:t>
      </w:r>
      <w:r w:rsidRPr="00A210E9">
        <w:rPr>
          <w:rFonts w:eastAsia="Calibri" w:hint="cs"/>
          <w:rtl/>
        </w:rPr>
        <w:t xml:space="preserve"> בלבד, ולא צוינה האפשרות להגיש בקשה באמצעות הדואר</w:t>
      </w:r>
      <w:r>
        <w:rPr>
          <w:rFonts w:eastAsia="Calibri"/>
          <w:vertAlign w:val="superscript"/>
          <w:rtl/>
        </w:rPr>
        <w:footnoteReference w:id="153"/>
      </w:r>
      <w:r w:rsidRPr="00A210E9">
        <w:rPr>
          <w:rFonts w:eastAsia="Calibri" w:hint="cs"/>
          <w:rtl/>
        </w:rPr>
        <w:t>; בלשונית של "זכאים בעלי אישור נכות" ובטופס המילוי עצמו מצוינת הנחיה על הגשת מסמכים רפואיים עדכניים לשלושת החודשים האחרונים, לעומת נוהל 2025 שבו מצוין ש</w:t>
      </w:r>
      <w:r w:rsidRPr="00A210E9">
        <w:rPr>
          <w:rFonts w:eastAsia="Calibri"/>
          <w:rtl/>
        </w:rPr>
        <w:t>על המסמכים הרפואיים להיות</w:t>
      </w:r>
      <w:r w:rsidRPr="00A210E9">
        <w:rPr>
          <w:rFonts w:eastAsia="Calibri" w:hint="cs"/>
          <w:rtl/>
        </w:rPr>
        <w:t xml:space="preserve"> מעודכנים</w:t>
      </w:r>
      <w:r w:rsidRPr="00A210E9">
        <w:rPr>
          <w:rFonts w:eastAsia="Calibri"/>
          <w:rtl/>
        </w:rPr>
        <w:t xml:space="preserve"> </w:t>
      </w:r>
      <w:r w:rsidRPr="00A210E9">
        <w:rPr>
          <w:rFonts w:eastAsia="Calibri" w:hint="cs"/>
          <w:rtl/>
        </w:rPr>
        <w:t>ל</w:t>
      </w:r>
      <w:r w:rsidRPr="00A210E9">
        <w:rPr>
          <w:rFonts w:eastAsia="Calibri"/>
          <w:rtl/>
        </w:rPr>
        <w:t>-12 החודשים שקדמו להגשת</w:t>
      </w:r>
      <w:r w:rsidRPr="00A210E9">
        <w:rPr>
          <w:rFonts w:eastAsia="Calibri" w:hint="cs"/>
          <w:rtl/>
        </w:rPr>
        <w:t xml:space="preserve"> </w:t>
      </w:r>
      <w:r w:rsidRPr="00A210E9">
        <w:rPr>
          <w:rFonts w:eastAsia="Calibri"/>
          <w:rtl/>
        </w:rPr>
        <w:t>הבקשה</w:t>
      </w:r>
      <w:r w:rsidRPr="00A210E9">
        <w:rPr>
          <w:rFonts w:eastAsia="Calibri" w:hint="cs"/>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ind w:left="312"/>
        <w:rPr>
          <w:rFonts w:eastAsia="Calibri"/>
          <w:b/>
          <w:bCs/>
          <w:rtl/>
        </w:rPr>
      </w:pPr>
      <w:r w:rsidRPr="00A210E9">
        <w:rPr>
          <w:rFonts w:eastAsia="Calibri" w:hint="cs"/>
          <w:b/>
          <w:bCs/>
          <w:rtl/>
        </w:rPr>
        <w:t xml:space="preserve">בביקורת עלה כי על פניו באגף הרישוי יש שלושה נהלים שונים בתוקף בנושא הנפקת תגי חניה לאנשים עם מוגבלות (נוהל 2/2015, נוהל 2025 וההנחיות במרשתת), אך חלק מההוראות בנהלים אינן מעודכנות, ונמצאה אי-הלימה בחלק מהנושאים שחופפים ביניהם. עוד עלה כי נוהל 2/2015 אינו מתייחס לרכיבים מהותיים כגון הגדרת אוכלוסיות הזכאיות לתגי חניה, בקרות על תהליך הבחינה הרפואית של הבקשות וקריטריונים לתוקף התג. </w:t>
      </w:r>
    </w:p>
    <w:p w:rsidR="00A210E9" w:rsidRPr="00A210E9" w:rsidP="00A210E9">
      <w:pPr>
        <w:spacing w:line="269" w:lineRule="auto"/>
        <w:ind w:left="312"/>
        <w:rPr>
          <w:rFonts w:eastAsia="Calibri"/>
          <w:b/>
          <w:bCs/>
          <w:rtl/>
        </w:rPr>
      </w:pPr>
      <w:r w:rsidRPr="00A210E9">
        <w:rPr>
          <w:rFonts w:eastAsia="Calibri" w:hint="cs"/>
          <w:b/>
          <w:bCs/>
          <w:rtl/>
        </w:rPr>
        <w:t xml:space="preserve">עד פרסום נוהל 2025 ביוני 2025 לא הוסדרו היבטים בתהליך הנפקת התגים, כמו האפשרות להשלים מסמכים או מידע אם אגף הרישוי מחליט על כך; פירוט התנאים להגשת בקשה חוזרת במקרה של החמרה במצב הרפואי של מגיש הבקשה או הגשת השגה מטעם המבקש על החלטת רופא. </w:t>
      </w:r>
      <w:r w:rsidRPr="00A210E9">
        <w:rPr>
          <w:rFonts w:eastAsia="Calibri"/>
          <w:b/>
          <w:bCs/>
          <w:rtl/>
        </w:rPr>
        <w:t>בביקורת עלה כי גם לאחר גיבוש הנוהל מ</w:t>
      </w:r>
      <w:r w:rsidRPr="00A210E9">
        <w:rPr>
          <w:rFonts w:eastAsia="Calibri" w:hint="cs"/>
          <w:b/>
          <w:bCs/>
          <w:rtl/>
        </w:rPr>
        <w:t xml:space="preserve">שנת </w:t>
      </w:r>
      <w:r w:rsidRPr="00A210E9">
        <w:rPr>
          <w:rFonts w:eastAsia="Calibri"/>
          <w:b/>
          <w:bCs/>
          <w:rtl/>
        </w:rPr>
        <w:t xml:space="preserve">2025 אין למשרד התחבורה קריטריונים ברורים שמבהירים למגיש הבקשה לתג </w:t>
      </w:r>
      <w:r w:rsidRPr="00A210E9">
        <w:rPr>
          <w:rFonts w:eastAsia="Calibri" w:hint="cs"/>
          <w:b/>
          <w:bCs/>
          <w:rtl/>
        </w:rPr>
        <w:t>אילו מוגבלויות מזכות בתג</w:t>
      </w:r>
      <w:r w:rsidRPr="00A210E9">
        <w:rPr>
          <w:rFonts w:eastAsia="Calibri"/>
          <w:b/>
          <w:bCs/>
          <w:rtl/>
        </w:rPr>
        <w:t>. לנוהל מצורפת רשימת המסמכים הרפואיים שעל מגיש הבקשה לצרף לבקשה, שהיא א</w:t>
      </w:r>
      <w:r w:rsidRPr="00A210E9">
        <w:rPr>
          <w:rFonts w:eastAsia="Calibri" w:hint="cs"/>
          <w:b/>
          <w:bCs/>
          <w:rtl/>
        </w:rPr>
        <w:t>ו</w:t>
      </w:r>
      <w:r w:rsidRPr="00A210E9">
        <w:rPr>
          <w:rFonts w:eastAsia="Calibri"/>
          <w:b/>
          <w:bCs/>
          <w:rtl/>
        </w:rPr>
        <w:t>מנם רומזת על הקריטריונים, אולם אינה תחליף לקריטריונים ברורים</w:t>
      </w:r>
      <w:r w:rsidRPr="00A210E9">
        <w:rPr>
          <w:rFonts w:eastAsia="Calibri" w:hint="cs"/>
          <w:b/>
          <w:bCs/>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ind w:left="312"/>
        <w:rPr>
          <w:rFonts w:eastAsia="Calibri"/>
          <w:b/>
          <w:bCs/>
          <w:rtl/>
        </w:rPr>
      </w:pPr>
      <w:r w:rsidRPr="00A210E9">
        <w:rPr>
          <w:rFonts w:eastAsia="Calibri" w:hint="cs"/>
          <w:b/>
          <w:bCs/>
          <w:rtl/>
        </w:rPr>
        <w:t>משרד מבקר המדינה ממליץ למשרד התחבורה לוודא באמצעות בקרות מתאימות כי ההסדרה החדשה, כפי שהיא מופיעה בנוהל 2025 שהוגדר כהוראת שעה, מתקיימת כסדרה ולבחון את השפעותיה.</w:t>
      </w:r>
      <w:r w:rsidRPr="00A210E9">
        <w:rPr>
          <w:rFonts w:eastAsia="Calibri" w:hint="cs"/>
          <w:rtl/>
        </w:rPr>
        <w:t xml:space="preserve"> </w:t>
      </w:r>
      <w:r w:rsidRPr="00A210E9">
        <w:rPr>
          <w:rFonts w:eastAsia="Calibri" w:hint="cs"/>
          <w:b/>
          <w:bCs/>
          <w:rtl/>
        </w:rPr>
        <w:t xml:space="preserve">את המסקנות יש ליישם במסגרת גיבוש </w:t>
      </w:r>
      <w:r w:rsidRPr="00A210E9">
        <w:rPr>
          <w:rFonts w:eastAsia="Calibri"/>
          <w:b/>
          <w:bCs/>
          <w:rtl/>
        </w:rPr>
        <w:t>נהלים קבועים שיסדירו את מכלול הנושאים הנוגעים לתגי חניה</w:t>
      </w:r>
      <w:r w:rsidRPr="00A210E9">
        <w:rPr>
          <w:rFonts w:eastAsia="Calibri" w:hint="cs"/>
          <w:b/>
          <w:bCs/>
          <w:rtl/>
        </w:rPr>
        <w:t xml:space="preserve">. </w:t>
      </w:r>
      <w:r w:rsidRPr="00A210E9">
        <w:rPr>
          <w:rFonts w:eastAsia="Calibri"/>
          <w:b/>
          <w:bCs/>
          <w:rtl/>
        </w:rPr>
        <w:t xml:space="preserve">בין היתר </w:t>
      </w:r>
      <w:r w:rsidRPr="00A210E9">
        <w:rPr>
          <w:rFonts w:eastAsia="Calibri" w:hint="cs"/>
          <w:b/>
          <w:bCs/>
          <w:rtl/>
        </w:rPr>
        <w:t xml:space="preserve">יש </w:t>
      </w:r>
      <w:r w:rsidRPr="00A210E9">
        <w:rPr>
          <w:rFonts w:eastAsia="Calibri"/>
          <w:b/>
          <w:bCs/>
          <w:rtl/>
        </w:rPr>
        <w:t xml:space="preserve">להגדיר קריטריונים ברורים לזכאות לתג ולעגן אותם בנוהל </w:t>
      </w:r>
      <w:r w:rsidRPr="00A210E9">
        <w:rPr>
          <w:rFonts w:eastAsia="Calibri" w:hint="eastAsia"/>
          <w:b/>
          <w:bCs/>
          <w:rtl/>
        </w:rPr>
        <w:t>או</w:t>
      </w:r>
      <w:r w:rsidRPr="00A210E9">
        <w:rPr>
          <w:rFonts w:eastAsia="Calibri"/>
          <w:b/>
          <w:bCs/>
          <w:rtl/>
        </w:rPr>
        <w:t xml:space="preserve"> </w:t>
      </w:r>
      <w:r w:rsidRPr="00A210E9">
        <w:rPr>
          <w:rFonts w:eastAsia="Calibri" w:hint="eastAsia"/>
          <w:b/>
          <w:bCs/>
          <w:rtl/>
        </w:rPr>
        <w:t>בתקנות</w:t>
      </w:r>
      <w:r w:rsidRPr="00A210E9">
        <w:rPr>
          <w:rFonts w:eastAsia="Calibri"/>
          <w:b/>
          <w:bCs/>
          <w:rtl/>
        </w:rPr>
        <w:t>.</w:t>
      </w:r>
      <w:r w:rsidRPr="00A210E9">
        <w:rPr>
          <w:rFonts w:eastAsia="Calibri" w:hint="cs"/>
          <w:b/>
          <w:bCs/>
          <w:rtl/>
        </w:rPr>
        <w:t xml:space="preserve"> על משרד התחבורה להבטיח שיהיו אחידות וקוהרנטיות בין הנהלים שלו וכן בין הנהלים ובין מדריך תג חניה המפורסם באתר שלו במרשתת והטפסים שעל הפונה למלא, וכן עליו להבטיח שכל המידע הנכלל בהם יהיה מעודכן. הדבר חשוב בכדי שכלל המשתמשים והממוענים של הנוהל יוכלו להסתמך על עוגן עבודה ברור ואחיד, ואנשים עם מוגבלות יוכלו למצות בקלות את זכויותיהם.</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ind w:left="312"/>
        <w:rPr>
          <w:rFonts w:eastAsia="Calibri"/>
          <w:rtl/>
        </w:rPr>
      </w:pPr>
      <w:r w:rsidRPr="00A210E9">
        <w:rPr>
          <w:rFonts w:eastAsia="Calibri" w:hint="cs"/>
          <w:rtl/>
        </w:rPr>
        <w:t xml:space="preserve">משרד התחבורה כתב בתשובתו כי </w:t>
      </w:r>
      <w:r w:rsidRPr="00A210E9">
        <w:rPr>
          <w:rFonts w:eastAsia="Calibri"/>
          <w:rtl/>
        </w:rPr>
        <w:t>המדריך להוצאת תג</w:t>
      </w:r>
      <w:r w:rsidRPr="00A210E9">
        <w:rPr>
          <w:rFonts w:eastAsia="Calibri" w:hint="cs"/>
          <w:rtl/>
        </w:rPr>
        <w:t>י</w:t>
      </w:r>
      <w:r w:rsidRPr="00A210E9">
        <w:rPr>
          <w:rFonts w:eastAsia="Calibri"/>
          <w:rtl/>
        </w:rPr>
        <w:t xml:space="preserve"> חניה עודכן והליקויים </w:t>
      </w:r>
      <w:r w:rsidRPr="00A210E9">
        <w:rPr>
          <w:rFonts w:eastAsia="Calibri" w:hint="cs"/>
          <w:rtl/>
        </w:rPr>
        <w:t xml:space="preserve">בעניין זה </w:t>
      </w:r>
      <w:r w:rsidRPr="00A210E9">
        <w:rPr>
          <w:rFonts w:eastAsia="Calibri"/>
          <w:rtl/>
        </w:rPr>
        <w:t>תוקנו. כמו כן,</w:t>
      </w:r>
      <w:r w:rsidRPr="00A210E9">
        <w:rPr>
          <w:rFonts w:eastAsia="Calibri" w:hint="cs"/>
          <w:rtl/>
        </w:rPr>
        <w:t xml:space="preserve"> </w:t>
      </w:r>
      <w:r w:rsidRPr="00A210E9">
        <w:rPr>
          <w:rFonts w:eastAsia="Calibri"/>
          <w:rtl/>
        </w:rPr>
        <w:t xml:space="preserve">בוצעה התאמה מלאה בין המדריך </w:t>
      </w:r>
      <w:r w:rsidRPr="00A210E9">
        <w:rPr>
          <w:rFonts w:eastAsia="Calibri" w:hint="cs"/>
          <w:rtl/>
        </w:rPr>
        <w:t>ו</w:t>
      </w:r>
      <w:r w:rsidRPr="00A210E9">
        <w:rPr>
          <w:rFonts w:eastAsia="Calibri"/>
          <w:rtl/>
        </w:rPr>
        <w:t xml:space="preserve">בין דף השירות </w:t>
      </w:r>
      <w:r w:rsidRPr="00A210E9">
        <w:rPr>
          <w:rFonts w:eastAsia="Calibri" w:hint="cs"/>
          <w:rtl/>
        </w:rPr>
        <w:t>המתפרסם</w:t>
      </w:r>
      <w:r w:rsidRPr="00A210E9">
        <w:rPr>
          <w:rFonts w:eastAsia="Calibri"/>
          <w:rtl/>
        </w:rPr>
        <w:t xml:space="preserve"> לציבור</w:t>
      </w:r>
      <w:r w:rsidRPr="00A210E9">
        <w:rPr>
          <w:rFonts w:eastAsia="Calibri" w:hint="cs"/>
          <w:rtl/>
        </w:rPr>
        <w:t>.</w:t>
      </w:r>
    </w:p>
    <w:p w:rsidR="00A210E9" w:rsidRPr="00A210E9" w:rsidP="00A210E9">
      <w:pPr>
        <w:keepNext/>
        <w:keepLines/>
        <w:spacing w:line="269" w:lineRule="auto"/>
        <w:ind w:left="-567"/>
        <w:rPr>
          <w:rFonts w:eastAsia="Calibri"/>
          <w:szCs w:val="20"/>
        </w:rPr>
      </w:pPr>
    </w:p>
    <w:p w:rsidR="00A210E9" w:rsidRPr="00A210E9" w:rsidP="00A210E9">
      <w:pPr>
        <w:numPr>
          <w:ilvl w:val="0"/>
          <w:numId w:val="16"/>
        </w:numPr>
        <w:spacing w:line="269" w:lineRule="auto"/>
        <w:contextualSpacing/>
        <w:rPr>
          <w:rFonts w:eastAsia="Calibri"/>
        </w:rPr>
      </w:pPr>
      <w:r w:rsidRPr="00A210E9">
        <w:rPr>
          <w:rFonts w:eastAsia="Calibri" w:hint="cs"/>
          <w:rtl/>
        </w:rPr>
        <w:t xml:space="preserve">תהליך העברת המידע לגבי זכאים לתג מהגופים השונים למשרד התחבורה מבוצע על ידי כלל הגופים באופן וולונטרי, והוא אינו מעוגן בנוהל כלשהו. הנתונים מוזנים ללא מגע יד אדם לתוך מערכת של אגף הרישוי שבו מנוהל מאגר בעלי תגי חניה (להלן - מערכת נכים).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ind w:left="312"/>
        <w:rPr>
          <w:rFonts w:eastAsia="Calibri"/>
          <w:b/>
          <w:bCs/>
          <w:rtl/>
        </w:rPr>
      </w:pPr>
      <w:r w:rsidRPr="00A210E9">
        <w:rPr>
          <w:rFonts w:eastAsia="Calibri" w:hint="cs"/>
          <w:b/>
          <w:bCs/>
          <w:rtl/>
        </w:rPr>
        <w:t>במשרד התחבורה אין נוהל המסדיר את העברת המידע אליו מהגופים המאשרים זכאות לתגי חניה על פי דין. נוהל כזה אמור לכלול בין היתר התייחסות לנושאים האלה: מהו המידע שמועבר מהגופים השונים למשרד; מתוקף אילו קריטריונים המידע מועבר ובאיזו תדירות הוא מועבר; מהו אופן הטיפול בחריגים; אילו בקרות מבוצעות על תהליך העברת המידע; היבטי אבטחת מידע וסייבר הנוגעים לתהליך זה. הדבר מייצר סיכונים שונים כגון אובדן מידע בתהליך הממוחשב וסיכוני אבטחה.</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ind w:left="312"/>
        <w:rPr>
          <w:rFonts w:eastAsia="Calibri"/>
          <w:b/>
          <w:bCs/>
          <w:rtl/>
        </w:rPr>
      </w:pPr>
      <w:r w:rsidRPr="00A210E9">
        <w:rPr>
          <w:rFonts w:eastAsia="Calibri" w:hint="cs"/>
          <w:b/>
          <w:bCs/>
          <w:rtl/>
        </w:rPr>
        <w:t xml:space="preserve">על משרד התחבורה להסדיר את תהליך העברת המידע אליו מהגופים המאשרים זכאות לתגי חניה על פי דין באמצעות נוהל שמתאר את ממשק העברת המידע - מהו המידע שמועבר בין הגופים השונים למשרד, מתוקף אילו קריטריונים המידע מועבר ובאיזו תדירות הוא מועבר ומהו אופן הטיפול בחריגים. כמו כן, מומלץ כי הנוהל יתייחס להיבטי אבטחת מידע וסייבר של תהליך העברת המידע. הכול, כדי </w:t>
      </w:r>
      <w:r w:rsidRPr="00A210E9">
        <w:rPr>
          <w:rFonts w:eastAsia="Calibri"/>
          <w:b/>
          <w:bCs/>
          <w:rtl/>
        </w:rPr>
        <w:t>לסייע לאנשים עם מוגבלות לממש את זכויותיהם ולהקל עליהם את הנטל הבירוקרטי</w:t>
      </w:r>
      <w:r w:rsidRPr="00A210E9">
        <w:rPr>
          <w:rFonts w:eastAsia="Calibri" w:hint="cs"/>
          <w:b/>
          <w:bCs/>
          <w:rtl/>
        </w:rPr>
        <w:t>.</w:t>
      </w:r>
    </w:p>
    <w:p w:rsidR="00A210E9" w:rsidRPr="00A210E9" w:rsidP="00A210E9">
      <w:pPr>
        <w:keepNext/>
        <w:keepLines/>
        <w:spacing w:line="269" w:lineRule="auto"/>
        <w:ind w:left="-567"/>
        <w:rPr>
          <w:rFonts w:eastAsia="Calibri"/>
          <w:szCs w:val="20"/>
          <w:rtl/>
        </w:rPr>
      </w:pPr>
    </w:p>
    <w:p w:rsidR="00A210E9" w:rsidRPr="00A210E9" w:rsidP="00A210E9">
      <w:pPr>
        <w:keepNext/>
        <w:keepLines/>
        <w:spacing w:line="269" w:lineRule="auto"/>
        <w:outlineLvl w:val="3"/>
        <w:rPr>
          <w:rFonts w:eastAsia="Times New Roman"/>
          <w:bCs/>
          <w:szCs w:val="26"/>
          <w:rtl/>
        </w:rPr>
      </w:pPr>
      <w:r w:rsidRPr="00A210E9">
        <w:rPr>
          <w:rFonts w:eastAsia="Times New Roman" w:hint="eastAsia"/>
          <w:bCs/>
          <w:szCs w:val="26"/>
          <w:rtl/>
        </w:rPr>
        <w:t>תהליך</w:t>
      </w:r>
      <w:r w:rsidRPr="00A210E9">
        <w:rPr>
          <w:rFonts w:eastAsia="Times New Roman" w:hint="cs"/>
          <w:bCs/>
          <w:szCs w:val="26"/>
          <w:rtl/>
        </w:rPr>
        <w:t xml:space="preserve"> </w:t>
      </w:r>
      <w:r w:rsidRPr="00A210E9">
        <w:rPr>
          <w:rFonts w:eastAsia="Times New Roman"/>
          <w:bCs/>
          <w:szCs w:val="26"/>
          <w:rtl/>
        </w:rPr>
        <w:t>הגשת הבקשה</w:t>
      </w:r>
      <w:r w:rsidRPr="00A210E9">
        <w:rPr>
          <w:rFonts w:eastAsia="Times New Roman" w:hint="cs"/>
          <w:bCs/>
          <w:szCs w:val="26"/>
          <w:rtl/>
        </w:rPr>
        <w:t xml:space="preserve"> לתג חניה באגף הרישוי</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sz w:val="16"/>
          <w:szCs w:val="20"/>
          <w:rtl/>
        </w:rPr>
      </w:pPr>
      <w:r w:rsidRPr="00A210E9">
        <w:rPr>
          <w:rFonts w:eastAsia="Calibri" w:hint="cs"/>
          <w:rtl/>
        </w:rPr>
        <w:t>כאמור, משרד התחבורה פרסם את נוהל הגשת בקשה לתג חניה ביוני 2025, לאחר תהליך של שיתוף ציבור</w:t>
      </w:r>
      <w:r>
        <w:rPr>
          <w:rFonts w:eastAsia="Calibri"/>
          <w:vertAlign w:val="superscript"/>
          <w:rtl/>
        </w:rPr>
        <w:footnoteReference w:id="154"/>
      </w:r>
      <w:r w:rsidRPr="00A210E9">
        <w:rPr>
          <w:rFonts w:eastAsia="Calibri" w:hint="cs"/>
          <w:rtl/>
        </w:rPr>
        <w:t xml:space="preserve">, שכלל גם קבלת הערות מארגונים המייצגים אנשים עם מוגבלות. הנוהל פירט לראשונה למגיש הבקשה את רשימת המסמכים שיש לצרף לבקשה בחלוקה לפי תחומים רפואיים. בנוהל צוין כי המסמכים הרפואיים יהיו חתומים בידי רופאים מקצועיים ויכללו התייחסות ליכולת התנועה והניידות. כמו כן, יש לצרף גם סיכום רפואי חתום דיגיטלית מקופת החולים.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תהליך הגשת הבקשה על פי הנוהל האמור מתחיל במילוי טופס בקשה מקוון באתר הרלוונטי במרשתת וצירוף מסמכים רפואיים ומסמכים רלוונטיים לצורך בחינת זכאות לאגרה מופחתת. הטיפול בבקשות מתבצע על ידי רופאי אגף הרישוי בתוך מערכת מידע ייעודית - "המערכת הרפואית" (להלן - המערכת הרפואית). הנוהל מאפשר גם לשלוח בדואר טופס בקשה ידני בצירוף המסמכים הנדרשים. התרשים שלהלן מציג את תהליך הגשת הבקשה לתג חניה והטיפול בה:</w:t>
      </w:r>
    </w:p>
    <w:p w:rsidR="00A210E9" w:rsidRPr="00A210E9" w:rsidP="00A210E9">
      <w:pPr>
        <w:keepNext/>
        <w:keepLines/>
        <w:spacing w:line="269" w:lineRule="auto"/>
        <w:jc w:val="center"/>
        <w:rPr>
          <w:rFonts w:eastAsia="Calibri"/>
          <w:rtl/>
        </w:rPr>
      </w:pPr>
    </w:p>
    <w:p w:rsidR="00A210E9" w:rsidRPr="00A210E9" w:rsidP="009B4C57">
      <w:pPr>
        <w:keepNext/>
        <w:keepLines/>
        <w:spacing w:after="120" w:line="269" w:lineRule="auto"/>
        <w:jc w:val="center"/>
        <w:rPr>
          <w:rFonts w:eastAsia="Calibri"/>
          <w:b/>
          <w:bCs/>
          <w:rtl/>
        </w:rPr>
      </w:pPr>
      <w:r w:rsidRPr="00A210E9">
        <w:rPr>
          <w:rFonts w:eastAsia="Calibri" w:hint="eastAsia"/>
          <w:rtl/>
        </w:rPr>
        <w:t>תרשים</w:t>
      </w:r>
      <w:r w:rsidRPr="00A210E9">
        <w:rPr>
          <w:rFonts w:eastAsia="Calibri"/>
          <w:rtl/>
        </w:rPr>
        <w:t xml:space="preserve"> </w:t>
      </w:r>
      <w:r w:rsidRPr="00A210E9">
        <w:rPr>
          <w:rFonts w:eastAsia="Calibri" w:hint="cs"/>
          <w:rtl/>
        </w:rPr>
        <w:t>22</w:t>
      </w:r>
      <w:r w:rsidRPr="00A210E9">
        <w:rPr>
          <w:rFonts w:eastAsia="Calibri"/>
          <w:rtl/>
        </w:rPr>
        <w:t>:</w:t>
      </w:r>
      <w:r w:rsidRPr="00A210E9">
        <w:rPr>
          <w:rFonts w:eastAsia="Calibri" w:hint="cs"/>
          <w:b/>
          <w:bCs/>
          <w:rtl/>
        </w:rPr>
        <w:t xml:space="preserve"> תהליך בקשה לתג חניה לאדם עם מוגבלות במשרד התחבורה, מיוני 2025*</w:t>
      </w:r>
    </w:p>
    <w:p w:rsidR="00A210E9" w:rsidRPr="00A210E9" w:rsidP="00A210E9">
      <w:pPr>
        <w:spacing w:line="269" w:lineRule="auto"/>
        <w:jc w:val="center"/>
        <w:rPr>
          <w:rFonts w:eastAsia="Calibri"/>
          <w:sz w:val="16"/>
          <w:szCs w:val="20"/>
          <w:rtl/>
        </w:rPr>
      </w:pPr>
      <w:r w:rsidRPr="00A210E9">
        <w:rPr>
          <w:rFonts w:eastAsia="Calibri"/>
          <w:noProof/>
          <w:sz w:val="16"/>
          <w:szCs w:val="20"/>
        </w:rPr>
        <w:drawing>
          <wp:inline distT="0" distB="0" distL="0" distR="0">
            <wp:extent cx="4989212" cy="6433457"/>
            <wp:effectExtent l="0" t="0" r="1905" b="5715"/>
            <wp:docPr id="29" name="תמונה 29" descr="מימין:&#10;מקרא:&#10;תהליך&#10;החלטה&#10;מסמכים&#10;סיום/תוצאה&#10;&#10;משמאל:&#10;תחילת התהליך:&#10;איסוף מסמכים נדרשים: צילום תעודת זהות, מסמכים רפואיים ומסמכים רלוונטיים לצורך בדיקת זכאות לאגרת רישוי מופחתת, טופס בקשה&#10;&#10;לאחר מכן:&#10;הגשת בקשה לאגף הרישוי: מילוי טופס בקשה דיגיטלי והעלאת המסמכים&#10;&#10;לאחר מכן:&#10;בדיקה ראשונית של המסמכים על ידי רופאי אגף הרישוי&#10;&#10;לאחר מכן:&#10;החלטה:&#10;מסמכים שלמים?&#10;&#10;אם לא:&#10;השלמת מסמכים&#10;&#10;לאחר מכן:&#10;בדיקה רפואית על ידי רופאי אגף הרישוי&#10;&#10;אם כן:&#10;בדיקה רפואית על ידי רופאי אגף הרישוי&#10;&#10;לאחר מכן:&#10;החלטה:&#10;עומד בקריטריונים?&#10;&#10;אם כן:&#10;קביעת תוקף התג זמני או לצמיתות&#10;&#10;לאחר מכן:&#10;עדכון מאגר נתונים&#10;&#10;לאחר מכן:&#10;הכנת התג והדפסתו&#10;&#10;לאחר מכן:&#10;משלוח התג למבקש בדואר&#10;&#10;לאחר מכן:&#10;בקשה חוזרת עקב החמרה במצב הרפואי בתוך שלושה חודשים&#10;&#10;אם לא:&#10;דחיית הבקשה&#10;&#10;לאחר מכן:&#10;השגה על החלטת הרופא בתוך 45 ימים&#10;&#10;לאחר מכן:&#10;החלטה:&#10;התקבלה השגה?&#10;&#10;אם כן:&#10;קביעת תוקף התג זמני או לצמיתות&#10;&#10;אם לא:&#10;הגשת בקשה חדשה לתג בחלוף שישה חודשים&#10;&#10;לאחר מכן:&#10;בקשה חוזרת עקב החמרה במצב הרפואי בתוך שלושה חודש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
                    <pic:cNvPicPr>
                      <a:picLocks noChangeAspect="1" noChangeArrowheads="1"/>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992448" cy="6437630"/>
                    </a:xfrm>
                    <a:prstGeom prst="rect">
                      <a:avLst/>
                    </a:prstGeom>
                    <a:noFill/>
                    <a:ln>
                      <a:noFill/>
                    </a:ln>
                  </pic:spPr>
                </pic:pic>
              </a:graphicData>
            </a:graphic>
          </wp:inline>
        </w:drawing>
      </w:r>
    </w:p>
    <w:p w:rsidR="00A210E9" w:rsidRPr="00A210E9" w:rsidP="00A210E9">
      <w:pPr>
        <w:spacing w:line="269" w:lineRule="auto"/>
        <w:jc w:val="left"/>
        <w:rPr>
          <w:rFonts w:eastAsia="Calibri"/>
          <w:szCs w:val="20"/>
          <w:rtl/>
        </w:rPr>
      </w:pPr>
      <w:r w:rsidRPr="00A210E9">
        <w:rPr>
          <w:rFonts w:eastAsia="Calibri" w:hint="eastAsia"/>
          <w:szCs w:val="20"/>
          <w:rtl/>
        </w:rPr>
        <w:t>על</w:t>
      </w:r>
      <w:r w:rsidRPr="00A210E9">
        <w:rPr>
          <w:rFonts w:eastAsia="Calibri"/>
          <w:szCs w:val="20"/>
          <w:rtl/>
        </w:rPr>
        <w:t xml:space="preserve"> פי </w:t>
      </w:r>
      <w:r w:rsidRPr="00A210E9">
        <w:rPr>
          <w:rFonts w:eastAsia="Calibri" w:hint="eastAsia"/>
          <w:szCs w:val="20"/>
          <w:rtl/>
        </w:rPr>
        <w:t>נוהל</w:t>
      </w:r>
      <w:r w:rsidRPr="00A210E9">
        <w:rPr>
          <w:rFonts w:eastAsia="Calibri"/>
          <w:szCs w:val="20"/>
          <w:rtl/>
        </w:rPr>
        <w:t xml:space="preserve"> 2025, בעיבוד משרד מבקר המדינה</w:t>
      </w:r>
      <w:r w:rsidRPr="00A210E9">
        <w:rPr>
          <w:rFonts w:eastAsia="Calibri" w:hint="cs"/>
          <w:szCs w:val="20"/>
          <w:rtl/>
        </w:rPr>
        <w:t>. הסעיפים הנוגעים למשלוח התג הם על פי נוהל 2015.</w:t>
      </w:r>
    </w:p>
    <w:p w:rsidR="00A210E9" w:rsidRPr="00A210E9" w:rsidP="00A210E9">
      <w:pPr>
        <w:spacing w:line="269" w:lineRule="auto"/>
        <w:jc w:val="left"/>
        <w:rPr>
          <w:rFonts w:eastAsia="Calibri"/>
          <w:sz w:val="16"/>
          <w:szCs w:val="20"/>
          <w:rtl/>
        </w:rPr>
      </w:pPr>
      <w:r w:rsidRPr="00A210E9">
        <w:rPr>
          <w:rFonts w:eastAsia="Calibri" w:hint="cs"/>
          <w:sz w:val="16"/>
          <w:szCs w:val="20"/>
          <w:rtl/>
        </w:rPr>
        <w:t>* כאמור, מדובר בהוראת שעה שתוקפה למשך שנה.</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עמותת הצעד הבא כתבה בתשובתה כי ה</w:t>
      </w:r>
      <w:r w:rsidRPr="00A210E9">
        <w:rPr>
          <w:rFonts w:eastAsia="Calibri"/>
          <w:rtl/>
        </w:rPr>
        <w:t xml:space="preserve">תגים אינם </w:t>
      </w:r>
      <w:r w:rsidRPr="00A210E9">
        <w:rPr>
          <w:rFonts w:eastAsia="Calibri" w:hint="cs"/>
          <w:rtl/>
        </w:rPr>
        <w:t>נמסרים</w:t>
      </w:r>
      <w:r w:rsidRPr="00A210E9">
        <w:rPr>
          <w:rFonts w:eastAsia="Calibri"/>
          <w:rtl/>
        </w:rPr>
        <w:t xml:space="preserve"> פיזית לזכאים, </w:t>
      </w:r>
      <w:r w:rsidRPr="00A210E9">
        <w:rPr>
          <w:rFonts w:eastAsia="Calibri" w:hint="cs"/>
          <w:rtl/>
        </w:rPr>
        <w:t xml:space="preserve">וכי </w:t>
      </w:r>
      <w:r w:rsidRPr="00A210E9">
        <w:rPr>
          <w:rFonts w:eastAsia="Calibri"/>
          <w:rtl/>
        </w:rPr>
        <w:t xml:space="preserve">כל גורם שמעורב </w:t>
      </w:r>
      <w:r w:rsidRPr="00A210E9">
        <w:rPr>
          <w:rFonts w:eastAsia="Calibri" w:hint="cs"/>
          <w:rtl/>
        </w:rPr>
        <w:t xml:space="preserve">בכך </w:t>
      </w:r>
      <w:r w:rsidRPr="00A210E9">
        <w:rPr>
          <w:rFonts w:eastAsia="Calibri"/>
          <w:rtl/>
        </w:rPr>
        <w:t xml:space="preserve">מטיל על האחר את האחריות לאי </w:t>
      </w:r>
      <w:r w:rsidRPr="00A210E9">
        <w:rPr>
          <w:rFonts w:eastAsia="Calibri" w:hint="cs"/>
          <w:rtl/>
        </w:rPr>
        <w:t>מסירתו</w:t>
      </w:r>
      <w:r w:rsidRPr="00A210E9">
        <w:rPr>
          <w:rFonts w:eastAsia="Calibri"/>
          <w:rtl/>
        </w:rPr>
        <w:t xml:space="preserve"> הפיזית של התג: הדואר, בית הדפוס וכד</w:t>
      </w:r>
      <w:r w:rsidRPr="00A210E9">
        <w:rPr>
          <w:rFonts w:eastAsia="Calibri" w:hint="cs"/>
          <w:rtl/>
        </w:rPr>
        <w:t xml:space="preserve">ומה. </w:t>
      </w:r>
      <w:r w:rsidRPr="00A210E9">
        <w:rPr>
          <w:rFonts w:eastAsia="Calibri" w:hint="eastAsia"/>
          <w:rtl/>
        </w:rPr>
        <w:t>גם</w:t>
      </w:r>
      <w:r w:rsidRPr="00A210E9">
        <w:rPr>
          <w:rFonts w:eastAsia="Calibri"/>
          <w:rtl/>
        </w:rPr>
        <w:t xml:space="preserve"> </w:t>
      </w:r>
      <w:r w:rsidRPr="00A210E9">
        <w:rPr>
          <w:rFonts w:eastAsia="Calibri" w:hint="eastAsia"/>
          <w:rtl/>
        </w:rPr>
        <w:t>נציבות</w:t>
      </w:r>
      <w:r w:rsidRPr="00A210E9">
        <w:rPr>
          <w:rFonts w:eastAsia="Calibri"/>
          <w:rtl/>
        </w:rPr>
        <w:t xml:space="preserve"> </w:t>
      </w:r>
      <w:r w:rsidRPr="00A210E9">
        <w:rPr>
          <w:rFonts w:eastAsia="Calibri" w:hint="eastAsia"/>
          <w:rtl/>
        </w:rPr>
        <w:t>תלונות</w:t>
      </w:r>
      <w:r w:rsidRPr="00A210E9">
        <w:rPr>
          <w:rFonts w:eastAsia="Calibri"/>
          <w:rtl/>
        </w:rPr>
        <w:t xml:space="preserve"> </w:t>
      </w:r>
      <w:r w:rsidRPr="00A210E9">
        <w:rPr>
          <w:rFonts w:eastAsia="Calibri" w:hint="eastAsia"/>
          <w:rtl/>
        </w:rPr>
        <w:t>הציבור</w:t>
      </w:r>
      <w:r w:rsidRPr="00A210E9">
        <w:rPr>
          <w:rFonts w:eastAsia="Calibri"/>
          <w:rtl/>
        </w:rPr>
        <w:t xml:space="preserve"> </w:t>
      </w:r>
      <w:r w:rsidRPr="00A210E9">
        <w:rPr>
          <w:rFonts w:eastAsia="Calibri" w:hint="eastAsia"/>
          <w:rtl/>
        </w:rPr>
        <w:t>קיבלה</w:t>
      </w:r>
      <w:r w:rsidRPr="00A210E9">
        <w:rPr>
          <w:rFonts w:eastAsia="Calibri"/>
          <w:rtl/>
        </w:rPr>
        <w:t xml:space="preserve"> תלונות על אי</w:t>
      </w:r>
      <w:r w:rsidRPr="00A210E9">
        <w:rPr>
          <w:rFonts w:eastAsia="Calibri" w:hint="cs"/>
          <w:rtl/>
        </w:rPr>
        <w:t>-מסירת</w:t>
      </w:r>
      <w:r w:rsidRPr="00A210E9">
        <w:rPr>
          <w:rFonts w:eastAsia="Calibri"/>
          <w:rtl/>
        </w:rPr>
        <w:t xml:space="preserve"> תג בדואר ו</w:t>
      </w:r>
      <w:r w:rsidRPr="00A210E9">
        <w:rPr>
          <w:rFonts w:eastAsia="Calibri" w:hint="eastAsia"/>
          <w:rtl/>
        </w:rPr>
        <w:t>על</w:t>
      </w:r>
      <w:r w:rsidRPr="00A210E9">
        <w:rPr>
          <w:rFonts w:eastAsia="Calibri"/>
          <w:rtl/>
        </w:rPr>
        <w:t xml:space="preserve"> </w:t>
      </w:r>
      <w:r w:rsidRPr="00A210E9">
        <w:rPr>
          <w:rFonts w:eastAsia="Calibri" w:hint="eastAsia"/>
          <w:rtl/>
        </w:rPr>
        <w:t>כך</w:t>
      </w:r>
      <w:r w:rsidRPr="00A210E9">
        <w:rPr>
          <w:rFonts w:eastAsia="Calibri"/>
          <w:rtl/>
        </w:rPr>
        <w:t xml:space="preserve"> </w:t>
      </w:r>
      <w:r w:rsidRPr="00A210E9">
        <w:rPr>
          <w:rFonts w:eastAsia="Calibri" w:hint="cs"/>
          <w:rtl/>
        </w:rPr>
        <w:t xml:space="preserve">שלטענת המתלוננים </w:t>
      </w:r>
      <w:r w:rsidRPr="00A210E9">
        <w:rPr>
          <w:rFonts w:eastAsia="Calibri"/>
          <w:rtl/>
        </w:rPr>
        <w:t xml:space="preserve">משרד הרישוי מנחה את הפונים </w:t>
      </w:r>
      <w:r w:rsidRPr="00A210E9">
        <w:rPr>
          <w:rFonts w:eastAsia="Calibri" w:hint="cs"/>
          <w:rtl/>
        </w:rPr>
        <w:t>המלינים שלא קיבלו את התג</w:t>
      </w:r>
      <w:r w:rsidRPr="00A210E9">
        <w:rPr>
          <w:rFonts w:eastAsia="Calibri"/>
          <w:rtl/>
        </w:rPr>
        <w:t xml:space="preserve"> לדווח על אובדן כדי לבקש הנפקה נוספת של תג. </w:t>
      </w:r>
    </w:p>
    <w:p w:rsidR="00A210E9" w:rsidRPr="00A210E9" w:rsidP="00A210E9">
      <w:pPr>
        <w:spacing w:line="269" w:lineRule="auto"/>
        <w:rPr>
          <w:rFonts w:eastAsia="Calibri"/>
          <w:b/>
          <w:bCs/>
          <w:rtl/>
        </w:rPr>
      </w:pPr>
      <w:r w:rsidRPr="00A210E9">
        <w:rPr>
          <w:rFonts w:eastAsia="Calibri" w:hint="cs"/>
          <w:b/>
          <w:bCs/>
          <w:rtl/>
        </w:rPr>
        <w:t>משרד מבקר המדינה ממליץ למשרד התחבורה לוודא את יישום הנהלים בנוגע למסירה פיזית של התג לזכאים.</w:t>
      </w:r>
    </w:p>
    <w:p w:rsidR="00A210E9" w:rsidRPr="00A210E9" w:rsidP="00A210E9">
      <w:pPr>
        <w:spacing w:line="269" w:lineRule="auto"/>
        <w:jc w:val="left"/>
        <w:rPr>
          <w:rFonts w:eastAsia="Calibri"/>
          <w:sz w:val="16"/>
          <w:szCs w:val="20"/>
          <w:rtl/>
        </w:rPr>
      </w:pPr>
    </w:p>
    <w:p w:rsidR="00A210E9" w:rsidRPr="00A210E9" w:rsidP="00A210E9">
      <w:pPr>
        <w:keepNext/>
        <w:keepLines/>
        <w:spacing w:line="269" w:lineRule="auto"/>
        <w:outlineLvl w:val="4"/>
        <w:rPr>
          <w:rFonts w:eastAsia="Times New Roman"/>
          <w:bCs/>
          <w:spacing w:val="40"/>
          <w:rtl/>
        </w:rPr>
      </w:pPr>
      <w:r w:rsidRPr="00A210E9">
        <w:rPr>
          <w:rFonts w:eastAsia="Times New Roman" w:hint="cs"/>
          <w:bCs/>
          <w:spacing w:val="40"/>
          <w:rtl/>
        </w:rPr>
        <w:t>הגשת בקשה לתג חניה בשם אדם עם מוגבלות וסיכוני הונאות</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גורמים שונים משווקים את שירותיהם תמורת תשלום לאנשים עם מוגבלות לצורך סיוע בהגשת בקשה לתג חניה, ובהם עורכי דין וחברות פרטיות, שלא במסגרת ליווי משפטי.</w:t>
      </w:r>
      <w:r w:rsidRPr="00A210E9">
        <w:rPr>
          <w:rFonts w:eastAsia="Calibri"/>
          <w:rtl/>
        </w:rPr>
        <w:t xml:space="preserve"> </w:t>
      </w:r>
      <w:r w:rsidRPr="00A210E9">
        <w:rPr>
          <w:rFonts w:eastAsia="Calibri" w:hint="cs"/>
          <w:rtl/>
        </w:rPr>
        <w:t xml:space="preserve">במקרים אחרים מדובר בקרובים של אנשים עם מוגבלות, שמעוניינים להגיש עבורם בקשה ללא תמורה.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בתכתובת בין אגף בכיר ביקורת פנימית במשרד התחבורה לבין הלשכה המשפטית במשרד בשנת 2020 ציינה הלשכה המשפטית כי </w:t>
      </w:r>
      <w:r w:rsidRPr="00A210E9">
        <w:rPr>
          <w:rFonts w:eastAsia="Calibri"/>
          <w:rtl/>
        </w:rPr>
        <w:t>מגיש הבקשה אמור למלא את הבקשה לתג חניה ולחתום עליה בעצמו</w:t>
      </w:r>
      <w:r w:rsidRPr="00A210E9">
        <w:rPr>
          <w:rFonts w:eastAsia="Calibri" w:hint="cs"/>
          <w:rtl/>
        </w:rPr>
        <w:t>, וכי</w:t>
      </w:r>
      <w:r w:rsidRPr="00A210E9">
        <w:rPr>
          <w:rFonts w:eastAsia="Calibri"/>
          <w:rtl/>
        </w:rPr>
        <w:t xml:space="preserve"> </w:t>
      </w:r>
      <w:r w:rsidRPr="00A210E9">
        <w:rPr>
          <w:rFonts w:eastAsia="Calibri" w:hint="cs"/>
          <w:rtl/>
        </w:rPr>
        <w:t>"</w:t>
      </w:r>
      <w:r w:rsidRPr="00A210E9">
        <w:rPr>
          <w:rFonts w:eastAsia="Calibri"/>
          <w:rtl/>
        </w:rPr>
        <w:t>אין דרך לדעת אם אדם בחר להסתייע בחברה או באדם אחר לצורך מילויה</w:t>
      </w:r>
      <w:r w:rsidRPr="00A210E9">
        <w:rPr>
          <w:rFonts w:eastAsia="Calibri" w:hint="cs"/>
          <w:rtl/>
        </w:rPr>
        <w:t>"</w:t>
      </w:r>
      <w:r w:rsidRPr="00A210E9">
        <w:rPr>
          <w:rFonts w:eastAsia="Calibri"/>
          <w:rtl/>
        </w:rPr>
        <w:t>.</w:t>
      </w:r>
      <w:r w:rsidRPr="00A210E9">
        <w:rPr>
          <w:rFonts w:eastAsia="Calibri" w:hint="cs"/>
          <w:rtl/>
        </w:rPr>
        <w:t xml:space="preserve"> עוד ציינה כי ההתייעלות, </w:t>
      </w:r>
      <w:r w:rsidRPr="00A210E9">
        <w:rPr>
          <w:rFonts w:eastAsia="Calibri"/>
          <w:rtl/>
        </w:rPr>
        <w:t xml:space="preserve">שיפור השירות </w:t>
      </w:r>
      <w:r w:rsidRPr="00A210E9">
        <w:rPr>
          <w:rFonts w:eastAsia="Calibri" w:hint="cs"/>
          <w:rtl/>
        </w:rPr>
        <w:t xml:space="preserve">והאפשרות </w:t>
      </w:r>
      <w:r w:rsidRPr="00A210E9">
        <w:rPr>
          <w:rFonts w:eastAsia="Calibri"/>
          <w:rtl/>
        </w:rPr>
        <w:t>להגיש בקשה לתג חניה באופן מקוון</w:t>
      </w:r>
      <w:r w:rsidRPr="00A210E9">
        <w:rPr>
          <w:rFonts w:eastAsia="Calibri" w:hint="cs"/>
          <w:rtl/>
        </w:rPr>
        <w:t>,</w:t>
      </w:r>
      <w:r w:rsidRPr="00A210E9">
        <w:rPr>
          <w:rFonts w:eastAsia="Calibri"/>
          <w:rtl/>
        </w:rPr>
        <w:t xml:space="preserve"> לאחר הזדהות במערכת ההזדהות הממשלתית</w:t>
      </w:r>
      <w:r w:rsidRPr="00A210E9">
        <w:rPr>
          <w:rFonts w:eastAsia="Calibri" w:hint="cs"/>
          <w:rtl/>
        </w:rPr>
        <w:t>,</w:t>
      </w:r>
      <w:r w:rsidRPr="00A210E9">
        <w:rPr>
          <w:rFonts w:eastAsia="Calibri"/>
          <w:rtl/>
        </w:rPr>
        <w:t xml:space="preserve"> </w:t>
      </w:r>
      <w:r w:rsidRPr="00A210E9">
        <w:rPr>
          <w:rFonts w:eastAsia="Calibri" w:hint="cs"/>
          <w:rtl/>
        </w:rPr>
        <w:t>מקלים</w:t>
      </w:r>
      <w:r w:rsidRPr="00A210E9">
        <w:rPr>
          <w:rFonts w:eastAsia="Calibri"/>
          <w:rtl/>
        </w:rPr>
        <w:t xml:space="preserve"> על האזרחים </w:t>
      </w:r>
      <w:r w:rsidRPr="00A210E9">
        <w:rPr>
          <w:rFonts w:eastAsia="Calibri" w:hint="cs"/>
          <w:rtl/>
        </w:rPr>
        <w:t xml:space="preserve">בעת הגשת </w:t>
      </w:r>
      <w:r w:rsidRPr="00A210E9">
        <w:rPr>
          <w:rFonts w:eastAsia="Calibri"/>
          <w:rtl/>
        </w:rPr>
        <w:t>הבקשה</w:t>
      </w:r>
      <w:r w:rsidRPr="00A210E9">
        <w:rPr>
          <w:rFonts w:eastAsia="Calibri" w:hint="cs"/>
          <w:rtl/>
        </w:rPr>
        <w:t>. עם זאת, הבהירה הלשכה המשפטית כי לכל אזרח קיימת זכות היוועצות אם יחפוץ בכך.</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בסקר סיכונים בנושא מעילות והונאות שערכה הביקורת הפנימית של משרד התחבורה באגף הרישוי בשנת 2023 (להלן - סקר סיכונים 2023), צוין כי </w:t>
      </w:r>
      <w:r w:rsidRPr="00A210E9">
        <w:rPr>
          <w:rFonts w:eastAsia="Calibri"/>
          <w:rtl/>
        </w:rPr>
        <w:t>היעדר קריטריונים ברורים לאישור תגי חניה והעלאת סף החומרה הרפואית הנדרשת לאישור תג גר</w:t>
      </w:r>
      <w:r w:rsidRPr="00A210E9">
        <w:rPr>
          <w:rFonts w:eastAsia="Calibri" w:hint="cs"/>
          <w:rtl/>
        </w:rPr>
        <w:t>מו</w:t>
      </w:r>
      <w:r w:rsidRPr="00A210E9">
        <w:rPr>
          <w:rFonts w:eastAsia="Calibri"/>
          <w:rtl/>
        </w:rPr>
        <w:t xml:space="preserve"> לתופעה </w:t>
      </w:r>
      <w:r w:rsidRPr="00A210E9">
        <w:rPr>
          <w:rFonts w:eastAsia="Calibri" w:hint="cs"/>
          <w:rtl/>
        </w:rPr>
        <w:t>ש</w:t>
      </w:r>
      <w:r w:rsidRPr="00A210E9">
        <w:rPr>
          <w:rFonts w:eastAsia="Calibri"/>
          <w:rtl/>
        </w:rPr>
        <w:t>בה חברות</w:t>
      </w:r>
      <w:r w:rsidRPr="00A210E9">
        <w:rPr>
          <w:rFonts w:eastAsia="Calibri" w:hint="cs"/>
          <w:rtl/>
        </w:rPr>
        <w:t xml:space="preserve"> </w:t>
      </w:r>
      <w:r w:rsidRPr="00A210E9">
        <w:rPr>
          <w:rFonts w:eastAsia="Calibri"/>
          <w:rtl/>
        </w:rPr>
        <w:t xml:space="preserve">פרטיות מציעות </w:t>
      </w:r>
      <w:r w:rsidRPr="00A210E9">
        <w:rPr>
          <w:rFonts w:eastAsia="Calibri" w:hint="cs"/>
          <w:rtl/>
        </w:rPr>
        <w:t>לאנשים עם מוגבלות</w:t>
      </w:r>
      <w:r w:rsidRPr="00A210E9">
        <w:rPr>
          <w:rFonts w:eastAsia="Calibri"/>
          <w:rtl/>
        </w:rPr>
        <w:t xml:space="preserve"> שירות לטיפול ב</w:t>
      </w:r>
      <w:r w:rsidRPr="00A210E9">
        <w:rPr>
          <w:rFonts w:eastAsia="Calibri" w:hint="cs"/>
          <w:rtl/>
        </w:rPr>
        <w:t>ב</w:t>
      </w:r>
      <w:r w:rsidRPr="00A210E9">
        <w:rPr>
          <w:rFonts w:eastAsia="Calibri"/>
          <w:rtl/>
        </w:rPr>
        <w:t xml:space="preserve">קשות לתגי חניה בעלות של מאות עד אלפי </w:t>
      </w:r>
      <w:r w:rsidRPr="00A210E9">
        <w:rPr>
          <w:rFonts w:eastAsia="Calibri" w:hint="cs"/>
          <w:rtl/>
        </w:rPr>
        <w:t>שקלים, והן מבטיחות לאנשים עם מוגבלות</w:t>
      </w:r>
      <w:r w:rsidRPr="00A210E9">
        <w:rPr>
          <w:rFonts w:eastAsia="Calibri"/>
          <w:rtl/>
        </w:rPr>
        <w:t xml:space="preserve"> </w:t>
      </w:r>
      <w:r w:rsidRPr="00A210E9">
        <w:rPr>
          <w:rFonts w:eastAsia="Calibri" w:hint="cs"/>
          <w:rtl/>
        </w:rPr>
        <w:t>שאם ה</w:t>
      </w:r>
      <w:r w:rsidRPr="00A210E9">
        <w:rPr>
          <w:rFonts w:eastAsia="Calibri"/>
          <w:rtl/>
        </w:rPr>
        <w:t>בקש</w:t>
      </w:r>
      <w:r w:rsidRPr="00A210E9">
        <w:rPr>
          <w:rFonts w:eastAsia="Calibri" w:hint="cs"/>
          <w:rtl/>
        </w:rPr>
        <w:t>ה</w:t>
      </w:r>
      <w:r w:rsidRPr="00A210E9">
        <w:rPr>
          <w:rFonts w:eastAsia="Calibri"/>
          <w:rtl/>
        </w:rPr>
        <w:t xml:space="preserve"> תידחה יושב ל</w:t>
      </w:r>
      <w:r w:rsidRPr="00A210E9">
        <w:rPr>
          <w:rFonts w:eastAsia="Calibri" w:hint="cs"/>
          <w:rtl/>
        </w:rPr>
        <w:t>הם</w:t>
      </w:r>
      <w:r w:rsidRPr="00A210E9">
        <w:rPr>
          <w:rFonts w:eastAsia="Calibri"/>
          <w:rtl/>
        </w:rPr>
        <w:t xml:space="preserve"> כספם. </w:t>
      </w:r>
      <w:r w:rsidRPr="00A210E9">
        <w:rPr>
          <w:rFonts w:eastAsia="Calibri" w:hint="cs"/>
          <w:rtl/>
        </w:rPr>
        <w:t xml:space="preserve">עוד צוין כי </w:t>
      </w:r>
      <w:r w:rsidRPr="00A210E9">
        <w:rPr>
          <w:rFonts w:eastAsia="Calibri"/>
          <w:rtl/>
        </w:rPr>
        <w:t>בחלק מהמקרים, לאחר שהבקשה נדחית</w:t>
      </w:r>
      <w:r w:rsidRPr="00A210E9">
        <w:rPr>
          <w:rFonts w:eastAsia="Calibri" w:hint="cs"/>
          <w:rtl/>
        </w:rPr>
        <w:t>,</w:t>
      </w:r>
      <w:r w:rsidRPr="00A210E9">
        <w:rPr>
          <w:rFonts w:eastAsia="Calibri"/>
          <w:rtl/>
        </w:rPr>
        <w:t xml:space="preserve"> החברות נעלמות בלי להחזיר</w:t>
      </w:r>
      <w:r w:rsidRPr="00A210E9">
        <w:rPr>
          <w:rFonts w:eastAsia="Calibri" w:hint="cs"/>
          <w:rtl/>
        </w:rPr>
        <w:t xml:space="preserve"> לפונים אליהן</w:t>
      </w:r>
      <w:r w:rsidRPr="00A210E9">
        <w:rPr>
          <w:rFonts w:eastAsia="Calibri"/>
          <w:rtl/>
        </w:rPr>
        <w:t xml:space="preserve"> את כספם.</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ascii="David" w:eastAsia="Calibri" w:hAnsi="David"/>
          <w:rtl/>
        </w:rPr>
      </w:pPr>
      <w:r w:rsidRPr="00A210E9">
        <w:rPr>
          <w:rFonts w:ascii="David" w:eastAsia="Calibri" w:hAnsi="David" w:hint="cs"/>
          <w:rtl/>
        </w:rPr>
        <w:t xml:space="preserve">בשנת 2022 הזמין משרד התחבורה מחברת ביקורת חיצונית בדיקה חקירתית בנוגע להנפקה של תגי חניה. הבדיקה נעשתה בעקבות ליקויים שהתגלו בנוגע לאופן הטיפול בבקשות וההחלטות שניתנו בהן, אשר העלו חשדות לאי-תקינות תהליך אישור התגים. תוצרי הבדיקה הוגשו לאגף הרישוי במרץ 2023 (להלן - בדיקה חקירתית 2023). צוות הבדיקה העריך </w:t>
      </w:r>
      <w:r w:rsidRPr="00A210E9">
        <w:rPr>
          <w:rFonts w:ascii="David" w:eastAsia="Calibri" w:hAnsi="David"/>
          <w:rtl/>
        </w:rPr>
        <w:t>כי מרבית הסיכויים והסיכונים להטיות</w:t>
      </w:r>
      <w:r w:rsidRPr="00A210E9">
        <w:rPr>
          <w:rFonts w:ascii="David" w:eastAsia="Calibri" w:hAnsi="David" w:hint="cs"/>
          <w:rtl/>
        </w:rPr>
        <w:t xml:space="preserve"> מהותיות</w:t>
      </w:r>
      <w:r w:rsidRPr="00A210E9">
        <w:rPr>
          <w:rFonts w:ascii="David" w:eastAsia="Calibri" w:hAnsi="David"/>
          <w:rtl/>
        </w:rPr>
        <w:t xml:space="preserve"> בתהליך </w:t>
      </w:r>
      <w:r w:rsidRPr="00A210E9">
        <w:rPr>
          <w:rFonts w:ascii="David" w:eastAsia="Calibri" w:hAnsi="David" w:hint="cs"/>
          <w:rtl/>
        </w:rPr>
        <w:t>יהיו</w:t>
      </w:r>
      <w:r w:rsidRPr="00A210E9">
        <w:rPr>
          <w:rFonts w:ascii="David" w:eastAsia="Calibri" w:hAnsi="David"/>
          <w:rtl/>
        </w:rPr>
        <w:t xml:space="preserve"> מהגש</w:t>
      </w:r>
      <w:r w:rsidRPr="00A210E9">
        <w:rPr>
          <w:rFonts w:ascii="David" w:eastAsia="Calibri" w:hAnsi="David" w:hint="cs"/>
          <w:rtl/>
        </w:rPr>
        <w:t>ת בקשות</w:t>
      </w:r>
      <w:r w:rsidRPr="00A210E9">
        <w:rPr>
          <w:rFonts w:ascii="David" w:eastAsia="Calibri" w:hAnsi="David"/>
          <w:rtl/>
        </w:rPr>
        <w:t xml:space="preserve"> מרוכזת </w:t>
      </w:r>
      <w:r w:rsidRPr="00A210E9">
        <w:rPr>
          <w:rFonts w:ascii="David" w:eastAsia="Calibri" w:hAnsi="David" w:hint="cs"/>
          <w:rtl/>
        </w:rPr>
        <w:t>מטעם</w:t>
      </w:r>
      <w:r w:rsidRPr="00A210E9">
        <w:rPr>
          <w:rFonts w:ascii="David" w:eastAsia="Calibri" w:hAnsi="David"/>
          <w:rtl/>
        </w:rPr>
        <w:t xml:space="preserve"> גוף</w:t>
      </w:r>
      <w:r w:rsidRPr="00A210E9">
        <w:rPr>
          <w:rFonts w:ascii="David" w:eastAsia="Calibri" w:hAnsi="David" w:hint="cs"/>
          <w:rtl/>
        </w:rPr>
        <w:t xml:space="preserve"> אחד (</w:t>
      </w:r>
      <w:r w:rsidRPr="00A210E9">
        <w:rPr>
          <w:rFonts w:ascii="David" w:eastAsia="Calibri" w:hAnsi="David"/>
          <w:rtl/>
        </w:rPr>
        <w:t>תאגיד או התאגדות</w:t>
      </w:r>
      <w:r w:rsidRPr="00A210E9">
        <w:rPr>
          <w:rFonts w:ascii="David" w:eastAsia="Calibri" w:hAnsi="David" w:hint="cs"/>
          <w:rtl/>
        </w:rPr>
        <w:t xml:space="preserve"> </w:t>
      </w:r>
      <w:r w:rsidRPr="00A210E9">
        <w:rPr>
          <w:rFonts w:ascii="David" w:eastAsia="Calibri" w:hAnsi="David"/>
          <w:rtl/>
        </w:rPr>
        <w:t>כלשהי</w:t>
      </w:r>
      <w:r w:rsidRPr="00A210E9">
        <w:rPr>
          <w:rFonts w:ascii="David" w:eastAsia="Calibri" w:hAnsi="David" w:hint="cs"/>
          <w:rtl/>
        </w:rPr>
        <w:t>) עבור אנשים המעוניינים להגיש בקשה, וזאת לעומת גורם פרטי שמגיש בקשה יחידה</w:t>
      </w:r>
      <w:r w:rsidRPr="00A210E9">
        <w:rPr>
          <w:rFonts w:ascii="David" w:eastAsia="Calibri" w:hAnsi="David"/>
          <w:rtl/>
        </w:rPr>
        <w:t>.</w:t>
      </w:r>
      <w:r w:rsidRPr="00A210E9">
        <w:rPr>
          <w:rFonts w:ascii="David" w:eastAsia="Calibri" w:hAnsi="David" w:hint="cs"/>
          <w:rtl/>
        </w:rPr>
        <w:t xml:space="preserve"> צוות הבדיקה דגם בקשות אלה, ומהדגימה עלה חשש כי המסמכים הרפואיים שצורפו לחלק מהבקשות לא היו אמינים והעלו חשד לזיוף. בעקבות ממצאי הבדיקה המליץ הצוות בין היתר </w:t>
      </w:r>
      <w:r w:rsidRPr="00A210E9">
        <w:rPr>
          <w:rFonts w:ascii="David" w:eastAsia="Calibri" w:hAnsi="David"/>
          <w:rtl/>
        </w:rPr>
        <w:t>לבחון לעומק בקשות שמוגשות במרוכז מחברות ולדרוש</w:t>
      </w:r>
      <w:r w:rsidRPr="00A210E9">
        <w:rPr>
          <w:rFonts w:ascii="David" w:eastAsia="Calibri" w:hAnsi="David" w:hint="cs"/>
          <w:rtl/>
        </w:rPr>
        <w:t xml:space="preserve"> </w:t>
      </w:r>
      <w:r w:rsidRPr="00A210E9">
        <w:rPr>
          <w:rFonts w:ascii="David" w:eastAsia="Calibri" w:hAnsi="David"/>
          <w:rtl/>
        </w:rPr>
        <w:t>לקבל את</w:t>
      </w:r>
      <w:r w:rsidRPr="00A210E9">
        <w:rPr>
          <w:rFonts w:ascii="David" w:eastAsia="Calibri" w:hAnsi="David" w:hint="cs"/>
          <w:rtl/>
        </w:rPr>
        <w:t xml:space="preserve"> </w:t>
      </w:r>
      <w:r w:rsidRPr="00A210E9">
        <w:rPr>
          <w:rFonts w:ascii="David" w:eastAsia="Calibri" w:hAnsi="David"/>
          <w:rtl/>
        </w:rPr>
        <w:t>זהות מגיש הבקשה.</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בשנת 2022 פנה יו"ר לשכת עורכי הדין למערך הדיגיטל והלין על כך ש</w:t>
      </w:r>
      <w:r w:rsidRPr="00A210E9">
        <w:rPr>
          <w:rFonts w:eastAsia="Calibri"/>
          <w:rtl/>
        </w:rPr>
        <w:t xml:space="preserve">המערכת הנוכחית </w:t>
      </w:r>
      <w:r w:rsidRPr="00A210E9">
        <w:rPr>
          <w:rFonts w:eastAsia="Calibri" w:hint="cs"/>
          <w:rtl/>
        </w:rPr>
        <w:t xml:space="preserve">אינה </w:t>
      </w:r>
      <w:r w:rsidRPr="00A210E9">
        <w:rPr>
          <w:rFonts w:eastAsia="Calibri"/>
          <w:rtl/>
        </w:rPr>
        <w:t>מאפשרת הגשת מסמכים</w:t>
      </w:r>
      <w:r w:rsidRPr="00A210E9">
        <w:rPr>
          <w:rFonts w:eastAsia="Calibri" w:hint="cs"/>
          <w:rtl/>
        </w:rPr>
        <w:t xml:space="preserve"> באמצעות</w:t>
      </w:r>
      <w:r w:rsidRPr="00A210E9">
        <w:rPr>
          <w:rFonts w:eastAsia="Calibri"/>
          <w:rtl/>
        </w:rPr>
        <w:t xml:space="preserve"> עורך דין מייצג שברשותו ייפויי כוח ל</w:t>
      </w:r>
      <w:r w:rsidRPr="00A210E9">
        <w:rPr>
          <w:rFonts w:eastAsia="Calibri" w:hint="cs"/>
          <w:rtl/>
        </w:rPr>
        <w:t xml:space="preserve">פי </w:t>
      </w:r>
      <w:r w:rsidRPr="00A210E9">
        <w:rPr>
          <w:rFonts w:eastAsia="Calibri"/>
          <w:rtl/>
        </w:rPr>
        <w:t>הוראת</w:t>
      </w:r>
      <w:r w:rsidRPr="00A210E9">
        <w:rPr>
          <w:rFonts w:eastAsia="Calibri" w:hint="cs"/>
          <w:rtl/>
        </w:rPr>
        <w:t xml:space="preserve"> </w:t>
      </w:r>
      <w:r w:rsidRPr="00A210E9">
        <w:rPr>
          <w:rFonts w:eastAsia="Calibri"/>
          <w:rtl/>
        </w:rPr>
        <w:t>כל דין</w:t>
      </w:r>
      <w:r w:rsidRPr="00A210E9">
        <w:rPr>
          <w:rFonts w:eastAsia="Calibri" w:hint="cs"/>
          <w:rtl/>
        </w:rPr>
        <w:t>, והדבר פוגע בזכויות עורכי הדין ומנוגד לחוק. מערך הדיגיטל השיב כי ניתן לפתור זאת בכמה דרכים, למשל</w:t>
      </w:r>
      <w:r w:rsidRPr="00A210E9">
        <w:rPr>
          <w:rFonts w:eastAsia="Calibri" w:hint="cs"/>
        </w:rPr>
        <w:t xml:space="preserve"> </w:t>
      </w:r>
      <w:r w:rsidRPr="00A210E9">
        <w:rPr>
          <w:rFonts w:eastAsia="Calibri"/>
          <w:rtl/>
        </w:rPr>
        <w:t>הקמת ממשק מול לשכת עורכי הדין לאימות זהות</w:t>
      </w:r>
      <w:r w:rsidRPr="00A210E9">
        <w:rPr>
          <w:rFonts w:eastAsia="Calibri" w:hint="cs"/>
          <w:rtl/>
        </w:rPr>
        <w:t xml:space="preserve"> </w:t>
      </w:r>
      <w:r w:rsidRPr="00A210E9">
        <w:rPr>
          <w:rFonts w:eastAsia="Calibri"/>
          <w:rtl/>
        </w:rPr>
        <w:t>הפונה כשמדובר ב</w:t>
      </w:r>
      <w:r w:rsidRPr="00A210E9">
        <w:rPr>
          <w:rFonts w:eastAsia="Calibri" w:hint="cs"/>
          <w:rtl/>
        </w:rPr>
        <w:t>עורך דין</w:t>
      </w:r>
      <w:r w:rsidRPr="00A210E9">
        <w:rPr>
          <w:rFonts w:eastAsia="Calibri"/>
          <w:rtl/>
        </w:rPr>
        <w:t xml:space="preserve"> פעיל או הקמת מערכת הסמכות לבאי כוח מטעם מבקש השירות</w:t>
      </w:r>
      <w:r w:rsidRPr="00A210E9">
        <w:rPr>
          <w:rFonts w:eastAsia="Calibri" w:hint="cs"/>
          <w:rtl/>
        </w:rPr>
        <w:t xml:space="preserve">. מערך הדיגיטל ציין כי </w:t>
      </w:r>
      <w:r w:rsidRPr="00A210E9">
        <w:rPr>
          <w:rFonts w:eastAsia="Calibri"/>
          <w:rtl/>
        </w:rPr>
        <w:t>תידרש</w:t>
      </w:r>
      <w:r w:rsidRPr="00A210E9">
        <w:rPr>
          <w:rFonts w:eastAsia="Calibri" w:hint="cs"/>
          <w:rtl/>
        </w:rPr>
        <w:t xml:space="preserve"> </w:t>
      </w:r>
      <w:r w:rsidRPr="00A210E9">
        <w:rPr>
          <w:rFonts w:eastAsia="Calibri"/>
          <w:rtl/>
        </w:rPr>
        <w:t>עבודה משותפת מול לשכת עורכי הדין לגבי מימושם</w:t>
      </w:r>
      <w:r w:rsidRPr="00A210E9">
        <w:rPr>
          <w:rFonts w:eastAsia="Calibri" w:hint="cs"/>
          <w:rtl/>
        </w:rPr>
        <w:t xml:space="preserve"> של פתרונות אלה. נכון למועד סיום הביקורת, הטיפול בנושא לא הסתיים ומשרד התחבורה לא גיבש מדיניות ברורה בנושא.</w:t>
      </w:r>
      <w:r w:rsidRPr="00A210E9">
        <w:rPr>
          <w:rFonts w:eastAsia="Calibri"/>
          <w:sz w:val="16"/>
          <w:szCs w:val="16"/>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b/>
          <w:bCs/>
          <w:rtl/>
        </w:rPr>
        <w:t xml:space="preserve">בביקורת עלה כי </w:t>
      </w:r>
      <w:bookmarkStart w:id="132" w:name="_Hlk223943208"/>
      <w:r w:rsidRPr="00A210E9">
        <w:rPr>
          <w:rFonts w:eastAsia="Calibri" w:hint="cs"/>
          <w:b/>
          <w:bCs/>
          <w:rtl/>
        </w:rPr>
        <w:t xml:space="preserve">סוגיית הגשת הבקשה לתג על ידי צד ג' לא באה לידי ביטוי בנוהל החדש של משרד התחבורה (נוהל 2025) ונותרה פתוחה, שכן משרד התחבורה לא גיבש מדיניות בנושא. במקרה שהבקשה מוגשת על ידי צד ג', כפי שעושים זאת עורכי דין או חברות פרטיות רבות, הוא עושה זאת באמצעות </w:t>
      </w:r>
      <w:r w:rsidRPr="00A210E9">
        <w:rPr>
          <w:rFonts w:eastAsia="Calibri"/>
          <w:b/>
          <w:bCs/>
          <w:rtl/>
        </w:rPr>
        <w:t xml:space="preserve">פרטי ההזדהות של </w:t>
      </w:r>
      <w:r w:rsidRPr="00A210E9">
        <w:rPr>
          <w:rFonts w:eastAsia="Calibri" w:hint="cs"/>
          <w:b/>
          <w:bCs/>
          <w:rtl/>
        </w:rPr>
        <w:t>האדם עם</w:t>
      </w:r>
      <w:r w:rsidRPr="00A210E9">
        <w:rPr>
          <w:rFonts w:eastAsia="Calibri"/>
          <w:b/>
          <w:bCs/>
          <w:rtl/>
        </w:rPr>
        <w:t xml:space="preserve"> מוגבלות</w:t>
      </w:r>
      <w:r w:rsidRPr="00A210E9">
        <w:rPr>
          <w:rFonts w:eastAsia="Calibri" w:hint="cs"/>
          <w:b/>
          <w:bCs/>
          <w:rtl/>
        </w:rPr>
        <w:t xml:space="preserve"> ואגף הרישוי אינו יכול לזהות כי הבקשה הוגשה על ידי גורם אחר. הדבר עלול לשמש פרצה לסיכוני הונאות. מאחר שמרבית הבקשות מוגשות באופן דיגיטלי, הציע מערך הדיגיטל בשנת 2024 פתרונות לסוגיה, אך הם לא קודמו. נכון למועד סיום הביקורת, טופס הבקשה הדיגיטלי אינו מאפשר לצד ג' להגיש בקשה עבור אדם עם מוגבלות.</w:t>
      </w:r>
      <w:r w:rsidRPr="00A210E9">
        <w:rPr>
          <w:rFonts w:eastAsia="Calibri"/>
          <w:rtl/>
        </w:rPr>
        <w:t xml:space="preserve"> </w:t>
      </w:r>
    </w:p>
    <w:bookmarkEnd w:id="132"/>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Times New Roman" w:hint="cs"/>
          <w:bCs/>
          <w:sz w:val="18"/>
          <w:rtl/>
        </w:rPr>
        <w:t>משרד מבקר המדינה ממליץ למשרד התחבורה לגבש מדיניות בנוגע לאפשרות שצד ג' יוכל להגיש בקשה לתג עבור אדם עם מוגבלות, ולשקול להטמיע פתרונות שמקדם מערך הדיגיטל וכן בקרות מתאימות, וזאת בשים לב בין היתר לממצאים שעלו מהבדיקה החקירתית 2023, ולתופעה של הונאות מצד חלק מהגופים המציעים את שירותיהם להגשת בקשות תמורת תשלום.</w:t>
      </w:r>
      <w:r w:rsidRPr="00A210E9">
        <w:rPr>
          <w:rFonts w:eastAsia="Calibri" w:hint="cs"/>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בתשובתו מסר משרד התחבורה כי יש</w:t>
      </w:r>
      <w:r w:rsidRPr="00A210E9">
        <w:rPr>
          <w:rFonts w:eastAsia="Calibri"/>
          <w:rtl/>
        </w:rPr>
        <w:t xml:space="preserve"> כיום מנגנונים מוסדרים להגשת בקשות עבור קטינים באמצעות הורה או</w:t>
      </w:r>
      <w:r w:rsidRPr="00A210E9">
        <w:rPr>
          <w:rFonts w:eastAsia="Calibri" w:hint="cs"/>
          <w:rtl/>
        </w:rPr>
        <w:t xml:space="preserve"> </w:t>
      </w:r>
      <w:r w:rsidRPr="00A210E9">
        <w:rPr>
          <w:rFonts w:eastAsia="Calibri"/>
          <w:rtl/>
        </w:rPr>
        <w:t>אפוטרופוס, תוך הצלבת נתוני זהות מול משרד הפנים, באמצעות ממשק ייעודי מול משרד</w:t>
      </w:r>
      <w:r w:rsidRPr="00A210E9">
        <w:rPr>
          <w:rFonts w:eastAsia="Calibri" w:hint="cs"/>
          <w:rtl/>
        </w:rPr>
        <w:t xml:space="preserve"> </w:t>
      </w:r>
      <w:r w:rsidRPr="00A210E9">
        <w:rPr>
          <w:rFonts w:eastAsia="Calibri"/>
          <w:rtl/>
        </w:rPr>
        <w:t>המשפטים</w:t>
      </w:r>
      <w:r w:rsidRPr="00A210E9">
        <w:rPr>
          <w:rFonts w:eastAsia="Calibri" w:hint="cs"/>
          <w:rtl/>
        </w:rPr>
        <w:t>,</w:t>
      </w:r>
      <w:r w:rsidRPr="00A210E9">
        <w:rPr>
          <w:rFonts w:eastAsia="Calibri"/>
          <w:rtl/>
        </w:rPr>
        <w:t xml:space="preserve"> </w:t>
      </w:r>
      <w:r w:rsidRPr="00A210E9">
        <w:rPr>
          <w:rFonts w:eastAsia="Calibri" w:hint="cs"/>
          <w:rtl/>
        </w:rPr>
        <w:t xml:space="preserve">וכי </w:t>
      </w:r>
      <w:r w:rsidRPr="00A210E9">
        <w:rPr>
          <w:rFonts w:eastAsia="Calibri"/>
          <w:rtl/>
        </w:rPr>
        <w:t xml:space="preserve">בימים אלה </w:t>
      </w:r>
      <w:r w:rsidRPr="00A210E9">
        <w:rPr>
          <w:rFonts w:eastAsia="Calibri" w:hint="cs"/>
          <w:rtl/>
        </w:rPr>
        <w:t>הוא</w:t>
      </w:r>
      <w:r w:rsidRPr="00A210E9">
        <w:rPr>
          <w:rFonts w:eastAsia="Calibri"/>
          <w:rtl/>
        </w:rPr>
        <w:t xml:space="preserve"> פועל להנגשת השירות גם עבור מיופה כוח מתמשך</w:t>
      </w:r>
      <w:r w:rsidRPr="00A210E9">
        <w:rPr>
          <w:rFonts w:eastAsia="Calibri" w:hint="cs"/>
          <w:rtl/>
        </w:rPr>
        <w:t xml:space="preserve"> (</w:t>
      </w:r>
      <w:r w:rsidRPr="00A210E9">
        <w:rPr>
          <w:rFonts w:eastAsia="Calibri"/>
          <w:rtl/>
        </w:rPr>
        <w:t>בזמן</w:t>
      </w:r>
      <w:r w:rsidRPr="00A210E9">
        <w:rPr>
          <w:rFonts w:eastAsia="Calibri" w:hint="cs"/>
          <w:rtl/>
        </w:rPr>
        <w:t xml:space="preserve"> </w:t>
      </w:r>
      <w:r w:rsidRPr="00A210E9">
        <w:rPr>
          <w:rFonts w:eastAsia="Calibri"/>
          <w:rtl/>
        </w:rPr>
        <w:t xml:space="preserve">הפעלת </w:t>
      </w:r>
      <w:r w:rsidRPr="00A210E9">
        <w:rPr>
          <w:rFonts w:eastAsia="Calibri" w:hint="cs"/>
          <w:rtl/>
        </w:rPr>
        <w:t>י</w:t>
      </w:r>
      <w:r w:rsidRPr="00A210E9">
        <w:rPr>
          <w:rFonts w:eastAsia="Calibri"/>
          <w:rtl/>
        </w:rPr>
        <w:t>יפוי הכ</w:t>
      </w:r>
      <w:r w:rsidR="009B4C57">
        <w:rPr>
          <w:rFonts w:eastAsia="Calibri" w:hint="cs"/>
          <w:rtl/>
        </w:rPr>
        <w:t>ו</w:t>
      </w:r>
      <w:r w:rsidRPr="00A210E9">
        <w:rPr>
          <w:rFonts w:eastAsia="Calibri"/>
          <w:rtl/>
        </w:rPr>
        <w:t>ח</w:t>
      </w:r>
      <w:r w:rsidRPr="00A210E9">
        <w:rPr>
          <w:rFonts w:eastAsia="Calibri" w:hint="cs"/>
          <w:rtl/>
        </w:rPr>
        <w:t>).</w:t>
      </w:r>
      <w:r w:rsidRPr="00A210E9">
        <w:rPr>
          <w:rFonts w:eastAsia="Calibri"/>
          <w:rtl/>
        </w:rPr>
        <w:t xml:space="preserve"> זאת בכפוף לתיקון תקנות בנושא.</w:t>
      </w:r>
      <w:r w:rsidRPr="00A210E9">
        <w:rPr>
          <w:rFonts w:eastAsia="Calibri" w:hint="cs"/>
          <w:rtl/>
        </w:rPr>
        <w:t xml:space="preserve"> עוד ציין המשרד כי </w:t>
      </w:r>
      <w:r w:rsidRPr="00A210E9">
        <w:rPr>
          <w:rFonts w:eastAsia="Calibri"/>
          <w:rtl/>
        </w:rPr>
        <w:t xml:space="preserve">על רקע פרשות המרמה שנחשפו, </w:t>
      </w:r>
      <w:r w:rsidRPr="00A210E9">
        <w:rPr>
          <w:rFonts w:eastAsia="Calibri" w:hint="cs"/>
          <w:rtl/>
        </w:rPr>
        <w:t>הוא</w:t>
      </w:r>
      <w:r w:rsidRPr="00A210E9">
        <w:rPr>
          <w:rFonts w:eastAsia="Calibri"/>
          <w:rtl/>
        </w:rPr>
        <w:t xml:space="preserve"> פועל לחידוד המדיניות ולחיזוק מנגנוני הבקרה</w:t>
      </w:r>
      <w:r w:rsidRPr="00A210E9">
        <w:rPr>
          <w:rFonts w:eastAsia="Calibri" w:hint="cs"/>
          <w:rtl/>
        </w:rPr>
        <w:t xml:space="preserve"> </w:t>
      </w:r>
      <w:r w:rsidRPr="00A210E9">
        <w:rPr>
          <w:rFonts w:eastAsia="Calibri"/>
          <w:rtl/>
        </w:rPr>
        <w:t>והאימות, ובוחן המשך הסדרה של הנושא באמצעים דיגיטליים ונ</w:t>
      </w:r>
      <w:r w:rsidRPr="00A210E9">
        <w:rPr>
          <w:rFonts w:eastAsia="Calibri" w:hint="cs"/>
          <w:rtl/>
        </w:rPr>
        <w:t>ו</w:t>
      </w:r>
      <w:r w:rsidRPr="00A210E9">
        <w:rPr>
          <w:rFonts w:eastAsia="Calibri"/>
          <w:rtl/>
        </w:rPr>
        <w:t>הליים מתאימים.</w:t>
      </w:r>
      <w:r w:rsidRPr="00A210E9">
        <w:rPr>
          <w:rFonts w:eastAsia="Calibri" w:hint="cs"/>
          <w:rtl/>
        </w:rPr>
        <w:t xml:space="preserve"> מערך הדיגיטל מסר בתשובתו כי הוא </w:t>
      </w:r>
      <w:r w:rsidRPr="00A210E9">
        <w:rPr>
          <w:rFonts w:eastAsia="Calibri"/>
          <w:rtl/>
        </w:rPr>
        <w:t>פועל</w:t>
      </w:r>
      <w:r w:rsidRPr="00A210E9">
        <w:rPr>
          <w:rFonts w:eastAsia="Calibri" w:hint="cs"/>
          <w:rtl/>
        </w:rPr>
        <w:t xml:space="preserve"> </w:t>
      </w:r>
      <w:r w:rsidRPr="00A210E9">
        <w:rPr>
          <w:rFonts w:eastAsia="Calibri"/>
          <w:rtl/>
        </w:rPr>
        <w:t xml:space="preserve">לקידום </w:t>
      </w:r>
      <w:r w:rsidRPr="00A210E9">
        <w:rPr>
          <w:rFonts w:eastAsia="Calibri" w:hint="cs"/>
          <w:rtl/>
        </w:rPr>
        <w:t>ה</w:t>
      </w:r>
      <w:r w:rsidRPr="00A210E9">
        <w:rPr>
          <w:rFonts w:eastAsia="Calibri"/>
          <w:rtl/>
        </w:rPr>
        <w:t>נושא</w:t>
      </w:r>
      <w:r w:rsidRPr="00A210E9">
        <w:rPr>
          <w:rFonts w:eastAsia="Calibri" w:hint="cs"/>
          <w:rtl/>
        </w:rPr>
        <w:t xml:space="preserve"> בשיתוף</w:t>
      </w:r>
      <w:r w:rsidRPr="00A210E9">
        <w:rPr>
          <w:rFonts w:eastAsia="Calibri"/>
          <w:rtl/>
        </w:rPr>
        <w:t xml:space="preserve"> לשכת עורכי הדין, </w:t>
      </w:r>
      <w:r w:rsidRPr="00A210E9">
        <w:rPr>
          <w:rFonts w:eastAsia="Calibri" w:hint="cs"/>
          <w:rtl/>
        </w:rPr>
        <w:t xml:space="preserve">אולם בשלב זה חל עיכוב בנוגע </w:t>
      </w:r>
      <w:r w:rsidRPr="00A210E9">
        <w:rPr>
          <w:rFonts w:eastAsia="Calibri"/>
          <w:rtl/>
        </w:rPr>
        <w:t>ל</w:t>
      </w:r>
      <w:r w:rsidRPr="00A210E9">
        <w:rPr>
          <w:rFonts w:eastAsia="Calibri" w:hint="cs"/>
          <w:rtl/>
        </w:rPr>
        <w:t>הגשת בקשה ל</w:t>
      </w:r>
      <w:r w:rsidRPr="00A210E9">
        <w:rPr>
          <w:rFonts w:eastAsia="Calibri"/>
          <w:rtl/>
        </w:rPr>
        <w:t xml:space="preserve">אישור עבודה </w:t>
      </w:r>
      <w:r w:rsidRPr="00A210E9">
        <w:rPr>
          <w:rFonts w:eastAsia="Calibri" w:hint="cs"/>
          <w:rtl/>
        </w:rPr>
        <w:t>ל</w:t>
      </w:r>
      <w:r w:rsidRPr="00A210E9">
        <w:rPr>
          <w:rFonts w:eastAsia="Calibri"/>
          <w:rtl/>
        </w:rPr>
        <w:t>לשכת עורכי</w:t>
      </w:r>
      <w:r w:rsidRPr="00A210E9">
        <w:rPr>
          <w:rFonts w:eastAsia="Calibri" w:hint="cs"/>
          <w:rtl/>
        </w:rPr>
        <w:t xml:space="preserve"> </w:t>
      </w:r>
      <w:r w:rsidRPr="00A210E9">
        <w:rPr>
          <w:rFonts w:eastAsia="Calibri"/>
          <w:rtl/>
        </w:rPr>
        <w:t>הדין</w:t>
      </w:r>
      <w:r w:rsidRPr="00A210E9">
        <w:rPr>
          <w:rFonts w:eastAsia="Calibri" w:hint="cs"/>
          <w:rtl/>
        </w:rPr>
        <w:t>, ולאחר שהבעיה תיפתר</w:t>
      </w:r>
      <w:r w:rsidRPr="00A210E9">
        <w:rPr>
          <w:rFonts w:eastAsia="Calibri"/>
          <w:rtl/>
        </w:rPr>
        <w:t xml:space="preserve"> </w:t>
      </w:r>
      <w:r w:rsidRPr="00A210E9">
        <w:rPr>
          <w:rFonts w:eastAsia="Calibri" w:hint="cs"/>
          <w:rtl/>
        </w:rPr>
        <w:t>המערך י</w:t>
      </w:r>
      <w:r w:rsidRPr="00A210E9">
        <w:rPr>
          <w:rFonts w:eastAsia="Calibri"/>
          <w:rtl/>
        </w:rPr>
        <w:t>משיך לקד</w:t>
      </w:r>
      <w:r w:rsidRPr="00A210E9">
        <w:rPr>
          <w:rFonts w:eastAsia="Calibri" w:hint="cs"/>
          <w:rtl/>
        </w:rPr>
        <w:t>ם את הנושא</w:t>
      </w:r>
      <w:r w:rsidRPr="00A210E9">
        <w:rPr>
          <w:rFonts w:eastAsia="Calibri"/>
          <w:rtl/>
        </w:rPr>
        <w:t xml:space="preserve"> עד למציאת פתרון הולם.</w:t>
      </w:r>
    </w:p>
    <w:p w:rsidR="00A210E9" w:rsidRPr="00A210E9" w:rsidP="00A210E9">
      <w:pPr>
        <w:spacing w:line="269" w:lineRule="auto"/>
        <w:rPr>
          <w:rFonts w:eastAsia="Calibri"/>
          <w:rtl/>
        </w:rPr>
      </w:pPr>
    </w:p>
    <w:p w:rsidR="00A210E9" w:rsidRPr="00A210E9" w:rsidP="00A210E9">
      <w:pPr>
        <w:keepNext/>
        <w:keepLines/>
        <w:spacing w:line="269" w:lineRule="auto"/>
        <w:outlineLvl w:val="4"/>
        <w:rPr>
          <w:rFonts w:eastAsia="Times New Roman"/>
          <w:bCs/>
          <w:spacing w:val="40"/>
          <w:rtl/>
        </w:rPr>
      </w:pPr>
      <w:r w:rsidRPr="00A210E9">
        <w:rPr>
          <w:rFonts w:eastAsia="Times New Roman" w:hint="eastAsia"/>
          <w:bCs/>
          <w:spacing w:val="40"/>
          <w:rtl/>
        </w:rPr>
        <w:t>הגשת</w:t>
      </w:r>
      <w:r w:rsidRPr="00A210E9">
        <w:rPr>
          <w:rFonts w:eastAsia="Times New Roman"/>
          <w:bCs/>
          <w:spacing w:val="40"/>
          <w:rtl/>
        </w:rPr>
        <w:t xml:space="preserve"> ערעור</w:t>
      </w:r>
      <w:r w:rsidRPr="00A210E9">
        <w:rPr>
          <w:rFonts w:eastAsia="Times New Roman" w:hint="cs"/>
          <w:bCs/>
          <w:spacing w:val="40"/>
          <w:rtl/>
        </w:rPr>
        <w:t xml:space="preserve"> או בקשה חוזרת</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כפי שניתן לראות בתרשים 22, על פי נוהל 2025, תהליך אישור תג חניה כולל אפשרויות נוספות חוץ מאישור רגיל של בקשה לתג. ניתן להגיש השגה על החלטה רפואית בתוך 45 ימים (ההשגה תוגש כשמגיש הבקשה חולק על החלטת רופאי אגף הרישוי ולא בשל שינוי במצב הרפואי, למשל במקרה שהמבקש חולק על תוקף התג). אם ההשגה נדחתה, ניתן להגיש בקשה חדשה (בקשה חוזרת) בחלוף שישה חודשים. טופס הבקשה הדיגיטלי וטופס הבקשה הידני משקפים את התהליך כפי שנקבע בנוהל.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לפני שיושם נוהל 2025, לא היו התהליכים של ערעור ושל הגשת בקשה חוזרת עקב החמרה מופרדים זה מזה, ובשני המקרים היה צורך להגיש לאגף הרישוי בקשה חדשה לתג, ללא מגבלה של זמנים. עקב כך, התקבלו בקשות חוזרות רבות מאותם המגישים, וחלקן בסופו של דבר אושרו אף שהכילו את אותם מסמכים, ולעתים אף אושרו אצל אותו רופא שפסל אותן בעבר.</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אחת מהמלצות צוות 2022 הייתה להקים ועדה מיוחדת שתדון בערעורים על החלטות הרופאים או במקרים חריגים שאינם עומדים בקריטריונים. פורום צמיד כתב בתשובתו כי לדעתו נדרשת הקמת ועדת ערעור רפואית עצמאית בעלת סמכות מחייבת, שהרכבה כולל רופא מומחה, משפטן </w:t>
      </w:r>
      <w:r w:rsidRPr="00A210E9">
        <w:rPr>
          <w:rFonts w:eastAsia="Calibri"/>
          <w:rtl/>
        </w:rPr>
        <w:t xml:space="preserve">ונציג </w:t>
      </w:r>
      <w:r w:rsidRPr="00A210E9">
        <w:rPr>
          <w:rFonts w:eastAsia="Calibri" w:hint="cs"/>
          <w:rtl/>
        </w:rPr>
        <w:t xml:space="preserve">של </w:t>
      </w:r>
      <w:r w:rsidRPr="00A210E9">
        <w:rPr>
          <w:rFonts w:eastAsia="Calibri"/>
          <w:rtl/>
        </w:rPr>
        <w:t>ציבור</w:t>
      </w:r>
      <w:r w:rsidRPr="00A210E9">
        <w:rPr>
          <w:rFonts w:eastAsia="Calibri" w:hint="cs"/>
          <w:rtl/>
        </w:rPr>
        <w:t xml:space="preserve"> האנשים</w:t>
      </w:r>
      <w:r w:rsidRPr="00A210E9">
        <w:rPr>
          <w:rFonts w:eastAsia="Calibri"/>
          <w:rtl/>
        </w:rPr>
        <w:t xml:space="preserve"> עם מוגבלות</w:t>
      </w:r>
      <w:r w:rsidRPr="00A210E9">
        <w:rPr>
          <w:rFonts w:eastAsia="Calibri" w:hint="cs"/>
          <w:rtl/>
        </w:rPr>
        <w:t xml:space="preserve">, וכן נדרש לתת </w:t>
      </w:r>
      <w:r w:rsidRPr="00A210E9">
        <w:rPr>
          <w:rFonts w:eastAsia="Calibri"/>
          <w:rtl/>
        </w:rPr>
        <w:t>זכות ערעור מינהלי לבית המשפט לעניינים מינהליים.</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הלוח שלהלן מציג דוגמה של שישה נבדקים מתוך כ-84,000 נבדקים שהגישו בקשות חוזרות רבות בשנים 2015 - 2025 ובקשתם אושרה בסופו של דבר. שש הדוגמאות מציגות נתונים לגבי נבדקים שהגישו עשרות בקשות חוזרות לתג בשנים 2019 - 2024, עד שבקשותיהם אושרו בסופו של דבר. בין דחי</w:t>
      </w:r>
      <w:r w:rsidR="0087347C">
        <w:rPr>
          <w:rFonts w:eastAsia="Calibri" w:hint="cs"/>
          <w:rtl/>
        </w:rPr>
        <w:t>י</w:t>
      </w:r>
      <w:r w:rsidRPr="00A210E9">
        <w:rPr>
          <w:rFonts w:eastAsia="Calibri" w:hint="cs"/>
          <w:rtl/>
        </w:rPr>
        <w:t>ה לדח</w:t>
      </w:r>
      <w:r w:rsidR="0087347C">
        <w:rPr>
          <w:rFonts w:eastAsia="Calibri" w:hint="cs"/>
          <w:rtl/>
        </w:rPr>
        <w:t>י</w:t>
      </w:r>
      <w:r w:rsidRPr="00A210E9">
        <w:rPr>
          <w:rFonts w:eastAsia="Calibri" w:hint="cs"/>
          <w:rtl/>
        </w:rPr>
        <w:t xml:space="preserve">יה, לגבי כל הנבדקים החליטו רופאי אגף הרישוי כי נחוצה </w:t>
      </w:r>
      <w:r w:rsidRPr="00A210E9">
        <w:rPr>
          <w:rFonts w:eastAsia="Calibri" w:hint="eastAsia"/>
          <w:rtl/>
        </w:rPr>
        <w:t>השלמת</w:t>
      </w:r>
      <w:r w:rsidRPr="00A210E9">
        <w:rPr>
          <w:rFonts w:eastAsia="Calibri"/>
          <w:rtl/>
        </w:rPr>
        <w:t xml:space="preserve"> </w:t>
      </w:r>
      <w:r w:rsidRPr="00A210E9">
        <w:rPr>
          <w:rFonts w:eastAsia="Calibri" w:hint="eastAsia"/>
          <w:rtl/>
        </w:rPr>
        <w:t>מסמכים</w:t>
      </w:r>
      <w:r w:rsidRPr="00A210E9">
        <w:rPr>
          <w:rFonts w:eastAsia="Calibri"/>
          <w:rtl/>
        </w:rPr>
        <w:t xml:space="preserve">, </w:t>
      </w:r>
      <w:r w:rsidRPr="00A210E9">
        <w:rPr>
          <w:rFonts w:eastAsia="Calibri" w:hint="cs"/>
          <w:rtl/>
        </w:rPr>
        <w:t>וזאת לאחר</w:t>
      </w:r>
      <w:r w:rsidRPr="00A210E9">
        <w:rPr>
          <w:rFonts w:eastAsia="Calibri"/>
          <w:rtl/>
        </w:rPr>
        <w:t xml:space="preserve"> </w:t>
      </w:r>
      <w:r w:rsidRPr="00A210E9">
        <w:rPr>
          <w:rFonts w:eastAsia="Calibri" w:hint="eastAsia"/>
          <w:rtl/>
        </w:rPr>
        <w:t>שהחליטו</w:t>
      </w:r>
      <w:r w:rsidRPr="00A210E9">
        <w:rPr>
          <w:rFonts w:eastAsia="Calibri"/>
          <w:rtl/>
        </w:rPr>
        <w:t xml:space="preserve"> לדחות את </w:t>
      </w:r>
      <w:r w:rsidRPr="00A210E9">
        <w:rPr>
          <w:rFonts w:eastAsia="Calibri" w:hint="eastAsia"/>
          <w:rtl/>
        </w:rPr>
        <w:t>הבקשה</w:t>
      </w:r>
      <w:r w:rsidRPr="00A210E9">
        <w:rPr>
          <w:rFonts w:eastAsia="Calibri"/>
          <w:rtl/>
        </w:rPr>
        <w:t xml:space="preserve"> </w:t>
      </w:r>
      <w:r w:rsidRPr="00A210E9">
        <w:rPr>
          <w:rFonts w:eastAsia="Calibri" w:hint="eastAsia"/>
          <w:rtl/>
        </w:rPr>
        <w:t>הקודמת</w:t>
      </w:r>
      <w:r w:rsidRPr="00A210E9">
        <w:rPr>
          <w:rFonts w:eastAsia="Calibri" w:hint="cs"/>
          <w:rtl/>
        </w:rPr>
        <w:t>:</w:t>
      </w:r>
    </w:p>
    <w:p w:rsidR="00A210E9" w:rsidRPr="00A210E9" w:rsidP="00A210E9">
      <w:pPr>
        <w:keepNext/>
        <w:keepLines/>
        <w:spacing w:line="269" w:lineRule="auto"/>
        <w:ind w:left="-567"/>
        <w:rPr>
          <w:rFonts w:eastAsia="Calibri"/>
          <w:szCs w:val="20"/>
          <w:rtl/>
        </w:rPr>
      </w:pPr>
    </w:p>
    <w:p w:rsidR="000405CD">
      <w:pPr>
        <w:bidi w:val="0"/>
        <w:spacing w:after="200" w:line="276" w:lineRule="auto"/>
        <w:rPr>
          <w:rFonts w:eastAsia="Calibri"/>
          <w:rtl/>
        </w:rPr>
      </w:pPr>
      <w:r>
        <w:rPr>
          <w:rFonts w:eastAsia="Calibri"/>
          <w:rtl/>
        </w:rPr>
        <w:br w:type="page"/>
      </w:r>
    </w:p>
    <w:p w:rsidR="00A210E9" w:rsidRPr="00A210E9" w:rsidP="00A210E9">
      <w:pPr>
        <w:keepNext/>
        <w:keepLines/>
        <w:spacing w:line="269" w:lineRule="auto"/>
        <w:jc w:val="center"/>
        <w:rPr>
          <w:rFonts w:eastAsia="Calibri"/>
          <w:b/>
          <w:bCs/>
          <w:rtl/>
        </w:rPr>
      </w:pPr>
      <w:r w:rsidRPr="00A210E9">
        <w:rPr>
          <w:rFonts w:eastAsia="Calibri" w:hint="eastAsia"/>
          <w:rtl/>
        </w:rPr>
        <w:t>לוח</w:t>
      </w:r>
      <w:r w:rsidRPr="00A210E9">
        <w:rPr>
          <w:rFonts w:eastAsia="Calibri"/>
          <w:rtl/>
        </w:rPr>
        <w:t xml:space="preserve"> </w:t>
      </w:r>
      <w:r w:rsidRPr="00A210E9">
        <w:rPr>
          <w:rFonts w:eastAsia="Calibri" w:hint="cs"/>
          <w:rtl/>
        </w:rPr>
        <w:t>10</w:t>
      </w:r>
      <w:r w:rsidRPr="00A210E9">
        <w:rPr>
          <w:rFonts w:eastAsia="Calibri"/>
          <w:rtl/>
        </w:rPr>
        <w:t>:</w:t>
      </w:r>
      <w:r w:rsidRPr="00A210E9">
        <w:rPr>
          <w:rFonts w:eastAsia="Calibri" w:hint="cs"/>
          <w:b/>
          <w:bCs/>
        </w:rPr>
        <w:t xml:space="preserve"> </w:t>
      </w:r>
      <w:r w:rsidRPr="00A210E9">
        <w:rPr>
          <w:rFonts w:eastAsia="Calibri" w:hint="cs"/>
          <w:b/>
          <w:bCs/>
          <w:rtl/>
        </w:rPr>
        <w:t>מספר הבקשות החוזרות לתג חניה, לפי דוגמה של שישה נבדקים, 2019 - 2024</w:t>
      </w:r>
    </w:p>
    <w:tbl>
      <w:tblPr>
        <w:bidiVisual/>
        <w:tblW w:w="8028" w:type="dxa"/>
        <w:jc w:val="center"/>
        <w:tblLayout w:type="fixed"/>
        <w:tblCellMar>
          <w:left w:w="57" w:type="dxa"/>
          <w:right w:w="57" w:type="dxa"/>
        </w:tblCellMar>
        <w:tblLook w:val="04A0"/>
      </w:tblPr>
      <w:tblGrid>
        <w:gridCol w:w="1146"/>
        <w:gridCol w:w="1147"/>
        <w:gridCol w:w="1147"/>
        <w:gridCol w:w="1147"/>
        <w:gridCol w:w="1147"/>
        <w:gridCol w:w="1147"/>
        <w:gridCol w:w="1147"/>
      </w:tblGrid>
      <w:tr w:rsidTr="00A157C9">
        <w:tblPrEx>
          <w:tblW w:w="8028" w:type="dxa"/>
          <w:jc w:val="center"/>
          <w:tblLayout w:type="fixed"/>
          <w:tblCellMar>
            <w:left w:w="57" w:type="dxa"/>
            <w:right w:w="57" w:type="dxa"/>
          </w:tblCellMar>
          <w:tblLook w:val="04A0"/>
        </w:tblPrEx>
        <w:trPr>
          <w:trHeight w:val="323"/>
          <w:tblHeader/>
          <w:jc w:val="center"/>
        </w:trPr>
        <w:tc>
          <w:tcPr>
            <w:tcW w:w="1146" w:type="dxa"/>
            <w:tcBorders>
              <w:top w:val="single" w:sz="4" w:space="0" w:color="auto"/>
              <w:left w:val="single" w:sz="4" w:space="0" w:color="auto"/>
              <w:bottom w:val="single" w:sz="4" w:space="0" w:color="auto"/>
              <w:right w:val="single" w:sz="4" w:space="0" w:color="auto"/>
            </w:tcBorders>
            <w:shd w:val="clear" w:color="4472C4" w:fill="4472C4"/>
            <w:vAlign w:val="center"/>
            <w:hideMark/>
          </w:tcPr>
          <w:p w:rsidR="00A210E9" w:rsidRPr="00A210E9" w:rsidP="00A210E9">
            <w:pPr>
              <w:spacing w:line="269" w:lineRule="auto"/>
              <w:jc w:val="center"/>
              <w:rPr>
                <w:rFonts w:ascii="David" w:eastAsia="Times New Roman" w:hAnsi="David"/>
                <w:b/>
                <w:bCs/>
                <w:color w:val="FFFFFF"/>
                <w:sz w:val="22"/>
                <w:szCs w:val="22"/>
              </w:rPr>
            </w:pPr>
          </w:p>
        </w:tc>
        <w:tc>
          <w:tcPr>
            <w:tcW w:w="1147" w:type="dxa"/>
            <w:tcBorders>
              <w:top w:val="single" w:sz="4" w:space="0" w:color="auto"/>
              <w:left w:val="single" w:sz="4" w:space="0" w:color="auto"/>
              <w:bottom w:val="single" w:sz="4" w:space="0" w:color="auto"/>
              <w:right w:val="single" w:sz="4" w:space="0" w:color="auto"/>
            </w:tcBorders>
            <w:shd w:val="clear" w:color="4472C4" w:fill="4472C4"/>
            <w:vAlign w:val="center"/>
            <w:hideMark/>
          </w:tcPr>
          <w:p w:rsidR="00A210E9" w:rsidRPr="00A210E9" w:rsidP="00A210E9">
            <w:pPr>
              <w:spacing w:line="269" w:lineRule="auto"/>
              <w:jc w:val="center"/>
              <w:rPr>
                <w:rFonts w:ascii="David" w:eastAsia="Times New Roman" w:hAnsi="David"/>
                <w:b/>
                <w:bCs/>
                <w:color w:val="FFFFFF"/>
                <w:sz w:val="22"/>
                <w:szCs w:val="22"/>
                <w:rtl/>
              </w:rPr>
            </w:pPr>
            <w:r w:rsidRPr="00A210E9">
              <w:rPr>
                <w:rFonts w:ascii="David" w:eastAsia="Times New Roman" w:hAnsi="David"/>
                <w:b/>
                <w:bCs/>
                <w:color w:val="FFFFFF"/>
                <w:sz w:val="22"/>
                <w:szCs w:val="22"/>
                <w:rtl/>
              </w:rPr>
              <w:t>נבדק 1</w:t>
            </w:r>
          </w:p>
        </w:tc>
        <w:tc>
          <w:tcPr>
            <w:tcW w:w="1147" w:type="dxa"/>
            <w:tcBorders>
              <w:top w:val="single" w:sz="4" w:space="0" w:color="auto"/>
              <w:left w:val="single" w:sz="4" w:space="0" w:color="auto"/>
              <w:bottom w:val="single" w:sz="4" w:space="0" w:color="auto"/>
              <w:right w:val="single" w:sz="4" w:space="0" w:color="auto"/>
            </w:tcBorders>
            <w:shd w:val="clear" w:color="4472C4" w:fill="4472C4"/>
            <w:vAlign w:val="center"/>
          </w:tcPr>
          <w:p w:rsidR="00A210E9" w:rsidRPr="00A210E9" w:rsidP="00A210E9">
            <w:pPr>
              <w:spacing w:line="269" w:lineRule="auto"/>
              <w:jc w:val="center"/>
              <w:rPr>
                <w:rFonts w:ascii="David" w:eastAsia="Times New Roman" w:hAnsi="David"/>
                <w:b/>
                <w:bCs/>
                <w:color w:val="FFFFFF"/>
                <w:sz w:val="22"/>
                <w:szCs w:val="22"/>
                <w:rtl/>
              </w:rPr>
            </w:pPr>
            <w:r w:rsidRPr="00A210E9">
              <w:rPr>
                <w:rFonts w:ascii="David" w:eastAsia="Times New Roman" w:hAnsi="David"/>
                <w:b/>
                <w:bCs/>
                <w:color w:val="FFFFFF"/>
                <w:sz w:val="22"/>
                <w:szCs w:val="22"/>
                <w:rtl/>
              </w:rPr>
              <w:t>נבדק 2</w:t>
            </w:r>
          </w:p>
        </w:tc>
        <w:tc>
          <w:tcPr>
            <w:tcW w:w="1147" w:type="dxa"/>
            <w:tcBorders>
              <w:top w:val="single" w:sz="4" w:space="0" w:color="auto"/>
              <w:left w:val="single" w:sz="4" w:space="0" w:color="auto"/>
              <w:bottom w:val="single" w:sz="4" w:space="0" w:color="auto"/>
              <w:right w:val="single" w:sz="4" w:space="0" w:color="auto"/>
            </w:tcBorders>
            <w:shd w:val="clear" w:color="4472C4" w:fill="4472C4"/>
            <w:vAlign w:val="center"/>
          </w:tcPr>
          <w:p w:rsidR="00A210E9" w:rsidRPr="00A210E9" w:rsidP="00A210E9">
            <w:pPr>
              <w:spacing w:line="269" w:lineRule="auto"/>
              <w:jc w:val="center"/>
              <w:rPr>
                <w:rFonts w:ascii="David" w:eastAsia="Times New Roman" w:hAnsi="David"/>
                <w:b/>
                <w:bCs/>
                <w:color w:val="FFFFFF"/>
                <w:sz w:val="22"/>
                <w:szCs w:val="22"/>
              </w:rPr>
            </w:pPr>
            <w:r w:rsidRPr="00A210E9">
              <w:rPr>
                <w:rFonts w:ascii="David" w:eastAsia="Times New Roman" w:hAnsi="David"/>
                <w:b/>
                <w:bCs/>
                <w:color w:val="FFFFFF"/>
                <w:sz w:val="22"/>
                <w:szCs w:val="22"/>
                <w:rtl/>
              </w:rPr>
              <w:t>נבדק 3</w:t>
            </w:r>
          </w:p>
        </w:tc>
        <w:tc>
          <w:tcPr>
            <w:tcW w:w="1147" w:type="dxa"/>
            <w:tcBorders>
              <w:top w:val="single" w:sz="4" w:space="0" w:color="auto"/>
              <w:left w:val="single" w:sz="4" w:space="0" w:color="auto"/>
              <w:bottom w:val="single" w:sz="4" w:space="0" w:color="auto"/>
              <w:right w:val="single" w:sz="4" w:space="0" w:color="auto"/>
            </w:tcBorders>
            <w:shd w:val="clear" w:color="4472C4" w:fill="4472C4"/>
            <w:vAlign w:val="center"/>
          </w:tcPr>
          <w:p w:rsidR="00A210E9" w:rsidRPr="00A210E9" w:rsidP="00A210E9">
            <w:pPr>
              <w:spacing w:line="269" w:lineRule="auto"/>
              <w:jc w:val="center"/>
              <w:rPr>
                <w:rFonts w:ascii="David" w:eastAsia="Times New Roman" w:hAnsi="David"/>
                <w:b/>
                <w:bCs/>
                <w:color w:val="FFFFFF"/>
                <w:sz w:val="22"/>
                <w:szCs w:val="22"/>
              </w:rPr>
            </w:pPr>
            <w:r w:rsidRPr="00A210E9">
              <w:rPr>
                <w:rFonts w:ascii="David" w:eastAsia="Times New Roman" w:hAnsi="David"/>
                <w:b/>
                <w:bCs/>
                <w:color w:val="FFFFFF"/>
                <w:sz w:val="22"/>
                <w:szCs w:val="22"/>
                <w:rtl/>
              </w:rPr>
              <w:t>נבדק 4</w:t>
            </w:r>
          </w:p>
        </w:tc>
        <w:tc>
          <w:tcPr>
            <w:tcW w:w="1147" w:type="dxa"/>
            <w:tcBorders>
              <w:top w:val="single" w:sz="4" w:space="0" w:color="auto"/>
              <w:left w:val="single" w:sz="4" w:space="0" w:color="auto"/>
              <w:bottom w:val="single" w:sz="4" w:space="0" w:color="auto"/>
              <w:right w:val="single" w:sz="4" w:space="0" w:color="auto"/>
            </w:tcBorders>
            <w:shd w:val="clear" w:color="4472C4" w:fill="4472C4"/>
            <w:vAlign w:val="center"/>
          </w:tcPr>
          <w:p w:rsidR="00A210E9" w:rsidRPr="00A210E9" w:rsidP="00A210E9">
            <w:pPr>
              <w:spacing w:line="269" w:lineRule="auto"/>
              <w:jc w:val="center"/>
              <w:rPr>
                <w:rFonts w:ascii="David" w:eastAsia="Times New Roman" w:hAnsi="David"/>
                <w:b/>
                <w:bCs/>
                <w:color w:val="FFFFFF"/>
                <w:sz w:val="22"/>
                <w:szCs w:val="22"/>
              </w:rPr>
            </w:pPr>
            <w:r w:rsidRPr="00A210E9">
              <w:rPr>
                <w:rFonts w:ascii="David" w:eastAsia="Times New Roman" w:hAnsi="David"/>
                <w:b/>
                <w:bCs/>
                <w:color w:val="FFFFFF"/>
                <w:sz w:val="22"/>
                <w:szCs w:val="22"/>
                <w:rtl/>
              </w:rPr>
              <w:t>נבדק 5</w:t>
            </w:r>
          </w:p>
        </w:tc>
        <w:tc>
          <w:tcPr>
            <w:tcW w:w="1147" w:type="dxa"/>
            <w:tcBorders>
              <w:top w:val="single" w:sz="4" w:space="0" w:color="auto"/>
              <w:left w:val="single" w:sz="4" w:space="0" w:color="auto"/>
              <w:bottom w:val="single" w:sz="4" w:space="0" w:color="auto"/>
              <w:right w:val="single" w:sz="4" w:space="0" w:color="auto"/>
            </w:tcBorders>
            <w:shd w:val="clear" w:color="4472C4" w:fill="4472C4"/>
            <w:vAlign w:val="center"/>
          </w:tcPr>
          <w:p w:rsidR="00A210E9" w:rsidRPr="00A210E9" w:rsidP="00A210E9">
            <w:pPr>
              <w:spacing w:line="269" w:lineRule="auto"/>
              <w:jc w:val="center"/>
              <w:rPr>
                <w:rFonts w:ascii="David" w:eastAsia="Times New Roman" w:hAnsi="David"/>
                <w:b/>
                <w:bCs/>
                <w:color w:val="FFFFFF"/>
                <w:sz w:val="22"/>
                <w:szCs w:val="22"/>
              </w:rPr>
            </w:pPr>
            <w:r w:rsidRPr="00A210E9">
              <w:rPr>
                <w:rFonts w:ascii="David" w:eastAsia="Times New Roman" w:hAnsi="David"/>
                <w:b/>
                <w:bCs/>
                <w:color w:val="FFFFFF"/>
                <w:sz w:val="22"/>
                <w:szCs w:val="22"/>
                <w:rtl/>
              </w:rPr>
              <w:t>נבדק 6</w:t>
            </w:r>
          </w:p>
        </w:tc>
      </w:tr>
      <w:tr w:rsidTr="00A157C9">
        <w:tblPrEx>
          <w:tblW w:w="8028" w:type="dxa"/>
          <w:jc w:val="center"/>
          <w:tblLayout w:type="fixed"/>
          <w:tblCellMar>
            <w:left w:w="57" w:type="dxa"/>
            <w:right w:w="57" w:type="dxa"/>
          </w:tblCellMar>
          <w:tblLook w:val="04A0"/>
        </w:tblPrEx>
        <w:trPr>
          <w:trHeight w:val="580"/>
          <w:jc w:val="center"/>
        </w:trPr>
        <w:tc>
          <w:tcPr>
            <w:tcW w:w="1146" w:type="dxa"/>
            <w:tcBorders>
              <w:top w:val="single" w:sz="4" w:space="0" w:color="auto"/>
              <w:left w:val="single" w:sz="4" w:space="0" w:color="auto"/>
              <w:bottom w:val="single" w:sz="4" w:space="0" w:color="auto"/>
              <w:right w:val="single" w:sz="4" w:space="0" w:color="auto"/>
            </w:tcBorders>
            <w:vAlign w:val="center"/>
            <w:hideMark/>
          </w:tcPr>
          <w:p w:rsidR="00A210E9" w:rsidRPr="00A210E9" w:rsidP="00A210E9">
            <w:pPr>
              <w:spacing w:line="269" w:lineRule="auto"/>
              <w:jc w:val="left"/>
              <w:rPr>
                <w:rFonts w:ascii="David" w:eastAsia="Times New Roman" w:hAnsi="David"/>
                <w:color w:val="000000"/>
                <w:szCs w:val="20"/>
              </w:rPr>
            </w:pPr>
            <w:r w:rsidRPr="00A210E9">
              <w:rPr>
                <w:rFonts w:ascii="David" w:eastAsia="Times New Roman" w:hAnsi="David"/>
                <w:color w:val="000000"/>
                <w:szCs w:val="20"/>
                <w:rtl/>
              </w:rPr>
              <w:t>מועד בקשה חוזרת ראשונה</w:t>
            </w:r>
          </w:p>
        </w:tc>
        <w:tc>
          <w:tcPr>
            <w:tcW w:w="1147" w:type="dxa"/>
            <w:tcBorders>
              <w:top w:val="single" w:sz="4" w:space="0" w:color="auto"/>
              <w:left w:val="single" w:sz="4" w:space="0" w:color="auto"/>
              <w:bottom w:val="single" w:sz="4" w:space="0" w:color="auto"/>
              <w:right w:val="single" w:sz="4" w:space="0" w:color="auto"/>
            </w:tcBorders>
            <w:vAlign w:val="center"/>
            <w:hideMark/>
          </w:tcPr>
          <w:p w:rsidR="00A210E9" w:rsidRPr="00A210E9" w:rsidP="00A210E9">
            <w:pPr>
              <w:spacing w:line="269" w:lineRule="auto"/>
              <w:jc w:val="center"/>
              <w:rPr>
                <w:rFonts w:ascii="David" w:eastAsia="Times New Roman" w:hAnsi="David"/>
                <w:color w:val="000000"/>
                <w:szCs w:val="20"/>
              </w:rPr>
            </w:pPr>
            <w:r w:rsidRPr="00A210E9">
              <w:rPr>
                <w:rFonts w:ascii="David" w:eastAsia="Times New Roman" w:hAnsi="David"/>
                <w:color w:val="000000"/>
                <w:szCs w:val="20"/>
              </w:rPr>
              <w:t>4.2.21</w:t>
            </w:r>
          </w:p>
        </w:tc>
        <w:tc>
          <w:tcPr>
            <w:tcW w:w="1147" w:type="dxa"/>
            <w:tcBorders>
              <w:top w:val="single" w:sz="4" w:space="0" w:color="auto"/>
              <w:left w:val="single" w:sz="4" w:space="0" w:color="auto"/>
              <w:bottom w:val="single" w:sz="4"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r w:rsidRPr="00A210E9">
              <w:rPr>
                <w:rFonts w:ascii="David" w:eastAsia="Times New Roman" w:hAnsi="David"/>
                <w:color w:val="000000"/>
                <w:szCs w:val="20"/>
              </w:rPr>
              <w:t>9.6.19</w:t>
            </w:r>
          </w:p>
        </w:tc>
        <w:tc>
          <w:tcPr>
            <w:tcW w:w="1147" w:type="dxa"/>
            <w:tcBorders>
              <w:top w:val="single" w:sz="4" w:space="0" w:color="auto"/>
              <w:left w:val="single" w:sz="4" w:space="0" w:color="auto"/>
              <w:bottom w:val="single" w:sz="4"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r w:rsidRPr="00A210E9">
              <w:rPr>
                <w:rFonts w:ascii="David" w:eastAsia="Times New Roman" w:hAnsi="David"/>
                <w:color w:val="000000"/>
                <w:szCs w:val="20"/>
              </w:rPr>
              <w:t>1.7.19</w:t>
            </w:r>
          </w:p>
        </w:tc>
        <w:tc>
          <w:tcPr>
            <w:tcW w:w="1147" w:type="dxa"/>
            <w:tcBorders>
              <w:top w:val="single" w:sz="4" w:space="0" w:color="auto"/>
              <w:left w:val="single" w:sz="4" w:space="0" w:color="auto"/>
              <w:bottom w:val="single" w:sz="4"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r w:rsidRPr="00A210E9">
              <w:rPr>
                <w:rFonts w:ascii="David" w:eastAsia="Times New Roman" w:hAnsi="David"/>
                <w:color w:val="000000"/>
                <w:szCs w:val="20"/>
              </w:rPr>
              <w:t>9.3.21</w:t>
            </w:r>
          </w:p>
        </w:tc>
        <w:tc>
          <w:tcPr>
            <w:tcW w:w="1147" w:type="dxa"/>
            <w:tcBorders>
              <w:top w:val="single" w:sz="4" w:space="0" w:color="auto"/>
              <w:left w:val="single" w:sz="4" w:space="0" w:color="auto"/>
              <w:bottom w:val="single" w:sz="4"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r w:rsidRPr="00A210E9">
              <w:rPr>
                <w:rFonts w:ascii="David" w:eastAsia="Times New Roman" w:hAnsi="David"/>
                <w:color w:val="000000"/>
                <w:szCs w:val="20"/>
              </w:rPr>
              <w:t>9.12.20</w:t>
            </w:r>
          </w:p>
        </w:tc>
        <w:tc>
          <w:tcPr>
            <w:tcW w:w="1147" w:type="dxa"/>
            <w:tcBorders>
              <w:top w:val="single" w:sz="4" w:space="0" w:color="auto"/>
              <w:left w:val="single" w:sz="4" w:space="0" w:color="auto"/>
              <w:bottom w:val="single" w:sz="4"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r w:rsidRPr="00A210E9">
              <w:rPr>
                <w:rFonts w:ascii="David" w:eastAsia="Times New Roman" w:hAnsi="David"/>
                <w:color w:val="000000"/>
                <w:szCs w:val="20"/>
              </w:rPr>
              <w:t>6.1.22</w:t>
            </w:r>
          </w:p>
        </w:tc>
      </w:tr>
      <w:tr w:rsidTr="00A157C9">
        <w:tblPrEx>
          <w:tblW w:w="8028" w:type="dxa"/>
          <w:jc w:val="center"/>
          <w:tblLayout w:type="fixed"/>
          <w:tblCellMar>
            <w:left w:w="57" w:type="dxa"/>
            <w:right w:w="57" w:type="dxa"/>
          </w:tblCellMar>
          <w:tblLook w:val="04A0"/>
        </w:tblPrEx>
        <w:trPr>
          <w:trHeight w:val="580"/>
          <w:jc w:val="center"/>
        </w:trPr>
        <w:tc>
          <w:tcPr>
            <w:tcW w:w="1146" w:type="dxa"/>
            <w:tcBorders>
              <w:top w:val="single" w:sz="4" w:space="0" w:color="auto"/>
              <w:left w:val="single" w:sz="4" w:space="0" w:color="auto"/>
              <w:bottom w:val="single" w:sz="4" w:space="0" w:color="auto"/>
              <w:right w:val="single" w:sz="4" w:space="0" w:color="auto"/>
            </w:tcBorders>
            <w:vAlign w:val="center"/>
            <w:hideMark/>
          </w:tcPr>
          <w:p w:rsidR="00A210E9" w:rsidRPr="00A210E9" w:rsidP="00A210E9">
            <w:pPr>
              <w:spacing w:line="269" w:lineRule="auto"/>
              <w:jc w:val="left"/>
              <w:rPr>
                <w:rFonts w:ascii="David" w:eastAsia="Times New Roman" w:hAnsi="David"/>
                <w:color w:val="000000"/>
                <w:szCs w:val="20"/>
              </w:rPr>
            </w:pPr>
            <w:r w:rsidRPr="00A210E9">
              <w:rPr>
                <w:rFonts w:ascii="David" w:eastAsia="Times New Roman" w:hAnsi="David"/>
                <w:color w:val="000000"/>
                <w:szCs w:val="20"/>
                <w:rtl/>
              </w:rPr>
              <w:t>מספר הבקשות החוזרות שנדחו עד לאישור הראשון</w:t>
            </w:r>
          </w:p>
        </w:tc>
        <w:tc>
          <w:tcPr>
            <w:tcW w:w="1147" w:type="dxa"/>
            <w:tcBorders>
              <w:top w:val="single" w:sz="4" w:space="0" w:color="auto"/>
              <w:left w:val="single" w:sz="4" w:space="0" w:color="auto"/>
              <w:bottom w:val="single" w:sz="4" w:space="0" w:color="auto"/>
              <w:right w:val="single" w:sz="4" w:space="0" w:color="auto"/>
            </w:tcBorders>
            <w:vAlign w:val="center"/>
            <w:hideMark/>
          </w:tcPr>
          <w:p w:rsidR="00A210E9" w:rsidRPr="00A210E9" w:rsidP="00A210E9">
            <w:pPr>
              <w:spacing w:line="269" w:lineRule="auto"/>
              <w:jc w:val="center"/>
              <w:rPr>
                <w:rFonts w:ascii="David" w:eastAsia="Times New Roman" w:hAnsi="David"/>
                <w:color w:val="000000"/>
                <w:szCs w:val="20"/>
                <w:rtl/>
              </w:rPr>
            </w:pPr>
            <w:r w:rsidRPr="00A210E9">
              <w:rPr>
                <w:rFonts w:ascii="David" w:eastAsia="Times New Roman" w:hAnsi="David"/>
                <w:color w:val="000000"/>
                <w:szCs w:val="20"/>
              </w:rPr>
              <w:t>7</w:t>
            </w:r>
          </w:p>
        </w:tc>
        <w:tc>
          <w:tcPr>
            <w:tcW w:w="1147" w:type="dxa"/>
            <w:tcBorders>
              <w:top w:val="single" w:sz="4" w:space="0" w:color="auto"/>
              <w:left w:val="single" w:sz="4" w:space="0" w:color="auto"/>
              <w:bottom w:val="single" w:sz="4"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r w:rsidRPr="00A210E9">
              <w:rPr>
                <w:rFonts w:ascii="David" w:eastAsia="Times New Roman" w:hAnsi="David"/>
                <w:color w:val="000000"/>
                <w:szCs w:val="20"/>
              </w:rPr>
              <w:t>11</w:t>
            </w:r>
          </w:p>
        </w:tc>
        <w:tc>
          <w:tcPr>
            <w:tcW w:w="1147" w:type="dxa"/>
            <w:tcBorders>
              <w:top w:val="single" w:sz="4" w:space="0" w:color="auto"/>
              <w:left w:val="single" w:sz="4" w:space="0" w:color="auto"/>
              <w:bottom w:val="single" w:sz="4"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tl/>
              </w:rPr>
            </w:pPr>
            <w:r w:rsidRPr="00A210E9">
              <w:rPr>
                <w:rFonts w:ascii="David" w:eastAsia="Times New Roman" w:hAnsi="David"/>
                <w:color w:val="000000"/>
                <w:szCs w:val="20"/>
              </w:rPr>
              <w:t>32</w:t>
            </w:r>
          </w:p>
        </w:tc>
        <w:tc>
          <w:tcPr>
            <w:tcW w:w="1147" w:type="dxa"/>
            <w:tcBorders>
              <w:top w:val="single" w:sz="4" w:space="0" w:color="auto"/>
              <w:left w:val="single" w:sz="4" w:space="0" w:color="auto"/>
              <w:bottom w:val="single" w:sz="4"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r w:rsidRPr="00A210E9">
              <w:rPr>
                <w:rFonts w:ascii="David" w:eastAsia="Times New Roman" w:hAnsi="David"/>
                <w:color w:val="000000"/>
                <w:szCs w:val="20"/>
              </w:rPr>
              <w:t>31</w:t>
            </w:r>
          </w:p>
        </w:tc>
        <w:tc>
          <w:tcPr>
            <w:tcW w:w="1147" w:type="dxa"/>
            <w:tcBorders>
              <w:top w:val="single" w:sz="4" w:space="0" w:color="auto"/>
              <w:left w:val="single" w:sz="4" w:space="0" w:color="auto"/>
              <w:bottom w:val="single" w:sz="4"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r w:rsidRPr="00A210E9">
              <w:rPr>
                <w:rFonts w:ascii="David" w:eastAsia="Times New Roman" w:hAnsi="David"/>
                <w:color w:val="000000"/>
                <w:szCs w:val="20"/>
              </w:rPr>
              <w:t>25</w:t>
            </w:r>
          </w:p>
        </w:tc>
        <w:tc>
          <w:tcPr>
            <w:tcW w:w="1147" w:type="dxa"/>
            <w:tcBorders>
              <w:top w:val="single" w:sz="4" w:space="0" w:color="auto"/>
              <w:left w:val="single" w:sz="4" w:space="0" w:color="auto"/>
              <w:bottom w:val="single" w:sz="4"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r w:rsidRPr="00A210E9">
              <w:rPr>
                <w:rFonts w:ascii="David" w:eastAsia="Times New Roman" w:hAnsi="David"/>
                <w:color w:val="000000"/>
                <w:szCs w:val="20"/>
              </w:rPr>
              <w:t>3</w:t>
            </w:r>
          </w:p>
        </w:tc>
      </w:tr>
      <w:tr w:rsidTr="00A157C9">
        <w:tblPrEx>
          <w:tblW w:w="8028" w:type="dxa"/>
          <w:jc w:val="center"/>
          <w:tblLayout w:type="fixed"/>
          <w:tblCellMar>
            <w:left w:w="57" w:type="dxa"/>
            <w:right w:w="57" w:type="dxa"/>
          </w:tblCellMar>
          <w:tblLook w:val="04A0"/>
        </w:tblPrEx>
        <w:trPr>
          <w:trHeight w:val="289"/>
          <w:jc w:val="center"/>
        </w:trPr>
        <w:tc>
          <w:tcPr>
            <w:tcW w:w="1146" w:type="dxa"/>
            <w:tcBorders>
              <w:top w:val="single" w:sz="4" w:space="0" w:color="auto"/>
              <w:left w:val="single" w:sz="4" w:space="0" w:color="auto"/>
              <w:bottom w:val="single" w:sz="8" w:space="0" w:color="auto"/>
              <w:right w:val="single" w:sz="4" w:space="0" w:color="auto"/>
            </w:tcBorders>
            <w:vAlign w:val="center"/>
            <w:hideMark/>
          </w:tcPr>
          <w:p w:rsidR="00A210E9" w:rsidRPr="00A210E9" w:rsidP="00A210E9">
            <w:pPr>
              <w:spacing w:line="269" w:lineRule="auto"/>
              <w:jc w:val="left"/>
              <w:rPr>
                <w:rFonts w:ascii="David" w:eastAsia="Times New Roman" w:hAnsi="David"/>
                <w:color w:val="000000"/>
                <w:szCs w:val="20"/>
              </w:rPr>
            </w:pPr>
            <w:r w:rsidRPr="00A210E9">
              <w:rPr>
                <w:rFonts w:ascii="David" w:eastAsia="Times New Roman" w:hAnsi="David"/>
                <w:color w:val="000000"/>
                <w:szCs w:val="20"/>
                <w:rtl/>
              </w:rPr>
              <w:t>מועד אישור ראשון</w:t>
            </w:r>
          </w:p>
        </w:tc>
        <w:tc>
          <w:tcPr>
            <w:tcW w:w="1147" w:type="dxa"/>
            <w:tcBorders>
              <w:top w:val="single" w:sz="4" w:space="0" w:color="auto"/>
              <w:left w:val="single" w:sz="4" w:space="0" w:color="auto"/>
              <w:bottom w:val="single" w:sz="8" w:space="0" w:color="auto"/>
              <w:right w:val="single" w:sz="4" w:space="0" w:color="auto"/>
            </w:tcBorders>
            <w:vAlign w:val="center"/>
            <w:hideMark/>
          </w:tcPr>
          <w:p w:rsidR="00A210E9" w:rsidRPr="00A210E9" w:rsidP="00A210E9">
            <w:pPr>
              <w:spacing w:line="269" w:lineRule="auto"/>
              <w:jc w:val="center"/>
              <w:rPr>
                <w:rFonts w:ascii="David" w:eastAsia="Times New Roman" w:hAnsi="David"/>
                <w:color w:val="000000"/>
                <w:szCs w:val="20"/>
              </w:rPr>
            </w:pPr>
            <w:r w:rsidRPr="00A210E9">
              <w:rPr>
                <w:rFonts w:ascii="David" w:eastAsia="Times New Roman" w:hAnsi="David"/>
                <w:color w:val="000000"/>
                <w:szCs w:val="20"/>
              </w:rPr>
              <w:t>18.3.21</w:t>
            </w:r>
          </w:p>
        </w:tc>
        <w:tc>
          <w:tcPr>
            <w:tcW w:w="1147" w:type="dxa"/>
            <w:tcBorders>
              <w:top w:val="single" w:sz="4" w:space="0" w:color="auto"/>
              <w:left w:val="single" w:sz="4" w:space="0" w:color="auto"/>
              <w:bottom w:val="single" w:sz="8"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r w:rsidRPr="00A210E9">
              <w:rPr>
                <w:rFonts w:ascii="David" w:eastAsia="Times New Roman" w:hAnsi="David"/>
                <w:color w:val="000000"/>
                <w:szCs w:val="20"/>
              </w:rPr>
              <w:t>16.7.20</w:t>
            </w:r>
          </w:p>
        </w:tc>
        <w:tc>
          <w:tcPr>
            <w:tcW w:w="1147" w:type="dxa"/>
            <w:tcBorders>
              <w:top w:val="single" w:sz="4" w:space="0" w:color="auto"/>
              <w:left w:val="single" w:sz="4" w:space="0" w:color="auto"/>
              <w:bottom w:val="single" w:sz="8"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r w:rsidRPr="00A210E9">
              <w:rPr>
                <w:rFonts w:ascii="David" w:eastAsia="Times New Roman" w:hAnsi="David"/>
                <w:color w:val="000000"/>
                <w:szCs w:val="20"/>
              </w:rPr>
              <w:t>11.2.22</w:t>
            </w:r>
          </w:p>
        </w:tc>
        <w:tc>
          <w:tcPr>
            <w:tcW w:w="1147" w:type="dxa"/>
            <w:tcBorders>
              <w:top w:val="single" w:sz="4" w:space="0" w:color="auto"/>
              <w:left w:val="single" w:sz="4" w:space="0" w:color="auto"/>
              <w:bottom w:val="single" w:sz="8"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r w:rsidRPr="00A210E9">
              <w:rPr>
                <w:rFonts w:ascii="David" w:eastAsia="Times New Roman" w:hAnsi="David"/>
                <w:color w:val="000000"/>
                <w:szCs w:val="20"/>
              </w:rPr>
              <w:t>16.3.22</w:t>
            </w:r>
          </w:p>
        </w:tc>
        <w:tc>
          <w:tcPr>
            <w:tcW w:w="1147" w:type="dxa"/>
            <w:tcBorders>
              <w:top w:val="single" w:sz="4" w:space="0" w:color="auto"/>
              <w:left w:val="single" w:sz="4" w:space="0" w:color="auto"/>
              <w:bottom w:val="single" w:sz="8"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r w:rsidRPr="00A210E9">
              <w:rPr>
                <w:rFonts w:ascii="David" w:eastAsia="Times New Roman" w:hAnsi="David"/>
                <w:color w:val="000000"/>
                <w:szCs w:val="20"/>
              </w:rPr>
              <w:t>5.9.21</w:t>
            </w:r>
          </w:p>
        </w:tc>
        <w:tc>
          <w:tcPr>
            <w:tcW w:w="1147" w:type="dxa"/>
            <w:tcBorders>
              <w:top w:val="single" w:sz="4" w:space="0" w:color="auto"/>
              <w:left w:val="single" w:sz="4" w:space="0" w:color="auto"/>
              <w:bottom w:val="single" w:sz="8"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r w:rsidRPr="00A210E9">
              <w:rPr>
                <w:rFonts w:ascii="David" w:eastAsia="Times New Roman" w:hAnsi="David"/>
                <w:color w:val="000000"/>
                <w:szCs w:val="20"/>
              </w:rPr>
              <w:t>10.3.22</w:t>
            </w:r>
          </w:p>
        </w:tc>
      </w:tr>
      <w:tr w:rsidTr="00A157C9">
        <w:tblPrEx>
          <w:tblW w:w="8028" w:type="dxa"/>
          <w:jc w:val="center"/>
          <w:tblLayout w:type="fixed"/>
          <w:tblCellMar>
            <w:left w:w="57" w:type="dxa"/>
            <w:right w:w="57" w:type="dxa"/>
          </w:tblCellMar>
          <w:tblLook w:val="04A0"/>
        </w:tblPrEx>
        <w:trPr>
          <w:trHeight w:val="580"/>
          <w:jc w:val="center"/>
        </w:trPr>
        <w:tc>
          <w:tcPr>
            <w:tcW w:w="1146" w:type="dxa"/>
            <w:tcBorders>
              <w:top w:val="single" w:sz="8" w:space="0" w:color="auto"/>
              <w:left w:val="single" w:sz="4" w:space="0" w:color="auto"/>
              <w:bottom w:val="single" w:sz="4" w:space="0" w:color="auto"/>
              <w:right w:val="single" w:sz="4" w:space="0" w:color="auto"/>
            </w:tcBorders>
            <w:vAlign w:val="center"/>
            <w:hideMark/>
          </w:tcPr>
          <w:p w:rsidR="00A210E9" w:rsidRPr="00A210E9" w:rsidP="00A210E9">
            <w:pPr>
              <w:spacing w:line="269" w:lineRule="auto"/>
              <w:jc w:val="left"/>
              <w:rPr>
                <w:rFonts w:ascii="David" w:eastAsia="Times New Roman" w:hAnsi="David"/>
                <w:color w:val="000000"/>
                <w:szCs w:val="20"/>
              </w:rPr>
            </w:pPr>
            <w:r w:rsidRPr="00A210E9">
              <w:rPr>
                <w:rFonts w:ascii="David" w:eastAsia="Times New Roman" w:hAnsi="David"/>
                <w:color w:val="000000"/>
                <w:szCs w:val="20"/>
                <w:rtl/>
              </w:rPr>
              <w:t>מועד בקשת חידוש ראשונה</w:t>
            </w:r>
          </w:p>
        </w:tc>
        <w:tc>
          <w:tcPr>
            <w:tcW w:w="1147" w:type="dxa"/>
            <w:tcBorders>
              <w:top w:val="single" w:sz="8" w:space="0" w:color="auto"/>
              <w:left w:val="single" w:sz="4" w:space="0" w:color="auto"/>
              <w:bottom w:val="single" w:sz="4" w:space="0" w:color="auto"/>
              <w:right w:val="single" w:sz="4" w:space="0" w:color="auto"/>
            </w:tcBorders>
            <w:vAlign w:val="center"/>
            <w:hideMark/>
          </w:tcPr>
          <w:p w:rsidR="00A210E9" w:rsidRPr="00A210E9" w:rsidP="00A210E9">
            <w:pPr>
              <w:spacing w:line="269" w:lineRule="auto"/>
              <w:jc w:val="center"/>
              <w:rPr>
                <w:rFonts w:ascii="David" w:eastAsia="Times New Roman" w:hAnsi="David"/>
                <w:color w:val="000000"/>
                <w:szCs w:val="20"/>
              </w:rPr>
            </w:pPr>
            <w:r w:rsidRPr="00A210E9">
              <w:rPr>
                <w:rFonts w:ascii="David" w:eastAsia="Times New Roman" w:hAnsi="David"/>
                <w:color w:val="000000"/>
                <w:szCs w:val="20"/>
              </w:rPr>
              <w:t>20.3.22</w:t>
            </w:r>
          </w:p>
        </w:tc>
        <w:tc>
          <w:tcPr>
            <w:tcW w:w="1147" w:type="dxa"/>
            <w:tcBorders>
              <w:top w:val="single" w:sz="8" w:space="0" w:color="auto"/>
              <w:left w:val="single" w:sz="4" w:space="0" w:color="auto"/>
              <w:bottom w:val="single" w:sz="4"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tl/>
              </w:rPr>
            </w:pPr>
            <w:r w:rsidRPr="00A210E9">
              <w:rPr>
                <w:rFonts w:ascii="David" w:eastAsia="Times New Roman" w:hAnsi="David"/>
                <w:color w:val="000000"/>
                <w:szCs w:val="20"/>
              </w:rPr>
              <w:t>3.6.21</w:t>
            </w:r>
          </w:p>
        </w:tc>
        <w:tc>
          <w:tcPr>
            <w:tcW w:w="1147" w:type="dxa"/>
            <w:tcBorders>
              <w:top w:val="single" w:sz="8" w:space="0" w:color="auto"/>
              <w:left w:val="single" w:sz="4" w:space="0" w:color="auto"/>
              <w:bottom w:val="single" w:sz="4"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r w:rsidRPr="00A210E9">
              <w:rPr>
                <w:rFonts w:ascii="David" w:eastAsia="Times New Roman" w:hAnsi="David"/>
                <w:color w:val="000000"/>
                <w:szCs w:val="20"/>
              </w:rPr>
              <w:t>18.4.23</w:t>
            </w:r>
          </w:p>
        </w:tc>
        <w:tc>
          <w:tcPr>
            <w:tcW w:w="1147" w:type="dxa"/>
            <w:tcBorders>
              <w:top w:val="single" w:sz="8" w:space="0" w:color="auto"/>
              <w:left w:val="single" w:sz="4" w:space="0" w:color="auto"/>
              <w:bottom w:val="single" w:sz="4"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r w:rsidRPr="00A210E9">
              <w:rPr>
                <w:rFonts w:ascii="David" w:eastAsia="Times New Roman" w:hAnsi="David"/>
                <w:color w:val="000000"/>
                <w:szCs w:val="20"/>
              </w:rPr>
              <w:t>9.3.23</w:t>
            </w:r>
          </w:p>
        </w:tc>
        <w:tc>
          <w:tcPr>
            <w:tcW w:w="1147" w:type="dxa"/>
            <w:tcBorders>
              <w:top w:val="single" w:sz="8" w:space="0" w:color="auto"/>
              <w:left w:val="single" w:sz="4" w:space="0" w:color="auto"/>
              <w:bottom w:val="single" w:sz="4"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r w:rsidRPr="00A210E9">
              <w:rPr>
                <w:rFonts w:ascii="David" w:eastAsia="Times New Roman" w:hAnsi="David"/>
                <w:color w:val="000000"/>
                <w:szCs w:val="20"/>
              </w:rPr>
              <w:t>20.9.22</w:t>
            </w:r>
          </w:p>
        </w:tc>
        <w:tc>
          <w:tcPr>
            <w:tcW w:w="1147" w:type="dxa"/>
            <w:tcBorders>
              <w:top w:val="single" w:sz="8" w:space="0" w:color="auto"/>
              <w:left w:val="single" w:sz="4" w:space="0" w:color="auto"/>
              <w:bottom w:val="single" w:sz="4"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r w:rsidRPr="00A210E9">
              <w:rPr>
                <w:rFonts w:ascii="David" w:eastAsia="Times New Roman" w:hAnsi="David"/>
                <w:color w:val="000000"/>
                <w:szCs w:val="20"/>
              </w:rPr>
              <w:t>27.12.22</w:t>
            </w:r>
          </w:p>
        </w:tc>
      </w:tr>
      <w:tr w:rsidTr="00A157C9">
        <w:tblPrEx>
          <w:tblW w:w="8028" w:type="dxa"/>
          <w:jc w:val="center"/>
          <w:tblLayout w:type="fixed"/>
          <w:tblCellMar>
            <w:left w:w="57" w:type="dxa"/>
            <w:right w:w="57" w:type="dxa"/>
          </w:tblCellMar>
          <w:tblLook w:val="04A0"/>
        </w:tblPrEx>
        <w:trPr>
          <w:trHeight w:val="580"/>
          <w:jc w:val="center"/>
        </w:trPr>
        <w:tc>
          <w:tcPr>
            <w:tcW w:w="1146" w:type="dxa"/>
            <w:tcBorders>
              <w:top w:val="single" w:sz="4" w:space="0" w:color="auto"/>
              <w:left w:val="single" w:sz="4" w:space="0" w:color="auto"/>
              <w:bottom w:val="single" w:sz="4" w:space="0" w:color="auto"/>
              <w:right w:val="single" w:sz="4" w:space="0" w:color="auto"/>
            </w:tcBorders>
            <w:vAlign w:val="center"/>
            <w:hideMark/>
          </w:tcPr>
          <w:p w:rsidR="00A210E9" w:rsidRPr="00A210E9" w:rsidP="00A210E9">
            <w:pPr>
              <w:spacing w:line="269" w:lineRule="auto"/>
              <w:jc w:val="left"/>
              <w:rPr>
                <w:rFonts w:ascii="David" w:eastAsia="Times New Roman" w:hAnsi="David"/>
                <w:color w:val="000000"/>
                <w:szCs w:val="20"/>
                <w:rtl/>
              </w:rPr>
            </w:pPr>
            <w:r w:rsidRPr="00A210E9">
              <w:rPr>
                <w:rFonts w:ascii="David" w:eastAsia="Times New Roman" w:hAnsi="David"/>
                <w:color w:val="000000"/>
                <w:szCs w:val="20"/>
                <w:rtl/>
              </w:rPr>
              <w:t>מספר בקשות חוזרות שנדחו</w:t>
            </w:r>
          </w:p>
        </w:tc>
        <w:tc>
          <w:tcPr>
            <w:tcW w:w="1147" w:type="dxa"/>
            <w:tcBorders>
              <w:top w:val="single" w:sz="4" w:space="0" w:color="auto"/>
              <w:left w:val="single" w:sz="4" w:space="0" w:color="auto"/>
              <w:bottom w:val="single" w:sz="4" w:space="0" w:color="auto"/>
              <w:right w:val="single" w:sz="4" w:space="0" w:color="auto"/>
            </w:tcBorders>
            <w:vAlign w:val="center"/>
            <w:hideMark/>
          </w:tcPr>
          <w:p w:rsidR="00A210E9" w:rsidRPr="00A210E9" w:rsidP="00A210E9">
            <w:pPr>
              <w:spacing w:line="269" w:lineRule="auto"/>
              <w:jc w:val="center"/>
              <w:rPr>
                <w:rFonts w:ascii="David" w:eastAsia="Times New Roman" w:hAnsi="David"/>
                <w:color w:val="000000"/>
                <w:szCs w:val="20"/>
                <w:rtl/>
              </w:rPr>
            </w:pPr>
            <w:r w:rsidRPr="00A210E9">
              <w:rPr>
                <w:rFonts w:ascii="David" w:eastAsia="Times New Roman" w:hAnsi="David"/>
                <w:color w:val="000000"/>
                <w:szCs w:val="20"/>
              </w:rPr>
              <w:t>8</w:t>
            </w:r>
          </w:p>
        </w:tc>
        <w:tc>
          <w:tcPr>
            <w:tcW w:w="1147" w:type="dxa"/>
            <w:tcBorders>
              <w:top w:val="single" w:sz="4" w:space="0" w:color="auto"/>
              <w:left w:val="single" w:sz="4" w:space="0" w:color="auto"/>
              <w:bottom w:val="single" w:sz="4"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tl/>
              </w:rPr>
            </w:pPr>
            <w:r w:rsidRPr="00A210E9">
              <w:rPr>
                <w:rFonts w:ascii="David" w:eastAsia="Times New Roman" w:hAnsi="David"/>
                <w:color w:val="000000"/>
                <w:szCs w:val="20"/>
              </w:rPr>
              <w:t>14</w:t>
            </w:r>
          </w:p>
        </w:tc>
        <w:tc>
          <w:tcPr>
            <w:tcW w:w="1147" w:type="dxa"/>
            <w:tcBorders>
              <w:top w:val="single" w:sz="4" w:space="0" w:color="auto"/>
              <w:left w:val="single" w:sz="4" w:space="0" w:color="auto"/>
              <w:bottom w:val="single" w:sz="4"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tl/>
              </w:rPr>
            </w:pPr>
            <w:r w:rsidRPr="00A210E9">
              <w:rPr>
                <w:rFonts w:ascii="David" w:eastAsia="Times New Roman" w:hAnsi="David"/>
                <w:color w:val="000000"/>
                <w:szCs w:val="20"/>
              </w:rPr>
              <w:t>36</w:t>
            </w:r>
          </w:p>
        </w:tc>
        <w:tc>
          <w:tcPr>
            <w:tcW w:w="1147" w:type="dxa"/>
            <w:tcBorders>
              <w:top w:val="single" w:sz="4" w:space="0" w:color="auto"/>
              <w:left w:val="single" w:sz="4" w:space="0" w:color="auto"/>
              <w:bottom w:val="single" w:sz="4"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r w:rsidRPr="00A210E9">
              <w:rPr>
                <w:rFonts w:ascii="David" w:eastAsia="Times New Roman" w:hAnsi="David"/>
                <w:color w:val="000000"/>
                <w:szCs w:val="20"/>
              </w:rPr>
              <w:t>46</w:t>
            </w:r>
          </w:p>
        </w:tc>
        <w:tc>
          <w:tcPr>
            <w:tcW w:w="1147" w:type="dxa"/>
            <w:tcBorders>
              <w:top w:val="single" w:sz="4" w:space="0" w:color="auto"/>
              <w:left w:val="single" w:sz="4" w:space="0" w:color="auto"/>
              <w:bottom w:val="single" w:sz="4"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r w:rsidRPr="00A210E9">
              <w:rPr>
                <w:rFonts w:ascii="David" w:eastAsia="Times New Roman" w:hAnsi="David"/>
                <w:color w:val="000000"/>
                <w:szCs w:val="20"/>
              </w:rPr>
              <w:t>53</w:t>
            </w:r>
          </w:p>
        </w:tc>
        <w:tc>
          <w:tcPr>
            <w:tcW w:w="1147" w:type="dxa"/>
            <w:tcBorders>
              <w:top w:val="single" w:sz="4" w:space="0" w:color="auto"/>
              <w:left w:val="single" w:sz="4" w:space="0" w:color="auto"/>
              <w:bottom w:val="single" w:sz="4"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r w:rsidRPr="00A210E9">
              <w:rPr>
                <w:rFonts w:ascii="David" w:eastAsia="Times New Roman" w:hAnsi="David"/>
                <w:color w:val="000000"/>
                <w:szCs w:val="20"/>
                <w:rtl/>
              </w:rPr>
              <w:t>54</w:t>
            </w:r>
          </w:p>
        </w:tc>
      </w:tr>
      <w:tr w:rsidTr="00A157C9">
        <w:tblPrEx>
          <w:tblW w:w="8028" w:type="dxa"/>
          <w:jc w:val="center"/>
          <w:tblLayout w:type="fixed"/>
          <w:tblCellMar>
            <w:left w:w="57" w:type="dxa"/>
            <w:right w:w="57" w:type="dxa"/>
          </w:tblCellMar>
          <w:tblLook w:val="04A0"/>
        </w:tblPrEx>
        <w:trPr>
          <w:trHeight w:val="512"/>
          <w:jc w:val="center"/>
        </w:trPr>
        <w:tc>
          <w:tcPr>
            <w:tcW w:w="1146" w:type="dxa"/>
            <w:tcBorders>
              <w:top w:val="single" w:sz="4" w:space="0" w:color="auto"/>
              <w:left w:val="single" w:sz="4" w:space="0" w:color="auto"/>
              <w:bottom w:val="single" w:sz="8" w:space="0" w:color="auto"/>
              <w:right w:val="single" w:sz="4" w:space="0" w:color="auto"/>
            </w:tcBorders>
            <w:vAlign w:val="center"/>
            <w:hideMark/>
          </w:tcPr>
          <w:p w:rsidR="00A210E9" w:rsidRPr="00A210E9" w:rsidP="00A210E9">
            <w:pPr>
              <w:spacing w:line="269" w:lineRule="auto"/>
              <w:jc w:val="left"/>
              <w:rPr>
                <w:rFonts w:ascii="David" w:eastAsia="Times New Roman" w:hAnsi="David"/>
                <w:color w:val="000000"/>
                <w:szCs w:val="20"/>
              </w:rPr>
            </w:pPr>
            <w:r w:rsidRPr="00A210E9">
              <w:rPr>
                <w:rFonts w:ascii="David" w:eastAsia="Times New Roman" w:hAnsi="David"/>
                <w:color w:val="000000"/>
                <w:szCs w:val="20"/>
                <w:rtl/>
              </w:rPr>
              <w:t>מועד אישור בקשת חידוש ראשונה</w:t>
            </w:r>
          </w:p>
        </w:tc>
        <w:tc>
          <w:tcPr>
            <w:tcW w:w="1147" w:type="dxa"/>
            <w:tcBorders>
              <w:top w:val="single" w:sz="4" w:space="0" w:color="auto"/>
              <w:left w:val="single" w:sz="4" w:space="0" w:color="auto"/>
              <w:bottom w:val="single" w:sz="8" w:space="0" w:color="auto"/>
              <w:right w:val="single" w:sz="4" w:space="0" w:color="auto"/>
            </w:tcBorders>
            <w:vAlign w:val="center"/>
            <w:hideMark/>
          </w:tcPr>
          <w:p w:rsidR="00A210E9" w:rsidRPr="00A210E9" w:rsidP="00A210E9">
            <w:pPr>
              <w:spacing w:line="269" w:lineRule="auto"/>
              <w:jc w:val="center"/>
              <w:rPr>
                <w:rFonts w:ascii="David" w:eastAsia="Times New Roman" w:hAnsi="David"/>
                <w:color w:val="000000"/>
                <w:szCs w:val="20"/>
              </w:rPr>
            </w:pPr>
            <w:r w:rsidRPr="00A210E9">
              <w:rPr>
                <w:rFonts w:ascii="David" w:eastAsia="Times New Roman" w:hAnsi="David"/>
                <w:color w:val="000000"/>
                <w:szCs w:val="20"/>
              </w:rPr>
              <w:t>12.4.22</w:t>
            </w:r>
          </w:p>
        </w:tc>
        <w:tc>
          <w:tcPr>
            <w:tcW w:w="1147" w:type="dxa"/>
            <w:tcBorders>
              <w:top w:val="single" w:sz="4" w:space="0" w:color="auto"/>
              <w:left w:val="single" w:sz="4" w:space="0" w:color="auto"/>
              <w:bottom w:val="single" w:sz="8"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r w:rsidRPr="00A210E9">
              <w:rPr>
                <w:rFonts w:ascii="David" w:eastAsia="Times New Roman" w:hAnsi="David"/>
                <w:color w:val="000000"/>
                <w:szCs w:val="20"/>
              </w:rPr>
              <w:t>20.2.22</w:t>
            </w:r>
          </w:p>
        </w:tc>
        <w:tc>
          <w:tcPr>
            <w:tcW w:w="1147" w:type="dxa"/>
            <w:tcBorders>
              <w:top w:val="single" w:sz="4" w:space="0" w:color="auto"/>
              <w:left w:val="single" w:sz="4" w:space="0" w:color="auto"/>
              <w:bottom w:val="single" w:sz="8"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r w:rsidRPr="00A210E9">
              <w:rPr>
                <w:rFonts w:ascii="David" w:eastAsia="Times New Roman" w:hAnsi="David"/>
                <w:color w:val="000000"/>
                <w:szCs w:val="20"/>
              </w:rPr>
              <w:t>7.8.24</w:t>
            </w:r>
          </w:p>
        </w:tc>
        <w:tc>
          <w:tcPr>
            <w:tcW w:w="1147" w:type="dxa"/>
            <w:tcBorders>
              <w:top w:val="single" w:sz="4" w:space="0" w:color="auto"/>
              <w:left w:val="single" w:sz="4" w:space="0" w:color="auto"/>
              <w:bottom w:val="single" w:sz="8"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r w:rsidRPr="00A210E9">
              <w:rPr>
                <w:rFonts w:ascii="David" w:eastAsia="Times New Roman" w:hAnsi="David"/>
                <w:color w:val="000000"/>
                <w:szCs w:val="20"/>
              </w:rPr>
              <w:t>-</w:t>
            </w:r>
          </w:p>
        </w:tc>
        <w:tc>
          <w:tcPr>
            <w:tcW w:w="1147" w:type="dxa"/>
            <w:tcBorders>
              <w:top w:val="single" w:sz="4" w:space="0" w:color="auto"/>
              <w:left w:val="single" w:sz="4" w:space="0" w:color="auto"/>
              <w:bottom w:val="single" w:sz="8"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r w:rsidRPr="00A210E9">
              <w:rPr>
                <w:rFonts w:ascii="David" w:eastAsia="Times New Roman" w:hAnsi="David"/>
                <w:color w:val="000000"/>
                <w:szCs w:val="20"/>
              </w:rPr>
              <w:t>-</w:t>
            </w:r>
          </w:p>
        </w:tc>
        <w:tc>
          <w:tcPr>
            <w:tcW w:w="1147" w:type="dxa"/>
            <w:tcBorders>
              <w:top w:val="single" w:sz="4" w:space="0" w:color="auto"/>
              <w:left w:val="single" w:sz="4" w:space="0" w:color="auto"/>
              <w:bottom w:val="single" w:sz="8"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r w:rsidRPr="00A210E9">
              <w:rPr>
                <w:rFonts w:ascii="David" w:eastAsia="Times New Roman" w:hAnsi="David"/>
                <w:color w:val="000000"/>
                <w:szCs w:val="20"/>
              </w:rPr>
              <w:t>-</w:t>
            </w:r>
          </w:p>
        </w:tc>
      </w:tr>
      <w:tr w:rsidTr="00A157C9">
        <w:tblPrEx>
          <w:tblW w:w="8028" w:type="dxa"/>
          <w:jc w:val="center"/>
          <w:tblLayout w:type="fixed"/>
          <w:tblCellMar>
            <w:left w:w="57" w:type="dxa"/>
            <w:right w:w="57" w:type="dxa"/>
          </w:tblCellMar>
          <w:tblLook w:val="04A0"/>
        </w:tblPrEx>
        <w:trPr>
          <w:trHeight w:val="512"/>
          <w:jc w:val="center"/>
        </w:trPr>
        <w:tc>
          <w:tcPr>
            <w:tcW w:w="1146" w:type="dxa"/>
            <w:tcBorders>
              <w:top w:val="single" w:sz="8" w:space="0" w:color="auto"/>
              <w:left w:val="single" w:sz="4" w:space="0" w:color="auto"/>
              <w:bottom w:val="single" w:sz="4" w:space="0" w:color="auto"/>
              <w:right w:val="single" w:sz="4" w:space="0" w:color="auto"/>
            </w:tcBorders>
            <w:vAlign w:val="center"/>
          </w:tcPr>
          <w:p w:rsidR="00A210E9" w:rsidRPr="00A210E9" w:rsidP="00A210E9">
            <w:pPr>
              <w:spacing w:line="269" w:lineRule="auto"/>
              <w:jc w:val="left"/>
              <w:rPr>
                <w:rFonts w:ascii="David" w:eastAsia="Times New Roman" w:hAnsi="David"/>
                <w:color w:val="000000"/>
                <w:szCs w:val="20"/>
                <w:rtl/>
              </w:rPr>
            </w:pPr>
            <w:r w:rsidRPr="00A210E9">
              <w:rPr>
                <w:rFonts w:ascii="David" w:eastAsia="Times New Roman" w:hAnsi="David"/>
                <w:color w:val="000000"/>
                <w:szCs w:val="20"/>
                <w:rtl/>
              </w:rPr>
              <w:t>מועד בקשת חידוש שנייה</w:t>
            </w:r>
          </w:p>
        </w:tc>
        <w:tc>
          <w:tcPr>
            <w:tcW w:w="1147" w:type="dxa"/>
            <w:tcBorders>
              <w:top w:val="single" w:sz="8" w:space="0" w:color="auto"/>
              <w:left w:val="single" w:sz="4" w:space="0" w:color="auto"/>
              <w:bottom w:val="single" w:sz="4"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r w:rsidRPr="00A210E9">
              <w:rPr>
                <w:rFonts w:ascii="David" w:eastAsia="Times New Roman" w:hAnsi="David"/>
                <w:color w:val="000000"/>
                <w:szCs w:val="20"/>
                <w:rtl/>
              </w:rPr>
              <w:t>2.2.23</w:t>
            </w:r>
          </w:p>
        </w:tc>
        <w:tc>
          <w:tcPr>
            <w:tcW w:w="1147" w:type="dxa"/>
            <w:tcBorders>
              <w:top w:val="single" w:sz="8" w:space="0" w:color="auto"/>
              <w:left w:val="single" w:sz="4" w:space="0" w:color="auto"/>
              <w:bottom w:val="single" w:sz="4"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r w:rsidRPr="00A210E9">
              <w:rPr>
                <w:rFonts w:ascii="David" w:eastAsia="Times New Roman" w:hAnsi="David"/>
                <w:color w:val="000000"/>
                <w:szCs w:val="20"/>
                <w:rtl/>
              </w:rPr>
              <w:t>17.3.23</w:t>
            </w:r>
          </w:p>
        </w:tc>
        <w:tc>
          <w:tcPr>
            <w:tcW w:w="1147" w:type="dxa"/>
            <w:tcBorders>
              <w:top w:val="single" w:sz="8" w:space="0" w:color="auto"/>
              <w:left w:val="single" w:sz="4" w:space="0" w:color="auto"/>
              <w:bottom w:val="single" w:sz="4"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p>
        </w:tc>
        <w:tc>
          <w:tcPr>
            <w:tcW w:w="1147" w:type="dxa"/>
            <w:tcBorders>
              <w:top w:val="single" w:sz="8" w:space="0" w:color="auto"/>
              <w:left w:val="single" w:sz="4" w:space="0" w:color="auto"/>
              <w:bottom w:val="single" w:sz="4"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p>
        </w:tc>
        <w:tc>
          <w:tcPr>
            <w:tcW w:w="1147" w:type="dxa"/>
            <w:tcBorders>
              <w:top w:val="single" w:sz="8" w:space="0" w:color="auto"/>
              <w:left w:val="single" w:sz="4" w:space="0" w:color="auto"/>
              <w:bottom w:val="single" w:sz="4"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p>
        </w:tc>
        <w:tc>
          <w:tcPr>
            <w:tcW w:w="1147" w:type="dxa"/>
            <w:tcBorders>
              <w:top w:val="single" w:sz="8" w:space="0" w:color="auto"/>
              <w:left w:val="single" w:sz="4" w:space="0" w:color="auto"/>
              <w:bottom w:val="single" w:sz="4"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p>
        </w:tc>
      </w:tr>
      <w:tr w:rsidTr="00A157C9">
        <w:tblPrEx>
          <w:tblW w:w="8028" w:type="dxa"/>
          <w:jc w:val="center"/>
          <w:tblLayout w:type="fixed"/>
          <w:tblCellMar>
            <w:left w:w="57" w:type="dxa"/>
            <w:right w:w="57" w:type="dxa"/>
          </w:tblCellMar>
          <w:tblLook w:val="04A0"/>
        </w:tblPrEx>
        <w:trPr>
          <w:trHeight w:val="580"/>
          <w:jc w:val="center"/>
        </w:trPr>
        <w:tc>
          <w:tcPr>
            <w:tcW w:w="1146" w:type="dxa"/>
            <w:tcBorders>
              <w:top w:val="single" w:sz="4" w:space="0" w:color="auto"/>
              <w:left w:val="single" w:sz="4" w:space="0" w:color="auto"/>
              <w:bottom w:val="single" w:sz="4" w:space="0" w:color="auto"/>
              <w:right w:val="single" w:sz="4" w:space="0" w:color="auto"/>
            </w:tcBorders>
            <w:vAlign w:val="center"/>
            <w:hideMark/>
          </w:tcPr>
          <w:p w:rsidR="00A210E9" w:rsidRPr="00A210E9" w:rsidP="00A210E9">
            <w:pPr>
              <w:spacing w:line="269" w:lineRule="auto"/>
              <w:jc w:val="left"/>
              <w:rPr>
                <w:rFonts w:ascii="David" w:eastAsia="Times New Roman" w:hAnsi="David"/>
                <w:color w:val="000000"/>
                <w:szCs w:val="20"/>
              </w:rPr>
            </w:pPr>
            <w:r w:rsidRPr="00A210E9">
              <w:rPr>
                <w:rFonts w:ascii="David" w:eastAsia="Times New Roman" w:hAnsi="David"/>
                <w:color w:val="000000"/>
                <w:szCs w:val="20"/>
                <w:rtl/>
              </w:rPr>
              <w:t xml:space="preserve">מספר בקשות חוזרות שנדחו </w:t>
            </w:r>
          </w:p>
        </w:tc>
        <w:tc>
          <w:tcPr>
            <w:tcW w:w="1147" w:type="dxa"/>
            <w:tcBorders>
              <w:top w:val="single" w:sz="4" w:space="0" w:color="auto"/>
              <w:left w:val="single" w:sz="4" w:space="0" w:color="auto"/>
              <w:bottom w:val="single" w:sz="4" w:space="0" w:color="auto"/>
              <w:right w:val="single" w:sz="4" w:space="0" w:color="auto"/>
            </w:tcBorders>
            <w:vAlign w:val="center"/>
            <w:hideMark/>
          </w:tcPr>
          <w:p w:rsidR="00A210E9" w:rsidRPr="00A210E9" w:rsidP="00A210E9">
            <w:pPr>
              <w:spacing w:line="269" w:lineRule="auto"/>
              <w:jc w:val="center"/>
              <w:rPr>
                <w:rFonts w:ascii="David" w:eastAsia="Times New Roman" w:hAnsi="David"/>
                <w:color w:val="000000"/>
                <w:szCs w:val="20"/>
              </w:rPr>
            </w:pPr>
            <w:r w:rsidRPr="00A210E9">
              <w:rPr>
                <w:rFonts w:ascii="David" w:eastAsia="Times New Roman" w:hAnsi="David"/>
                <w:color w:val="000000"/>
                <w:szCs w:val="20"/>
              </w:rPr>
              <w:t>3</w:t>
            </w:r>
          </w:p>
        </w:tc>
        <w:tc>
          <w:tcPr>
            <w:tcW w:w="1147" w:type="dxa"/>
            <w:tcBorders>
              <w:top w:val="single" w:sz="4" w:space="0" w:color="auto"/>
              <w:left w:val="single" w:sz="4" w:space="0" w:color="auto"/>
              <w:bottom w:val="single" w:sz="4"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r w:rsidRPr="00A210E9">
              <w:rPr>
                <w:rFonts w:ascii="David" w:eastAsia="Times New Roman" w:hAnsi="David"/>
                <w:color w:val="000000"/>
                <w:szCs w:val="20"/>
              </w:rPr>
              <w:t>24</w:t>
            </w:r>
          </w:p>
        </w:tc>
        <w:tc>
          <w:tcPr>
            <w:tcW w:w="1147" w:type="dxa"/>
            <w:tcBorders>
              <w:top w:val="single" w:sz="4" w:space="0" w:color="auto"/>
              <w:left w:val="single" w:sz="4" w:space="0" w:color="auto"/>
              <w:bottom w:val="single" w:sz="4"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p>
        </w:tc>
        <w:tc>
          <w:tcPr>
            <w:tcW w:w="1147" w:type="dxa"/>
            <w:tcBorders>
              <w:top w:val="single" w:sz="4" w:space="0" w:color="auto"/>
              <w:left w:val="single" w:sz="4" w:space="0" w:color="auto"/>
              <w:bottom w:val="single" w:sz="4"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p>
        </w:tc>
        <w:tc>
          <w:tcPr>
            <w:tcW w:w="1147" w:type="dxa"/>
            <w:tcBorders>
              <w:top w:val="single" w:sz="4" w:space="0" w:color="auto"/>
              <w:left w:val="single" w:sz="4" w:space="0" w:color="auto"/>
              <w:bottom w:val="single" w:sz="4"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p>
        </w:tc>
        <w:tc>
          <w:tcPr>
            <w:tcW w:w="1147" w:type="dxa"/>
            <w:tcBorders>
              <w:top w:val="single" w:sz="4" w:space="0" w:color="auto"/>
              <w:left w:val="single" w:sz="4" w:space="0" w:color="auto"/>
              <w:bottom w:val="single" w:sz="4"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p>
        </w:tc>
      </w:tr>
      <w:tr w:rsidTr="00A157C9">
        <w:tblPrEx>
          <w:tblW w:w="8028" w:type="dxa"/>
          <w:jc w:val="center"/>
          <w:tblLayout w:type="fixed"/>
          <w:tblCellMar>
            <w:left w:w="57" w:type="dxa"/>
            <w:right w:w="57" w:type="dxa"/>
          </w:tblCellMar>
          <w:tblLook w:val="04A0"/>
        </w:tblPrEx>
        <w:trPr>
          <w:trHeight w:val="289"/>
          <w:jc w:val="center"/>
        </w:trPr>
        <w:tc>
          <w:tcPr>
            <w:tcW w:w="1146" w:type="dxa"/>
            <w:tcBorders>
              <w:top w:val="single" w:sz="4" w:space="0" w:color="auto"/>
              <w:left w:val="single" w:sz="4" w:space="0" w:color="auto"/>
              <w:bottom w:val="single" w:sz="8" w:space="0" w:color="auto"/>
              <w:right w:val="single" w:sz="4" w:space="0" w:color="auto"/>
            </w:tcBorders>
            <w:vAlign w:val="center"/>
            <w:hideMark/>
          </w:tcPr>
          <w:p w:rsidR="00A210E9" w:rsidRPr="00A210E9" w:rsidP="00A210E9">
            <w:pPr>
              <w:spacing w:line="269" w:lineRule="auto"/>
              <w:jc w:val="left"/>
              <w:rPr>
                <w:rFonts w:ascii="David" w:eastAsia="Times New Roman" w:hAnsi="David"/>
                <w:color w:val="000000"/>
                <w:szCs w:val="20"/>
              </w:rPr>
            </w:pPr>
            <w:r w:rsidRPr="00A210E9">
              <w:rPr>
                <w:rFonts w:ascii="David" w:eastAsia="Times New Roman" w:hAnsi="David"/>
                <w:color w:val="000000"/>
                <w:szCs w:val="20"/>
                <w:rtl/>
              </w:rPr>
              <w:t>מועד אישור בקשת חידוש שנייה</w:t>
            </w:r>
          </w:p>
        </w:tc>
        <w:tc>
          <w:tcPr>
            <w:tcW w:w="1147" w:type="dxa"/>
            <w:tcBorders>
              <w:top w:val="single" w:sz="4" w:space="0" w:color="auto"/>
              <w:left w:val="single" w:sz="4" w:space="0" w:color="auto"/>
              <w:bottom w:val="single" w:sz="8" w:space="0" w:color="auto"/>
              <w:right w:val="single" w:sz="4" w:space="0" w:color="auto"/>
            </w:tcBorders>
            <w:vAlign w:val="center"/>
            <w:hideMark/>
          </w:tcPr>
          <w:p w:rsidR="00A210E9" w:rsidRPr="00A210E9" w:rsidP="00A210E9">
            <w:pPr>
              <w:spacing w:line="269" w:lineRule="auto"/>
              <w:jc w:val="center"/>
              <w:rPr>
                <w:rFonts w:ascii="David" w:eastAsia="Times New Roman" w:hAnsi="David"/>
                <w:color w:val="000000"/>
                <w:szCs w:val="20"/>
              </w:rPr>
            </w:pPr>
            <w:r w:rsidRPr="00A210E9">
              <w:rPr>
                <w:rFonts w:ascii="David" w:eastAsia="Times New Roman" w:hAnsi="David"/>
                <w:color w:val="000000"/>
                <w:szCs w:val="20"/>
              </w:rPr>
              <w:t>26.2.23</w:t>
            </w:r>
          </w:p>
        </w:tc>
        <w:tc>
          <w:tcPr>
            <w:tcW w:w="1147" w:type="dxa"/>
            <w:tcBorders>
              <w:top w:val="single" w:sz="4" w:space="0" w:color="auto"/>
              <w:left w:val="single" w:sz="4" w:space="0" w:color="auto"/>
              <w:bottom w:val="single" w:sz="8"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r w:rsidRPr="00A210E9">
              <w:rPr>
                <w:rFonts w:ascii="David" w:eastAsia="Times New Roman" w:hAnsi="David"/>
                <w:color w:val="000000"/>
                <w:szCs w:val="20"/>
              </w:rPr>
              <w:t>-</w:t>
            </w:r>
          </w:p>
        </w:tc>
        <w:tc>
          <w:tcPr>
            <w:tcW w:w="1147" w:type="dxa"/>
            <w:tcBorders>
              <w:top w:val="single" w:sz="4" w:space="0" w:color="auto"/>
              <w:left w:val="single" w:sz="4" w:space="0" w:color="auto"/>
              <w:bottom w:val="single" w:sz="8"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p>
        </w:tc>
        <w:tc>
          <w:tcPr>
            <w:tcW w:w="1147" w:type="dxa"/>
            <w:tcBorders>
              <w:top w:val="single" w:sz="4" w:space="0" w:color="auto"/>
              <w:left w:val="single" w:sz="4" w:space="0" w:color="auto"/>
              <w:bottom w:val="single" w:sz="8"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p>
        </w:tc>
        <w:tc>
          <w:tcPr>
            <w:tcW w:w="1147" w:type="dxa"/>
            <w:tcBorders>
              <w:top w:val="single" w:sz="4" w:space="0" w:color="auto"/>
              <w:left w:val="single" w:sz="4" w:space="0" w:color="auto"/>
              <w:bottom w:val="single" w:sz="8"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p>
        </w:tc>
        <w:tc>
          <w:tcPr>
            <w:tcW w:w="1147" w:type="dxa"/>
            <w:tcBorders>
              <w:top w:val="single" w:sz="4" w:space="0" w:color="auto"/>
              <w:left w:val="single" w:sz="4" w:space="0" w:color="auto"/>
              <w:bottom w:val="single" w:sz="8"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p>
        </w:tc>
      </w:tr>
      <w:tr w:rsidTr="00A157C9">
        <w:tblPrEx>
          <w:tblW w:w="8028" w:type="dxa"/>
          <w:jc w:val="center"/>
          <w:tblLayout w:type="fixed"/>
          <w:tblCellMar>
            <w:left w:w="57" w:type="dxa"/>
            <w:right w:w="57" w:type="dxa"/>
          </w:tblCellMar>
          <w:tblLook w:val="04A0"/>
        </w:tblPrEx>
        <w:trPr>
          <w:trHeight w:val="580"/>
          <w:jc w:val="center"/>
        </w:trPr>
        <w:tc>
          <w:tcPr>
            <w:tcW w:w="1146" w:type="dxa"/>
            <w:tcBorders>
              <w:top w:val="single" w:sz="8" w:space="0" w:color="auto"/>
              <w:left w:val="single" w:sz="4" w:space="0" w:color="auto"/>
              <w:bottom w:val="single" w:sz="4" w:space="0" w:color="auto"/>
              <w:right w:val="single" w:sz="4" w:space="0" w:color="auto"/>
            </w:tcBorders>
            <w:vAlign w:val="center"/>
          </w:tcPr>
          <w:p w:rsidR="00A210E9" w:rsidRPr="00A210E9" w:rsidP="00A210E9">
            <w:pPr>
              <w:spacing w:line="269" w:lineRule="auto"/>
              <w:jc w:val="left"/>
              <w:rPr>
                <w:rFonts w:ascii="David" w:eastAsia="Times New Roman" w:hAnsi="David"/>
                <w:color w:val="000000"/>
                <w:szCs w:val="20"/>
                <w:rtl/>
              </w:rPr>
            </w:pPr>
            <w:r w:rsidRPr="00A210E9">
              <w:rPr>
                <w:rFonts w:ascii="David" w:eastAsia="Times New Roman" w:hAnsi="David"/>
                <w:color w:val="000000"/>
                <w:szCs w:val="20"/>
                <w:rtl/>
              </w:rPr>
              <w:t xml:space="preserve">מועד בקשת חידוש שלישית* </w:t>
            </w:r>
          </w:p>
        </w:tc>
        <w:tc>
          <w:tcPr>
            <w:tcW w:w="1147" w:type="dxa"/>
            <w:tcBorders>
              <w:top w:val="single" w:sz="8" w:space="0" w:color="auto"/>
              <w:left w:val="single" w:sz="4" w:space="0" w:color="auto"/>
              <w:bottom w:val="single" w:sz="4"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r w:rsidRPr="00A210E9">
              <w:rPr>
                <w:rFonts w:ascii="David" w:eastAsia="Times New Roman" w:hAnsi="David"/>
                <w:color w:val="000000"/>
                <w:szCs w:val="20"/>
                <w:rtl/>
              </w:rPr>
              <w:t>1.3.23</w:t>
            </w:r>
          </w:p>
        </w:tc>
        <w:tc>
          <w:tcPr>
            <w:tcW w:w="1147" w:type="dxa"/>
            <w:tcBorders>
              <w:top w:val="single" w:sz="8" w:space="0" w:color="auto"/>
              <w:left w:val="single" w:sz="4" w:space="0" w:color="auto"/>
              <w:bottom w:val="single" w:sz="4"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p>
        </w:tc>
        <w:tc>
          <w:tcPr>
            <w:tcW w:w="1147" w:type="dxa"/>
            <w:tcBorders>
              <w:top w:val="single" w:sz="8" w:space="0" w:color="auto"/>
              <w:left w:val="single" w:sz="4" w:space="0" w:color="auto"/>
              <w:bottom w:val="single" w:sz="4"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p>
        </w:tc>
        <w:tc>
          <w:tcPr>
            <w:tcW w:w="1147" w:type="dxa"/>
            <w:tcBorders>
              <w:top w:val="single" w:sz="8" w:space="0" w:color="auto"/>
              <w:left w:val="single" w:sz="4" w:space="0" w:color="auto"/>
              <w:bottom w:val="single" w:sz="4"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p>
        </w:tc>
        <w:tc>
          <w:tcPr>
            <w:tcW w:w="1147" w:type="dxa"/>
            <w:tcBorders>
              <w:top w:val="single" w:sz="8" w:space="0" w:color="auto"/>
              <w:left w:val="single" w:sz="4" w:space="0" w:color="auto"/>
              <w:bottom w:val="single" w:sz="4"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p>
        </w:tc>
        <w:tc>
          <w:tcPr>
            <w:tcW w:w="1147" w:type="dxa"/>
            <w:tcBorders>
              <w:top w:val="single" w:sz="8" w:space="0" w:color="auto"/>
              <w:left w:val="single" w:sz="4" w:space="0" w:color="auto"/>
              <w:bottom w:val="single" w:sz="4"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p>
        </w:tc>
      </w:tr>
      <w:tr w:rsidTr="00A157C9">
        <w:tblPrEx>
          <w:tblW w:w="8028" w:type="dxa"/>
          <w:jc w:val="center"/>
          <w:tblLayout w:type="fixed"/>
          <w:tblCellMar>
            <w:left w:w="57" w:type="dxa"/>
            <w:right w:w="57" w:type="dxa"/>
          </w:tblCellMar>
          <w:tblLook w:val="04A0"/>
        </w:tblPrEx>
        <w:trPr>
          <w:trHeight w:val="580"/>
          <w:jc w:val="center"/>
        </w:trPr>
        <w:tc>
          <w:tcPr>
            <w:tcW w:w="1146" w:type="dxa"/>
            <w:tcBorders>
              <w:top w:val="single" w:sz="4" w:space="0" w:color="auto"/>
              <w:left w:val="single" w:sz="4" w:space="0" w:color="auto"/>
              <w:bottom w:val="single" w:sz="4" w:space="0" w:color="auto"/>
              <w:right w:val="single" w:sz="4" w:space="0" w:color="auto"/>
            </w:tcBorders>
            <w:vAlign w:val="center"/>
            <w:hideMark/>
          </w:tcPr>
          <w:p w:rsidR="00A210E9" w:rsidRPr="00A210E9" w:rsidP="00A210E9">
            <w:pPr>
              <w:spacing w:line="269" w:lineRule="auto"/>
              <w:jc w:val="left"/>
              <w:rPr>
                <w:rFonts w:ascii="David" w:eastAsia="Times New Roman" w:hAnsi="David"/>
                <w:color w:val="000000"/>
                <w:szCs w:val="20"/>
              </w:rPr>
            </w:pPr>
            <w:r w:rsidRPr="00A210E9">
              <w:rPr>
                <w:rFonts w:ascii="David" w:eastAsia="Times New Roman" w:hAnsi="David"/>
                <w:color w:val="000000"/>
                <w:szCs w:val="20"/>
                <w:rtl/>
              </w:rPr>
              <w:t>מספר בקשות חוזרות שנדחו</w:t>
            </w:r>
          </w:p>
        </w:tc>
        <w:tc>
          <w:tcPr>
            <w:tcW w:w="1147" w:type="dxa"/>
            <w:tcBorders>
              <w:top w:val="single" w:sz="4" w:space="0" w:color="auto"/>
              <w:left w:val="single" w:sz="4" w:space="0" w:color="auto"/>
              <w:bottom w:val="single" w:sz="4" w:space="0" w:color="auto"/>
              <w:right w:val="single" w:sz="4" w:space="0" w:color="auto"/>
            </w:tcBorders>
            <w:vAlign w:val="center"/>
            <w:hideMark/>
          </w:tcPr>
          <w:p w:rsidR="00A210E9" w:rsidRPr="00A210E9" w:rsidP="00A210E9">
            <w:pPr>
              <w:spacing w:line="269" w:lineRule="auto"/>
              <w:jc w:val="center"/>
              <w:rPr>
                <w:rFonts w:ascii="David" w:eastAsia="Times New Roman" w:hAnsi="David"/>
                <w:color w:val="000000"/>
                <w:szCs w:val="20"/>
              </w:rPr>
            </w:pPr>
            <w:r w:rsidRPr="00A210E9">
              <w:rPr>
                <w:rFonts w:ascii="David" w:eastAsia="Times New Roman" w:hAnsi="David"/>
                <w:color w:val="000000"/>
                <w:szCs w:val="20"/>
              </w:rPr>
              <w:t>30</w:t>
            </w:r>
          </w:p>
        </w:tc>
        <w:tc>
          <w:tcPr>
            <w:tcW w:w="1147" w:type="dxa"/>
            <w:tcBorders>
              <w:top w:val="single" w:sz="4" w:space="0" w:color="auto"/>
              <w:left w:val="single" w:sz="4" w:space="0" w:color="auto"/>
              <w:bottom w:val="single" w:sz="4"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p>
        </w:tc>
        <w:tc>
          <w:tcPr>
            <w:tcW w:w="1147" w:type="dxa"/>
            <w:tcBorders>
              <w:top w:val="single" w:sz="4" w:space="0" w:color="auto"/>
              <w:left w:val="single" w:sz="4" w:space="0" w:color="auto"/>
              <w:bottom w:val="single" w:sz="4"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p>
        </w:tc>
        <w:tc>
          <w:tcPr>
            <w:tcW w:w="1147" w:type="dxa"/>
            <w:tcBorders>
              <w:top w:val="single" w:sz="4" w:space="0" w:color="auto"/>
              <w:left w:val="single" w:sz="4" w:space="0" w:color="auto"/>
              <w:bottom w:val="single" w:sz="4"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p>
        </w:tc>
        <w:tc>
          <w:tcPr>
            <w:tcW w:w="1147" w:type="dxa"/>
            <w:tcBorders>
              <w:top w:val="single" w:sz="4" w:space="0" w:color="auto"/>
              <w:left w:val="single" w:sz="4" w:space="0" w:color="auto"/>
              <w:bottom w:val="single" w:sz="4"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p>
        </w:tc>
        <w:tc>
          <w:tcPr>
            <w:tcW w:w="1147" w:type="dxa"/>
            <w:tcBorders>
              <w:top w:val="single" w:sz="4" w:space="0" w:color="auto"/>
              <w:left w:val="single" w:sz="4" w:space="0" w:color="auto"/>
              <w:bottom w:val="single" w:sz="4"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p>
        </w:tc>
      </w:tr>
      <w:tr w:rsidTr="00A157C9">
        <w:tblPrEx>
          <w:tblW w:w="8028" w:type="dxa"/>
          <w:jc w:val="center"/>
          <w:tblLayout w:type="fixed"/>
          <w:tblCellMar>
            <w:left w:w="57" w:type="dxa"/>
            <w:right w:w="57" w:type="dxa"/>
          </w:tblCellMar>
          <w:tblLook w:val="04A0"/>
        </w:tblPrEx>
        <w:trPr>
          <w:trHeight w:val="289"/>
          <w:jc w:val="center"/>
        </w:trPr>
        <w:tc>
          <w:tcPr>
            <w:tcW w:w="1146" w:type="dxa"/>
            <w:tcBorders>
              <w:top w:val="single" w:sz="4" w:space="0" w:color="auto"/>
              <w:left w:val="single" w:sz="4" w:space="0" w:color="auto"/>
              <w:bottom w:val="single" w:sz="8" w:space="0" w:color="auto"/>
              <w:right w:val="single" w:sz="4" w:space="0" w:color="auto"/>
            </w:tcBorders>
            <w:vAlign w:val="center"/>
            <w:hideMark/>
          </w:tcPr>
          <w:p w:rsidR="00A210E9" w:rsidRPr="00A210E9" w:rsidP="00A210E9">
            <w:pPr>
              <w:spacing w:line="269" w:lineRule="auto"/>
              <w:jc w:val="left"/>
              <w:rPr>
                <w:rFonts w:ascii="David" w:eastAsia="Times New Roman" w:hAnsi="David"/>
                <w:color w:val="000000"/>
                <w:szCs w:val="20"/>
              </w:rPr>
            </w:pPr>
            <w:r w:rsidRPr="00A210E9">
              <w:rPr>
                <w:rFonts w:ascii="David" w:eastAsia="Times New Roman" w:hAnsi="David"/>
                <w:color w:val="000000"/>
                <w:szCs w:val="20"/>
                <w:rtl/>
              </w:rPr>
              <w:t>מועד אישור בקשת חידוש שלישית</w:t>
            </w:r>
          </w:p>
        </w:tc>
        <w:tc>
          <w:tcPr>
            <w:tcW w:w="1147" w:type="dxa"/>
            <w:tcBorders>
              <w:top w:val="single" w:sz="4" w:space="0" w:color="auto"/>
              <w:left w:val="single" w:sz="4" w:space="0" w:color="auto"/>
              <w:bottom w:val="single" w:sz="8" w:space="0" w:color="auto"/>
              <w:right w:val="single" w:sz="4" w:space="0" w:color="auto"/>
            </w:tcBorders>
            <w:vAlign w:val="center"/>
            <w:hideMark/>
          </w:tcPr>
          <w:p w:rsidR="00A210E9" w:rsidRPr="00A210E9" w:rsidP="00A210E9">
            <w:pPr>
              <w:spacing w:line="269" w:lineRule="auto"/>
              <w:jc w:val="center"/>
              <w:rPr>
                <w:rFonts w:ascii="David" w:eastAsia="Times New Roman" w:hAnsi="David"/>
                <w:color w:val="000000"/>
                <w:szCs w:val="20"/>
              </w:rPr>
            </w:pPr>
            <w:r w:rsidRPr="00A210E9">
              <w:rPr>
                <w:rFonts w:ascii="David" w:eastAsia="Times New Roman" w:hAnsi="David"/>
                <w:color w:val="000000"/>
                <w:szCs w:val="20"/>
              </w:rPr>
              <w:t>7.11.23</w:t>
            </w:r>
          </w:p>
        </w:tc>
        <w:tc>
          <w:tcPr>
            <w:tcW w:w="1147" w:type="dxa"/>
            <w:tcBorders>
              <w:top w:val="single" w:sz="4" w:space="0" w:color="auto"/>
              <w:left w:val="single" w:sz="4" w:space="0" w:color="auto"/>
              <w:bottom w:val="single" w:sz="8"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p>
        </w:tc>
        <w:tc>
          <w:tcPr>
            <w:tcW w:w="1147" w:type="dxa"/>
            <w:tcBorders>
              <w:top w:val="single" w:sz="4" w:space="0" w:color="auto"/>
              <w:left w:val="single" w:sz="4" w:space="0" w:color="auto"/>
              <w:bottom w:val="single" w:sz="8"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p>
        </w:tc>
        <w:tc>
          <w:tcPr>
            <w:tcW w:w="1147" w:type="dxa"/>
            <w:tcBorders>
              <w:top w:val="single" w:sz="4" w:space="0" w:color="auto"/>
              <w:left w:val="single" w:sz="4" w:space="0" w:color="auto"/>
              <w:bottom w:val="single" w:sz="8"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p>
        </w:tc>
        <w:tc>
          <w:tcPr>
            <w:tcW w:w="1147" w:type="dxa"/>
            <w:tcBorders>
              <w:top w:val="single" w:sz="4" w:space="0" w:color="auto"/>
              <w:left w:val="single" w:sz="4" w:space="0" w:color="auto"/>
              <w:bottom w:val="single" w:sz="8"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p>
        </w:tc>
        <w:tc>
          <w:tcPr>
            <w:tcW w:w="1147" w:type="dxa"/>
            <w:tcBorders>
              <w:top w:val="single" w:sz="4" w:space="0" w:color="auto"/>
              <w:left w:val="single" w:sz="4" w:space="0" w:color="auto"/>
              <w:bottom w:val="single" w:sz="8"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p>
        </w:tc>
      </w:tr>
      <w:tr w:rsidTr="00A157C9">
        <w:tblPrEx>
          <w:tblW w:w="8028" w:type="dxa"/>
          <w:jc w:val="center"/>
          <w:tblLayout w:type="fixed"/>
          <w:tblCellMar>
            <w:left w:w="57" w:type="dxa"/>
            <w:right w:w="57" w:type="dxa"/>
          </w:tblCellMar>
          <w:tblLook w:val="04A0"/>
        </w:tblPrEx>
        <w:trPr>
          <w:trHeight w:val="289"/>
          <w:jc w:val="center"/>
        </w:trPr>
        <w:tc>
          <w:tcPr>
            <w:tcW w:w="1146" w:type="dxa"/>
            <w:tcBorders>
              <w:top w:val="single" w:sz="8" w:space="0" w:color="auto"/>
              <w:left w:val="single" w:sz="4" w:space="0" w:color="auto"/>
              <w:bottom w:val="single" w:sz="4" w:space="0" w:color="auto"/>
              <w:right w:val="single" w:sz="4" w:space="0" w:color="auto"/>
            </w:tcBorders>
            <w:vAlign w:val="center"/>
          </w:tcPr>
          <w:p w:rsidR="00A210E9" w:rsidRPr="00A210E9" w:rsidP="00A210E9">
            <w:pPr>
              <w:spacing w:line="269" w:lineRule="auto"/>
              <w:jc w:val="left"/>
              <w:rPr>
                <w:rFonts w:ascii="David" w:eastAsia="Times New Roman" w:hAnsi="David"/>
                <w:color w:val="000000"/>
                <w:szCs w:val="20"/>
                <w:rtl/>
              </w:rPr>
            </w:pPr>
            <w:r w:rsidRPr="00A210E9">
              <w:rPr>
                <w:rFonts w:ascii="David" w:eastAsia="Times New Roman" w:hAnsi="David"/>
                <w:color w:val="000000"/>
                <w:szCs w:val="20"/>
                <w:rtl/>
              </w:rPr>
              <w:t>מועד בקשת חידוש שלישית</w:t>
            </w:r>
          </w:p>
        </w:tc>
        <w:tc>
          <w:tcPr>
            <w:tcW w:w="1147" w:type="dxa"/>
            <w:tcBorders>
              <w:top w:val="single" w:sz="8" w:space="0" w:color="auto"/>
              <w:left w:val="single" w:sz="4" w:space="0" w:color="auto"/>
              <w:bottom w:val="single" w:sz="4"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r w:rsidRPr="00A210E9">
              <w:rPr>
                <w:rFonts w:ascii="David" w:eastAsia="Times New Roman" w:hAnsi="David"/>
                <w:color w:val="000000"/>
                <w:szCs w:val="20"/>
                <w:rtl/>
              </w:rPr>
              <w:t>26.10.24</w:t>
            </w:r>
          </w:p>
        </w:tc>
        <w:tc>
          <w:tcPr>
            <w:tcW w:w="1147" w:type="dxa"/>
            <w:tcBorders>
              <w:top w:val="single" w:sz="8" w:space="0" w:color="auto"/>
              <w:left w:val="single" w:sz="4" w:space="0" w:color="auto"/>
              <w:bottom w:val="single" w:sz="4"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p>
        </w:tc>
        <w:tc>
          <w:tcPr>
            <w:tcW w:w="1147" w:type="dxa"/>
            <w:tcBorders>
              <w:top w:val="single" w:sz="8" w:space="0" w:color="auto"/>
              <w:left w:val="single" w:sz="4" w:space="0" w:color="auto"/>
              <w:bottom w:val="single" w:sz="4"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p>
        </w:tc>
        <w:tc>
          <w:tcPr>
            <w:tcW w:w="1147" w:type="dxa"/>
            <w:tcBorders>
              <w:top w:val="single" w:sz="8" w:space="0" w:color="auto"/>
              <w:left w:val="single" w:sz="4" w:space="0" w:color="auto"/>
              <w:bottom w:val="single" w:sz="4"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p>
        </w:tc>
        <w:tc>
          <w:tcPr>
            <w:tcW w:w="1147" w:type="dxa"/>
            <w:tcBorders>
              <w:top w:val="single" w:sz="8" w:space="0" w:color="auto"/>
              <w:left w:val="single" w:sz="4" w:space="0" w:color="auto"/>
              <w:bottom w:val="single" w:sz="4"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p>
        </w:tc>
        <w:tc>
          <w:tcPr>
            <w:tcW w:w="1147" w:type="dxa"/>
            <w:tcBorders>
              <w:top w:val="single" w:sz="8" w:space="0" w:color="auto"/>
              <w:left w:val="single" w:sz="4" w:space="0" w:color="auto"/>
              <w:bottom w:val="single" w:sz="4"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p>
        </w:tc>
      </w:tr>
      <w:tr w:rsidTr="00A157C9">
        <w:tblPrEx>
          <w:tblW w:w="8028" w:type="dxa"/>
          <w:jc w:val="center"/>
          <w:tblLayout w:type="fixed"/>
          <w:tblCellMar>
            <w:left w:w="57" w:type="dxa"/>
            <w:right w:w="57" w:type="dxa"/>
          </w:tblCellMar>
          <w:tblLook w:val="04A0"/>
        </w:tblPrEx>
        <w:trPr>
          <w:trHeight w:val="580"/>
          <w:jc w:val="center"/>
        </w:trPr>
        <w:tc>
          <w:tcPr>
            <w:tcW w:w="1146" w:type="dxa"/>
            <w:tcBorders>
              <w:top w:val="single" w:sz="4" w:space="0" w:color="auto"/>
              <w:left w:val="single" w:sz="4" w:space="0" w:color="auto"/>
              <w:bottom w:val="single" w:sz="8" w:space="0" w:color="auto"/>
              <w:right w:val="single" w:sz="4" w:space="0" w:color="auto"/>
            </w:tcBorders>
            <w:vAlign w:val="center"/>
            <w:hideMark/>
          </w:tcPr>
          <w:p w:rsidR="00A210E9" w:rsidRPr="00A210E9" w:rsidP="00A210E9">
            <w:pPr>
              <w:spacing w:line="269" w:lineRule="auto"/>
              <w:jc w:val="left"/>
              <w:rPr>
                <w:rFonts w:ascii="David" w:eastAsia="Times New Roman" w:hAnsi="David"/>
                <w:color w:val="000000"/>
                <w:szCs w:val="20"/>
              </w:rPr>
            </w:pPr>
            <w:r w:rsidRPr="00A210E9">
              <w:rPr>
                <w:rFonts w:ascii="David" w:eastAsia="Times New Roman" w:hAnsi="David"/>
                <w:color w:val="000000"/>
                <w:szCs w:val="20"/>
                <w:rtl/>
              </w:rPr>
              <w:t xml:space="preserve">מספר בקשות חוזרות שנדחו </w:t>
            </w:r>
          </w:p>
        </w:tc>
        <w:tc>
          <w:tcPr>
            <w:tcW w:w="1147" w:type="dxa"/>
            <w:tcBorders>
              <w:top w:val="single" w:sz="4" w:space="0" w:color="auto"/>
              <w:left w:val="single" w:sz="4" w:space="0" w:color="auto"/>
              <w:bottom w:val="single" w:sz="8" w:space="0" w:color="auto"/>
              <w:right w:val="single" w:sz="4" w:space="0" w:color="auto"/>
            </w:tcBorders>
            <w:vAlign w:val="center"/>
            <w:hideMark/>
          </w:tcPr>
          <w:p w:rsidR="00A210E9" w:rsidRPr="00A210E9" w:rsidP="00A210E9">
            <w:pPr>
              <w:spacing w:line="269" w:lineRule="auto"/>
              <w:jc w:val="center"/>
              <w:rPr>
                <w:rFonts w:ascii="David" w:eastAsia="Times New Roman" w:hAnsi="David"/>
                <w:color w:val="000000"/>
                <w:szCs w:val="20"/>
              </w:rPr>
            </w:pPr>
            <w:r w:rsidRPr="00A210E9">
              <w:rPr>
                <w:rFonts w:ascii="David" w:eastAsia="Times New Roman" w:hAnsi="David"/>
                <w:color w:val="000000"/>
                <w:szCs w:val="20"/>
              </w:rPr>
              <w:t>12</w:t>
            </w:r>
          </w:p>
        </w:tc>
        <w:tc>
          <w:tcPr>
            <w:tcW w:w="1147" w:type="dxa"/>
            <w:tcBorders>
              <w:top w:val="single" w:sz="4" w:space="0" w:color="auto"/>
              <w:left w:val="single" w:sz="4" w:space="0" w:color="auto"/>
              <w:bottom w:val="single" w:sz="8"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p>
        </w:tc>
        <w:tc>
          <w:tcPr>
            <w:tcW w:w="1147" w:type="dxa"/>
            <w:tcBorders>
              <w:top w:val="single" w:sz="4" w:space="0" w:color="auto"/>
              <w:left w:val="single" w:sz="4" w:space="0" w:color="auto"/>
              <w:bottom w:val="single" w:sz="8"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p>
        </w:tc>
        <w:tc>
          <w:tcPr>
            <w:tcW w:w="1147" w:type="dxa"/>
            <w:tcBorders>
              <w:top w:val="single" w:sz="4" w:space="0" w:color="auto"/>
              <w:left w:val="single" w:sz="4" w:space="0" w:color="auto"/>
              <w:bottom w:val="single" w:sz="8"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p>
        </w:tc>
        <w:tc>
          <w:tcPr>
            <w:tcW w:w="1147" w:type="dxa"/>
            <w:tcBorders>
              <w:top w:val="single" w:sz="4" w:space="0" w:color="auto"/>
              <w:left w:val="single" w:sz="4" w:space="0" w:color="auto"/>
              <w:bottom w:val="single" w:sz="8"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p>
        </w:tc>
        <w:tc>
          <w:tcPr>
            <w:tcW w:w="1147" w:type="dxa"/>
            <w:tcBorders>
              <w:top w:val="single" w:sz="4" w:space="0" w:color="auto"/>
              <w:left w:val="single" w:sz="4" w:space="0" w:color="auto"/>
              <w:bottom w:val="single" w:sz="8" w:space="0" w:color="auto"/>
              <w:right w:val="single" w:sz="4" w:space="0" w:color="auto"/>
            </w:tcBorders>
            <w:vAlign w:val="center"/>
          </w:tcPr>
          <w:p w:rsidR="00A210E9" w:rsidRPr="00A210E9" w:rsidP="00A210E9">
            <w:pPr>
              <w:spacing w:line="269" w:lineRule="auto"/>
              <w:jc w:val="center"/>
              <w:rPr>
                <w:rFonts w:ascii="David" w:eastAsia="Times New Roman" w:hAnsi="David"/>
                <w:color w:val="000000"/>
                <w:szCs w:val="20"/>
              </w:rPr>
            </w:pPr>
          </w:p>
        </w:tc>
      </w:tr>
      <w:tr w:rsidTr="00A210E9">
        <w:tblPrEx>
          <w:tblW w:w="8028" w:type="dxa"/>
          <w:jc w:val="center"/>
          <w:tblLayout w:type="fixed"/>
          <w:tblCellMar>
            <w:left w:w="57" w:type="dxa"/>
            <w:right w:w="57" w:type="dxa"/>
          </w:tblCellMar>
          <w:tblLook w:val="04A0"/>
        </w:tblPrEx>
        <w:trPr>
          <w:trHeight w:val="289"/>
          <w:jc w:val="center"/>
        </w:trPr>
        <w:tc>
          <w:tcPr>
            <w:tcW w:w="1146" w:type="dxa"/>
            <w:tcBorders>
              <w:top w:val="single" w:sz="8" w:space="0" w:color="auto"/>
              <w:left w:val="single" w:sz="4" w:space="0" w:color="auto"/>
              <w:bottom w:val="single" w:sz="4" w:space="0" w:color="auto"/>
              <w:right w:val="single" w:sz="4" w:space="0" w:color="auto"/>
            </w:tcBorders>
            <w:shd w:val="clear" w:color="auto" w:fill="D9D9D9"/>
            <w:vAlign w:val="center"/>
          </w:tcPr>
          <w:p w:rsidR="00A210E9" w:rsidRPr="00A210E9" w:rsidP="00A210E9">
            <w:pPr>
              <w:spacing w:line="269" w:lineRule="auto"/>
              <w:jc w:val="left"/>
              <w:rPr>
                <w:rFonts w:ascii="David" w:eastAsia="Times New Roman" w:hAnsi="David"/>
                <w:color w:val="000000"/>
                <w:szCs w:val="20"/>
                <w:rtl/>
              </w:rPr>
            </w:pPr>
            <w:r w:rsidRPr="00A210E9">
              <w:rPr>
                <w:rFonts w:ascii="David" w:eastAsia="Calibri" w:hAnsi="David"/>
                <w:color w:val="000000"/>
                <w:szCs w:val="20"/>
                <w:rtl/>
              </w:rPr>
              <w:t>מספר החלטות על השלמת מסמכים במהלך התהליך</w:t>
            </w:r>
          </w:p>
        </w:tc>
        <w:tc>
          <w:tcPr>
            <w:tcW w:w="1147" w:type="dxa"/>
            <w:tcBorders>
              <w:top w:val="single" w:sz="8" w:space="0" w:color="auto"/>
              <w:left w:val="single" w:sz="4" w:space="0" w:color="auto"/>
              <w:bottom w:val="single" w:sz="4" w:space="0" w:color="auto"/>
              <w:right w:val="single" w:sz="4" w:space="0" w:color="auto"/>
            </w:tcBorders>
            <w:shd w:val="clear" w:color="auto" w:fill="D9D9D9"/>
            <w:vAlign w:val="center"/>
          </w:tcPr>
          <w:p w:rsidR="00A210E9" w:rsidRPr="00A210E9" w:rsidP="00A210E9">
            <w:pPr>
              <w:spacing w:line="269" w:lineRule="auto"/>
              <w:jc w:val="center"/>
              <w:rPr>
                <w:rFonts w:ascii="David" w:eastAsia="Times New Roman" w:hAnsi="David"/>
                <w:color w:val="000000"/>
                <w:szCs w:val="20"/>
                <w:rtl/>
              </w:rPr>
            </w:pPr>
            <w:r w:rsidRPr="00A210E9">
              <w:rPr>
                <w:rFonts w:ascii="David" w:eastAsia="Calibri" w:hAnsi="David"/>
                <w:color w:val="000000"/>
                <w:szCs w:val="20"/>
                <w:rtl/>
              </w:rPr>
              <w:t>2</w:t>
            </w:r>
          </w:p>
        </w:tc>
        <w:tc>
          <w:tcPr>
            <w:tcW w:w="1147" w:type="dxa"/>
            <w:tcBorders>
              <w:top w:val="single" w:sz="8" w:space="0" w:color="auto"/>
              <w:left w:val="single" w:sz="4" w:space="0" w:color="auto"/>
              <w:bottom w:val="single" w:sz="4" w:space="0" w:color="auto"/>
              <w:right w:val="single" w:sz="4" w:space="0" w:color="auto"/>
            </w:tcBorders>
            <w:shd w:val="clear" w:color="auto" w:fill="D9D9D9"/>
            <w:vAlign w:val="center"/>
          </w:tcPr>
          <w:p w:rsidR="00A210E9" w:rsidRPr="00A210E9" w:rsidP="00A210E9">
            <w:pPr>
              <w:spacing w:line="269" w:lineRule="auto"/>
              <w:jc w:val="center"/>
              <w:rPr>
                <w:rFonts w:ascii="David" w:eastAsia="Times New Roman" w:hAnsi="David"/>
                <w:color w:val="000000"/>
                <w:szCs w:val="20"/>
              </w:rPr>
            </w:pPr>
            <w:r w:rsidRPr="00A210E9">
              <w:rPr>
                <w:rFonts w:ascii="David" w:eastAsia="Calibri" w:hAnsi="David"/>
                <w:color w:val="000000"/>
                <w:szCs w:val="20"/>
                <w:rtl/>
              </w:rPr>
              <w:t>7</w:t>
            </w:r>
          </w:p>
        </w:tc>
        <w:tc>
          <w:tcPr>
            <w:tcW w:w="1147" w:type="dxa"/>
            <w:tcBorders>
              <w:top w:val="single" w:sz="8" w:space="0" w:color="auto"/>
              <w:left w:val="single" w:sz="4" w:space="0" w:color="auto"/>
              <w:bottom w:val="single" w:sz="4" w:space="0" w:color="auto"/>
              <w:right w:val="single" w:sz="4" w:space="0" w:color="auto"/>
            </w:tcBorders>
            <w:shd w:val="clear" w:color="auto" w:fill="D9D9D9"/>
            <w:vAlign w:val="center"/>
          </w:tcPr>
          <w:p w:rsidR="00A210E9" w:rsidRPr="00A210E9" w:rsidP="00A210E9">
            <w:pPr>
              <w:spacing w:line="269" w:lineRule="auto"/>
              <w:jc w:val="center"/>
              <w:rPr>
                <w:rFonts w:ascii="David" w:eastAsia="Times New Roman" w:hAnsi="David"/>
                <w:color w:val="000000"/>
                <w:szCs w:val="20"/>
              </w:rPr>
            </w:pPr>
            <w:r w:rsidRPr="00A210E9">
              <w:rPr>
                <w:rFonts w:ascii="David" w:eastAsia="Calibri" w:hAnsi="David"/>
                <w:color w:val="000000"/>
                <w:szCs w:val="20"/>
                <w:rtl/>
              </w:rPr>
              <w:t>3</w:t>
            </w:r>
          </w:p>
        </w:tc>
        <w:tc>
          <w:tcPr>
            <w:tcW w:w="1147" w:type="dxa"/>
            <w:tcBorders>
              <w:top w:val="single" w:sz="8" w:space="0" w:color="auto"/>
              <w:left w:val="single" w:sz="4" w:space="0" w:color="auto"/>
              <w:bottom w:val="single" w:sz="4" w:space="0" w:color="auto"/>
              <w:right w:val="single" w:sz="4" w:space="0" w:color="auto"/>
            </w:tcBorders>
            <w:shd w:val="clear" w:color="auto" w:fill="D9D9D9"/>
            <w:vAlign w:val="center"/>
          </w:tcPr>
          <w:p w:rsidR="00A210E9" w:rsidRPr="00A210E9" w:rsidP="00A210E9">
            <w:pPr>
              <w:spacing w:line="269" w:lineRule="auto"/>
              <w:jc w:val="center"/>
              <w:rPr>
                <w:rFonts w:ascii="David" w:eastAsia="Times New Roman" w:hAnsi="David"/>
                <w:color w:val="000000"/>
                <w:szCs w:val="20"/>
              </w:rPr>
            </w:pPr>
            <w:r w:rsidRPr="00A210E9">
              <w:rPr>
                <w:rFonts w:ascii="David" w:eastAsia="Calibri" w:hAnsi="David"/>
                <w:color w:val="000000"/>
                <w:szCs w:val="20"/>
                <w:rtl/>
              </w:rPr>
              <w:t>2</w:t>
            </w:r>
          </w:p>
        </w:tc>
        <w:tc>
          <w:tcPr>
            <w:tcW w:w="1147" w:type="dxa"/>
            <w:tcBorders>
              <w:top w:val="single" w:sz="8" w:space="0" w:color="auto"/>
              <w:left w:val="single" w:sz="4" w:space="0" w:color="auto"/>
              <w:bottom w:val="single" w:sz="4" w:space="0" w:color="auto"/>
              <w:right w:val="single" w:sz="4" w:space="0" w:color="auto"/>
            </w:tcBorders>
            <w:shd w:val="clear" w:color="auto" w:fill="D9D9D9"/>
            <w:vAlign w:val="center"/>
          </w:tcPr>
          <w:p w:rsidR="00A210E9" w:rsidRPr="00A210E9" w:rsidP="00A210E9">
            <w:pPr>
              <w:spacing w:line="269" w:lineRule="auto"/>
              <w:jc w:val="center"/>
              <w:rPr>
                <w:rFonts w:ascii="David" w:eastAsia="Times New Roman" w:hAnsi="David"/>
                <w:color w:val="000000"/>
                <w:szCs w:val="20"/>
              </w:rPr>
            </w:pPr>
            <w:r w:rsidRPr="00A210E9">
              <w:rPr>
                <w:rFonts w:ascii="David" w:eastAsia="Calibri" w:hAnsi="David"/>
                <w:color w:val="000000"/>
                <w:szCs w:val="20"/>
                <w:rtl/>
              </w:rPr>
              <w:t>10</w:t>
            </w:r>
          </w:p>
        </w:tc>
        <w:tc>
          <w:tcPr>
            <w:tcW w:w="1147" w:type="dxa"/>
            <w:tcBorders>
              <w:top w:val="single" w:sz="8" w:space="0" w:color="auto"/>
              <w:left w:val="single" w:sz="4" w:space="0" w:color="auto"/>
              <w:bottom w:val="single" w:sz="4" w:space="0" w:color="auto"/>
              <w:right w:val="single" w:sz="4" w:space="0" w:color="auto"/>
            </w:tcBorders>
            <w:shd w:val="clear" w:color="auto" w:fill="D9D9D9"/>
            <w:vAlign w:val="center"/>
          </w:tcPr>
          <w:p w:rsidR="00A210E9" w:rsidRPr="00A210E9" w:rsidP="00A210E9">
            <w:pPr>
              <w:spacing w:line="269" w:lineRule="auto"/>
              <w:jc w:val="center"/>
              <w:rPr>
                <w:rFonts w:ascii="David" w:eastAsia="Times New Roman" w:hAnsi="David"/>
                <w:color w:val="000000"/>
                <w:szCs w:val="20"/>
              </w:rPr>
            </w:pPr>
            <w:r w:rsidRPr="00A210E9">
              <w:rPr>
                <w:rFonts w:ascii="David" w:eastAsia="Calibri" w:hAnsi="David"/>
                <w:color w:val="000000"/>
                <w:szCs w:val="20"/>
                <w:rtl/>
              </w:rPr>
              <w:t>4</w:t>
            </w:r>
          </w:p>
        </w:tc>
      </w:tr>
    </w:tbl>
    <w:p w:rsidR="00A210E9" w:rsidRPr="00A210E9" w:rsidP="00A210E9">
      <w:pPr>
        <w:keepNext/>
        <w:keepLines/>
        <w:spacing w:line="269" w:lineRule="auto"/>
        <w:ind w:left="-567"/>
        <w:rPr>
          <w:rFonts w:eastAsia="Calibri"/>
          <w:szCs w:val="20"/>
          <w:rtl/>
        </w:rPr>
      </w:pPr>
      <w:r w:rsidRPr="00A210E9">
        <w:rPr>
          <w:rFonts w:eastAsia="Calibri"/>
          <w:szCs w:val="20"/>
          <w:rtl/>
        </w:rPr>
        <w:tab/>
      </w:r>
      <w:r w:rsidRPr="00A210E9">
        <w:rPr>
          <w:rFonts w:eastAsia="Calibri" w:hint="eastAsia"/>
          <w:szCs w:val="20"/>
          <w:rtl/>
        </w:rPr>
        <w:t>על</w:t>
      </w:r>
      <w:r w:rsidRPr="00A210E9">
        <w:rPr>
          <w:rFonts w:eastAsia="Calibri"/>
          <w:szCs w:val="20"/>
          <w:rtl/>
        </w:rPr>
        <w:t xml:space="preserve"> פי נתוני משרד התחבורה, בעיבוד משרד מבקר המדינה</w:t>
      </w:r>
      <w:r w:rsidRPr="00A210E9">
        <w:rPr>
          <w:rFonts w:eastAsia="Calibri" w:hint="cs"/>
          <w:szCs w:val="20"/>
          <w:rtl/>
        </w:rPr>
        <w:t>.</w:t>
      </w:r>
    </w:p>
    <w:p w:rsidR="00A210E9" w:rsidRPr="00A210E9" w:rsidP="00A210E9">
      <w:pPr>
        <w:spacing w:line="269" w:lineRule="auto"/>
        <w:rPr>
          <w:rFonts w:eastAsia="Calibri"/>
          <w:sz w:val="16"/>
          <w:szCs w:val="20"/>
          <w:rtl/>
        </w:rPr>
      </w:pPr>
      <w:r w:rsidRPr="00A210E9">
        <w:rPr>
          <w:rFonts w:eastAsia="Calibri" w:hint="cs"/>
          <w:sz w:val="16"/>
          <w:szCs w:val="20"/>
          <w:rtl/>
        </w:rPr>
        <w:t>* מועד מוערך.</w:t>
      </w:r>
    </w:p>
    <w:p w:rsidR="00A210E9" w:rsidRPr="00A210E9" w:rsidP="00A210E9">
      <w:pPr>
        <w:keepNext/>
        <w:keepLines/>
        <w:spacing w:line="269" w:lineRule="auto"/>
        <w:ind w:left="18"/>
        <w:rPr>
          <w:rFonts w:eastAsia="Calibri"/>
          <w:rtl/>
        </w:rPr>
      </w:pPr>
      <w:r w:rsidRPr="00A210E9">
        <w:rPr>
          <w:rFonts w:eastAsia="Calibri" w:hint="cs"/>
          <w:rtl/>
        </w:rPr>
        <w:t xml:space="preserve">בהמשך </w:t>
      </w:r>
      <w:r w:rsidRPr="00A210E9">
        <w:rPr>
          <w:rFonts w:eastAsia="Calibri"/>
          <w:rtl/>
        </w:rPr>
        <w:t xml:space="preserve">לבקשת חשבות </w:t>
      </w:r>
      <w:r w:rsidRPr="00A210E9">
        <w:rPr>
          <w:rFonts w:eastAsia="Calibri" w:hint="cs"/>
          <w:rtl/>
        </w:rPr>
        <w:t>משרד התחבורה</w:t>
      </w:r>
      <w:r w:rsidRPr="00A210E9">
        <w:rPr>
          <w:rFonts w:eastAsia="Calibri"/>
          <w:rtl/>
        </w:rPr>
        <w:t xml:space="preserve">, ובעקבות דוח </w:t>
      </w:r>
      <w:r w:rsidRPr="00A210E9">
        <w:rPr>
          <w:rFonts w:eastAsia="Calibri" w:hint="cs"/>
          <w:rtl/>
        </w:rPr>
        <w:t>בדיקה חקירתית 2023</w:t>
      </w:r>
      <w:r w:rsidRPr="00A210E9">
        <w:rPr>
          <w:rFonts w:eastAsia="Calibri"/>
          <w:rtl/>
        </w:rPr>
        <w:t xml:space="preserve">, </w:t>
      </w:r>
      <w:r w:rsidRPr="00A210E9">
        <w:rPr>
          <w:rFonts w:eastAsia="Calibri" w:hint="cs"/>
          <w:rtl/>
        </w:rPr>
        <w:t>בדק משרד רואי חשבון חיצוני מטעם משרד התחבורה את</w:t>
      </w:r>
      <w:r w:rsidRPr="00A210E9">
        <w:rPr>
          <w:rFonts w:eastAsia="Calibri"/>
          <w:rtl/>
        </w:rPr>
        <w:t xml:space="preserve"> תהליך</w:t>
      </w:r>
      <w:r w:rsidRPr="00A210E9">
        <w:rPr>
          <w:rFonts w:eastAsia="Calibri" w:hint="cs"/>
          <w:rtl/>
        </w:rPr>
        <w:t xml:space="preserve"> </w:t>
      </w:r>
      <w:r w:rsidRPr="00A210E9">
        <w:rPr>
          <w:rFonts w:eastAsia="Calibri"/>
          <w:rtl/>
        </w:rPr>
        <w:t xml:space="preserve">אישור החשבונות שהוגשו על ידי </w:t>
      </w:r>
      <w:r w:rsidRPr="00A210E9">
        <w:rPr>
          <w:rFonts w:eastAsia="Calibri" w:hint="cs"/>
          <w:rtl/>
        </w:rPr>
        <w:t>חברה שהעניקה שירותי בדיקות רפואיות לאגף הרישוי</w:t>
      </w:r>
      <w:r w:rsidRPr="00A210E9">
        <w:rPr>
          <w:rFonts w:eastAsia="Calibri"/>
          <w:rtl/>
        </w:rPr>
        <w:t xml:space="preserve"> </w:t>
      </w:r>
      <w:r w:rsidRPr="00A210E9">
        <w:rPr>
          <w:rFonts w:eastAsia="Calibri" w:hint="cs"/>
          <w:rtl/>
        </w:rPr>
        <w:t xml:space="preserve">בין היתר </w:t>
      </w:r>
      <w:r w:rsidRPr="00A210E9">
        <w:rPr>
          <w:rFonts w:eastAsia="Calibri"/>
          <w:rtl/>
        </w:rPr>
        <w:t>בשנים 2021</w:t>
      </w:r>
      <w:r w:rsidRPr="00A210E9">
        <w:rPr>
          <w:rFonts w:eastAsia="Calibri" w:hint="cs"/>
          <w:rtl/>
        </w:rPr>
        <w:t xml:space="preserve"> </w:t>
      </w:r>
      <w:r w:rsidRPr="00A210E9">
        <w:rPr>
          <w:rFonts w:eastAsia="Calibri"/>
          <w:rtl/>
        </w:rPr>
        <w:t>-</w:t>
      </w:r>
      <w:r w:rsidRPr="00A210E9">
        <w:rPr>
          <w:rFonts w:eastAsia="Calibri" w:hint="cs"/>
          <w:rtl/>
        </w:rPr>
        <w:t xml:space="preserve"> </w:t>
      </w:r>
      <w:r w:rsidRPr="00A210E9">
        <w:rPr>
          <w:rFonts w:eastAsia="Calibri"/>
          <w:rtl/>
        </w:rPr>
        <w:t xml:space="preserve">2024 </w:t>
      </w:r>
      <w:r w:rsidRPr="00A210E9">
        <w:rPr>
          <w:rFonts w:eastAsia="Calibri" w:hint="cs"/>
          <w:rtl/>
        </w:rPr>
        <w:t xml:space="preserve">(להלן - חברה ב') </w:t>
      </w:r>
      <w:r w:rsidRPr="00A210E9">
        <w:rPr>
          <w:rFonts w:eastAsia="Calibri"/>
          <w:rtl/>
        </w:rPr>
        <w:t xml:space="preserve">בגין מכרז 53.20 </w:t>
      </w:r>
      <w:r w:rsidRPr="00A210E9">
        <w:rPr>
          <w:rFonts w:eastAsia="Calibri" w:hint="cs"/>
          <w:rtl/>
        </w:rPr>
        <w:t>-</w:t>
      </w:r>
      <w:r w:rsidRPr="00A210E9">
        <w:rPr>
          <w:rFonts w:eastAsia="Calibri"/>
          <w:rtl/>
        </w:rPr>
        <w:t xml:space="preserve"> </w:t>
      </w:r>
      <w:r w:rsidRPr="00A210E9">
        <w:rPr>
          <w:rFonts w:eastAsia="Calibri" w:hint="cs"/>
          <w:rtl/>
        </w:rPr>
        <w:t>"</w:t>
      </w:r>
      <w:r w:rsidRPr="00A210E9">
        <w:rPr>
          <w:rFonts w:eastAsia="Calibri"/>
          <w:rtl/>
        </w:rPr>
        <w:t>ייעוץ רפואי לאגף הרישוי,</w:t>
      </w:r>
      <w:r w:rsidRPr="00A210E9">
        <w:rPr>
          <w:rFonts w:eastAsia="Calibri" w:hint="cs"/>
          <w:rtl/>
        </w:rPr>
        <w:t xml:space="preserve"> </w:t>
      </w:r>
      <w:r w:rsidRPr="00A210E9">
        <w:rPr>
          <w:rFonts w:eastAsia="Calibri"/>
          <w:rtl/>
        </w:rPr>
        <w:t xml:space="preserve">בדיקות רפואיות למבקשי תג </w:t>
      </w:r>
      <w:r w:rsidRPr="00A210E9">
        <w:rPr>
          <w:rFonts w:eastAsia="Calibri" w:hint="cs"/>
          <w:rtl/>
        </w:rPr>
        <w:t>חניה</w:t>
      </w:r>
      <w:r w:rsidRPr="00A210E9">
        <w:rPr>
          <w:rFonts w:eastAsia="Calibri"/>
          <w:rtl/>
        </w:rPr>
        <w:t xml:space="preserve"> ולמבקשי רישיונות נהיגה</w:t>
      </w:r>
      <w:r w:rsidRPr="00A210E9">
        <w:rPr>
          <w:rFonts w:eastAsia="Calibri" w:hint="cs"/>
          <w:rtl/>
        </w:rPr>
        <w:t>" (להלן - בדיקה חשבונאית 2025)</w:t>
      </w:r>
      <w:r>
        <w:rPr>
          <w:rFonts w:eastAsia="Calibri"/>
          <w:vertAlign w:val="superscript"/>
          <w:rtl/>
        </w:rPr>
        <w:footnoteReference w:id="155"/>
      </w:r>
      <w:r w:rsidRPr="00A210E9">
        <w:rPr>
          <w:rFonts w:eastAsia="Calibri" w:hint="cs"/>
          <w:rtl/>
        </w:rPr>
        <w:t xml:space="preserve">. בבדיקה החשבונאית צוין כי </w:t>
      </w:r>
      <w:r w:rsidRPr="00A210E9">
        <w:rPr>
          <w:rFonts w:eastAsia="Calibri"/>
          <w:rtl/>
        </w:rPr>
        <w:t>כ</w:t>
      </w:r>
      <w:r w:rsidRPr="00A210E9">
        <w:rPr>
          <w:rFonts w:eastAsia="Calibri" w:hint="cs"/>
          <w:rtl/>
        </w:rPr>
        <w:t xml:space="preserve">-25% </w:t>
      </w:r>
      <w:r w:rsidRPr="00A210E9">
        <w:rPr>
          <w:rFonts w:eastAsia="Calibri"/>
          <w:rtl/>
        </w:rPr>
        <w:t xml:space="preserve">מהבקשות שהוגשו </w:t>
      </w:r>
      <w:r w:rsidRPr="00A210E9">
        <w:rPr>
          <w:rFonts w:eastAsia="Calibri" w:hint="cs"/>
          <w:rtl/>
        </w:rPr>
        <w:t>ב</w:t>
      </w:r>
      <w:r w:rsidRPr="00A210E9">
        <w:rPr>
          <w:rFonts w:eastAsia="Calibri"/>
          <w:rtl/>
        </w:rPr>
        <w:t xml:space="preserve">שנים 2021 </w:t>
      </w:r>
      <w:r w:rsidRPr="00A210E9">
        <w:rPr>
          <w:rFonts w:eastAsia="Calibri" w:hint="cs"/>
          <w:rtl/>
        </w:rPr>
        <w:t>-</w:t>
      </w:r>
      <w:r w:rsidRPr="00A210E9">
        <w:rPr>
          <w:rFonts w:eastAsia="Calibri"/>
          <w:rtl/>
        </w:rPr>
        <w:t xml:space="preserve"> 2024 הן בקשות חוזרות</w:t>
      </w:r>
      <w:r w:rsidRPr="00A210E9">
        <w:rPr>
          <w:rFonts w:eastAsia="Calibri" w:hint="cs"/>
          <w:rtl/>
        </w:rPr>
        <w:t xml:space="preserve"> (יותר </w:t>
      </w:r>
      <w:r w:rsidRPr="00A210E9">
        <w:rPr>
          <w:rFonts w:eastAsia="Calibri"/>
          <w:rtl/>
        </w:rPr>
        <w:t>מ-214,000 בקשות</w:t>
      </w:r>
      <w:r w:rsidRPr="00A210E9">
        <w:rPr>
          <w:rFonts w:eastAsia="Calibri" w:hint="cs"/>
          <w:rtl/>
        </w:rPr>
        <w:t xml:space="preserve"> חוזרות)</w:t>
      </w:r>
      <w:r w:rsidRPr="00A210E9">
        <w:rPr>
          <w:rFonts w:eastAsia="Calibri"/>
          <w:rtl/>
        </w:rPr>
        <w:t xml:space="preserve">, כלומר בקשות שהוגשו פעם נוספת לאחר שנדחו. </w:t>
      </w:r>
      <w:r w:rsidRPr="00A210E9">
        <w:rPr>
          <w:rFonts w:eastAsia="Calibri" w:hint="cs"/>
          <w:rtl/>
        </w:rPr>
        <w:t>עוד צוין כי יותר מ-</w:t>
      </w:r>
      <w:r w:rsidRPr="00A210E9">
        <w:rPr>
          <w:rFonts w:eastAsia="Calibri"/>
          <w:rtl/>
        </w:rPr>
        <w:t xml:space="preserve">100,000 מגישי בקשות הגישו </w:t>
      </w:r>
      <w:r w:rsidRPr="00A210E9">
        <w:rPr>
          <w:rFonts w:eastAsia="Calibri" w:hint="cs"/>
          <w:rtl/>
        </w:rPr>
        <w:t>יותר מבקשה אחת</w:t>
      </w:r>
      <w:r>
        <w:rPr>
          <w:rFonts w:eastAsia="Calibri"/>
          <w:vertAlign w:val="superscript"/>
          <w:rtl/>
        </w:rPr>
        <w:footnoteReference w:id="156"/>
      </w:r>
      <w:r w:rsidRPr="00A210E9">
        <w:rPr>
          <w:rFonts w:eastAsia="Calibri" w:hint="cs"/>
          <w:rtl/>
        </w:rPr>
        <w:t>,</w:t>
      </w:r>
      <w:r w:rsidRPr="00A210E9">
        <w:rPr>
          <w:rFonts w:eastAsia="Calibri"/>
          <w:rtl/>
        </w:rPr>
        <w:t xml:space="preserve"> </w:t>
      </w:r>
      <w:r w:rsidRPr="00A210E9">
        <w:rPr>
          <w:rFonts w:eastAsia="Calibri" w:hint="cs"/>
          <w:rtl/>
        </w:rPr>
        <w:t>ו</w:t>
      </w:r>
      <w:r w:rsidRPr="00A210E9">
        <w:rPr>
          <w:rFonts w:eastAsia="Calibri"/>
          <w:rtl/>
        </w:rPr>
        <w:t>ל-81% מהם אושרה לבסוף</w:t>
      </w:r>
      <w:r w:rsidRPr="00A210E9">
        <w:rPr>
          <w:rFonts w:eastAsia="Calibri" w:hint="cs"/>
          <w:rtl/>
        </w:rPr>
        <w:t xml:space="preserve"> </w:t>
      </w:r>
      <w:r w:rsidRPr="00A210E9">
        <w:rPr>
          <w:rFonts w:eastAsia="Calibri"/>
          <w:rtl/>
        </w:rPr>
        <w:t xml:space="preserve">זכאות לתג </w:t>
      </w:r>
      <w:r w:rsidRPr="00A210E9">
        <w:rPr>
          <w:rFonts w:eastAsia="Calibri" w:hint="cs"/>
          <w:rtl/>
        </w:rPr>
        <w:t>חניה</w:t>
      </w:r>
      <w:r w:rsidRPr="00A210E9">
        <w:rPr>
          <w:rFonts w:eastAsia="Calibri"/>
          <w:rtl/>
        </w:rPr>
        <w:t>.</w:t>
      </w:r>
      <w:r w:rsidRPr="00A210E9">
        <w:rPr>
          <w:rFonts w:eastAsia="Calibri" w:hint="cs"/>
          <w:rtl/>
        </w:rPr>
        <w:t xml:space="preserve"> </w:t>
      </w:r>
      <w:r w:rsidRPr="00A210E9">
        <w:rPr>
          <w:rFonts w:eastAsia="Calibri"/>
          <w:rtl/>
        </w:rPr>
        <w:t xml:space="preserve">בדגימות שבוצעו </w:t>
      </w:r>
      <w:r w:rsidRPr="00A210E9">
        <w:rPr>
          <w:rFonts w:eastAsia="Calibri" w:hint="cs"/>
          <w:rtl/>
        </w:rPr>
        <w:t>בבדיקה החשבונאית 2025</w:t>
      </w:r>
      <w:r w:rsidRPr="00A210E9">
        <w:rPr>
          <w:rFonts w:eastAsia="Calibri"/>
          <w:rtl/>
        </w:rPr>
        <w:t xml:space="preserve"> נמצא כי גם כאשר התקבל אישור לאחר </w:t>
      </w:r>
      <w:r w:rsidRPr="00A210E9">
        <w:rPr>
          <w:rFonts w:eastAsia="Calibri" w:hint="cs"/>
          <w:rtl/>
        </w:rPr>
        <w:t>כמה</w:t>
      </w:r>
      <w:r w:rsidRPr="00A210E9">
        <w:rPr>
          <w:rFonts w:eastAsia="Calibri"/>
          <w:rtl/>
        </w:rPr>
        <w:t xml:space="preserve"> דחיות,</w:t>
      </w:r>
      <w:r w:rsidRPr="00A210E9">
        <w:rPr>
          <w:rFonts w:eastAsia="Calibri" w:hint="cs"/>
          <w:rtl/>
        </w:rPr>
        <w:t xml:space="preserve"> </w:t>
      </w:r>
      <w:r w:rsidRPr="00A210E9">
        <w:rPr>
          <w:rFonts w:eastAsia="Calibri"/>
          <w:rtl/>
        </w:rPr>
        <w:t xml:space="preserve">לא נבעה ההחלטה מהצגת מסמכים רפואיים חדשים או שינוי במצב הרפואי, אלא </w:t>
      </w:r>
      <w:r w:rsidRPr="00A210E9">
        <w:rPr>
          <w:rFonts w:eastAsia="Calibri" w:hint="cs"/>
          <w:rtl/>
        </w:rPr>
        <w:t xml:space="preserve">היא </w:t>
      </w:r>
      <w:r w:rsidRPr="00A210E9">
        <w:rPr>
          <w:rFonts w:eastAsia="Calibri"/>
          <w:rtl/>
        </w:rPr>
        <w:t>התבססה</w:t>
      </w:r>
      <w:r w:rsidRPr="00A210E9">
        <w:rPr>
          <w:rFonts w:eastAsia="Calibri" w:hint="cs"/>
          <w:rtl/>
        </w:rPr>
        <w:t xml:space="preserve"> </w:t>
      </w:r>
      <w:r w:rsidRPr="00A210E9">
        <w:rPr>
          <w:rFonts w:eastAsia="Calibri"/>
          <w:rtl/>
        </w:rPr>
        <w:t xml:space="preserve">במקרים רבים על אותם מסמכים רפואיים </w:t>
      </w:r>
      <w:r w:rsidRPr="00A210E9">
        <w:rPr>
          <w:rFonts w:eastAsia="Calibri" w:hint="cs"/>
          <w:rtl/>
        </w:rPr>
        <w:t>ש</w:t>
      </w:r>
      <w:r w:rsidRPr="00A210E9">
        <w:rPr>
          <w:rFonts w:eastAsia="Calibri"/>
          <w:rtl/>
        </w:rPr>
        <w:t xml:space="preserve">כבר הוגשו בבקשות הקודמות </w:t>
      </w:r>
      <w:r w:rsidRPr="00A210E9">
        <w:rPr>
          <w:rFonts w:eastAsia="Calibri" w:hint="cs"/>
          <w:rtl/>
        </w:rPr>
        <w:t>ו</w:t>
      </w:r>
      <w:r w:rsidRPr="00A210E9">
        <w:rPr>
          <w:rFonts w:eastAsia="Calibri"/>
          <w:rtl/>
        </w:rPr>
        <w:t xml:space="preserve">נדחו. </w:t>
      </w:r>
      <w:r w:rsidRPr="00A210E9">
        <w:rPr>
          <w:rFonts w:eastAsia="Calibri" w:hint="cs"/>
          <w:rtl/>
        </w:rPr>
        <w:t xml:space="preserve">עוד נמצא כי </w:t>
      </w:r>
      <w:r w:rsidRPr="00A210E9">
        <w:rPr>
          <w:rFonts w:eastAsia="Calibri"/>
          <w:rtl/>
        </w:rPr>
        <w:t>בחלק</w:t>
      </w:r>
      <w:r w:rsidRPr="00A210E9">
        <w:rPr>
          <w:rFonts w:eastAsia="Calibri" w:hint="cs"/>
          <w:rtl/>
        </w:rPr>
        <w:t xml:space="preserve"> </w:t>
      </w:r>
      <w:r w:rsidRPr="00A210E9">
        <w:rPr>
          <w:rFonts w:eastAsia="Calibri"/>
          <w:rtl/>
        </w:rPr>
        <w:t xml:space="preserve">מהמקרים אף חזרה הבקשה לאותו רופא שדחה אותה קודם לכן, והוא </w:t>
      </w:r>
      <w:r w:rsidRPr="00A210E9">
        <w:rPr>
          <w:rFonts w:eastAsia="Calibri" w:hint="cs"/>
          <w:rtl/>
        </w:rPr>
        <w:t>ב</w:t>
      </w:r>
      <w:r w:rsidRPr="00A210E9">
        <w:rPr>
          <w:rFonts w:eastAsia="Calibri"/>
          <w:rtl/>
        </w:rPr>
        <w:t>עצמו שינה את</w:t>
      </w:r>
      <w:r w:rsidRPr="00A210E9">
        <w:rPr>
          <w:rFonts w:eastAsia="Calibri" w:hint="cs"/>
          <w:rtl/>
        </w:rPr>
        <w:t xml:space="preserve"> </w:t>
      </w:r>
      <w:r w:rsidRPr="00A210E9">
        <w:rPr>
          <w:rFonts w:eastAsia="Calibri"/>
          <w:rtl/>
        </w:rPr>
        <w:t>החלטתו ואישר אותה, בלי שנעשו כל שינויים מהותיים בבקשה או במסמכים המצורפים.</w:t>
      </w:r>
      <w:r w:rsidRPr="00A210E9">
        <w:rPr>
          <w:rFonts w:eastAsia="Calibri" w:hint="cs"/>
          <w:rtl/>
        </w:rPr>
        <w:t xml:space="preserve"> הצוות ציין כי נסיבות אלה </w:t>
      </w:r>
      <w:r w:rsidRPr="00A210E9">
        <w:rPr>
          <w:rFonts w:eastAsia="Calibri"/>
          <w:rtl/>
        </w:rPr>
        <w:t xml:space="preserve">אינן מעידות אך ורק על חוסר אחידות </w:t>
      </w:r>
      <w:r w:rsidRPr="00A210E9">
        <w:rPr>
          <w:rFonts w:eastAsia="Calibri" w:hint="cs"/>
          <w:rtl/>
        </w:rPr>
        <w:t>בטיפול</w:t>
      </w:r>
      <w:r w:rsidRPr="00A210E9">
        <w:rPr>
          <w:rFonts w:eastAsia="Calibri"/>
          <w:rtl/>
        </w:rPr>
        <w:t xml:space="preserve"> </w:t>
      </w:r>
      <w:r w:rsidRPr="00A210E9">
        <w:rPr>
          <w:rFonts w:eastAsia="Calibri" w:hint="cs"/>
          <w:rtl/>
        </w:rPr>
        <w:t>בבקשות</w:t>
      </w:r>
      <w:r w:rsidRPr="00A210E9">
        <w:rPr>
          <w:rFonts w:eastAsia="Calibri"/>
          <w:rtl/>
        </w:rPr>
        <w:t>, אלא</w:t>
      </w:r>
      <w:r w:rsidRPr="00A210E9">
        <w:rPr>
          <w:rFonts w:eastAsia="Calibri" w:hint="cs"/>
          <w:rtl/>
        </w:rPr>
        <w:t xml:space="preserve"> מחדדות</w:t>
      </w:r>
      <w:r w:rsidRPr="00A210E9">
        <w:rPr>
          <w:rFonts w:eastAsia="Calibri"/>
          <w:rtl/>
        </w:rPr>
        <w:t xml:space="preserve"> חשש ממשי</w:t>
      </w:r>
      <w:r w:rsidRPr="00A210E9">
        <w:rPr>
          <w:rFonts w:eastAsia="Calibri" w:hint="cs"/>
          <w:rtl/>
        </w:rPr>
        <w:t xml:space="preserve"> </w:t>
      </w:r>
      <w:r w:rsidRPr="00A210E9">
        <w:rPr>
          <w:rFonts w:eastAsia="Calibri"/>
          <w:rtl/>
        </w:rPr>
        <w:t>לפגמים באופן קבלת ההחלטות הרפואיות, ולעיתים אף מצביעות על ה</w:t>
      </w:r>
      <w:r w:rsidRPr="00A210E9">
        <w:rPr>
          <w:rFonts w:eastAsia="Calibri" w:hint="cs"/>
          <w:rtl/>
        </w:rPr>
        <w:t>י</w:t>
      </w:r>
      <w:r w:rsidRPr="00A210E9">
        <w:rPr>
          <w:rFonts w:eastAsia="Calibri"/>
          <w:rtl/>
        </w:rPr>
        <w:t>עדר בדיקה ראויה</w:t>
      </w:r>
      <w:r w:rsidRPr="00A210E9">
        <w:rPr>
          <w:rFonts w:eastAsia="Calibri" w:hint="cs"/>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b/>
          <w:bCs/>
          <w:rtl/>
        </w:rPr>
        <w:t xml:space="preserve">בביקורת עלה כי בשנת 2025 הוסדרה לראשונה בנוהל 2025 של משרד התחבורה, אפשרות לערער על הבקשה תוך קביעת לוחות זמנים ברורים, כשקודם לכן כל ערעור משמעותו הייתה בקשה חדשה. כמו כן, נוספה מגבלת זמן להגשת בקשה חוזרת. לפני יישום הנוהל היו מקרים רבים של בקשות חוזרות מאותם מגישים. הבדיקה החשבונאית 2025 במשרד התחבורה אף העלתה כי </w:t>
      </w:r>
      <w:r w:rsidR="008529F8">
        <w:rPr>
          <w:rFonts w:eastAsia="Calibri"/>
          <w:b/>
          <w:bCs/>
          <w:rtl/>
        </w:rPr>
        <w:br/>
      </w:r>
      <w:r w:rsidRPr="00A210E9">
        <w:rPr>
          <w:rFonts w:eastAsia="Calibri"/>
          <w:b/>
          <w:bCs/>
          <w:rtl/>
        </w:rPr>
        <w:t xml:space="preserve">כ-25% מהבקשות שהוגשו </w:t>
      </w:r>
      <w:r w:rsidRPr="00A210E9">
        <w:rPr>
          <w:rFonts w:eastAsia="Calibri" w:hint="cs"/>
          <w:b/>
          <w:bCs/>
          <w:rtl/>
        </w:rPr>
        <w:t>ב</w:t>
      </w:r>
      <w:r w:rsidRPr="00A210E9">
        <w:rPr>
          <w:rFonts w:eastAsia="Calibri"/>
          <w:b/>
          <w:bCs/>
          <w:rtl/>
        </w:rPr>
        <w:t xml:space="preserve">שנים 2021 </w:t>
      </w:r>
      <w:r w:rsidRPr="00A210E9">
        <w:rPr>
          <w:rFonts w:eastAsia="Calibri" w:hint="cs"/>
          <w:b/>
          <w:bCs/>
          <w:rtl/>
        </w:rPr>
        <w:t>-</w:t>
      </w:r>
      <w:r w:rsidRPr="00A210E9">
        <w:rPr>
          <w:rFonts w:eastAsia="Calibri"/>
          <w:b/>
          <w:bCs/>
          <w:rtl/>
        </w:rPr>
        <w:t xml:space="preserve"> 2024</w:t>
      </w:r>
      <w:r w:rsidRPr="00A210E9">
        <w:rPr>
          <w:rFonts w:eastAsia="Calibri" w:hint="cs"/>
          <w:b/>
          <w:bCs/>
          <w:rtl/>
        </w:rPr>
        <w:t xml:space="preserve"> הן בקשות חוזרות, ול-81% מתוך 100,000 מבקשי בקשות שהגישו מספר רב של בקשות חוזרות, אושר התג לבסוף. נמצא גם כי במקרים שהתג אושר לבסוף, האישור ניתן לעיתים על בסיס אותם מסמכים רפואיים. התנהלות זו פוגעת באמינות ומהימנות של התהליך הרפואי.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ascii="David" w:eastAsia="Calibri" w:hAnsi="David" w:hint="eastAsia"/>
          <w:b/>
          <w:bCs/>
          <w:rtl/>
        </w:rPr>
        <w:t>על</w:t>
      </w:r>
      <w:r w:rsidRPr="00A210E9">
        <w:rPr>
          <w:rFonts w:ascii="David" w:eastAsia="Calibri" w:hAnsi="David"/>
          <w:b/>
          <w:bCs/>
          <w:rtl/>
        </w:rPr>
        <w:t xml:space="preserve"> </w:t>
      </w:r>
      <w:r w:rsidRPr="00A210E9">
        <w:rPr>
          <w:rFonts w:ascii="David" w:eastAsia="Calibri" w:hAnsi="David" w:hint="eastAsia"/>
          <w:b/>
          <w:bCs/>
          <w:rtl/>
        </w:rPr>
        <w:t>פי</w:t>
      </w:r>
      <w:r w:rsidRPr="00A210E9">
        <w:rPr>
          <w:rFonts w:ascii="David" w:eastAsia="Calibri" w:hAnsi="David"/>
          <w:b/>
          <w:bCs/>
          <w:rtl/>
        </w:rPr>
        <w:t xml:space="preserve"> </w:t>
      </w:r>
      <w:r w:rsidRPr="00A210E9">
        <w:rPr>
          <w:rFonts w:ascii="David" w:eastAsia="Calibri" w:hAnsi="David" w:hint="eastAsia"/>
          <w:b/>
          <w:bCs/>
          <w:rtl/>
        </w:rPr>
        <w:t>השוואה</w:t>
      </w:r>
      <w:r w:rsidRPr="00A210E9">
        <w:rPr>
          <w:rFonts w:ascii="David" w:eastAsia="Calibri" w:hAnsi="David"/>
          <w:b/>
          <w:bCs/>
          <w:rtl/>
        </w:rPr>
        <w:t xml:space="preserve"> </w:t>
      </w:r>
      <w:r w:rsidRPr="00A210E9">
        <w:rPr>
          <w:rFonts w:ascii="David" w:eastAsia="Calibri" w:hAnsi="David" w:hint="eastAsia"/>
          <w:b/>
          <w:bCs/>
          <w:rtl/>
        </w:rPr>
        <w:t>בין</w:t>
      </w:r>
      <w:r w:rsidRPr="00A210E9">
        <w:rPr>
          <w:rFonts w:ascii="David" w:eastAsia="Calibri" w:hAnsi="David"/>
          <w:b/>
          <w:bCs/>
          <w:rtl/>
        </w:rPr>
        <w:t>-</w:t>
      </w:r>
      <w:r w:rsidRPr="00A210E9">
        <w:rPr>
          <w:rFonts w:ascii="David" w:eastAsia="Calibri" w:hAnsi="David" w:hint="eastAsia"/>
          <w:b/>
          <w:bCs/>
          <w:rtl/>
        </w:rPr>
        <w:t>לאומית</w:t>
      </w:r>
      <w:r w:rsidRPr="00A210E9">
        <w:rPr>
          <w:rFonts w:ascii="David" w:eastAsia="Calibri" w:hAnsi="David"/>
          <w:b/>
          <w:bCs/>
          <w:rtl/>
        </w:rPr>
        <w:t xml:space="preserve"> שביצע צוות הביקורת של משרד מבקר המדינה, </w:t>
      </w:r>
      <w:r w:rsidRPr="00A210E9">
        <w:rPr>
          <w:rFonts w:ascii="David" w:eastAsia="Calibri" w:hAnsi="David" w:hint="eastAsia"/>
          <w:b/>
          <w:bCs/>
          <w:rtl/>
        </w:rPr>
        <w:t>נדרש</w:t>
      </w:r>
      <w:r w:rsidRPr="00A210E9">
        <w:rPr>
          <w:rFonts w:ascii="David" w:eastAsia="Calibri" w:hAnsi="David"/>
          <w:b/>
          <w:bCs/>
          <w:rtl/>
        </w:rPr>
        <w:t xml:space="preserve"> ב</w:t>
      </w:r>
      <w:r w:rsidRPr="00A210E9">
        <w:rPr>
          <w:rFonts w:ascii="David" w:eastAsia="Calibri" w:hAnsi="David" w:hint="eastAsia"/>
          <w:b/>
          <w:bCs/>
          <w:rtl/>
        </w:rPr>
        <w:t>כמה</w:t>
      </w:r>
      <w:r w:rsidRPr="00A210E9">
        <w:rPr>
          <w:rFonts w:ascii="David" w:eastAsia="Calibri" w:hAnsi="David"/>
          <w:b/>
          <w:bCs/>
          <w:rtl/>
        </w:rPr>
        <w:t xml:space="preserve"> מדינות באירופה </w:t>
      </w:r>
      <w:r w:rsidRPr="00A210E9">
        <w:rPr>
          <w:rFonts w:ascii="David" w:eastAsia="Calibri" w:hAnsi="David" w:hint="eastAsia"/>
          <w:b/>
          <w:bCs/>
          <w:rtl/>
        </w:rPr>
        <w:t>תשלום</w:t>
      </w:r>
      <w:r w:rsidRPr="00A210E9">
        <w:rPr>
          <w:rFonts w:ascii="David" w:eastAsia="Calibri" w:hAnsi="David"/>
          <w:b/>
          <w:bCs/>
          <w:rtl/>
        </w:rPr>
        <w:t xml:space="preserve"> </w:t>
      </w:r>
      <w:r w:rsidRPr="00A210E9">
        <w:rPr>
          <w:rFonts w:ascii="David" w:eastAsia="Calibri" w:hAnsi="David" w:hint="eastAsia"/>
          <w:b/>
          <w:bCs/>
          <w:rtl/>
        </w:rPr>
        <w:t>בגין</w:t>
      </w:r>
      <w:r w:rsidRPr="00A210E9">
        <w:rPr>
          <w:rFonts w:ascii="David" w:eastAsia="Calibri" w:hAnsi="David"/>
          <w:b/>
          <w:bCs/>
          <w:rtl/>
        </w:rPr>
        <w:t xml:space="preserve"> </w:t>
      </w:r>
      <w:r w:rsidRPr="00A210E9">
        <w:rPr>
          <w:rFonts w:ascii="David" w:eastAsia="Calibri" w:hAnsi="David" w:hint="eastAsia"/>
          <w:b/>
          <w:bCs/>
          <w:rtl/>
        </w:rPr>
        <w:t>בקשה</w:t>
      </w:r>
      <w:r w:rsidRPr="00A210E9">
        <w:rPr>
          <w:rFonts w:ascii="David" w:eastAsia="Calibri" w:hAnsi="David"/>
          <w:b/>
          <w:bCs/>
          <w:rtl/>
        </w:rPr>
        <w:t xml:space="preserve"> </w:t>
      </w:r>
      <w:r w:rsidRPr="00A210E9">
        <w:rPr>
          <w:rFonts w:ascii="David" w:eastAsia="Calibri" w:hAnsi="David" w:hint="eastAsia"/>
          <w:b/>
          <w:bCs/>
          <w:rtl/>
        </w:rPr>
        <w:t>לתג</w:t>
      </w:r>
      <w:r w:rsidRPr="00A210E9">
        <w:rPr>
          <w:rFonts w:ascii="David" w:eastAsia="Calibri" w:hAnsi="David"/>
          <w:b/>
          <w:bCs/>
          <w:rtl/>
        </w:rPr>
        <w:t xml:space="preserve"> או הנפקת תג: </w:t>
      </w:r>
      <w:r w:rsidRPr="00A210E9">
        <w:rPr>
          <w:rFonts w:ascii="David" w:eastAsia="Calibri" w:hAnsi="David" w:hint="eastAsia"/>
          <w:b/>
          <w:bCs/>
          <w:rtl/>
        </w:rPr>
        <w:t>אנגלייה</w:t>
      </w:r>
      <w:r w:rsidRPr="00A210E9">
        <w:rPr>
          <w:rFonts w:ascii="David" w:eastAsia="Calibri" w:hAnsi="David"/>
          <w:b/>
          <w:bCs/>
          <w:rtl/>
        </w:rPr>
        <w:t xml:space="preserve"> - 10 - 20 </w:t>
      </w:r>
      <w:r w:rsidRPr="00A210E9">
        <w:rPr>
          <w:rFonts w:ascii="David" w:eastAsia="Calibri" w:hAnsi="David" w:hint="eastAsia"/>
          <w:b/>
          <w:bCs/>
          <w:rtl/>
        </w:rPr>
        <w:t>לירות</w:t>
      </w:r>
      <w:r w:rsidRPr="00A210E9">
        <w:rPr>
          <w:rFonts w:ascii="David" w:eastAsia="Calibri" w:hAnsi="David"/>
          <w:b/>
          <w:bCs/>
          <w:rtl/>
        </w:rPr>
        <w:t xml:space="preserve"> שטרלינג (45 - 90 </w:t>
      </w:r>
      <w:r w:rsidRPr="00A210E9">
        <w:rPr>
          <w:rFonts w:ascii="David" w:eastAsia="Calibri" w:hAnsi="David" w:hint="eastAsia"/>
          <w:b/>
          <w:bCs/>
          <w:rtl/>
        </w:rPr>
        <w:t>ש</w:t>
      </w:r>
      <w:r w:rsidRPr="00A210E9">
        <w:rPr>
          <w:rFonts w:ascii="David" w:eastAsia="Calibri" w:hAnsi="David"/>
          <w:b/>
          <w:bCs/>
          <w:rtl/>
        </w:rPr>
        <w:t>"ח)</w:t>
      </w:r>
      <w:r>
        <w:rPr>
          <w:rFonts w:ascii="David" w:eastAsia="Calibri" w:hAnsi="David"/>
          <w:b/>
          <w:bCs/>
          <w:vertAlign w:val="superscript"/>
          <w:rtl/>
        </w:rPr>
        <w:footnoteReference w:id="157"/>
      </w:r>
      <w:r w:rsidRPr="00A210E9">
        <w:rPr>
          <w:rFonts w:ascii="David" w:eastAsia="Calibri" w:hAnsi="David"/>
          <w:b/>
          <w:bCs/>
          <w:rtl/>
        </w:rPr>
        <w:t xml:space="preserve">; הולנד - 45 </w:t>
      </w:r>
      <w:r w:rsidRPr="00A210E9">
        <w:rPr>
          <w:rFonts w:ascii="David" w:eastAsia="Calibri" w:hAnsi="David" w:hint="eastAsia"/>
          <w:b/>
          <w:bCs/>
          <w:rtl/>
        </w:rPr>
        <w:t>אירו</w:t>
      </w:r>
      <w:r w:rsidRPr="00A210E9">
        <w:rPr>
          <w:rFonts w:ascii="David" w:eastAsia="Calibri" w:hAnsi="David"/>
          <w:b/>
          <w:bCs/>
          <w:rtl/>
        </w:rPr>
        <w:t xml:space="preserve"> (</w:t>
      </w:r>
      <w:r w:rsidRPr="00A210E9">
        <w:rPr>
          <w:rFonts w:ascii="David" w:eastAsia="Calibri" w:hAnsi="David" w:hint="eastAsia"/>
          <w:b/>
          <w:bCs/>
          <w:rtl/>
        </w:rPr>
        <w:t>כ</w:t>
      </w:r>
      <w:r w:rsidRPr="00A210E9">
        <w:rPr>
          <w:rFonts w:ascii="David" w:eastAsia="Calibri" w:hAnsi="David"/>
          <w:b/>
          <w:bCs/>
          <w:rtl/>
        </w:rPr>
        <w:t xml:space="preserve">-177 </w:t>
      </w:r>
      <w:r w:rsidRPr="00A210E9">
        <w:rPr>
          <w:rFonts w:ascii="David" w:eastAsia="Calibri" w:hAnsi="David" w:hint="eastAsia"/>
          <w:b/>
          <w:bCs/>
          <w:rtl/>
        </w:rPr>
        <w:t>ש</w:t>
      </w:r>
      <w:r w:rsidRPr="00A210E9">
        <w:rPr>
          <w:rFonts w:ascii="David" w:eastAsia="Calibri" w:hAnsi="David"/>
          <w:b/>
          <w:bCs/>
          <w:rtl/>
        </w:rPr>
        <w:t xml:space="preserve">"ח) </w:t>
      </w:r>
      <w:r w:rsidRPr="00A210E9">
        <w:rPr>
          <w:rFonts w:ascii="David" w:eastAsia="Calibri" w:hAnsi="David" w:hint="eastAsia"/>
          <w:b/>
          <w:bCs/>
          <w:rtl/>
        </w:rPr>
        <w:t>עבור</w:t>
      </w:r>
      <w:r w:rsidRPr="00A210E9">
        <w:rPr>
          <w:rFonts w:ascii="David" w:eastAsia="Calibri" w:hAnsi="David"/>
          <w:b/>
          <w:bCs/>
          <w:rtl/>
        </w:rPr>
        <w:t xml:space="preserve"> </w:t>
      </w:r>
      <w:r w:rsidRPr="00A210E9">
        <w:rPr>
          <w:rFonts w:ascii="David" w:eastAsia="Calibri" w:hAnsi="David" w:hint="eastAsia"/>
          <w:b/>
          <w:bCs/>
          <w:rtl/>
        </w:rPr>
        <w:t>הנפקת</w:t>
      </w:r>
      <w:r w:rsidRPr="00A210E9">
        <w:rPr>
          <w:rFonts w:ascii="David" w:eastAsia="Calibri" w:hAnsi="David"/>
          <w:b/>
          <w:bCs/>
          <w:rtl/>
        </w:rPr>
        <w:t xml:space="preserve"> </w:t>
      </w:r>
      <w:r w:rsidRPr="00A210E9">
        <w:rPr>
          <w:rFonts w:ascii="David" w:eastAsia="Calibri" w:hAnsi="David" w:hint="eastAsia"/>
          <w:b/>
          <w:bCs/>
          <w:rtl/>
        </w:rPr>
        <w:t>תג</w:t>
      </w:r>
      <w:r w:rsidRPr="00A210E9">
        <w:rPr>
          <w:rFonts w:ascii="David" w:eastAsia="Calibri" w:hAnsi="David"/>
          <w:b/>
          <w:bCs/>
          <w:rtl/>
        </w:rPr>
        <w:t xml:space="preserve"> </w:t>
      </w:r>
      <w:r w:rsidRPr="00A210E9">
        <w:rPr>
          <w:rFonts w:ascii="David" w:eastAsia="Calibri" w:hAnsi="David" w:hint="eastAsia"/>
          <w:b/>
          <w:bCs/>
          <w:rtl/>
        </w:rPr>
        <w:t>ו</w:t>
      </w:r>
      <w:r w:rsidRPr="00A210E9">
        <w:rPr>
          <w:rFonts w:ascii="David" w:eastAsia="Calibri" w:hAnsi="David"/>
          <w:b/>
          <w:bCs/>
          <w:rtl/>
        </w:rPr>
        <w:t xml:space="preserve">-170 </w:t>
      </w:r>
      <w:r w:rsidRPr="00A210E9">
        <w:rPr>
          <w:rFonts w:ascii="David" w:eastAsia="Calibri" w:hAnsi="David" w:hint="eastAsia"/>
          <w:b/>
          <w:bCs/>
          <w:rtl/>
        </w:rPr>
        <w:t>אירו</w:t>
      </w:r>
      <w:r w:rsidRPr="00A210E9">
        <w:rPr>
          <w:rFonts w:ascii="David" w:eastAsia="Calibri" w:hAnsi="David"/>
          <w:b/>
          <w:bCs/>
          <w:rtl/>
        </w:rPr>
        <w:t xml:space="preserve"> (</w:t>
      </w:r>
      <w:r w:rsidRPr="00A210E9">
        <w:rPr>
          <w:rFonts w:ascii="David" w:eastAsia="Calibri" w:hAnsi="David" w:hint="eastAsia"/>
          <w:b/>
          <w:bCs/>
          <w:rtl/>
        </w:rPr>
        <w:t>כ</w:t>
      </w:r>
      <w:r w:rsidRPr="00A210E9">
        <w:rPr>
          <w:rFonts w:ascii="David" w:eastAsia="Calibri" w:hAnsi="David"/>
          <w:b/>
          <w:bCs/>
          <w:rtl/>
        </w:rPr>
        <w:t xml:space="preserve">-670 </w:t>
      </w:r>
      <w:r w:rsidRPr="00A210E9">
        <w:rPr>
          <w:rFonts w:ascii="David" w:eastAsia="Calibri" w:hAnsi="David" w:hint="eastAsia"/>
          <w:b/>
          <w:bCs/>
          <w:rtl/>
        </w:rPr>
        <w:t>ש</w:t>
      </w:r>
      <w:r w:rsidRPr="00A210E9">
        <w:rPr>
          <w:rFonts w:ascii="David" w:eastAsia="Calibri" w:hAnsi="David"/>
          <w:b/>
          <w:bCs/>
          <w:rtl/>
        </w:rPr>
        <w:t xml:space="preserve">"ח) עבור </w:t>
      </w:r>
      <w:r w:rsidRPr="00A210E9">
        <w:rPr>
          <w:rFonts w:ascii="David" w:eastAsia="Calibri" w:hAnsi="David" w:hint="eastAsia"/>
          <w:b/>
          <w:bCs/>
          <w:rtl/>
        </w:rPr>
        <w:t>בדיקה</w:t>
      </w:r>
      <w:r w:rsidRPr="00A210E9">
        <w:rPr>
          <w:rFonts w:ascii="David" w:eastAsia="Calibri" w:hAnsi="David"/>
          <w:b/>
          <w:bCs/>
          <w:rtl/>
        </w:rPr>
        <w:t xml:space="preserve"> </w:t>
      </w:r>
      <w:r w:rsidRPr="00A210E9">
        <w:rPr>
          <w:rFonts w:ascii="David" w:eastAsia="Calibri" w:hAnsi="David" w:hint="eastAsia"/>
          <w:b/>
          <w:bCs/>
          <w:rtl/>
        </w:rPr>
        <w:t>רפואית</w:t>
      </w:r>
      <w:r>
        <w:rPr>
          <w:rFonts w:ascii="David" w:eastAsia="Calibri" w:hAnsi="David"/>
          <w:b/>
          <w:bCs/>
          <w:vertAlign w:val="superscript"/>
          <w:rtl/>
        </w:rPr>
        <w:footnoteReference w:id="158"/>
      </w:r>
      <w:r w:rsidRPr="00A210E9">
        <w:rPr>
          <w:rFonts w:ascii="David" w:eastAsia="Calibri" w:hAnsi="David"/>
          <w:b/>
          <w:bCs/>
          <w:rtl/>
        </w:rPr>
        <w:t xml:space="preserve">; דנמרק - 425 </w:t>
      </w:r>
      <w:r w:rsidRPr="00A210E9">
        <w:rPr>
          <w:rFonts w:ascii="David" w:eastAsia="Calibri" w:hAnsi="David" w:hint="eastAsia"/>
          <w:b/>
          <w:bCs/>
          <w:rtl/>
        </w:rPr>
        <w:t>כתרים</w:t>
      </w:r>
      <w:r w:rsidRPr="00A210E9">
        <w:rPr>
          <w:rFonts w:ascii="David" w:eastAsia="Calibri" w:hAnsi="David"/>
          <w:b/>
          <w:bCs/>
          <w:rtl/>
        </w:rPr>
        <w:t xml:space="preserve"> </w:t>
      </w:r>
      <w:r w:rsidRPr="00A210E9">
        <w:rPr>
          <w:rFonts w:ascii="David" w:eastAsia="Calibri" w:hAnsi="David" w:hint="eastAsia"/>
          <w:b/>
          <w:bCs/>
          <w:rtl/>
        </w:rPr>
        <w:t>דניים</w:t>
      </w:r>
      <w:r w:rsidRPr="00A210E9">
        <w:rPr>
          <w:rFonts w:ascii="David" w:eastAsia="Calibri" w:hAnsi="David"/>
          <w:b/>
          <w:bCs/>
          <w:rtl/>
        </w:rPr>
        <w:t xml:space="preserve"> (221 </w:t>
      </w:r>
      <w:r w:rsidRPr="00A210E9">
        <w:rPr>
          <w:rFonts w:ascii="David" w:eastAsia="Calibri" w:hAnsi="David" w:hint="eastAsia"/>
          <w:b/>
          <w:bCs/>
          <w:rtl/>
        </w:rPr>
        <w:t>ש</w:t>
      </w:r>
      <w:r w:rsidRPr="00A210E9">
        <w:rPr>
          <w:rFonts w:ascii="David" w:eastAsia="Calibri" w:hAnsi="David"/>
          <w:b/>
          <w:bCs/>
          <w:rtl/>
        </w:rPr>
        <w:t xml:space="preserve">"ח) </w:t>
      </w:r>
      <w:r w:rsidRPr="00A210E9">
        <w:rPr>
          <w:rFonts w:ascii="David" w:eastAsia="Calibri" w:hAnsi="David" w:hint="eastAsia"/>
          <w:b/>
          <w:bCs/>
          <w:rtl/>
        </w:rPr>
        <w:t>ו</w:t>
      </w:r>
      <w:r w:rsidRPr="00A210E9">
        <w:rPr>
          <w:rFonts w:ascii="David" w:eastAsia="Calibri" w:hAnsi="David"/>
          <w:b/>
          <w:bCs/>
          <w:rtl/>
        </w:rPr>
        <w:t xml:space="preserve">-250 </w:t>
      </w:r>
      <w:r w:rsidRPr="00A210E9">
        <w:rPr>
          <w:rFonts w:ascii="David" w:eastAsia="Calibri" w:hAnsi="David" w:hint="eastAsia"/>
          <w:b/>
          <w:bCs/>
          <w:rtl/>
        </w:rPr>
        <w:t>כתרים</w:t>
      </w:r>
      <w:r w:rsidRPr="00A210E9">
        <w:rPr>
          <w:rFonts w:ascii="David" w:eastAsia="Calibri" w:hAnsi="David"/>
          <w:b/>
          <w:bCs/>
          <w:rtl/>
        </w:rPr>
        <w:t xml:space="preserve"> </w:t>
      </w:r>
      <w:r w:rsidRPr="00A210E9">
        <w:rPr>
          <w:rFonts w:ascii="David" w:eastAsia="Calibri" w:hAnsi="David" w:hint="eastAsia"/>
          <w:b/>
          <w:bCs/>
          <w:rtl/>
        </w:rPr>
        <w:t>דניים</w:t>
      </w:r>
      <w:r w:rsidRPr="00A210E9">
        <w:rPr>
          <w:rFonts w:ascii="David" w:eastAsia="Calibri" w:hAnsi="David"/>
          <w:b/>
          <w:bCs/>
          <w:rtl/>
        </w:rPr>
        <w:t xml:space="preserve"> (130 </w:t>
      </w:r>
      <w:r w:rsidRPr="00A210E9">
        <w:rPr>
          <w:rFonts w:ascii="David" w:eastAsia="Calibri" w:hAnsi="David" w:hint="eastAsia"/>
          <w:b/>
          <w:bCs/>
          <w:rtl/>
        </w:rPr>
        <w:t>ש</w:t>
      </w:r>
      <w:r w:rsidRPr="00A210E9">
        <w:rPr>
          <w:rFonts w:ascii="David" w:eastAsia="Calibri" w:hAnsi="David"/>
          <w:b/>
          <w:bCs/>
          <w:rtl/>
        </w:rPr>
        <w:t xml:space="preserve">"ח) </w:t>
      </w:r>
      <w:r w:rsidRPr="00A210E9">
        <w:rPr>
          <w:rFonts w:ascii="David" w:eastAsia="Calibri" w:hAnsi="David" w:hint="eastAsia"/>
          <w:b/>
          <w:bCs/>
          <w:rtl/>
        </w:rPr>
        <w:t>עבור</w:t>
      </w:r>
      <w:r w:rsidRPr="00A210E9">
        <w:rPr>
          <w:rFonts w:ascii="David" w:eastAsia="Calibri" w:hAnsi="David"/>
          <w:b/>
          <w:bCs/>
          <w:rtl/>
        </w:rPr>
        <w:t xml:space="preserve"> </w:t>
      </w:r>
      <w:r w:rsidRPr="00A210E9">
        <w:rPr>
          <w:rFonts w:ascii="David" w:eastAsia="Calibri" w:hAnsi="David" w:hint="eastAsia"/>
          <w:b/>
          <w:bCs/>
          <w:rtl/>
        </w:rPr>
        <w:t>חידוש</w:t>
      </w:r>
      <w:r>
        <w:rPr>
          <w:rFonts w:ascii="David" w:eastAsia="Calibri" w:hAnsi="David"/>
          <w:b/>
          <w:bCs/>
          <w:vertAlign w:val="superscript"/>
          <w:rtl/>
        </w:rPr>
        <w:footnoteReference w:id="159"/>
      </w:r>
      <w:r w:rsidRPr="00A210E9">
        <w:rPr>
          <w:rFonts w:ascii="David" w:eastAsia="Calibri" w:hAnsi="David"/>
          <w:b/>
          <w:bCs/>
          <w:rtl/>
        </w:rPr>
        <w:t xml:space="preserve">. </w:t>
      </w:r>
      <w:r w:rsidRPr="00A210E9">
        <w:rPr>
          <w:rFonts w:ascii="David" w:eastAsia="Calibri" w:hAnsi="David" w:hint="eastAsia"/>
          <w:b/>
          <w:bCs/>
          <w:rtl/>
        </w:rPr>
        <w:t>בישראל</w:t>
      </w:r>
      <w:r w:rsidRPr="00A210E9">
        <w:rPr>
          <w:rFonts w:ascii="David" w:eastAsia="Calibri" w:hAnsi="David"/>
          <w:b/>
          <w:bCs/>
          <w:rtl/>
        </w:rPr>
        <w:t xml:space="preserve"> </w:t>
      </w:r>
      <w:r w:rsidRPr="00A210E9">
        <w:rPr>
          <w:rFonts w:ascii="David" w:eastAsia="Calibri" w:hAnsi="David" w:hint="eastAsia"/>
          <w:b/>
          <w:bCs/>
          <w:rtl/>
        </w:rPr>
        <w:t>ובמדינות</w:t>
      </w:r>
      <w:r w:rsidRPr="00A210E9">
        <w:rPr>
          <w:rFonts w:ascii="David" w:eastAsia="Calibri" w:hAnsi="David"/>
          <w:b/>
          <w:bCs/>
          <w:rtl/>
        </w:rPr>
        <w:t xml:space="preserve"> </w:t>
      </w:r>
      <w:r w:rsidRPr="00A210E9">
        <w:rPr>
          <w:rFonts w:ascii="David" w:eastAsia="Calibri" w:hAnsi="David" w:hint="eastAsia"/>
          <w:b/>
          <w:bCs/>
          <w:rtl/>
        </w:rPr>
        <w:t>אחרות</w:t>
      </w:r>
      <w:r w:rsidRPr="00A210E9">
        <w:rPr>
          <w:rFonts w:ascii="David" w:eastAsia="Calibri" w:hAnsi="David"/>
          <w:b/>
          <w:bCs/>
          <w:rtl/>
        </w:rPr>
        <w:t>, כמו אירלנד, גרמניה, ספרד, צרפת, ש</w:t>
      </w:r>
      <w:r w:rsidRPr="00A210E9">
        <w:rPr>
          <w:rFonts w:ascii="David" w:eastAsia="Calibri" w:hAnsi="David" w:hint="eastAsia"/>
          <w:b/>
          <w:bCs/>
          <w:rtl/>
        </w:rPr>
        <w:t>וו</w:t>
      </w:r>
      <w:r w:rsidRPr="00A210E9">
        <w:rPr>
          <w:rFonts w:ascii="David" w:eastAsia="Calibri" w:hAnsi="David"/>
          <w:b/>
          <w:bCs/>
          <w:rtl/>
        </w:rPr>
        <w:t>דיה, נור</w:t>
      </w:r>
      <w:r w:rsidRPr="00A210E9">
        <w:rPr>
          <w:rFonts w:ascii="David" w:eastAsia="Calibri" w:hAnsi="David" w:hint="eastAsia"/>
          <w:b/>
          <w:bCs/>
          <w:rtl/>
        </w:rPr>
        <w:t>וו</w:t>
      </w:r>
      <w:r w:rsidRPr="00A210E9">
        <w:rPr>
          <w:rFonts w:ascii="David" w:eastAsia="Calibri" w:hAnsi="David"/>
          <w:b/>
          <w:bCs/>
          <w:rtl/>
        </w:rPr>
        <w:t xml:space="preserve">גיה, קנדה </w:t>
      </w:r>
      <w:r w:rsidRPr="00A210E9">
        <w:rPr>
          <w:rFonts w:ascii="David" w:eastAsia="Calibri" w:hAnsi="David" w:hint="eastAsia"/>
          <w:b/>
          <w:bCs/>
          <w:rtl/>
        </w:rPr>
        <w:t>ו</w:t>
      </w:r>
      <w:r w:rsidRPr="00A210E9">
        <w:rPr>
          <w:rFonts w:ascii="David" w:eastAsia="Calibri" w:hAnsi="David"/>
          <w:b/>
          <w:bCs/>
          <w:rtl/>
        </w:rPr>
        <w:t xml:space="preserve">ארה"ב, </w:t>
      </w:r>
      <w:r w:rsidRPr="00A210E9">
        <w:rPr>
          <w:rFonts w:ascii="David" w:eastAsia="Calibri" w:hAnsi="David" w:hint="eastAsia"/>
          <w:b/>
          <w:bCs/>
          <w:rtl/>
        </w:rPr>
        <w:t>נמצא</w:t>
      </w:r>
      <w:r w:rsidRPr="00A210E9">
        <w:rPr>
          <w:rFonts w:ascii="David" w:eastAsia="Calibri" w:hAnsi="David"/>
          <w:b/>
          <w:bCs/>
          <w:rtl/>
        </w:rPr>
        <w:t xml:space="preserve"> </w:t>
      </w:r>
      <w:r w:rsidRPr="00A210E9">
        <w:rPr>
          <w:rFonts w:ascii="David" w:eastAsia="Calibri" w:hAnsi="David" w:hint="eastAsia"/>
          <w:b/>
          <w:bCs/>
          <w:rtl/>
        </w:rPr>
        <w:t>כי</w:t>
      </w:r>
      <w:r w:rsidRPr="00A210E9">
        <w:rPr>
          <w:rFonts w:ascii="David" w:eastAsia="Calibri" w:hAnsi="David"/>
          <w:b/>
          <w:bCs/>
          <w:rtl/>
        </w:rPr>
        <w:t xml:space="preserve"> לא </w:t>
      </w:r>
      <w:r w:rsidRPr="00A210E9">
        <w:rPr>
          <w:rFonts w:ascii="David" w:eastAsia="Calibri" w:hAnsi="David" w:hint="eastAsia"/>
          <w:b/>
          <w:bCs/>
          <w:rtl/>
        </w:rPr>
        <w:t>נדרש</w:t>
      </w:r>
      <w:r w:rsidRPr="00A210E9">
        <w:rPr>
          <w:rFonts w:ascii="David" w:eastAsia="Calibri" w:hAnsi="David"/>
          <w:b/>
          <w:bCs/>
          <w:rtl/>
        </w:rPr>
        <w:t xml:space="preserve"> </w:t>
      </w:r>
      <w:r w:rsidRPr="00A210E9">
        <w:rPr>
          <w:rFonts w:ascii="David" w:eastAsia="Calibri" w:hAnsi="David" w:hint="eastAsia"/>
          <w:b/>
          <w:bCs/>
          <w:rtl/>
        </w:rPr>
        <w:t>תשלום</w:t>
      </w:r>
      <w:r w:rsidRPr="00A210E9">
        <w:rPr>
          <w:rFonts w:ascii="David" w:eastAsia="Calibri" w:hAnsi="David"/>
          <w:b/>
          <w:bCs/>
          <w:rtl/>
        </w:rPr>
        <w:t xml:space="preserve"> להגשת בקשה לתג. ייתכן שתשלום כזה היה </w:t>
      </w:r>
      <w:r w:rsidRPr="00A210E9">
        <w:rPr>
          <w:rFonts w:ascii="David" w:eastAsia="Calibri" w:hAnsi="David" w:hint="eastAsia"/>
          <w:b/>
          <w:bCs/>
          <w:rtl/>
        </w:rPr>
        <w:t>יכול</w:t>
      </w:r>
      <w:r w:rsidRPr="00A210E9">
        <w:rPr>
          <w:rFonts w:ascii="David" w:eastAsia="Calibri" w:hAnsi="David"/>
          <w:b/>
          <w:bCs/>
          <w:rtl/>
        </w:rPr>
        <w:t xml:space="preserve"> להיות </w:t>
      </w:r>
      <w:r w:rsidRPr="00A210E9">
        <w:rPr>
          <w:rFonts w:ascii="David" w:eastAsia="Calibri" w:hAnsi="David" w:hint="eastAsia"/>
          <w:b/>
          <w:bCs/>
          <w:rtl/>
        </w:rPr>
        <w:t>תמריץ</w:t>
      </w:r>
      <w:r w:rsidRPr="00A210E9">
        <w:rPr>
          <w:rFonts w:ascii="David" w:eastAsia="Calibri" w:hAnsi="David"/>
          <w:b/>
          <w:bCs/>
          <w:rtl/>
        </w:rPr>
        <w:t xml:space="preserve"> שלילי להגשת בקשות חוזרות </w:t>
      </w:r>
      <w:r w:rsidRPr="00A210E9">
        <w:rPr>
          <w:rFonts w:ascii="David" w:eastAsia="Calibri" w:hAnsi="David" w:hint="eastAsia"/>
          <w:b/>
          <w:bCs/>
          <w:rtl/>
        </w:rPr>
        <w:t>והשגות</w:t>
      </w:r>
      <w:r w:rsidRPr="00A210E9">
        <w:rPr>
          <w:rFonts w:ascii="David" w:eastAsia="Calibri" w:hAnsi="David"/>
          <w:b/>
          <w:bCs/>
          <w:rtl/>
        </w:rPr>
        <w:t xml:space="preserve"> </w:t>
      </w:r>
      <w:r w:rsidRPr="00A210E9">
        <w:rPr>
          <w:rFonts w:ascii="David" w:eastAsia="Calibri" w:hAnsi="David" w:hint="eastAsia"/>
          <w:b/>
          <w:bCs/>
          <w:rtl/>
        </w:rPr>
        <w:t>על</w:t>
      </w:r>
      <w:r w:rsidRPr="00A210E9">
        <w:rPr>
          <w:rFonts w:ascii="David" w:eastAsia="Calibri" w:hAnsi="David"/>
          <w:b/>
          <w:bCs/>
          <w:rtl/>
        </w:rPr>
        <w:t xml:space="preserve"> </w:t>
      </w:r>
      <w:r w:rsidRPr="00A210E9">
        <w:rPr>
          <w:rFonts w:ascii="David" w:eastAsia="Calibri" w:hAnsi="David" w:hint="eastAsia"/>
          <w:b/>
          <w:bCs/>
          <w:rtl/>
        </w:rPr>
        <w:t>החלטות</w:t>
      </w:r>
      <w:r w:rsidRPr="00A210E9">
        <w:rPr>
          <w:rFonts w:ascii="David" w:eastAsia="Calibri" w:hAnsi="David"/>
          <w:b/>
          <w:bCs/>
          <w:rtl/>
        </w:rPr>
        <w:t xml:space="preserve"> </w:t>
      </w:r>
      <w:r w:rsidRPr="00A210E9">
        <w:rPr>
          <w:rFonts w:ascii="David" w:eastAsia="Calibri" w:hAnsi="David" w:hint="eastAsia"/>
          <w:b/>
          <w:bCs/>
          <w:rtl/>
        </w:rPr>
        <w:t>ולביצוע</w:t>
      </w:r>
      <w:r w:rsidRPr="00A210E9">
        <w:rPr>
          <w:rFonts w:ascii="David" w:eastAsia="Calibri" w:hAnsi="David"/>
          <w:b/>
          <w:bCs/>
          <w:rtl/>
        </w:rPr>
        <w:t xml:space="preserve"> </w:t>
      </w:r>
      <w:r w:rsidRPr="00A210E9">
        <w:rPr>
          <w:rFonts w:ascii="David" w:eastAsia="Calibri" w:hAnsi="David" w:hint="eastAsia"/>
          <w:b/>
          <w:bCs/>
          <w:rtl/>
        </w:rPr>
        <w:t>פעולות</w:t>
      </w:r>
      <w:r w:rsidRPr="00A210E9">
        <w:rPr>
          <w:rFonts w:ascii="David" w:eastAsia="Calibri" w:hAnsi="David"/>
          <w:b/>
          <w:bCs/>
          <w:rtl/>
        </w:rPr>
        <w:t xml:space="preserve"> </w:t>
      </w:r>
      <w:r w:rsidRPr="00A210E9">
        <w:rPr>
          <w:rFonts w:ascii="David" w:eastAsia="Calibri" w:hAnsi="David" w:hint="eastAsia"/>
          <w:b/>
          <w:bCs/>
          <w:rtl/>
        </w:rPr>
        <w:t>פסולות</w:t>
      </w:r>
      <w:r w:rsidRPr="00A210E9">
        <w:rPr>
          <w:rFonts w:ascii="David" w:eastAsia="Calibri" w:hAnsi="David"/>
          <w:b/>
          <w:bCs/>
          <w:rtl/>
        </w:rPr>
        <w:t xml:space="preserve"> </w:t>
      </w:r>
      <w:r w:rsidRPr="00A210E9">
        <w:rPr>
          <w:rFonts w:ascii="David" w:eastAsia="Calibri" w:hAnsi="David" w:hint="eastAsia"/>
          <w:b/>
          <w:bCs/>
          <w:rtl/>
        </w:rPr>
        <w:t>בעת</w:t>
      </w:r>
      <w:r w:rsidRPr="00A210E9">
        <w:rPr>
          <w:rFonts w:ascii="David" w:eastAsia="Calibri" w:hAnsi="David"/>
          <w:b/>
          <w:bCs/>
          <w:rtl/>
        </w:rPr>
        <w:t xml:space="preserve"> </w:t>
      </w:r>
      <w:r w:rsidRPr="00A210E9">
        <w:rPr>
          <w:rFonts w:ascii="David" w:eastAsia="Calibri" w:hAnsi="David" w:hint="eastAsia"/>
          <w:b/>
          <w:bCs/>
          <w:rtl/>
        </w:rPr>
        <w:t>הגשת</w:t>
      </w:r>
      <w:r w:rsidRPr="00A210E9">
        <w:rPr>
          <w:rFonts w:ascii="David" w:eastAsia="Calibri" w:hAnsi="David"/>
          <w:b/>
          <w:bCs/>
          <w:rtl/>
        </w:rPr>
        <w:t xml:space="preserve"> </w:t>
      </w:r>
      <w:r w:rsidRPr="00A210E9">
        <w:rPr>
          <w:rFonts w:ascii="David" w:eastAsia="Calibri" w:hAnsi="David" w:hint="eastAsia"/>
          <w:b/>
          <w:bCs/>
          <w:rtl/>
        </w:rPr>
        <w:t>הבקשה</w:t>
      </w:r>
      <w:r w:rsidRPr="00A210E9">
        <w:rPr>
          <w:rFonts w:ascii="David" w:eastAsia="Calibri" w:hAnsi="David"/>
          <w:b/>
          <w:bCs/>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rtl/>
        </w:rPr>
        <w:t xml:space="preserve">עמותת איל"ן כתבה בתשובתה כי היא מתנגדת </w:t>
      </w:r>
      <w:r w:rsidRPr="00A210E9">
        <w:rPr>
          <w:rFonts w:eastAsia="Calibri"/>
          <w:rtl/>
        </w:rPr>
        <w:t xml:space="preserve">לכל </w:t>
      </w:r>
      <w:r w:rsidRPr="00A210E9">
        <w:rPr>
          <w:rFonts w:eastAsia="Calibri" w:hint="cs"/>
          <w:rtl/>
        </w:rPr>
        <w:t>גביית תשלום</w:t>
      </w:r>
      <w:r w:rsidRPr="00A210E9">
        <w:rPr>
          <w:rFonts w:eastAsia="Calibri"/>
          <w:rtl/>
        </w:rPr>
        <w:t xml:space="preserve"> </w:t>
      </w:r>
      <w:r w:rsidRPr="00A210E9">
        <w:rPr>
          <w:rFonts w:eastAsia="Calibri" w:hint="cs"/>
          <w:rtl/>
        </w:rPr>
        <w:t>בגין</w:t>
      </w:r>
      <w:r w:rsidRPr="00A210E9">
        <w:rPr>
          <w:rFonts w:eastAsia="Calibri"/>
          <w:rtl/>
        </w:rPr>
        <w:t xml:space="preserve"> בקשה לתג </w:t>
      </w:r>
      <w:r w:rsidRPr="00A210E9">
        <w:rPr>
          <w:rFonts w:eastAsia="Calibri" w:hint="cs"/>
          <w:rtl/>
        </w:rPr>
        <w:t xml:space="preserve">חניה, וכי </w:t>
      </w:r>
      <w:r w:rsidRPr="00A210E9">
        <w:rPr>
          <w:rFonts w:eastAsia="Calibri"/>
          <w:rtl/>
        </w:rPr>
        <w:t xml:space="preserve">צמצום הזכויות הכלכליות </w:t>
      </w:r>
      <w:r w:rsidRPr="00A210E9">
        <w:rPr>
          <w:rFonts w:eastAsia="Calibri" w:hint="cs"/>
          <w:rtl/>
        </w:rPr>
        <w:t xml:space="preserve">מחד גיסא </w:t>
      </w:r>
      <w:r w:rsidRPr="00A210E9">
        <w:rPr>
          <w:rFonts w:eastAsia="Calibri"/>
          <w:rtl/>
        </w:rPr>
        <w:t xml:space="preserve">וגביית תשלום עבור בקשה לתג </w:t>
      </w:r>
      <w:r w:rsidRPr="00A210E9">
        <w:rPr>
          <w:rFonts w:eastAsia="Calibri" w:hint="cs"/>
          <w:rtl/>
        </w:rPr>
        <w:t>מאידך גיסא יגרמו</w:t>
      </w:r>
      <w:r w:rsidRPr="00A210E9">
        <w:rPr>
          <w:rFonts w:eastAsia="Calibri"/>
          <w:rtl/>
        </w:rPr>
        <w:t xml:space="preserve"> </w:t>
      </w:r>
      <w:r w:rsidRPr="00A210E9">
        <w:rPr>
          <w:rFonts w:eastAsia="Calibri" w:hint="cs"/>
          <w:rtl/>
        </w:rPr>
        <w:t>ל</w:t>
      </w:r>
      <w:r w:rsidRPr="00A210E9">
        <w:rPr>
          <w:rFonts w:eastAsia="Calibri"/>
          <w:rtl/>
        </w:rPr>
        <w:t xml:space="preserve">פגיעה כלכלית קשה </w:t>
      </w:r>
      <w:r w:rsidRPr="00A210E9">
        <w:rPr>
          <w:rFonts w:eastAsia="Calibri" w:hint="cs"/>
          <w:rtl/>
        </w:rPr>
        <w:t>וכן</w:t>
      </w:r>
      <w:r w:rsidRPr="00A210E9">
        <w:rPr>
          <w:rFonts w:eastAsia="Calibri"/>
          <w:rtl/>
        </w:rPr>
        <w:t xml:space="preserve"> פגיעה בשוויון.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eastAsia"/>
          <w:rtl/>
        </w:rPr>
        <w:t>אגף</w:t>
      </w:r>
      <w:r w:rsidRPr="00A210E9">
        <w:rPr>
          <w:rFonts w:eastAsia="Calibri"/>
          <w:rtl/>
        </w:rPr>
        <w:t xml:space="preserve"> </w:t>
      </w:r>
      <w:r w:rsidRPr="00A210E9">
        <w:rPr>
          <w:rFonts w:eastAsia="Calibri" w:hint="eastAsia"/>
          <w:rtl/>
        </w:rPr>
        <w:t>החשכ</w:t>
      </w:r>
      <w:r w:rsidRPr="00A210E9">
        <w:rPr>
          <w:rFonts w:eastAsia="Calibri"/>
          <w:rtl/>
        </w:rPr>
        <w:t xml:space="preserve">"ל כתב בתשובתו מ-11.5.26 </w:t>
      </w:r>
      <w:r w:rsidRPr="00A210E9">
        <w:rPr>
          <w:rFonts w:eastAsia="Calibri" w:hint="eastAsia"/>
          <w:rtl/>
        </w:rPr>
        <w:t>כי</w:t>
      </w:r>
      <w:r w:rsidRPr="00A210E9">
        <w:rPr>
          <w:rFonts w:eastAsia="Calibri"/>
          <w:rtl/>
        </w:rPr>
        <w:t xml:space="preserve"> </w:t>
      </w:r>
      <w:r w:rsidRPr="00A210E9">
        <w:rPr>
          <w:rFonts w:eastAsia="Calibri" w:hint="cs"/>
          <w:rtl/>
        </w:rPr>
        <w:t>ה</w:t>
      </w:r>
      <w:r w:rsidRPr="00A210E9">
        <w:rPr>
          <w:rFonts w:eastAsia="Calibri"/>
          <w:rtl/>
        </w:rPr>
        <w:t xml:space="preserve">צוות </w:t>
      </w:r>
      <w:r w:rsidRPr="00A210E9">
        <w:rPr>
          <w:rFonts w:eastAsia="Calibri" w:hint="cs"/>
          <w:rtl/>
        </w:rPr>
        <w:t>ה</w:t>
      </w:r>
      <w:r w:rsidRPr="00A210E9">
        <w:rPr>
          <w:rFonts w:eastAsia="Calibri"/>
          <w:rtl/>
        </w:rPr>
        <w:t xml:space="preserve">בין-משרדי 2025 </w:t>
      </w:r>
      <w:r w:rsidRPr="00A210E9">
        <w:rPr>
          <w:rFonts w:eastAsia="Calibri" w:hint="eastAsia"/>
          <w:rtl/>
        </w:rPr>
        <w:t>מתכוון</w:t>
      </w:r>
      <w:r w:rsidRPr="00A210E9">
        <w:rPr>
          <w:rFonts w:eastAsia="Calibri"/>
          <w:rtl/>
        </w:rPr>
        <w:t xml:space="preserve"> </w:t>
      </w:r>
      <w:r w:rsidRPr="00A210E9">
        <w:rPr>
          <w:rFonts w:eastAsia="Calibri" w:hint="eastAsia"/>
          <w:rtl/>
        </w:rPr>
        <w:t>להמליץ</w:t>
      </w:r>
      <w:r w:rsidRPr="00A210E9">
        <w:rPr>
          <w:rFonts w:eastAsia="Calibri"/>
          <w:rtl/>
        </w:rPr>
        <w:t xml:space="preserve"> </w:t>
      </w:r>
      <w:r w:rsidRPr="00A210E9">
        <w:rPr>
          <w:rFonts w:eastAsia="Calibri" w:hint="eastAsia"/>
          <w:rtl/>
        </w:rPr>
        <w:t>כי</w:t>
      </w:r>
      <w:r w:rsidRPr="00A210E9">
        <w:rPr>
          <w:rFonts w:eastAsia="Calibri"/>
          <w:rtl/>
        </w:rPr>
        <w:t xml:space="preserve"> </w:t>
      </w:r>
      <w:r w:rsidRPr="00A210E9">
        <w:rPr>
          <w:rFonts w:eastAsia="Calibri" w:hint="cs"/>
          <w:rtl/>
        </w:rPr>
        <w:t xml:space="preserve">משרד התחבורה לא יבצע בדיקה רפואית בעניינם של </w:t>
      </w:r>
      <w:r w:rsidRPr="00A210E9">
        <w:rPr>
          <w:rFonts w:eastAsia="Calibri" w:hint="eastAsia"/>
          <w:rtl/>
        </w:rPr>
        <w:t>ערעורים</w:t>
      </w:r>
      <w:r w:rsidRPr="00A210E9">
        <w:rPr>
          <w:rFonts w:eastAsia="Calibri"/>
          <w:rtl/>
        </w:rPr>
        <w:t xml:space="preserve"> </w:t>
      </w:r>
      <w:r w:rsidRPr="00A210E9">
        <w:rPr>
          <w:rFonts w:eastAsia="Calibri" w:hint="eastAsia"/>
          <w:rtl/>
        </w:rPr>
        <w:t>והשגות</w:t>
      </w:r>
      <w:r w:rsidRPr="00A210E9">
        <w:rPr>
          <w:rFonts w:eastAsia="Calibri"/>
          <w:rtl/>
        </w:rPr>
        <w:t xml:space="preserve"> </w:t>
      </w:r>
      <w:r w:rsidRPr="00A210E9">
        <w:rPr>
          <w:rFonts w:eastAsia="Calibri" w:hint="eastAsia"/>
          <w:rtl/>
        </w:rPr>
        <w:t>שיוגשו</w:t>
      </w:r>
      <w:r w:rsidRPr="00A210E9">
        <w:rPr>
          <w:rFonts w:eastAsia="Calibri"/>
          <w:rtl/>
        </w:rPr>
        <w:t xml:space="preserve"> </w:t>
      </w:r>
      <w:r w:rsidRPr="00A210E9">
        <w:rPr>
          <w:rFonts w:eastAsia="Calibri" w:hint="eastAsia"/>
          <w:rtl/>
        </w:rPr>
        <w:t>ל</w:t>
      </w:r>
      <w:r w:rsidRPr="00A210E9">
        <w:rPr>
          <w:rFonts w:eastAsia="Calibri" w:hint="cs"/>
          <w:rtl/>
        </w:rPr>
        <w:t>ו</w:t>
      </w:r>
      <w:r w:rsidRPr="00A210E9">
        <w:rPr>
          <w:rFonts w:eastAsia="Calibri"/>
          <w:rtl/>
        </w:rPr>
        <w:t xml:space="preserve">, </w:t>
      </w:r>
      <w:r w:rsidRPr="00A210E9">
        <w:rPr>
          <w:rFonts w:eastAsia="Calibri" w:hint="eastAsia"/>
          <w:rtl/>
        </w:rPr>
        <w:t>ו</w:t>
      </w:r>
      <w:r w:rsidRPr="00A210E9">
        <w:rPr>
          <w:rFonts w:eastAsia="Calibri" w:hint="cs"/>
          <w:rtl/>
        </w:rPr>
        <w:t xml:space="preserve">כי הערעורים </w:t>
      </w:r>
      <w:r w:rsidRPr="00A210E9">
        <w:rPr>
          <w:rFonts w:eastAsia="Calibri" w:hint="eastAsia"/>
          <w:rtl/>
        </w:rPr>
        <w:t>ייבחנו</w:t>
      </w:r>
      <w:r w:rsidRPr="00A210E9">
        <w:rPr>
          <w:rFonts w:eastAsia="Calibri"/>
          <w:rtl/>
        </w:rPr>
        <w:t xml:space="preserve"> </w:t>
      </w:r>
      <w:r w:rsidRPr="00A210E9">
        <w:rPr>
          <w:rFonts w:eastAsia="Calibri" w:hint="eastAsia"/>
          <w:rtl/>
        </w:rPr>
        <w:t>שוב</w:t>
      </w:r>
      <w:r w:rsidRPr="00A210E9">
        <w:rPr>
          <w:rFonts w:eastAsia="Calibri"/>
          <w:rtl/>
        </w:rPr>
        <w:t xml:space="preserve"> </w:t>
      </w:r>
      <w:r w:rsidRPr="00A210E9">
        <w:rPr>
          <w:rFonts w:eastAsia="Calibri" w:hint="cs"/>
          <w:rtl/>
        </w:rPr>
        <w:t xml:space="preserve">רק </w:t>
      </w:r>
      <w:r w:rsidRPr="00A210E9">
        <w:rPr>
          <w:rFonts w:eastAsia="Calibri" w:hint="eastAsia"/>
          <w:rtl/>
        </w:rPr>
        <w:t>על</w:t>
      </w:r>
      <w:r w:rsidRPr="00A210E9">
        <w:rPr>
          <w:rFonts w:eastAsia="Calibri"/>
          <w:rtl/>
        </w:rPr>
        <w:t xml:space="preserve"> </w:t>
      </w:r>
      <w:r w:rsidRPr="00A210E9">
        <w:rPr>
          <w:rFonts w:eastAsia="Calibri" w:hint="eastAsia"/>
          <w:rtl/>
        </w:rPr>
        <w:t>סמך</w:t>
      </w:r>
      <w:r w:rsidRPr="00A210E9">
        <w:rPr>
          <w:rFonts w:eastAsia="Calibri"/>
          <w:rtl/>
        </w:rPr>
        <w:t xml:space="preserve"> </w:t>
      </w:r>
      <w:r w:rsidRPr="00A210E9">
        <w:rPr>
          <w:rFonts w:eastAsia="Calibri" w:hint="eastAsia"/>
          <w:rtl/>
        </w:rPr>
        <w:t>הבדיקות</w:t>
      </w:r>
      <w:r w:rsidRPr="00A210E9">
        <w:rPr>
          <w:rFonts w:eastAsia="Calibri"/>
          <w:rtl/>
        </w:rPr>
        <w:t xml:space="preserve"> ככל </w:t>
      </w:r>
      <w:r w:rsidRPr="00A210E9">
        <w:rPr>
          <w:rFonts w:eastAsia="Calibri" w:hint="eastAsia"/>
          <w:rtl/>
        </w:rPr>
        <w:t>ש</w:t>
      </w:r>
      <w:r w:rsidRPr="00A210E9">
        <w:rPr>
          <w:rFonts w:eastAsia="Calibri" w:hint="cs"/>
          <w:rtl/>
        </w:rPr>
        <w:t>עשה</w:t>
      </w:r>
      <w:r w:rsidRPr="00A210E9">
        <w:rPr>
          <w:rFonts w:eastAsia="Calibri"/>
          <w:rtl/>
        </w:rPr>
        <w:t xml:space="preserve"> </w:t>
      </w:r>
      <w:r w:rsidRPr="00A210E9">
        <w:rPr>
          <w:rFonts w:eastAsia="Calibri" w:hint="eastAsia"/>
          <w:rtl/>
        </w:rPr>
        <w:t>הביטוח הלאומי</w:t>
      </w:r>
      <w:r w:rsidRPr="00A210E9">
        <w:rPr>
          <w:rFonts w:eastAsia="Calibri" w:hint="cs"/>
          <w:rtl/>
        </w:rPr>
        <w:t xml:space="preserve"> (אם אכן עשה בדיקות אלה)</w:t>
      </w:r>
      <w:r w:rsidRPr="00A210E9">
        <w:rPr>
          <w:rFonts w:eastAsia="Calibri"/>
          <w:rtl/>
        </w:rPr>
        <w:t xml:space="preserve"> </w:t>
      </w:r>
      <w:r w:rsidRPr="00A210E9">
        <w:rPr>
          <w:rFonts w:eastAsia="Calibri" w:hint="cs"/>
          <w:rtl/>
        </w:rPr>
        <w:t>וכמו כן ייבחן</w:t>
      </w:r>
      <w:r w:rsidRPr="00A210E9">
        <w:rPr>
          <w:rFonts w:eastAsia="Calibri"/>
          <w:rtl/>
        </w:rPr>
        <w:t xml:space="preserve"> </w:t>
      </w:r>
      <w:r w:rsidRPr="00A210E9">
        <w:rPr>
          <w:rFonts w:eastAsia="Calibri" w:hint="eastAsia"/>
          <w:rtl/>
        </w:rPr>
        <w:t>אם</w:t>
      </w:r>
      <w:r w:rsidRPr="00A210E9">
        <w:rPr>
          <w:rFonts w:eastAsia="Calibri"/>
          <w:rtl/>
        </w:rPr>
        <w:t xml:space="preserve"> </w:t>
      </w:r>
      <w:r w:rsidRPr="00A210E9">
        <w:rPr>
          <w:rFonts w:eastAsia="Calibri" w:hint="eastAsia"/>
          <w:rtl/>
        </w:rPr>
        <w:t>בזמן</w:t>
      </w:r>
      <w:r w:rsidRPr="00A210E9">
        <w:rPr>
          <w:rFonts w:eastAsia="Calibri"/>
          <w:rtl/>
        </w:rPr>
        <w:t xml:space="preserve"> </w:t>
      </w:r>
      <w:r w:rsidRPr="00A210E9">
        <w:rPr>
          <w:rFonts w:eastAsia="Calibri" w:hint="eastAsia"/>
          <w:rtl/>
        </w:rPr>
        <w:t>שחלף</w:t>
      </w:r>
      <w:r w:rsidRPr="00A210E9">
        <w:rPr>
          <w:rFonts w:eastAsia="Calibri"/>
          <w:rtl/>
        </w:rPr>
        <w:t xml:space="preserve"> </w:t>
      </w:r>
      <w:r w:rsidRPr="00A210E9">
        <w:rPr>
          <w:rFonts w:eastAsia="Calibri" w:hint="eastAsia"/>
          <w:rtl/>
        </w:rPr>
        <w:t>מאז</w:t>
      </w:r>
      <w:r w:rsidRPr="00A210E9">
        <w:rPr>
          <w:rFonts w:eastAsia="Calibri"/>
          <w:rtl/>
        </w:rPr>
        <w:t xml:space="preserve"> </w:t>
      </w:r>
      <w:r w:rsidRPr="00A210E9">
        <w:rPr>
          <w:rFonts w:eastAsia="Calibri" w:hint="eastAsia"/>
          <w:rtl/>
        </w:rPr>
        <w:t>הערעור</w:t>
      </w:r>
      <w:r w:rsidRPr="00A210E9">
        <w:rPr>
          <w:rFonts w:eastAsia="Calibri"/>
          <w:rtl/>
        </w:rPr>
        <w:t xml:space="preserve"> </w:t>
      </w:r>
      <w:r w:rsidRPr="00A210E9">
        <w:rPr>
          <w:rFonts w:eastAsia="Calibri" w:hint="eastAsia"/>
          <w:rtl/>
        </w:rPr>
        <w:t>מגיש</w:t>
      </w:r>
      <w:r w:rsidRPr="00A210E9">
        <w:rPr>
          <w:rFonts w:eastAsia="Calibri"/>
          <w:rtl/>
        </w:rPr>
        <w:t xml:space="preserve"> </w:t>
      </w:r>
      <w:r w:rsidRPr="00A210E9">
        <w:rPr>
          <w:rFonts w:eastAsia="Calibri" w:hint="eastAsia"/>
          <w:rtl/>
        </w:rPr>
        <w:t>הבקשה</w:t>
      </w:r>
      <w:r w:rsidRPr="00A210E9">
        <w:rPr>
          <w:rFonts w:eastAsia="Calibri"/>
          <w:rtl/>
        </w:rPr>
        <w:t xml:space="preserve"> </w:t>
      </w:r>
      <w:r w:rsidRPr="00A210E9">
        <w:rPr>
          <w:rFonts w:eastAsia="Calibri" w:hint="eastAsia"/>
          <w:rtl/>
        </w:rPr>
        <w:t>נבדק</w:t>
      </w:r>
      <w:r w:rsidRPr="00A210E9">
        <w:rPr>
          <w:rFonts w:eastAsia="Calibri"/>
          <w:rtl/>
        </w:rPr>
        <w:t xml:space="preserve"> </w:t>
      </w:r>
      <w:r w:rsidRPr="00A210E9">
        <w:rPr>
          <w:rFonts w:eastAsia="Calibri" w:hint="eastAsia"/>
          <w:rtl/>
        </w:rPr>
        <w:t>בביטוח הלאומי</w:t>
      </w:r>
      <w:r w:rsidRPr="00A210E9">
        <w:rPr>
          <w:rFonts w:eastAsia="Calibri"/>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Times New Roman"/>
          <w:bCs/>
          <w:sz w:val="18"/>
          <w:rtl/>
        </w:rPr>
      </w:pPr>
      <w:r w:rsidRPr="00A210E9">
        <w:rPr>
          <w:rFonts w:eastAsia="Times New Roman" w:hint="cs"/>
          <w:bCs/>
          <w:sz w:val="18"/>
          <w:rtl/>
        </w:rPr>
        <w:t xml:space="preserve">משרד מבקר המדינה ממליץ למשרד התחבורה לוודא את </w:t>
      </w:r>
      <w:r w:rsidRPr="00A210E9">
        <w:rPr>
          <w:rFonts w:eastAsia="Times New Roman" w:hint="eastAsia"/>
          <w:bCs/>
          <w:sz w:val="18"/>
          <w:rtl/>
        </w:rPr>
        <w:t>המועילות</w:t>
      </w:r>
      <w:r w:rsidRPr="00A210E9">
        <w:rPr>
          <w:rFonts w:eastAsia="Times New Roman"/>
          <w:bCs/>
          <w:sz w:val="18"/>
          <w:rtl/>
        </w:rPr>
        <w:t xml:space="preserve"> של </w:t>
      </w:r>
      <w:r w:rsidRPr="00A210E9">
        <w:rPr>
          <w:rFonts w:eastAsia="Times New Roman" w:hint="cs"/>
          <w:bCs/>
          <w:sz w:val="18"/>
          <w:rtl/>
        </w:rPr>
        <w:t xml:space="preserve">נוהל 2025 בנוגע למספר הבקשות החוזרות ולתהליך הערעור שנוסף, ובהתאם לכך לגבש נהלים קבועים בנושאים אלה. כמו כן, מומלץ למסד מנגנוני בקרה מדידים ודיווח על תהליכים אלה. </w:t>
      </w:r>
      <w:r w:rsidRPr="00A210E9">
        <w:rPr>
          <w:rFonts w:eastAsia="Calibri" w:hint="cs"/>
          <w:b/>
          <w:bCs/>
          <w:rtl/>
        </w:rPr>
        <w:t>עוד מומלץ שמשרד התחבורה ישקול את היתרונות והחסרונות בגביית תשלום על הגשת בקשה לתג ועל הנפקת תג וכן על הגשת בקשה חוזרת (שלא עקב החמרת מצב) או ערעור בנוגע לבקשות שנדחו.</w:t>
      </w:r>
      <w:r w:rsidRPr="00A210E9">
        <w:rPr>
          <w:rFonts w:eastAsia="Times New Roman" w:hint="cs"/>
          <w:bCs/>
          <w:sz w:val="18"/>
          <w:rtl/>
        </w:rPr>
        <w:t xml:space="preserve"> </w:t>
      </w:r>
      <w:r w:rsidRPr="00A210E9">
        <w:rPr>
          <w:rFonts w:eastAsia="Times New Roman"/>
          <w:bCs/>
          <w:sz w:val="18"/>
          <w:rtl/>
        </w:rPr>
        <w:t>יחד עם זאת</w:t>
      </w:r>
      <w:r w:rsidRPr="00A210E9">
        <w:rPr>
          <w:rFonts w:eastAsia="Times New Roman" w:hint="cs"/>
          <w:bCs/>
          <w:sz w:val="18"/>
          <w:rtl/>
        </w:rPr>
        <w:t>, אם יצומצמו הטבות כלכליות או אם תוטל אגרה עבור הגשת בקשה מומלץ לבנות מנגנון מאוזן שימזער את הפגיעה הכלכלית באנשים עם מוגבלות.</w:t>
      </w:r>
      <w:r w:rsidRPr="00A210E9">
        <w:rPr>
          <w:rFonts w:eastAsia="Times New Roman"/>
          <w:bCs/>
          <w:sz w:val="18"/>
          <w:rtl/>
        </w:rPr>
        <w:t xml:space="preserve"> </w:t>
      </w:r>
    </w:p>
    <w:p w:rsidR="00A210E9" w:rsidRPr="00A210E9" w:rsidP="00A210E9">
      <w:pPr>
        <w:keepNext/>
        <w:keepLines/>
        <w:spacing w:line="269" w:lineRule="auto"/>
        <w:ind w:left="-567"/>
        <w:rPr>
          <w:rFonts w:eastAsia="Calibri"/>
          <w:szCs w:val="20"/>
          <w:rtl/>
        </w:rPr>
      </w:pPr>
    </w:p>
    <w:p w:rsidR="00A210E9" w:rsidRPr="00A210E9" w:rsidP="00C21358">
      <w:pPr>
        <w:keepNext/>
        <w:keepLines/>
        <w:spacing w:before="120" w:line="269" w:lineRule="auto"/>
        <w:outlineLvl w:val="4"/>
        <w:rPr>
          <w:rFonts w:eastAsia="Times New Roman"/>
          <w:bCs/>
          <w:spacing w:val="40"/>
          <w:rtl/>
        </w:rPr>
      </w:pPr>
      <w:r w:rsidRPr="00A210E9">
        <w:rPr>
          <w:rFonts w:eastAsia="Times New Roman" w:hint="cs"/>
          <w:bCs/>
          <w:spacing w:val="40"/>
          <w:rtl/>
        </w:rPr>
        <w:t>שינוי סוג התג לתג כיסא גלגלים</w:t>
      </w:r>
      <w:r>
        <w:rPr>
          <w:rFonts w:eastAsia="Times New Roman"/>
          <w:bCs/>
          <w:spacing w:val="40"/>
          <w:vertAlign w:val="superscript"/>
          <w:rtl/>
        </w:rPr>
        <w:footnoteReference w:id="160"/>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אנשים עם מוגבלות שהחזיקו תגי חניה רגילים, אך מצבם הוחמר והם נדרשים לתג כיסא גלגלים, צריכים לפנות, בצירוף מסמכים רלוונטיים, באמצעות טופס מקוון באתר המרשתת של אגף הרישוי, דואר ישראל או באמצעות הגעה פיזית למשרדי אגף הרישוי כדי לבקש לשנות את סוג התג שבידם. מחלקת עדכון ובקרה מטפלת בבקשות אלה</w:t>
      </w:r>
      <w:r w:rsidRPr="00A210E9">
        <w:rPr>
          <w:rFonts w:eastAsia="Calibri"/>
          <w:rtl/>
        </w:rPr>
        <w:t xml:space="preserve"> באופן ידני</w:t>
      </w:r>
      <w:r w:rsidRPr="00A210E9">
        <w:rPr>
          <w:rFonts w:eastAsia="Calibri" w:hint="cs"/>
          <w:rtl/>
        </w:rPr>
        <w:t xml:space="preserve"> ומזינה אותן למערכת הרפואית כבקשות חריגות לצורך המשך טיפול על ידי רופאי אגף הרישוי.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גם אדם עם מוגבלות שקיבל בעבר תג חניה באמצעות גופים מאשרים אחרים (כמו משרד הרווחה, הביטוח הלאומי ואגף השיקום) ומצבו הרפואי הוחמר, נדרש להגיש בקשה לשינוי סוג תג ישירות למשרד התחבורה, אלא אם בחר לעבור ועדה רפואית, ואז הועדה תעביר למשרד התחבורה בקשה שגם תטופל באופן ידני באגף הרישוי. הסיבה לכך היא שמערכת נכים במשרד התחבורה שאליה מועבר מידע מהגופים המאשרים מאפשרת קליטה יחידה של אישור תג חניה, ואישור חופף המתקבל מאותו גוף מאשר או מגוף מאשר אחר מייצר הודעת שגיאה במערכת.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ביולי 2023 הציפה מנהלת מחלקת עדכון ובקרה את הנושא בפני הנהלת אגף הרישוי והלשכה המשפטית, וציינה כי קיימות יותר מ-500 בקשות לשינוי סוג התג הממתינות כחודש ימים. היא ביקשה לצמצם את העבודה הידנית באמצעות יצירת שתי אפשרויות קליטה במערכת הרפואית - בקשה ראשונית ובקשה לשינוי סוג התג. היא ציינה כי אגף הרישוי הפך להיות הגורם היחיד שמאשר את הבקשות הללו, על סמך מסמכים רפואיים בלבד, והחלטות הרופאים אינן באמת נשענות על המצב הרפואי של הפונה.</w:t>
      </w:r>
      <w:r w:rsidRPr="00A210E9">
        <w:rPr>
          <w:rFonts w:eastAsia="Calibri"/>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בפברואר 2025 נציגת מערכות מידע של הביטוח הלאומי פנתה בדוא"ל למחלקת עדכון ובקרה וציינה כי במערכת נכים באגף הרישוי לא נשמר המידע שהביטוח הלאומי שולח לצורך שינוי סוג התג, ובמקום זה הביטוח הלאומי מקבל הודעת שגיאה שקיים אישור לתג מגורם אחר. הנציגה ביקשה מהמחלקה לבצע שינוי כך שהבקשה לתג כיסא גלגלים המועברת מבט"ל תיקלט במערכות וסוג התג ישונה באופן ממוחשב.</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עמותת הצעד הבא כתבה בתשובתה בנוגע ל</w:t>
      </w:r>
      <w:r w:rsidRPr="00A210E9">
        <w:rPr>
          <w:rFonts w:eastAsia="Calibri"/>
          <w:rtl/>
        </w:rPr>
        <w:t xml:space="preserve">המרת תג, </w:t>
      </w:r>
      <w:r w:rsidRPr="00A210E9">
        <w:rPr>
          <w:rFonts w:eastAsia="Calibri" w:hint="cs"/>
          <w:rtl/>
        </w:rPr>
        <w:t>כי "</w:t>
      </w:r>
      <w:r w:rsidRPr="00A210E9">
        <w:rPr>
          <w:rFonts w:eastAsia="Calibri"/>
          <w:rtl/>
        </w:rPr>
        <w:t>בפועל זוהי סחבת בלתי נגמרת</w:t>
      </w:r>
      <w:r w:rsidRPr="00A210E9">
        <w:rPr>
          <w:rFonts w:eastAsia="Calibri" w:hint="cs"/>
          <w:rtl/>
        </w:rPr>
        <w:t>...</w:t>
      </w:r>
      <w:r w:rsidRPr="00A210E9">
        <w:rPr>
          <w:rFonts w:eastAsia="Calibri"/>
          <w:rtl/>
        </w:rPr>
        <w:t xml:space="preserve"> הדבר מצריך את הקטוע להגיע פיזית למשרד הרישוי ולהציג מסמכים מקוריים</w:t>
      </w:r>
      <w:r w:rsidRPr="00A210E9">
        <w:rPr>
          <w:rFonts w:eastAsia="Calibri" w:hint="cs"/>
        </w:rPr>
        <w:t xml:space="preserve"> </w:t>
      </w:r>
      <w:r w:rsidRPr="00A210E9">
        <w:rPr>
          <w:rFonts w:eastAsia="Calibri" w:hint="cs"/>
          <w:rtl/>
        </w:rPr>
        <w:t>[בלבד]...</w:t>
      </w:r>
      <w:r w:rsidRPr="00A210E9">
        <w:rPr>
          <w:rFonts w:eastAsia="Calibri"/>
          <w:rtl/>
        </w:rPr>
        <w:t xml:space="preserve"> אין למבקש יכולת לדעת האם הבקשה התקבלה, אושרה והיכן זה עומד. יש להבליט יותר את הזכאות לתג כסא גלגלים לזכאים ובין היתר שהמבקש מקבל הודעה שמגיע לו תג</w:t>
      </w:r>
      <w:r w:rsidRPr="00A210E9">
        <w:rPr>
          <w:rFonts w:eastAsia="Calibri" w:hint="cs"/>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בביקורת הועלו מקרים שבהם אנשים קיבלו אישור לתג כיסא גלגלים מהגופים המאשרים לפני שנים רבות, ועדכון סוג התג בוצע בעיכוב רב בגלל שגיאה בממשק בין המערכות. הלוח שלהלן מציג 13 מקרים שנבחרו באופן אקראי מתוך מקרים חריגים שזוהו בממשק בין משרד התחבורה לגופים המאשרים:</w:t>
      </w:r>
    </w:p>
    <w:p w:rsidR="00A210E9" w:rsidRPr="00A210E9" w:rsidP="00A210E9">
      <w:pPr>
        <w:keepNext/>
        <w:keepLines/>
        <w:spacing w:line="269" w:lineRule="auto"/>
        <w:jc w:val="center"/>
        <w:rPr>
          <w:rFonts w:eastAsia="Calibri"/>
          <w:b/>
          <w:bCs/>
          <w:rtl/>
        </w:rPr>
      </w:pPr>
      <w:r w:rsidRPr="00A210E9">
        <w:rPr>
          <w:rFonts w:eastAsia="Calibri" w:hint="cs"/>
          <w:rtl/>
        </w:rPr>
        <w:t xml:space="preserve">לוח 11: </w:t>
      </w:r>
      <w:r w:rsidRPr="00A210E9">
        <w:rPr>
          <w:rFonts w:eastAsia="Calibri" w:hint="cs"/>
          <w:b/>
          <w:bCs/>
          <w:rtl/>
        </w:rPr>
        <w:t>מקרים של אישור זכאות לתג כיסא גלגלים, שלא נקלט באגף הרישוי, והתג לא עודכן במועד</w:t>
      </w:r>
    </w:p>
    <w:tbl>
      <w:tblPr>
        <w:tblStyle w:val="4-31"/>
        <w:bidiVisual/>
        <w:tblW w:w="6333" w:type="dxa"/>
        <w:jc w:val="center"/>
        <w:tblLook w:val="04A0"/>
      </w:tblPr>
      <w:tblGrid>
        <w:gridCol w:w="1594"/>
        <w:gridCol w:w="2044"/>
        <w:gridCol w:w="1484"/>
        <w:gridCol w:w="1211"/>
      </w:tblGrid>
      <w:tr w:rsidTr="000405CD">
        <w:tblPrEx>
          <w:tblW w:w="6333" w:type="dxa"/>
          <w:jc w:val="center"/>
          <w:tblLook w:val="04A0"/>
        </w:tblPrEx>
        <w:trPr>
          <w:trHeight w:val="397"/>
          <w:tblHeader/>
          <w:jc w:val="center"/>
        </w:trPr>
        <w:tc>
          <w:tcPr>
            <w:tcW w:w="1594" w:type="dxa"/>
            <w:noWrap/>
            <w:vAlign w:val="center"/>
            <w:hideMark/>
          </w:tcPr>
          <w:p w:rsidR="00A210E9" w:rsidRPr="000405CD" w:rsidP="00A210E9">
            <w:pPr>
              <w:spacing w:line="269" w:lineRule="auto"/>
              <w:jc w:val="center"/>
              <w:rPr>
                <w:rFonts w:ascii="David" w:eastAsia="Times New Roman" w:hAnsi="David" w:cs="David"/>
                <w:color w:val="000000"/>
              </w:rPr>
            </w:pPr>
            <w:r>
              <w:rPr>
                <w:rFonts w:ascii="David" w:eastAsia="Times New Roman" w:hAnsi="David" w:cs="David" w:hint="cs"/>
                <w:color w:val="000000"/>
                <w:rtl/>
              </w:rPr>
              <w:t>ה</w:t>
            </w:r>
            <w:r w:rsidRPr="000405CD">
              <w:rPr>
                <w:rFonts w:ascii="David" w:eastAsia="Times New Roman" w:hAnsi="David" w:cs="David"/>
                <w:color w:val="000000"/>
                <w:rtl/>
              </w:rPr>
              <w:t xml:space="preserve">גוף </w:t>
            </w:r>
            <w:r>
              <w:rPr>
                <w:rFonts w:ascii="David" w:eastAsia="Times New Roman" w:hAnsi="David" w:cs="David" w:hint="cs"/>
                <w:color w:val="000000"/>
                <w:rtl/>
              </w:rPr>
              <w:t>ה</w:t>
            </w:r>
            <w:r w:rsidRPr="000405CD">
              <w:rPr>
                <w:rFonts w:ascii="David" w:eastAsia="Times New Roman" w:hAnsi="David" w:cs="David"/>
                <w:color w:val="000000"/>
                <w:rtl/>
              </w:rPr>
              <w:t>מאשר</w:t>
            </w:r>
          </w:p>
        </w:tc>
        <w:tc>
          <w:tcPr>
            <w:tcW w:w="2044" w:type="dxa"/>
            <w:noWrap/>
            <w:vAlign w:val="center"/>
            <w:hideMark/>
          </w:tcPr>
          <w:p w:rsidR="00A210E9" w:rsidRPr="000405CD" w:rsidP="00A210E9">
            <w:pPr>
              <w:spacing w:line="269" w:lineRule="auto"/>
              <w:jc w:val="center"/>
              <w:rPr>
                <w:rFonts w:ascii="David" w:eastAsia="Times New Roman" w:hAnsi="David" w:cs="David"/>
                <w:color w:val="000000"/>
                <w:rtl/>
              </w:rPr>
            </w:pPr>
            <w:r w:rsidRPr="000405CD">
              <w:rPr>
                <w:rFonts w:ascii="David" w:eastAsia="Times New Roman" w:hAnsi="David" w:cs="David"/>
                <w:color w:val="000000"/>
                <w:rtl/>
              </w:rPr>
              <w:t>תאריך אישור זכאות לנכות המזכה בתג כיסא גלגלים בוועדה רפואית</w:t>
            </w:r>
          </w:p>
        </w:tc>
        <w:tc>
          <w:tcPr>
            <w:tcW w:w="1484" w:type="dxa"/>
            <w:noWrap/>
            <w:vAlign w:val="center"/>
            <w:hideMark/>
          </w:tcPr>
          <w:p w:rsidR="00A210E9" w:rsidRPr="000405CD" w:rsidP="00A210E9">
            <w:pPr>
              <w:spacing w:line="269" w:lineRule="auto"/>
              <w:jc w:val="center"/>
              <w:rPr>
                <w:rFonts w:ascii="David" w:eastAsia="Times New Roman" w:hAnsi="David" w:cs="David"/>
                <w:color w:val="000000"/>
                <w:rtl/>
              </w:rPr>
            </w:pPr>
            <w:r w:rsidRPr="000405CD">
              <w:rPr>
                <w:rFonts w:ascii="David" w:eastAsia="Times New Roman" w:hAnsi="David" w:cs="David"/>
                <w:color w:val="000000"/>
                <w:rtl/>
              </w:rPr>
              <w:t>תאריך העברת המידע לאגף הרישוי*</w:t>
            </w:r>
          </w:p>
        </w:tc>
        <w:tc>
          <w:tcPr>
            <w:tcW w:w="1211" w:type="dxa"/>
            <w:noWrap/>
            <w:vAlign w:val="center"/>
            <w:hideMark/>
          </w:tcPr>
          <w:p w:rsidR="00A210E9" w:rsidRPr="000405CD" w:rsidP="00A210E9">
            <w:pPr>
              <w:spacing w:line="269" w:lineRule="auto"/>
              <w:jc w:val="center"/>
              <w:rPr>
                <w:rFonts w:ascii="David" w:eastAsia="Times New Roman" w:hAnsi="David" w:cs="David"/>
                <w:color w:val="000000"/>
                <w:rtl/>
              </w:rPr>
            </w:pPr>
            <w:r w:rsidRPr="000405CD">
              <w:rPr>
                <w:rFonts w:ascii="David" w:eastAsia="Times New Roman" w:hAnsi="David" w:cs="David"/>
                <w:color w:val="000000"/>
                <w:rtl/>
              </w:rPr>
              <w:t>פער בשנים</w:t>
            </w:r>
          </w:p>
        </w:tc>
      </w:tr>
      <w:tr w:rsidTr="000405CD">
        <w:tblPrEx>
          <w:tblW w:w="6333" w:type="dxa"/>
          <w:jc w:val="center"/>
          <w:tblLook w:val="04A0"/>
        </w:tblPrEx>
        <w:trPr>
          <w:trHeight w:val="397"/>
          <w:jc w:val="center"/>
        </w:trPr>
        <w:tc>
          <w:tcPr>
            <w:tcW w:w="1594" w:type="dxa"/>
            <w:noWrap/>
            <w:vAlign w:val="center"/>
            <w:hideMark/>
          </w:tcPr>
          <w:p w:rsidR="00A210E9" w:rsidRPr="000405CD" w:rsidP="00A210E9">
            <w:pPr>
              <w:spacing w:line="269" w:lineRule="auto"/>
              <w:rPr>
                <w:rFonts w:ascii="David" w:eastAsia="Times New Roman" w:hAnsi="David" w:cs="David"/>
                <w:color w:val="000000"/>
                <w:rtl/>
              </w:rPr>
            </w:pPr>
            <w:r w:rsidRPr="000405CD">
              <w:rPr>
                <w:rFonts w:ascii="David" w:eastAsia="Times New Roman" w:hAnsi="David" w:cs="David"/>
                <w:color w:val="000000"/>
                <w:rtl/>
              </w:rPr>
              <w:t>הביטוח הלאומי</w:t>
            </w:r>
          </w:p>
        </w:tc>
        <w:tc>
          <w:tcPr>
            <w:tcW w:w="2044" w:type="dxa"/>
            <w:noWrap/>
            <w:vAlign w:val="center"/>
            <w:hideMark/>
          </w:tcPr>
          <w:p w:rsidR="00A210E9" w:rsidRPr="000405CD" w:rsidP="00A210E9">
            <w:pPr>
              <w:spacing w:line="269" w:lineRule="auto"/>
              <w:rPr>
                <w:rFonts w:ascii="David" w:eastAsia="Times New Roman" w:hAnsi="David" w:cs="David"/>
                <w:color w:val="000000"/>
              </w:rPr>
            </w:pPr>
            <w:r w:rsidRPr="000405CD">
              <w:rPr>
                <w:rFonts w:ascii="David" w:eastAsia="Times New Roman" w:hAnsi="David" w:cs="David"/>
                <w:color w:val="000000"/>
              </w:rPr>
              <w:t>5.1.15</w:t>
            </w:r>
          </w:p>
        </w:tc>
        <w:tc>
          <w:tcPr>
            <w:tcW w:w="1484" w:type="dxa"/>
            <w:noWrap/>
            <w:vAlign w:val="center"/>
            <w:hideMark/>
          </w:tcPr>
          <w:p w:rsidR="00A210E9" w:rsidRPr="000405CD" w:rsidP="00A210E9">
            <w:pPr>
              <w:spacing w:line="269" w:lineRule="auto"/>
              <w:rPr>
                <w:rFonts w:ascii="David" w:eastAsia="Times New Roman" w:hAnsi="David" w:cs="David"/>
                <w:color w:val="000000"/>
              </w:rPr>
            </w:pPr>
            <w:r w:rsidRPr="000405CD">
              <w:rPr>
                <w:rFonts w:ascii="David" w:eastAsia="Times New Roman" w:hAnsi="David" w:cs="David"/>
                <w:color w:val="000000"/>
              </w:rPr>
              <w:t>11.6.25</w:t>
            </w:r>
          </w:p>
        </w:tc>
        <w:tc>
          <w:tcPr>
            <w:tcW w:w="1211" w:type="dxa"/>
            <w:noWrap/>
            <w:vAlign w:val="center"/>
            <w:hideMark/>
          </w:tcPr>
          <w:p w:rsidR="00A210E9" w:rsidRPr="000405CD" w:rsidP="00A210E9">
            <w:pPr>
              <w:spacing w:line="269" w:lineRule="auto"/>
              <w:rPr>
                <w:rFonts w:ascii="David" w:eastAsia="Times New Roman" w:hAnsi="David" w:cs="David"/>
                <w:color w:val="000000"/>
              </w:rPr>
            </w:pPr>
            <w:r w:rsidRPr="000405CD">
              <w:rPr>
                <w:rFonts w:ascii="David" w:eastAsia="Times New Roman" w:hAnsi="David" w:cs="David"/>
                <w:color w:val="000000"/>
              </w:rPr>
              <w:t>10.4</w:t>
            </w:r>
          </w:p>
        </w:tc>
      </w:tr>
      <w:tr w:rsidTr="000405CD">
        <w:tblPrEx>
          <w:tblW w:w="6333" w:type="dxa"/>
          <w:jc w:val="center"/>
          <w:tblLook w:val="04A0"/>
        </w:tblPrEx>
        <w:trPr>
          <w:trHeight w:val="397"/>
          <w:jc w:val="center"/>
        </w:trPr>
        <w:tc>
          <w:tcPr>
            <w:tcW w:w="1594" w:type="dxa"/>
            <w:noWrap/>
            <w:vAlign w:val="center"/>
            <w:hideMark/>
          </w:tcPr>
          <w:p w:rsidR="00A210E9" w:rsidRPr="000405CD" w:rsidP="00A210E9">
            <w:pPr>
              <w:spacing w:line="269" w:lineRule="auto"/>
              <w:rPr>
                <w:rFonts w:ascii="David" w:eastAsia="Times New Roman" w:hAnsi="David" w:cs="David"/>
                <w:color w:val="000000"/>
              </w:rPr>
            </w:pPr>
            <w:r w:rsidRPr="000405CD">
              <w:rPr>
                <w:rFonts w:ascii="David" w:eastAsia="Times New Roman" w:hAnsi="David" w:cs="David"/>
                <w:color w:val="000000"/>
                <w:rtl/>
              </w:rPr>
              <w:t>משרד הבריאות</w:t>
            </w:r>
          </w:p>
        </w:tc>
        <w:tc>
          <w:tcPr>
            <w:tcW w:w="2044" w:type="dxa"/>
            <w:noWrap/>
            <w:vAlign w:val="center"/>
            <w:hideMark/>
          </w:tcPr>
          <w:p w:rsidR="00A210E9" w:rsidRPr="000405CD" w:rsidP="00A210E9">
            <w:pPr>
              <w:spacing w:line="269" w:lineRule="auto"/>
              <w:rPr>
                <w:rFonts w:ascii="David" w:eastAsia="Times New Roman" w:hAnsi="David" w:cs="David"/>
                <w:color w:val="000000"/>
                <w:rtl/>
              </w:rPr>
            </w:pPr>
            <w:r w:rsidRPr="000405CD">
              <w:rPr>
                <w:rFonts w:ascii="David" w:eastAsia="Times New Roman" w:hAnsi="David" w:cs="David"/>
                <w:color w:val="000000"/>
              </w:rPr>
              <w:t>25.12.17</w:t>
            </w:r>
          </w:p>
        </w:tc>
        <w:tc>
          <w:tcPr>
            <w:tcW w:w="1484" w:type="dxa"/>
            <w:noWrap/>
            <w:vAlign w:val="center"/>
            <w:hideMark/>
          </w:tcPr>
          <w:p w:rsidR="00A210E9" w:rsidRPr="000405CD" w:rsidP="00A210E9">
            <w:pPr>
              <w:spacing w:line="269" w:lineRule="auto"/>
              <w:rPr>
                <w:rFonts w:ascii="David" w:eastAsia="Times New Roman" w:hAnsi="David" w:cs="David"/>
                <w:color w:val="000000"/>
              </w:rPr>
            </w:pPr>
            <w:r w:rsidRPr="000405CD">
              <w:rPr>
                <w:rFonts w:ascii="David" w:eastAsia="Times New Roman" w:hAnsi="David" w:cs="David"/>
                <w:color w:val="000000"/>
              </w:rPr>
              <w:t>28.4.25</w:t>
            </w:r>
          </w:p>
        </w:tc>
        <w:tc>
          <w:tcPr>
            <w:tcW w:w="1211" w:type="dxa"/>
            <w:noWrap/>
            <w:vAlign w:val="center"/>
            <w:hideMark/>
          </w:tcPr>
          <w:p w:rsidR="00A210E9" w:rsidRPr="000405CD" w:rsidP="00A210E9">
            <w:pPr>
              <w:spacing w:line="269" w:lineRule="auto"/>
              <w:rPr>
                <w:rFonts w:ascii="David" w:eastAsia="Times New Roman" w:hAnsi="David" w:cs="David"/>
                <w:color w:val="000000"/>
              </w:rPr>
            </w:pPr>
            <w:r w:rsidRPr="000405CD">
              <w:rPr>
                <w:rFonts w:ascii="David" w:eastAsia="Times New Roman" w:hAnsi="David" w:cs="David"/>
                <w:color w:val="000000"/>
              </w:rPr>
              <w:t>7.3</w:t>
            </w:r>
          </w:p>
        </w:tc>
      </w:tr>
      <w:tr w:rsidTr="000405CD">
        <w:tblPrEx>
          <w:tblW w:w="6333" w:type="dxa"/>
          <w:jc w:val="center"/>
          <w:tblLook w:val="04A0"/>
        </w:tblPrEx>
        <w:trPr>
          <w:trHeight w:val="397"/>
          <w:jc w:val="center"/>
        </w:trPr>
        <w:tc>
          <w:tcPr>
            <w:tcW w:w="1594" w:type="dxa"/>
            <w:noWrap/>
            <w:vAlign w:val="center"/>
            <w:hideMark/>
          </w:tcPr>
          <w:p w:rsidR="00A210E9" w:rsidRPr="000405CD" w:rsidP="00A210E9">
            <w:pPr>
              <w:spacing w:line="269" w:lineRule="auto"/>
              <w:rPr>
                <w:rFonts w:ascii="David" w:eastAsia="Times New Roman" w:hAnsi="David" w:cs="David"/>
                <w:color w:val="000000"/>
              </w:rPr>
            </w:pPr>
            <w:r w:rsidRPr="000405CD">
              <w:rPr>
                <w:rFonts w:ascii="David" w:eastAsia="Times New Roman" w:hAnsi="David" w:cs="David"/>
                <w:color w:val="000000"/>
                <w:rtl/>
              </w:rPr>
              <w:t>הביטוח הלאומי</w:t>
            </w:r>
          </w:p>
        </w:tc>
        <w:tc>
          <w:tcPr>
            <w:tcW w:w="2044" w:type="dxa"/>
            <w:noWrap/>
            <w:vAlign w:val="center"/>
            <w:hideMark/>
          </w:tcPr>
          <w:p w:rsidR="00A210E9" w:rsidRPr="000405CD" w:rsidP="00A210E9">
            <w:pPr>
              <w:spacing w:line="269" w:lineRule="auto"/>
              <w:rPr>
                <w:rFonts w:ascii="David" w:eastAsia="Times New Roman" w:hAnsi="David" w:cs="David"/>
                <w:color w:val="000000"/>
                <w:rtl/>
              </w:rPr>
            </w:pPr>
            <w:r w:rsidRPr="000405CD">
              <w:rPr>
                <w:rFonts w:ascii="David" w:eastAsia="Times New Roman" w:hAnsi="David" w:cs="David"/>
                <w:color w:val="000000"/>
              </w:rPr>
              <w:t>7.3.18</w:t>
            </w:r>
          </w:p>
        </w:tc>
        <w:tc>
          <w:tcPr>
            <w:tcW w:w="1484" w:type="dxa"/>
            <w:noWrap/>
            <w:vAlign w:val="center"/>
            <w:hideMark/>
          </w:tcPr>
          <w:p w:rsidR="00A210E9" w:rsidRPr="000405CD" w:rsidP="00A210E9">
            <w:pPr>
              <w:spacing w:line="269" w:lineRule="auto"/>
              <w:rPr>
                <w:rFonts w:ascii="David" w:eastAsia="Times New Roman" w:hAnsi="David" w:cs="David"/>
                <w:color w:val="000000"/>
              </w:rPr>
            </w:pPr>
            <w:r w:rsidRPr="000405CD">
              <w:rPr>
                <w:rFonts w:ascii="David" w:eastAsia="Times New Roman" w:hAnsi="David" w:cs="David"/>
                <w:color w:val="000000"/>
              </w:rPr>
              <w:t>10.3.25</w:t>
            </w:r>
          </w:p>
        </w:tc>
        <w:tc>
          <w:tcPr>
            <w:tcW w:w="1211" w:type="dxa"/>
            <w:noWrap/>
            <w:vAlign w:val="center"/>
            <w:hideMark/>
          </w:tcPr>
          <w:p w:rsidR="00A210E9" w:rsidRPr="000405CD" w:rsidP="00A210E9">
            <w:pPr>
              <w:spacing w:line="269" w:lineRule="auto"/>
              <w:rPr>
                <w:rFonts w:ascii="David" w:eastAsia="Times New Roman" w:hAnsi="David" w:cs="David"/>
                <w:color w:val="000000"/>
              </w:rPr>
            </w:pPr>
            <w:r w:rsidRPr="000405CD">
              <w:rPr>
                <w:rFonts w:ascii="David" w:eastAsia="Times New Roman" w:hAnsi="David" w:cs="David"/>
                <w:color w:val="000000"/>
              </w:rPr>
              <w:t>7.0</w:t>
            </w:r>
          </w:p>
        </w:tc>
      </w:tr>
      <w:tr w:rsidTr="000405CD">
        <w:tblPrEx>
          <w:tblW w:w="6333" w:type="dxa"/>
          <w:jc w:val="center"/>
          <w:tblLook w:val="04A0"/>
        </w:tblPrEx>
        <w:trPr>
          <w:trHeight w:val="397"/>
          <w:jc w:val="center"/>
        </w:trPr>
        <w:tc>
          <w:tcPr>
            <w:tcW w:w="1594" w:type="dxa"/>
            <w:noWrap/>
            <w:vAlign w:val="center"/>
            <w:hideMark/>
          </w:tcPr>
          <w:p w:rsidR="00A210E9" w:rsidRPr="000405CD" w:rsidP="00A210E9">
            <w:pPr>
              <w:spacing w:line="269" w:lineRule="auto"/>
              <w:rPr>
                <w:rFonts w:ascii="David" w:eastAsia="Times New Roman" w:hAnsi="David" w:cs="David"/>
                <w:color w:val="000000"/>
              </w:rPr>
            </w:pPr>
            <w:r w:rsidRPr="000405CD">
              <w:rPr>
                <w:rFonts w:ascii="David" w:eastAsia="Times New Roman" w:hAnsi="David" w:cs="David"/>
                <w:color w:val="000000"/>
                <w:rtl/>
              </w:rPr>
              <w:t>הביטוח הלאומי</w:t>
            </w:r>
          </w:p>
        </w:tc>
        <w:tc>
          <w:tcPr>
            <w:tcW w:w="2044" w:type="dxa"/>
            <w:noWrap/>
            <w:vAlign w:val="center"/>
            <w:hideMark/>
          </w:tcPr>
          <w:p w:rsidR="00A210E9" w:rsidRPr="000405CD" w:rsidP="00A210E9">
            <w:pPr>
              <w:spacing w:line="269" w:lineRule="auto"/>
              <w:rPr>
                <w:rFonts w:ascii="David" w:eastAsia="Times New Roman" w:hAnsi="David" w:cs="David"/>
                <w:color w:val="000000"/>
                <w:rtl/>
              </w:rPr>
            </w:pPr>
            <w:r w:rsidRPr="000405CD">
              <w:rPr>
                <w:rFonts w:ascii="David" w:eastAsia="Times New Roman" w:hAnsi="David" w:cs="David"/>
                <w:color w:val="000000"/>
              </w:rPr>
              <w:t>1.1.21</w:t>
            </w:r>
          </w:p>
        </w:tc>
        <w:tc>
          <w:tcPr>
            <w:tcW w:w="1484" w:type="dxa"/>
            <w:noWrap/>
            <w:vAlign w:val="center"/>
            <w:hideMark/>
          </w:tcPr>
          <w:p w:rsidR="00A210E9" w:rsidRPr="000405CD" w:rsidP="00A210E9">
            <w:pPr>
              <w:spacing w:line="269" w:lineRule="auto"/>
              <w:rPr>
                <w:rFonts w:ascii="David" w:eastAsia="Times New Roman" w:hAnsi="David" w:cs="David"/>
                <w:color w:val="000000"/>
              </w:rPr>
            </w:pPr>
            <w:r w:rsidRPr="000405CD">
              <w:rPr>
                <w:rFonts w:ascii="David" w:eastAsia="Times New Roman" w:hAnsi="David" w:cs="David"/>
                <w:color w:val="000000"/>
              </w:rPr>
              <w:t>15.5.25</w:t>
            </w:r>
          </w:p>
        </w:tc>
        <w:tc>
          <w:tcPr>
            <w:tcW w:w="1211" w:type="dxa"/>
            <w:noWrap/>
            <w:vAlign w:val="center"/>
            <w:hideMark/>
          </w:tcPr>
          <w:p w:rsidR="00A210E9" w:rsidRPr="000405CD" w:rsidP="00A210E9">
            <w:pPr>
              <w:spacing w:line="269" w:lineRule="auto"/>
              <w:rPr>
                <w:rFonts w:ascii="David" w:eastAsia="Times New Roman" w:hAnsi="David" w:cs="David"/>
                <w:color w:val="000000"/>
              </w:rPr>
            </w:pPr>
            <w:r w:rsidRPr="000405CD">
              <w:rPr>
                <w:rFonts w:ascii="David" w:eastAsia="Times New Roman" w:hAnsi="David" w:cs="David"/>
                <w:color w:val="000000"/>
              </w:rPr>
              <w:t>4.4</w:t>
            </w:r>
          </w:p>
        </w:tc>
      </w:tr>
      <w:tr w:rsidTr="000405CD">
        <w:tblPrEx>
          <w:tblW w:w="6333" w:type="dxa"/>
          <w:jc w:val="center"/>
          <w:tblLook w:val="04A0"/>
        </w:tblPrEx>
        <w:trPr>
          <w:trHeight w:val="397"/>
          <w:jc w:val="center"/>
        </w:trPr>
        <w:tc>
          <w:tcPr>
            <w:tcW w:w="1594" w:type="dxa"/>
            <w:noWrap/>
            <w:vAlign w:val="center"/>
            <w:hideMark/>
          </w:tcPr>
          <w:p w:rsidR="00A210E9" w:rsidRPr="000405CD" w:rsidP="00A210E9">
            <w:pPr>
              <w:spacing w:line="269" w:lineRule="auto"/>
              <w:rPr>
                <w:rFonts w:ascii="David" w:eastAsia="Times New Roman" w:hAnsi="David" w:cs="David"/>
                <w:color w:val="000000"/>
              </w:rPr>
            </w:pPr>
            <w:r w:rsidRPr="000405CD">
              <w:rPr>
                <w:rFonts w:ascii="David" w:eastAsia="Times New Roman" w:hAnsi="David" w:cs="David"/>
                <w:color w:val="000000"/>
                <w:rtl/>
              </w:rPr>
              <w:t>הביטוח הלאומי</w:t>
            </w:r>
          </w:p>
        </w:tc>
        <w:tc>
          <w:tcPr>
            <w:tcW w:w="2044" w:type="dxa"/>
            <w:noWrap/>
            <w:vAlign w:val="center"/>
            <w:hideMark/>
          </w:tcPr>
          <w:p w:rsidR="00A210E9" w:rsidRPr="000405CD" w:rsidP="00A210E9">
            <w:pPr>
              <w:spacing w:line="269" w:lineRule="auto"/>
              <w:rPr>
                <w:rFonts w:ascii="David" w:eastAsia="Times New Roman" w:hAnsi="David" w:cs="David"/>
                <w:color w:val="000000"/>
                <w:rtl/>
              </w:rPr>
            </w:pPr>
            <w:r w:rsidRPr="000405CD">
              <w:rPr>
                <w:rFonts w:ascii="David" w:eastAsia="Times New Roman" w:hAnsi="David" w:cs="David"/>
                <w:color w:val="000000"/>
              </w:rPr>
              <w:t>25.2.22</w:t>
            </w:r>
          </w:p>
        </w:tc>
        <w:tc>
          <w:tcPr>
            <w:tcW w:w="1484" w:type="dxa"/>
            <w:noWrap/>
            <w:vAlign w:val="center"/>
            <w:hideMark/>
          </w:tcPr>
          <w:p w:rsidR="00A210E9" w:rsidRPr="000405CD" w:rsidP="00A210E9">
            <w:pPr>
              <w:spacing w:line="269" w:lineRule="auto"/>
              <w:rPr>
                <w:rFonts w:ascii="David" w:eastAsia="Times New Roman" w:hAnsi="David" w:cs="David"/>
                <w:color w:val="000000"/>
              </w:rPr>
            </w:pPr>
            <w:r w:rsidRPr="000405CD">
              <w:rPr>
                <w:rFonts w:ascii="David" w:eastAsia="Times New Roman" w:hAnsi="David" w:cs="David"/>
                <w:color w:val="000000"/>
              </w:rPr>
              <w:t>18.3.25</w:t>
            </w:r>
          </w:p>
        </w:tc>
        <w:tc>
          <w:tcPr>
            <w:tcW w:w="1211" w:type="dxa"/>
            <w:noWrap/>
            <w:vAlign w:val="center"/>
            <w:hideMark/>
          </w:tcPr>
          <w:p w:rsidR="00A210E9" w:rsidRPr="000405CD" w:rsidP="00A210E9">
            <w:pPr>
              <w:spacing w:line="269" w:lineRule="auto"/>
              <w:rPr>
                <w:rFonts w:ascii="David" w:eastAsia="Times New Roman" w:hAnsi="David" w:cs="David"/>
                <w:color w:val="000000"/>
              </w:rPr>
            </w:pPr>
            <w:r w:rsidRPr="000405CD">
              <w:rPr>
                <w:rFonts w:ascii="David" w:eastAsia="Times New Roman" w:hAnsi="David" w:cs="David"/>
                <w:color w:val="000000"/>
              </w:rPr>
              <w:t>3.1</w:t>
            </w:r>
          </w:p>
        </w:tc>
      </w:tr>
      <w:tr w:rsidTr="000405CD">
        <w:tblPrEx>
          <w:tblW w:w="6333" w:type="dxa"/>
          <w:jc w:val="center"/>
          <w:tblLook w:val="04A0"/>
        </w:tblPrEx>
        <w:trPr>
          <w:trHeight w:val="397"/>
          <w:jc w:val="center"/>
        </w:trPr>
        <w:tc>
          <w:tcPr>
            <w:tcW w:w="1594" w:type="dxa"/>
            <w:noWrap/>
            <w:vAlign w:val="center"/>
            <w:hideMark/>
          </w:tcPr>
          <w:p w:rsidR="00A210E9" w:rsidRPr="000405CD" w:rsidP="00A210E9">
            <w:pPr>
              <w:spacing w:line="269" w:lineRule="auto"/>
              <w:rPr>
                <w:rFonts w:ascii="David" w:eastAsia="Times New Roman" w:hAnsi="David" w:cs="David"/>
                <w:color w:val="000000"/>
              </w:rPr>
            </w:pPr>
            <w:r w:rsidRPr="000405CD">
              <w:rPr>
                <w:rFonts w:ascii="David" w:eastAsia="Times New Roman" w:hAnsi="David" w:cs="David"/>
                <w:color w:val="000000"/>
                <w:rtl/>
              </w:rPr>
              <w:t>הביטוח הלאומי</w:t>
            </w:r>
          </w:p>
        </w:tc>
        <w:tc>
          <w:tcPr>
            <w:tcW w:w="2044" w:type="dxa"/>
            <w:noWrap/>
            <w:vAlign w:val="center"/>
            <w:hideMark/>
          </w:tcPr>
          <w:p w:rsidR="00A210E9" w:rsidRPr="000405CD" w:rsidP="00A210E9">
            <w:pPr>
              <w:spacing w:line="269" w:lineRule="auto"/>
              <w:rPr>
                <w:rFonts w:ascii="David" w:eastAsia="Times New Roman" w:hAnsi="David" w:cs="David"/>
                <w:color w:val="000000"/>
                <w:rtl/>
              </w:rPr>
            </w:pPr>
            <w:r w:rsidRPr="000405CD">
              <w:rPr>
                <w:rFonts w:ascii="David" w:eastAsia="Times New Roman" w:hAnsi="David" w:cs="David"/>
                <w:color w:val="000000"/>
              </w:rPr>
              <w:t>30.1.23</w:t>
            </w:r>
          </w:p>
        </w:tc>
        <w:tc>
          <w:tcPr>
            <w:tcW w:w="1484" w:type="dxa"/>
            <w:noWrap/>
            <w:vAlign w:val="center"/>
            <w:hideMark/>
          </w:tcPr>
          <w:p w:rsidR="00A210E9" w:rsidRPr="000405CD" w:rsidP="00A210E9">
            <w:pPr>
              <w:spacing w:line="269" w:lineRule="auto"/>
              <w:rPr>
                <w:rFonts w:ascii="David" w:eastAsia="Times New Roman" w:hAnsi="David" w:cs="David"/>
                <w:color w:val="000000"/>
              </w:rPr>
            </w:pPr>
            <w:r w:rsidRPr="000405CD">
              <w:rPr>
                <w:rFonts w:ascii="David" w:eastAsia="Times New Roman" w:hAnsi="David" w:cs="David"/>
                <w:color w:val="000000"/>
              </w:rPr>
              <w:t>29.5.25</w:t>
            </w:r>
          </w:p>
        </w:tc>
        <w:tc>
          <w:tcPr>
            <w:tcW w:w="1211" w:type="dxa"/>
            <w:noWrap/>
            <w:vAlign w:val="center"/>
            <w:hideMark/>
          </w:tcPr>
          <w:p w:rsidR="00A210E9" w:rsidRPr="000405CD" w:rsidP="00A210E9">
            <w:pPr>
              <w:spacing w:line="269" w:lineRule="auto"/>
              <w:rPr>
                <w:rFonts w:ascii="David" w:eastAsia="Times New Roman" w:hAnsi="David" w:cs="David"/>
                <w:color w:val="000000"/>
              </w:rPr>
            </w:pPr>
            <w:r w:rsidRPr="000405CD">
              <w:rPr>
                <w:rFonts w:ascii="David" w:eastAsia="Times New Roman" w:hAnsi="David" w:cs="David"/>
                <w:color w:val="000000"/>
              </w:rPr>
              <w:t>2.3</w:t>
            </w:r>
          </w:p>
        </w:tc>
      </w:tr>
      <w:tr w:rsidTr="000405CD">
        <w:tblPrEx>
          <w:tblW w:w="6333" w:type="dxa"/>
          <w:jc w:val="center"/>
          <w:tblLook w:val="04A0"/>
        </w:tblPrEx>
        <w:trPr>
          <w:trHeight w:val="397"/>
          <w:jc w:val="center"/>
        </w:trPr>
        <w:tc>
          <w:tcPr>
            <w:tcW w:w="1594" w:type="dxa"/>
            <w:noWrap/>
            <w:vAlign w:val="center"/>
            <w:hideMark/>
          </w:tcPr>
          <w:p w:rsidR="00A210E9" w:rsidRPr="000405CD" w:rsidP="00A210E9">
            <w:pPr>
              <w:spacing w:line="269" w:lineRule="auto"/>
              <w:rPr>
                <w:rFonts w:ascii="David" w:eastAsia="Times New Roman" w:hAnsi="David" w:cs="David"/>
                <w:color w:val="000000"/>
              </w:rPr>
            </w:pPr>
            <w:r w:rsidRPr="000405CD">
              <w:rPr>
                <w:rFonts w:ascii="David" w:eastAsia="Times New Roman" w:hAnsi="David" w:cs="David"/>
                <w:color w:val="000000"/>
                <w:rtl/>
              </w:rPr>
              <w:t>הביטוח הלאומי</w:t>
            </w:r>
          </w:p>
        </w:tc>
        <w:tc>
          <w:tcPr>
            <w:tcW w:w="2044" w:type="dxa"/>
            <w:noWrap/>
            <w:vAlign w:val="center"/>
            <w:hideMark/>
          </w:tcPr>
          <w:p w:rsidR="00A210E9" w:rsidRPr="000405CD" w:rsidP="00A210E9">
            <w:pPr>
              <w:spacing w:line="269" w:lineRule="auto"/>
              <w:rPr>
                <w:rFonts w:ascii="David" w:eastAsia="Times New Roman" w:hAnsi="David" w:cs="David"/>
                <w:color w:val="000000"/>
              </w:rPr>
            </w:pPr>
            <w:r w:rsidRPr="000405CD">
              <w:rPr>
                <w:rFonts w:ascii="David" w:eastAsia="Times New Roman" w:hAnsi="David" w:cs="David"/>
                <w:color w:val="000000"/>
              </w:rPr>
              <w:t>1.1.23</w:t>
            </w:r>
          </w:p>
        </w:tc>
        <w:tc>
          <w:tcPr>
            <w:tcW w:w="1484" w:type="dxa"/>
            <w:noWrap/>
            <w:vAlign w:val="center"/>
            <w:hideMark/>
          </w:tcPr>
          <w:p w:rsidR="00A210E9" w:rsidRPr="000405CD" w:rsidP="00A210E9">
            <w:pPr>
              <w:spacing w:line="269" w:lineRule="auto"/>
              <w:rPr>
                <w:rFonts w:ascii="David" w:eastAsia="Times New Roman" w:hAnsi="David" w:cs="David"/>
                <w:color w:val="000000"/>
              </w:rPr>
            </w:pPr>
            <w:r w:rsidRPr="000405CD">
              <w:rPr>
                <w:rFonts w:ascii="David" w:eastAsia="Times New Roman" w:hAnsi="David" w:cs="David"/>
                <w:color w:val="000000"/>
              </w:rPr>
              <w:t>24.3.25</w:t>
            </w:r>
          </w:p>
        </w:tc>
        <w:tc>
          <w:tcPr>
            <w:tcW w:w="1211" w:type="dxa"/>
            <w:noWrap/>
            <w:vAlign w:val="center"/>
            <w:hideMark/>
          </w:tcPr>
          <w:p w:rsidR="00A210E9" w:rsidRPr="000405CD" w:rsidP="00A210E9">
            <w:pPr>
              <w:spacing w:line="269" w:lineRule="auto"/>
              <w:rPr>
                <w:rFonts w:ascii="David" w:eastAsia="Times New Roman" w:hAnsi="David" w:cs="David"/>
                <w:color w:val="000000"/>
              </w:rPr>
            </w:pPr>
            <w:r w:rsidRPr="000405CD">
              <w:rPr>
                <w:rFonts w:ascii="David" w:eastAsia="Times New Roman" w:hAnsi="David" w:cs="David"/>
                <w:color w:val="000000"/>
              </w:rPr>
              <w:t>2.2</w:t>
            </w:r>
          </w:p>
        </w:tc>
      </w:tr>
      <w:tr w:rsidTr="000405CD">
        <w:tblPrEx>
          <w:tblW w:w="6333" w:type="dxa"/>
          <w:jc w:val="center"/>
          <w:tblLook w:val="04A0"/>
        </w:tblPrEx>
        <w:trPr>
          <w:trHeight w:val="397"/>
          <w:jc w:val="center"/>
        </w:trPr>
        <w:tc>
          <w:tcPr>
            <w:tcW w:w="1594" w:type="dxa"/>
            <w:noWrap/>
            <w:vAlign w:val="center"/>
            <w:hideMark/>
          </w:tcPr>
          <w:p w:rsidR="00A210E9" w:rsidRPr="000405CD" w:rsidP="00A210E9">
            <w:pPr>
              <w:spacing w:line="269" w:lineRule="auto"/>
              <w:rPr>
                <w:rFonts w:ascii="David" w:eastAsia="Times New Roman" w:hAnsi="David" w:cs="David"/>
                <w:color w:val="000000"/>
              </w:rPr>
            </w:pPr>
            <w:r w:rsidRPr="000405CD">
              <w:rPr>
                <w:rFonts w:ascii="David" w:eastAsia="Times New Roman" w:hAnsi="David" w:cs="David"/>
                <w:color w:val="000000"/>
                <w:rtl/>
              </w:rPr>
              <w:t>הביטוח הלאומי</w:t>
            </w:r>
          </w:p>
        </w:tc>
        <w:tc>
          <w:tcPr>
            <w:tcW w:w="2044" w:type="dxa"/>
            <w:noWrap/>
            <w:vAlign w:val="center"/>
            <w:hideMark/>
          </w:tcPr>
          <w:p w:rsidR="00A210E9" w:rsidRPr="000405CD" w:rsidP="00A210E9">
            <w:pPr>
              <w:spacing w:line="269" w:lineRule="auto"/>
              <w:rPr>
                <w:rFonts w:ascii="David" w:eastAsia="Times New Roman" w:hAnsi="David" w:cs="David"/>
                <w:color w:val="000000"/>
                <w:rtl/>
              </w:rPr>
            </w:pPr>
            <w:r w:rsidRPr="000405CD">
              <w:rPr>
                <w:rFonts w:ascii="David" w:eastAsia="Times New Roman" w:hAnsi="David" w:cs="David"/>
                <w:color w:val="000000"/>
              </w:rPr>
              <w:t>14.11.23</w:t>
            </w:r>
          </w:p>
        </w:tc>
        <w:tc>
          <w:tcPr>
            <w:tcW w:w="1484" w:type="dxa"/>
            <w:noWrap/>
            <w:vAlign w:val="center"/>
            <w:hideMark/>
          </w:tcPr>
          <w:p w:rsidR="00A210E9" w:rsidRPr="000405CD" w:rsidP="00A210E9">
            <w:pPr>
              <w:spacing w:line="269" w:lineRule="auto"/>
              <w:rPr>
                <w:rFonts w:ascii="David" w:eastAsia="Times New Roman" w:hAnsi="David" w:cs="David"/>
                <w:color w:val="000000"/>
              </w:rPr>
            </w:pPr>
            <w:r w:rsidRPr="000405CD">
              <w:rPr>
                <w:rFonts w:ascii="David" w:eastAsia="Times New Roman" w:hAnsi="David" w:cs="David"/>
                <w:color w:val="000000"/>
              </w:rPr>
              <w:t>9.4.25</w:t>
            </w:r>
          </w:p>
        </w:tc>
        <w:tc>
          <w:tcPr>
            <w:tcW w:w="1211" w:type="dxa"/>
            <w:noWrap/>
            <w:vAlign w:val="center"/>
            <w:hideMark/>
          </w:tcPr>
          <w:p w:rsidR="00A210E9" w:rsidRPr="000405CD" w:rsidP="00A210E9">
            <w:pPr>
              <w:spacing w:line="269" w:lineRule="auto"/>
              <w:rPr>
                <w:rFonts w:ascii="David" w:eastAsia="Times New Roman" w:hAnsi="David" w:cs="David"/>
                <w:color w:val="000000"/>
              </w:rPr>
            </w:pPr>
            <w:r w:rsidRPr="000405CD">
              <w:rPr>
                <w:rFonts w:ascii="David" w:eastAsia="Times New Roman" w:hAnsi="David" w:cs="David"/>
                <w:color w:val="000000"/>
              </w:rPr>
              <w:t>1.4</w:t>
            </w:r>
          </w:p>
        </w:tc>
      </w:tr>
      <w:tr w:rsidTr="000405CD">
        <w:tblPrEx>
          <w:tblW w:w="6333" w:type="dxa"/>
          <w:jc w:val="center"/>
          <w:tblLook w:val="04A0"/>
        </w:tblPrEx>
        <w:trPr>
          <w:trHeight w:val="397"/>
          <w:jc w:val="center"/>
        </w:trPr>
        <w:tc>
          <w:tcPr>
            <w:tcW w:w="1594" w:type="dxa"/>
            <w:noWrap/>
            <w:vAlign w:val="center"/>
            <w:hideMark/>
          </w:tcPr>
          <w:p w:rsidR="00A210E9" w:rsidRPr="000405CD" w:rsidP="00A210E9">
            <w:pPr>
              <w:spacing w:line="269" w:lineRule="auto"/>
              <w:rPr>
                <w:rFonts w:ascii="David" w:eastAsia="Times New Roman" w:hAnsi="David" w:cs="David"/>
                <w:color w:val="000000"/>
              </w:rPr>
            </w:pPr>
            <w:r w:rsidRPr="000405CD">
              <w:rPr>
                <w:rFonts w:ascii="David" w:eastAsia="Times New Roman" w:hAnsi="David" w:cs="David"/>
                <w:color w:val="000000"/>
                <w:rtl/>
              </w:rPr>
              <w:t>הביטוח הלאומי</w:t>
            </w:r>
          </w:p>
        </w:tc>
        <w:tc>
          <w:tcPr>
            <w:tcW w:w="2044" w:type="dxa"/>
            <w:noWrap/>
            <w:vAlign w:val="center"/>
            <w:hideMark/>
          </w:tcPr>
          <w:p w:rsidR="00A210E9" w:rsidRPr="000405CD" w:rsidP="00A210E9">
            <w:pPr>
              <w:spacing w:line="269" w:lineRule="auto"/>
              <w:rPr>
                <w:rFonts w:ascii="David" w:eastAsia="Times New Roman" w:hAnsi="David" w:cs="David"/>
                <w:color w:val="000000"/>
                <w:rtl/>
              </w:rPr>
            </w:pPr>
            <w:r w:rsidRPr="000405CD">
              <w:rPr>
                <w:rFonts w:ascii="David" w:eastAsia="Times New Roman" w:hAnsi="David" w:cs="David"/>
                <w:color w:val="000000"/>
              </w:rPr>
              <w:t>18.04.23</w:t>
            </w:r>
          </w:p>
        </w:tc>
        <w:tc>
          <w:tcPr>
            <w:tcW w:w="1484" w:type="dxa"/>
            <w:noWrap/>
            <w:vAlign w:val="center"/>
            <w:hideMark/>
          </w:tcPr>
          <w:p w:rsidR="00A210E9" w:rsidRPr="000405CD" w:rsidP="00A210E9">
            <w:pPr>
              <w:spacing w:line="269" w:lineRule="auto"/>
              <w:rPr>
                <w:rFonts w:ascii="David" w:eastAsia="Times New Roman" w:hAnsi="David" w:cs="David"/>
                <w:color w:val="000000"/>
              </w:rPr>
            </w:pPr>
            <w:r w:rsidRPr="000405CD">
              <w:rPr>
                <w:rFonts w:ascii="David" w:eastAsia="Times New Roman" w:hAnsi="David" w:cs="David"/>
                <w:color w:val="000000"/>
              </w:rPr>
              <w:t>7.7.24</w:t>
            </w:r>
          </w:p>
        </w:tc>
        <w:tc>
          <w:tcPr>
            <w:tcW w:w="1211" w:type="dxa"/>
            <w:noWrap/>
            <w:vAlign w:val="center"/>
            <w:hideMark/>
          </w:tcPr>
          <w:p w:rsidR="00A210E9" w:rsidRPr="000405CD" w:rsidP="00A210E9">
            <w:pPr>
              <w:spacing w:line="269" w:lineRule="auto"/>
              <w:rPr>
                <w:rFonts w:ascii="David" w:eastAsia="Times New Roman" w:hAnsi="David" w:cs="David"/>
                <w:color w:val="000000"/>
              </w:rPr>
            </w:pPr>
            <w:r w:rsidRPr="000405CD">
              <w:rPr>
                <w:rFonts w:ascii="David" w:eastAsia="Times New Roman" w:hAnsi="David" w:cs="David"/>
                <w:color w:val="000000"/>
              </w:rPr>
              <w:t>1.2</w:t>
            </w:r>
          </w:p>
        </w:tc>
      </w:tr>
      <w:tr w:rsidTr="000405CD">
        <w:tblPrEx>
          <w:tblW w:w="6333" w:type="dxa"/>
          <w:jc w:val="center"/>
          <w:tblLook w:val="04A0"/>
        </w:tblPrEx>
        <w:trPr>
          <w:trHeight w:val="397"/>
          <w:jc w:val="center"/>
        </w:trPr>
        <w:tc>
          <w:tcPr>
            <w:tcW w:w="1594" w:type="dxa"/>
            <w:noWrap/>
            <w:vAlign w:val="center"/>
            <w:hideMark/>
          </w:tcPr>
          <w:p w:rsidR="00A210E9" w:rsidRPr="000405CD" w:rsidP="00A210E9">
            <w:pPr>
              <w:spacing w:line="269" w:lineRule="auto"/>
              <w:rPr>
                <w:rFonts w:ascii="David" w:eastAsia="Times New Roman" w:hAnsi="David" w:cs="David"/>
                <w:color w:val="000000"/>
              </w:rPr>
            </w:pPr>
            <w:r w:rsidRPr="000405CD">
              <w:rPr>
                <w:rFonts w:ascii="David" w:eastAsia="Times New Roman" w:hAnsi="David" w:cs="David"/>
                <w:color w:val="000000"/>
                <w:rtl/>
              </w:rPr>
              <w:t>הביטוח הלאומי</w:t>
            </w:r>
          </w:p>
        </w:tc>
        <w:tc>
          <w:tcPr>
            <w:tcW w:w="2044" w:type="dxa"/>
            <w:noWrap/>
            <w:vAlign w:val="center"/>
            <w:hideMark/>
          </w:tcPr>
          <w:p w:rsidR="00A210E9" w:rsidRPr="000405CD" w:rsidP="00A210E9">
            <w:pPr>
              <w:spacing w:line="269" w:lineRule="auto"/>
              <w:rPr>
                <w:rFonts w:ascii="David" w:eastAsia="Times New Roman" w:hAnsi="David" w:cs="David"/>
                <w:color w:val="000000"/>
                <w:rtl/>
              </w:rPr>
            </w:pPr>
            <w:r w:rsidRPr="000405CD">
              <w:rPr>
                <w:rFonts w:ascii="David" w:eastAsia="Times New Roman" w:hAnsi="David" w:cs="David"/>
                <w:color w:val="000000"/>
              </w:rPr>
              <w:t>5.5.24</w:t>
            </w:r>
          </w:p>
        </w:tc>
        <w:tc>
          <w:tcPr>
            <w:tcW w:w="1484" w:type="dxa"/>
            <w:noWrap/>
            <w:vAlign w:val="center"/>
            <w:hideMark/>
          </w:tcPr>
          <w:p w:rsidR="00A210E9" w:rsidRPr="000405CD" w:rsidP="00A210E9">
            <w:pPr>
              <w:spacing w:line="269" w:lineRule="auto"/>
              <w:rPr>
                <w:rFonts w:ascii="David" w:eastAsia="Times New Roman" w:hAnsi="David" w:cs="David"/>
                <w:color w:val="000000"/>
              </w:rPr>
            </w:pPr>
            <w:r w:rsidRPr="000405CD">
              <w:rPr>
                <w:rFonts w:ascii="David" w:eastAsia="Times New Roman" w:hAnsi="David" w:cs="David"/>
                <w:color w:val="000000"/>
              </w:rPr>
              <w:t>31.3.25</w:t>
            </w:r>
          </w:p>
        </w:tc>
        <w:tc>
          <w:tcPr>
            <w:tcW w:w="1211" w:type="dxa"/>
            <w:noWrap/>
            <w:vAlign w:val="center"/>
            <w:hideMark/>
          </w:tcPr>
          <w:p w:rsidR="00A210E9" w:rsidRPr="000405CD" w:rsidP="00A210E9">
            <w:pPr>
              <w:spacing w:line="269" w:lineRule="auto"/>
              <w:rPr>
                <w:rFonts w:ascii="David" w:eastAsia="Times New Roman" w:hAnsi="David" w:cs="David"/>
                <w:color w:val="000000"/>
              </w:rPr>
            </w:pPr>
            <w:r w:rsidRPr="000405CD">
              <w:rPr>
                <w:rFonts w:ascii="David" w:eastAsia="Times New Roman" w:hAnsi="David" w:cs="David"/>
                <w:color w:val="000000"/>
              </w:rPr>
              <w:t>0.9</w:t>
            </w:r>
          </w:p>
        </w:tc>
      </w:tr>
      <w:tr w:rsidTr="000405CD">
        <w:tblPrEx>
          <w:tblW w:w="6333" w:type="dxa"/>
          <w:jc w:val="center"/>
          <w:tblLook w:val="04A0"/>
        </w:tblPrEx>
        <w:trPr>
          <w:trHeight w:val="397"/>
          <w:jc w:val="center"/>
        </w:trPr>
        <w:tc>
          <w:tcPr>
            <w:tcW w:w="1594" w:type="dxa"/>
            <w:noWrap/>
            <w:vAlign w:val="center"/>
            <w:hideMark/>
          </w:tcPr>
          <w:p w:rsidR="00A210E9" w:rsidRPr="000405CD" w:rsidP="00A210E9">
            <w:pPr>
              <w:spacing w:line="269" w:lineRule="auto"/>
              <w:rPr>
                <w:rFonts w:ascii="David" w:eastAsia="Times New Roman" w:hAnsi="David" w:cs="David"/>
                <w:color w:val="000000"/>
              </w:rPr>
            </w:pPr>
            <w:r w:rsidRPr="000405CD">
              <w:rPr>
                <w:rFonts w:ascii="David" w:eastAsia="Times New Roman" w:hAnsi="David" w:cs="David"/>
                <w:color w:val="000000"/>
                <w:rtl/>
              </w:rPr>
              <w:t>הביטוח הלאומי</w:t>
            </w:r>
          </w:p>
        </w:tc>
        <w:tc>
          <w:tcPr>
            <w:tcW w:w="2044" w:type="dxa"/>
            <w:noWrap/>
            <w:vAlign w:val="center"/>
            <w:hideMark/>
          </w:tcPr>
          <w:p w:rsidR="00A210E9" w:rsidRPr="000405CD" w:rsidP="00A210E9">
            <w:pPr>
              <w:spacing w:line="269" w:lineRule="auto"/>
              <w:rPr>
                <w:rFonts w:ascii="David" w:eastAsia="Times New Roman" w:hAnsi="David" w:cs="David"/>
                <w:color w:val="000000"/>
                <w:rtl/>
              </w:rPr>
            </w:pPr>
            <w:r w:rsidRPr="000405CD">
              <w:rPr>
                <w:rFonts w:ascii="David" w:eastAsia="Times New Roman" w:hAnsi="David" w:cs="David"/>
                <w:color w:val="000000"/>
              </w:rPr>
              <w:t>1.9.24</w:t>
            </w:r>
          </w:p>
        </w:tc>
        <w:tc>
          <w:tcPr>
            <w:tcW w:w="1484" w:type="dxa"/>
            <w:noWrap/>
            <w:vAlign w:val="center"/>
            <w:hideMark/>
          </w:tcPr>
          <w:p w:rsidR="00A210E9" w:rsidRPr="000405CD" w:rsidP="00A210E9">
            <w:pPr>
              <w:spacing w:line="269" w:lineRule="auto"/>
              <w:rPr>
                <w:rFonts w:ascii="David" w:eastAsia="Times New Roman" w:hAnsi="David" w:cs="David"/>
                <w:color w:val="000000"/>
              </w:rPr>
            </w:pPr>
            <w:r w:rsidRPr="000405CD">
              <w:rPr>
                <w:rFonts w:ascii="David" w:eastAsia="Times New Roman" w:hAnsi="David" w:cs="David"/>
                <w:color w:val="000000"/>
              </w:rPr>
              <w:t>19.3.25</w:t>
            </w:r>
          </w:p>
        </w:tc>
        <w:tc>
          <w:tcPr>
            <w:tcW w:w="1211" w:type="dxa"/>
            <w:noWrap/>
            <w:vAlign w:val="center"/>
            <w:hideMark/>
          </w:tcPr>
          <w:p w:rsidR="00A210E9" w:rsidRPr="000405CD" w:rsidP="00A210E9">
            <w:pPr>
              <w:spacing w:line="269" w:lineRule="auto"/>
              <w:rPr>
                <w:rFonts w:ascii="David" w:eastAsia="Times New Roman" w:hAnsi="David" w:cs="David"/>
                <w:color w:val="000000"/>
              </w:rPr>
            </w:pPr>
            <w:r w:rsidRPr="000405CD">
              <w:rPr>
                <w:rFonts w:ascii="David" w:eastAsia="Times New Roman" w:hAnsi="David" w:cs="David"/>
                <w:color w:val="000000"/>
              </w:rPr>
              <w:t>0.5</w:t>
            </w:r>
          </w:p>
        </w:tc>
      </w:tr>
      <w:tr w:rsidTr="000405CD">
        <w:tblPrEx>
          <w:tblW w:w="6333" w:type="dxa"/>
          <w:jc w:val="center"/>
          <w:tblLook w:val="04A0"/>
        </w:tblPrEx>
        <w:trPr>
          <w:trHeight w:val="397"/>
          <w:jc w:val="center"/>
        </w:trPr>
        <w:tc>
          <w:tcPr>
            <w:tcW w:w="1594" w:type="dxa"/>
            <w:noWrap/>
            <w:vAlign w:val="center"/>
            <w:hideMark/>
          </w:tcPr>
          <w:p w:rsidR="00A210E9" w:rsidRPr="000405CD" w:rsidP="00A210E9">
            <w:pPr>
              <w:spacing w:line="269" w:lineRule="auto"/>
              <w:rPr>
                <w:rFonts w:ascii="David" w:eastAsia="Times New Roman" w:hAnsi="David" w:cs="David"/>
                <w:color w:val="000000"/>
              </w:rPr>
            </w:pPr>
            <w:r w:rsidRPr="000405CD">
              <w:rPr>
                <w:rFonts w:ascii="David" w:eastAsia="Times New Roman" w:hAnsi="David" w:cs="David"/>
                <w:color w:val="000000"/>
                <w:rtl/>
              </w:rPr>
              <w:t>הביטוח הלאומי</w:t>
            </w:r>
          </w:p>
        </w:tc>
        <w:tc>
          <w:tcPr>
            <w:tcW w:w="2044" w:type="dxa"/>
            <w:noWrap/>
            <w:vAlign w:val="center"/>
            <w:hideMark/>
          </w:tcPr>
          <w:p w:rsidR="00A210E9" w:rsidRPr="000405CD" w:rsidP="00A210E9">
            <w:pPr>
              <w:spacing w:line="269" w:lineRule="auto"/>
              <w:rPr>
                <w:rFonts w:ascii="David" w:eastAsia="Times New Roman" w:hAnsi="David" w:cs="David"/>
                <w:color w:val="000000"/>
                <w:rtl/>
              </w:rPr>
            </w:pPr>
            <w:r w:rsidRPr="000405CD">
              <w:rPr>
                <w:rFonts w:ascii="David" w:eastAsia="Times New Roman" w:hAnsi="David" w:cs="David"/>
                <w:color w:val="000000"/>
              </w:rPr>
              <w:t>18.1.24</w:t>
            </w:r>
          </w:p>
        </w:tc>
        <w:tc>
          <w:tcPr>
            <w:tcW w:w="1484" w:type="dxa"/>
            <w:noWrap/>
            <w:vAlign w:val="center"/>
            <w:hideMark/>
          </w:tcPr>
          <w:p w:rsidR="00A210E9" w:rsidRPr="000405CD" w:rsidP="00A210E9">
            <w:pPr>
              <w:spacing w:line="269" w:lineRule="auto"/>
              <w:rPr>
                <w:rFonts w:ascii="David" w:eastAsia="Times New Roman" w:hAnsi="David" w:cs="David"/>
                <w:color w:val="000000"/>
              </w:rPr>
            </w:pPr>
            <w:r w:rsidRPr="000405CD">
              <w:rPr>
                <w:rFonts w:ascii="David" w:eastAsia="Times New Roman" w:hAnsi="David" w:cs="David"/>
                <w:color w:val="000000"/>
              </w:rPr>
              <w:t>28.5.24</w:t>
            </w:r>
          </w:p>
        </w:tc>
        <w:tc>
          <w:tcPr>
            <w:tcW w:w="1211" w:type="dxa"/>
            <w:noWrap/>
            <w:vAlign w:val="center"/>
            <w:hideMark/>
          </w:tcPr>
          <w:p w:rsidR="00A210E9" w:rsidRPr="000405CD" w:rsidP="00A210E9">
            <w:pPr>
              <w:spacing w:line="269" w:lineRule="auto"/>
              <w:rPr>
                <w:rFonts w:ascii="David" w:eastAsia="Times New Roman" w:hAnsi="David" w:cs="David"/>
                <w:color w:val="000000"/>
              </w:rPr>
            </w:pPr>
            <w:r w:rsidRPr="000405CD">
              <w:rPr>
                <w:rFonts w:ascii="David" w:eastAsia="Times New Roman" w:hAnsi="David" w:cs="David"/>
                <w:color w:val="000000"/>
              </w:rPr>
              <w:t>0.4</w:t>
            </w:r>
          </w:p>
        </w:tc>
      </w:tr>
      <w:tr w:rsidTr="000405CD">
        <w:tblPrEx>
          <w:tblW w:w="6333" w:type="dxa"/>
          <w:jc w:val="center"/>
          <w:tblLook w:val="04A0"/>
        </w:tblPrEx>
        <w:trPr>
          <w:trHeight w:val="397"/>
          <w:jc w:val="center"/>
        </w:trPr>
        <w:tc>
          <w:tcPr>
            <w:tcW w:w="1594" w:type="dxa"/>
            <w:noWrap/>
            <w:vAlign w:val="center"/>
            <w:hideMark/>
          </w:tcPr>
          <w:p w:rsidR="00A210E9" w:rsidRPr="000405CD" w:rsidP="00A210E9">
            <w:pPr>
              <w:spacing w:line="269" w:lineRule="auto"/>
              <w:rPr>
                <w:rFonts w:ascii="David" w:eastAsia="Times New Roman" w:hAnsi="David" w:cs="David"/>
                <w:color w:val="000000"/>
              </w:rPr>
            </w:pPr>
            <w:r w:rsidRPr="000405CD">
              <w:rPr>
                <w:rFonts w:ascii="David" w:eastAsia="Times New Roman" w:hAnsi="David" w:cs="David"/>
                <w:color w:val="000000"/>
                <w:rtl/>
              </w:rPr>
              <w:t>אגף השיקום</w:t>
            </w:r>
          </w:p>
        </w:tc>
        <w:tc>
          <w:tcPr>
            <w:tcW w:w="2044" w:type="dxa"/>
            <w:noWrap/>
            <w:vAlign w:val="center"/>
            <w:hideMark/>
          </w:tcPr>
          <w:p w:rsidR="00A210E9" w:rsidRPr="000405CD" w:rsidP="00A210E9">
            <w:pPr>
              <w:spacing w:line="269" w:lineRule="auto"/>
              <w:rPr>
                <w:rFonts w:ascii="David" w:eastAsia="Times New Roman" w:hAnsi="David" w:cs="David"/>
                <w:color w:val="000000"/>
                <w:rtl/>
              </w:rPr>
            </w:pPr>
            <w:r w:rsidRPr="000405CD">
              <w:rPr>
                <w:rFonts w:ascii="David" w:eastAsia="Times New Roman" w:hAnsi="David" w:cs="David"/>
                <w:color w:val="000000"/>
              </w:rPr>
              <w:t>4.4.24</w:t>
            </w:r>
          </w:p>
        </w:tc>
        <w:tc>
          <w:tcPr>
            <w:tcW w:w="1484" w:type="dxa"/>
            <w:noWrap/>
            <w:vAlign w:val="center"/>
            <w:hideMark/>
          </w:tcPr>
          <w:p w:rsidR="00A210E9" w:rsidRPr="000405CD" w:rsidP="00A210E9">
            <w:pPr>
              <w:spacing w:line="269" w:lineRule="auto"/>
              <w:rPr>
                <w:rFonts w:ascii="David" w:eastAsia="Times New Roman" w:hAnsi="David" w:cs="David"/>
                <w:color w:val="000000"/>
              </w:rPr>
            </w:pPr>
            <w:r w:rsidRPr="000405CD">
              <w:rPr>
                <w:rFonts w:ascii="David" w:eastAsia="Times New Roman" w:hAnsi="David" w:cs="David"/>
                <w:color w:val="000000"/>
              </w:rPr>
              <w:t>11.7.24</w:t>
            </w:r>
          </w:p>
        </w:tc>
        <w:tc>
          <w:tcPr>
            <w:tcW w:w="1211" w:type="dxa"/>
            <w:noWrap/>
            <w:vAlign w:val="center"/>
            <w:hideMark/>
          </w:tcPr>
          <w:p w:rsidR="00A210E9" w:rsidRPr="000405CD" w:rsidP="00A210E9">
            <w:pPr>
              <w:spacing w:line="269" w:lineRule="auto"/>
              <w:rPr>
                <w:rFonts w:ascii="David" w:eastAsia="Times New Roman" w:hAnsi="David" w:cs="David"/>
                <w:color w:val="000000"/>
              </w:rPr>
            </w:pPr>
            <w:r w:rsidRPr="000405CD">
              <w:rPr>
                <w:rFonts w:ascii="David" w:eastAsia="Times New Roman" w:hAnsi="David" w:cs="David"/>
                <w:color w:val="000000"/>
              </w:rPr>
              <w:t>0.3</w:t>
            </w:r>
          </w:p>
        </w:tc>
      </w:tr>
    </w:tbl>
    <w:p w:rsidR="00A210E9" w:rsidRPr="00A210E9" w:rsidP="00A210E9">
      <w:pPr>
        <w:spacing w:line="269" w:lineRule="auto"/>
        <w:rPr>
          <w:rFonts w:eastAsia="Calibri"/>
          <w:szCs w:val="20"/>
          <w:rtl/>
        </w:rPr>
      </w:pPr>
      <w:r w:rsidRPr="00A210E9">
        <w:rPr>
          <w:rFonts w:eastAsia="Calibri" w:hint="eastAsia"/>
          <w:szCs w:val="20"/>
          <w:rtl/>
        </w:rPr>
        <w:t>על</w:t>
      </w:r>
      <w:r w:rsidRPr="00A210E9">
        <w:rPr>
          <w:rFonts w:eastAsia="Calibri"/>
          <w:szCs w:val="20"/>
          <w:rtl/>
        </w:rPr>
        <w:t xml:space="preserve"> פי נתוני אגף הרישוי, בעיבוד משרד מבקר המדינה</w:t>
      </w:r>
      <w:r w:rsidRPr="00A210E9">
        <w:rPr>
          <w:rFonts w:eastAsia="Calibri" w:hint="cs"/>
          <w:szCs w:val="20"/>
          <w:rtl/>
        </w:rPr>
        <w:t>.</w:t>
      </w:r>
    </w:p>
    <w:p w:rsidR="00A210E9" w:rsidRPr="00A210E9" w:rsidP="00A210E9">
      <w:pPr>
        <w:spacing w:line="269" w:lineRule="auto"/>
        <w:rPr>
          <w:rFonts w:eastAsia="Calibri"/>
          <w:sz w:val="16"/>
          <w:szCs w:val="20"/>
          <w:rtl/>
        </w:rPr>
      </w:pPr>
      <w:r w:rsidRPr="00A210E9">
        <w:rPr>
          <w:rFonts w:eastAsia="Calibri" w:hint="cs"/>
          <w:sz w:val="16"/>
          <w:szCs w:val="20"/>
          <w:rtl/>
        </w:rPr>
        <w:t>*</w:t>
      </w:r>
      <w:r w:rsidRPr="00A210E9">
        <w:rPr>
          <w:rFonts w:eastAsia="Calibri"/>
          <w:sz w:val="16"/>
          <w:szCs w:val="20"/>
          <w:rtl/>
        </w:rPr>
        <w:t xml:space="preserve"> </w:t>
      </w:r>
      <w:r w:rsidRPr="00A210E9">
        <w:rPr>
          <w:rFonts w:eastAsia="Calibri" w:hint="cs"/>
          <w:sz w:val="16"/>
          <w:szCs w:val="20"/>
          <w:rtl/>
        </w:rPr>
        <w:t>עדכון סוג התג על ידי אגף הרישוי נעשה לאחר הפנייה אליו.</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 xml:space="preserve">מהלוח עולה כי ב-3 מתוך 13 המקרים במדגם עודכן סוג תג החניה לתג כיסא גלגלים 7 - 10 שנים לאחר שהוכרה נכות המזכה בתג כיסא גלגלים; ב-4 מקרים נעשה העדכון לאחר 2 - 5 שנים; </w:t>
      </w:r>
      <w:r w:rsidR="0087347C">
        <w:rPr>
          <w:rFonts w:eastAsia="Calibri"/>
          <w:b/>
          <w:bCs/>
          <w:rtl/>
        </w:rPr>
        <w:br/>
      </w:r>
      <w:r w:rsidRPr="00A210E9">
        <w:rPr>
          <w:rFonts w:eastAsia="Calibri" w:hint="cs"/>
          <w:b/>
          <w:bCs/>
          <w:rtl/>
        </w:rPr>
        <w:t>ב-3 מקרים נעשה העדכון לאחר חצי שנה עד שנתיים וב-3 מקרים נוספים בתוך חצי שנה.</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 xml:space="preserve">בביקורת עלה כי בשל מגבלה מחשובית בקשה לשינוי סוג תג, מתג רגיל לתג כיסא גלגלים, אינה נקלטת באופן אוטומטי במערכות אגף הרישוי, והיא מצריכה עבודה ידנית בתוך האגף. אף במקרים שבהם אנשים עם מוגבלות מקבלים זכאות לתג כיסא גלגלים מגופים מאשרים אחרים, כמו הביטוח הלאומי ואגף השיקום, זכאות זו אינה נקלטת באופן אוטומטי במערכות המידע של אגף הרישוי.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מומלץ למשרד התחבורה לגבש מנגנון לטיפול בשינוי סוג התג, מתג רגיל לתג כיסא גלגלים, כך שהבקשות ייקלטו במערכות הממוחשבות של אגף הרישוי ללא מגע יד אדם. כמו כן, כדי לוודא שאין בקשות ישנות הממתינות לעדכון, מומלץ למשרד התחבורה לפעול לבחינת כלל האנשים עם מוגבלות שאושרה להם נכות המזכה בתג כיסא גלגלים בכל אחד מהגופים המאשרים.</w:t>
      </w:r>
    </w:p>
    <w:p w:rsidR="00A210E9" w:rsidRPr="00A210E9" w:rsidP="00A210E9">
      <w:pPr>
        <w:keepNext/>
        <w:keepLines/>
        <w:spacing w:line="269" w:lineRule="auto"/>
        <w:ind w:left="-567"/>
        <w:rPr>
          <w:rFonts w:eastAsia="Calibri"/>
          <w:szCs w:val="20"/>
          <w:rtl/>
        </w:rPr>
      </w:pPr>
    </w:p>
    <w:p w:rsidR="00A210E9" w:rsidRPr="00A210E9" w:rsidP="00A210E9">
      <w:pPr>
        <w:keepNext/>
        <w:keepLines/>
        <w:spacing w:line="269" w:lineRule="auto"/>
        <w:outlineLvl w:val="4"/>
        <w:rPr>
          <w:rFonts w:eastAsia="Times New Roman"/>
          <w:bCs/>
          <w:spacing w:val="40"/>
          <w:rtl/>
        </w:rPr>
      </w:pPr>
      <w:r w:rsidRPr="00A210E9">
        <w:rPr>
          <w:rFonts w:eastAsia="Times New Roman" w:hint="cs"/>
          <w:bCs/>
          <w:spacing w:val="40"/>
          <w:rtl/>
        </w:rPr>
        <w:t>עדכון תוקף תג חניה לצמיתות עבור קטועי רגליים</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באפריל 2024 פרסם משרד התחבורה באתר שלו במרשתת טופס מקוון ייעודי עבור </w:t>
      </w:r>
      <w:r w:rsidRPr="00A210E9">
        <w:rPr>
          <w:rFonts w:eastAsia="Calibri"/>
          <w:rtl/>
        </w:rPr>
        <w:t>אוכלוסיית קטועי רגליים בלבד</w:t>
      </w:r>
      <w:r>
        <w:rPr>
          <w:rFonts w:eastAsia="Calibri"/>
          <w:vertAlign w:val="superscript"/>
          <w:rtl/>
        </w:rPr>
        <w:footnoteReference w:id="161"/>
      </w:r>
      <w:r w:rsidRPr="00A210E9">
        <w:rPr>
          <w:rFonts w:eastAsia="Calibri"/>
          <w:rtl/>
        </w:rPr>
        <w:t xml:space="preserve"> שאושר להם תג חניה לתקופה מוגבלת ו</w:t>
      </w:r>
      <w:r w:rsidRPr="00A210E9">
        <w:rPr>
          <w:rFonts w:eastAsia="Calibri" w:hint="cs"/>
          <w:rtl/>
        </w:rPr>
        <w:t xml:space="preserve">הם </w:t>
      </w:r>
      <w:r w:rsidRPr="00A210E9">
        <w:rPr>
          <w:rFonts w:eastAsia="Calibri"/>
          <w:rtl/>
        </w:rPr>
        <w:t xml:space="preserve">מבקשים תג חניה </w:t>
      </w:r>
      <w:r w:rsidRPr="00A210E9">
        <w:rPr>
          <w:rFonts w:eastAsia="Calibri" w:hint="cs"/>
          <w:rtl/>
        </w:rPr>
        <w:t>לצמיתות</w:t>
      </w:r>
      <w:r>
        <w:rPr>
          <w:rFonts w:eastAsia="Calibri"/>
          <w:vertAlign w:val="superscript"/>
          <w:rtl/>
        </w:rPr>
        <w:footnoteReference w:id="162"/>
      </w:r>
      <w:r w:rsidRPr="00A210E9">
        <w:rPr>
          <w:rFonts w:eastAsia="Calibri"/>
          <w:rtl/>
        </w:rPr>
        <w:t>.</w:t>
      </w:r>
      <w:r w:rsidRPr="00A210E9">
        <w:rPr>
          <w:rFonts w:eastAsia="Calibri" w:hint="cs"/>
          <w:rtl/>
        </w:rPr>
        <w:t xml:space="preserve"> על מגישי הבקשה לצרף </w:t>
      </w:r>
      <w:r w:rsidRPr="00A210E9">
        <w:rPr>
          <w:rFonts w:eastAsia="Calibri"/>
          <w:rtl/>
        </w:rPr>
        <w:t>מסמכים רפואיים המעידים על קטיעה ברגליים</w:t>
      </w:r>
      <w:r w:rsidRPr="00A210E9">
        <w:rPr>
          <w:rFonts w:eastAsia="Calibri" w:hint="cs"/>
          <w:rtl/>
        </w:rPr>
        <w:t xml:space="preserve">. באתר של אגף הרישוי במרשתת מקושר הטופס לעמוד של "רישיון נהיגה" בלבד ולא לעמוד של "תג חניה לנכה".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עמותת הצעד הבא כתבה בתשובתה כי לפונה אין מידע שאפשר ללמוד ממנו אם אגף הרישוי קיבל את בקשתו, ואם הוא אישר אותה.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באתר אגף הרישוי במרשתת הטופס הייעודי עבור אוכלוסיית קטועי רגליים אינו נגיש לציבור הגולשים בעמוד "תג חניה לנכה" אלא בעמוד "רישיון נהיגה" בלבד שאינו אינטואיטיבי למציאת מידע בנושא זה, שכן הנושא מתקשר אליו רק באופן עקיף. המצב עלול לבלבל את המשתמשים שמבקשים להגיש בקשה לשינוי תוקף תג לצמיתות. נוסף על כך, יש אוכלוסיות נוספות שעשויות להימצא זכאיות לשינוי תוקף תג מזמני לצמיתות.</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על משרד התחבורה לקשר את העמוד "בקשה לעדכון תקופת תוקף תג חניה לאוכלוסיית קטועי רגליים" לעמוד הראשי של "תג חניה לנכה" באתר המשרד במרשתת, כך שיהיה נגיש לכל גולש שמגיע לעמוד זה. כמו כן, מומלץ שהמשרד יכלול בטופס זה גם אוכלוסיות נוספות שיכולות להיות זכאיות לתג חניה לצמיתות, כדי למנוע אפלייתן.</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משרד התחבורה כתב בתשובתו כי </w:t>
      </w:r>
      <w:r w:rsidRPr="00A210E9">
        <w:rPr>
          <w:rFonts w:eastAsia="Calibri"/>
          <w:rtl/>
        </w:rPr>
        <w:t>בדף השירות</w:t>
      </w:r>
      <w:r w:rsidRPr="00A210E9">
        <w:rPr>
          <w:rFonts w:eastAsia="Calibri" w:hint="cs"/>
          <w:rtl/>
        </w:rPr>
        <w:t xml:space="preserve"> </w:t>
      </w:r>
      <w:r w:rsidRPr="00A210E9">
        <w:rPr>
          <w:rFonts w:eastAsia="Calibri"/>
          <w:rtl/>
        </w:rPr>
        <w:t>הראשי "תג חניה לנכה" נוסף קישור ייעודי לבקשה לעדכון תקופת תוקף תג חניה עבור</w:t>
      </w:r>
      <w:r w:rsidRPr="00A210E9">
        <w:rPr>
          <w:rFonts w:eastAsia="Calibri" w:hint="cs"/>
          <w:rtl/>
        </w:rPr>
        <w:t xml:space="preserve"> </w:t>
      </w:r>
      <w:r w:rsidRPr="00A210E9">
        <w:rPr>
          <w:rFonts w:eastAsia="Calibri"/>
          <w:rtl/>
        </w:rPr>
        <w:t xml:space="preserve">אוכלוסיית קטועי רגליים, וכן נוסף פרק תוכן ייעודי בנושא. </w:t>
      </w:r>
      <w:r w:rsidRPr="00A210E9">
        <w:rPr>
          <w:rFonts w:eastAsia="Calibri" w:hint="cs"/>
          <w:rtl/>
        </w:rPr>
        <w:t xml:space="preserve">עוד ציין משרד התחבורה כי </w:t>
      </w:r>
      <w:r w:rsidRPr="00A210E9">
        <w:rPr>
          <w:rFonts w:eastAsia="Calibri"/>
          <w:rtl/>
        </w:rPr>
        <w:t>בכך תוקנה אי</w:t>
      </w:r>
      <w:r w:rsidRPr="00A210E9">
        <w:rPr>
          <w:rFonts w:eastAsia="Calibri" w:hint="cs"/>
          <w:rtl/>
        </w:rPr>
        <w:t>-</w:t>
      </w:r>
      <w:r w:rsidRPr="00A210E9">
        <w:rPr>
          <w:rFonts w:eastAsia="Calibri"/>
          <w:rtl/>
        </w:rPr>
        <w:t>הבהירות</w:t>
      </w:r>
      <w:r w:rsidRPr="00A210E9">
        <w:rPr>
          <w:rFonts w:eastAsia="Calibri" w:hint="cs"/>
          <w:rtl/>
        </w:rPr>
        <w:t xml:space="preserve"> ששררה</w:t>
      </w:r>
      <w:r w:rsidRPr="00A210E9">
        <w:rPr>
          <w:rFonts w:eastAsia="Calibri"/>
          <w:rtl/>
        </w:rPr>
        <w:t xml:space="preserve"> בעבר </w:t>
      </w:r>
      <w:r w:rsidRPr="00A210E9">
        <w:rPr>
          <w:rFonts w:eastAsia="Calibri" w:hint="cs"/>
          <w:rtl/>
        </w:rPr>
        <w:t>בנוגע</w:t>
      </w:r>
      <w:r w:rsidRPr="00A210E9">
        <w:rPr>
          <w:rFonts w:eastAsia="Calibri"/>
          <w:rtl/>
        </w:rPr>
        <w:t xml:space="preserve"> למקום </w:t>
      </w:r>
      <w:r w:rsidRPr="00A210E9">
        <w:rPr>
          <w:rFonts w:eastAsia="Calibri" w:hint="cs"/>
          <w:rtl/>
        </w:rPr>
        <w:t xml:space="preserve">שבו ניתן </w:t>
      </w:r>
      <w:r w:rsidRPr="00A210E9">
        <w:rPr>
          <w:rFonts w:eastAsia="Calibri"/>
          <w:rtl/>
        </w:rPr>
        <w:t>השירות</w:t>
      </w:r>
      <w:r w:rsidRPr="00A210E9">
        <w:rPr>
          <w:rFonts w:eastAsia="Calibri" w:hint="cs"/>
          <w:rtl/>
        </w:rPr>
        <w:t>,</w:t>
      </w:r>
      <w:r w:rsidRPr="00A210E9">
        <w:rPr>
          <w:rFonts w:eastAsia="Calibri"/>
          <w:rtl/>
        </w:rPr>
        <w:t xml:space="preserve"> </w:t>
      </w:r>
      <w:r w:rsidRPr="00A210E9">
        <w:rPr>
          <w:rFonts w:eastAsia="Calibri" w:hint="cs"/>
          <w:rtl/>
        </w:rPr>
        <w:t>וכי בד בבד</w:t>
      </w:r>
      <w:r w:rsidRPr="00A210E9">
        <w:rPr>
          <w:rFonts w:eastAsia="Calibri"/>
          <w:rtl/>
        </w:rPr>
        <w:t>, במסגרת פיתוח המערכת הרפואית</w:t>
      </w:r>
      <w:r w:rsidRPr="00A210E9">
        <w:rPr>
          <w:rFonts w:eastAsia="Calibri" w:hint="cs"/>
          <w:rtl/>
        </w:rPr>
        <w:t xml:space="preserve"> </w:t>
      </w:r>
      <w:r w:rsidRPr="00A210E9">
        <w:rPr>
          <w:rFonts w:eastAsia="Calibri"/>
          <w:rtl/>
        </w:rPr>
        <w:t>החדשה, יוטמע פתרון מערכתי מלא.</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אגף השיקום מאשר זכאות של נכי צה"ל לתג חניה לאחר שנקבעו שיעורי נכות קבועים, וזאת לאחר תקופה שבה מתבררת חומרת המוגבלות הקבועה. בעקבות המספר הגדול של הנפגעים במלחמת חרבות ברזל יישם </w:t>
      </w:r>
      <w:r w:rsidRPr="00A210E9">
        <w:rPr>
          <w:rFonts w:eastAsia="Calibri" w:hint="eastAsia"/>
          <w:rtl/>
        </w:rPr>
        <w:t>האגף</w:t>
      </w:r>
      <w:r w:rsidRPr="00A210E9">
        <w:rPr>
          <w:rFonts w:eastAsia="Calibri"/>
          <w:rtl/>
        </w:rPr>
        <w:t xml:space="preserve"> נוהל - הוראת שעה</w:t>
      </w:r>
      <w:r>
        <w:rPr>
          <w:rFonts w:eastAsia="Calibri"/>
          <w:vertAlign w:val="superscript"/>
          <w:rtl/>
        </w:rPr>
        <w:footnoteReference w:id="163"/>
      </w:r>
      <w:r w:rsidRPr="00A210E9">
        <w:rPr>
          <w:rFonts w:eastAsia="Calibri"/>
          <w:rtl/>
        </w:rPr>
        <w:t xml:space="preserve"> </w:t>
      </w:r>
      <w:r w:rsidRPr="00A210E9">
        <w:rPr>
          <w:rFonts w:eastAsia="Calibri" w:hint="eastAsia"/>
          <w:rtl/>
        </w:rPr>
        <w:t>בשיתוף</w:t>
      </w:r>
      <w:r w:rsidRPr="00A210E9">
        <w:rPr>
          <w:rFonts w:eastAsia="Calibri"/>
          <w:rtl/>
        </w:rPr>
        <w:t xml:space="preserve"> עם משרד התחבורה</w:t>
      </w:r>
      <w:r w:rsidRPr="00A210E9">
        <w:rPr>
          <w:rFonts w:eastAsia="Calibri" w:hint="cs"/>
          <w:rtl/>
        </w:rPr>
        <w:t xml:space="preserve"> עבור פצועי המלחמה שטרם נערכה להם ועדה רפואית לקביעת אחוזי נכות</w:t>
      </w:r>
      <w:r w:rsidRPr="00A210E9">
        <w:rPr>
          <w:rFonts w:eastAsia="Calibri"/>
          <w:rtl/>
        </w:rPr>
        <w:t xml:space="preserve">. </w:t>
      </w:r>
      <w:r w:rsidRPr="00A210E9">
        <w:rPr>
          <w:rFonts w:eastAsia="Calibri" w:hint="eastAsia"/>
          <w:rtl/>
        </w:rPr>
        <w:t>לפי</w:t>
      </w:r>
      <w:r w:rsidRPr="00A210E9">
        <w:rPr>
          <w:rFonts w:eastAsia="Calibri"/>
          <w:rtl/>
        </w:rPr>
        <w:t xml:space="preserve"> </w:t>
      </w:r>
      <w:r w:rsidRPr="00A210E9">
        <w:rPr>
          <w:rFonts w:eastAsia="Calibri" w:hint="eastAsia"/>
          <w:rtl/>
        </w:rPr>
        <w:t>הנוהל</w:t>
      </w:r>
      <w:r w:rsidRPr="00A210E9">
        <w:rPr>
          <w:rFonts w:eastAsia="Calibri"/>
          <w:rtl/>
        </w:rPr>
        <w:t xml:space="preserve">, רופאי אגף השיקום </w:t>
      </w:r>
      <w:r w:rsidRPr="00A210E9">
        <w:rPr>
          <w:rFonts w:eastAsia="Calibri" w:hint="eastAsia"/>
          <w:rtl/>
        </w:rPr>
        <w:t>מבצעים</w:t>
      </w:r>
      <w:r w:rsidRPr="00A210E9">
        <w:rPr>
          <w:rFonts w:eastAsia="Calibri"/>
          <w:rtl/>
        </w:rPr>
        <w:t xml:space="preserve"> את המיון הראשוני </w:t>
      </w:r>
      <w:r w:rsidRPr="00A210E9">
        <w:rPr>
          <w:rFonts w:eastAsia="Calibri" w:hint="eastAsia"/>
          <w:rtl/>
        </w:rPr>
        <w:t>של</w:t>
      </w:r>
      <w:r w:rsidRPr="00A210E9">
        <w:rPr>
          <w:rFonts w:eastAsia="Calibri"/>
          <w:rtl/>
        </w:rPr>
        <w:t xml:space="preserve"> </w:t>
      </w:r>
      <w:r w:rsidRPr="00A210E9">
        <w:rPr>
          <w:rFonts w:eastAsia="Calibri" w:hint="eastAsia"/>
          <w:rtl/>
        </w:rPr>
        <w:t>הפצועים</w:t>
      </w:r>
      <w:r w:rsidRPr="00A210E9">
        <w:rPr>
          <w:rFonts w:eastAsia="Calibri"/>
          <w:rtl/>
        </w:rPr>
        <w:t xml:space="preserve">. </w:t>
      </w:r>
      <w:r w:rsidRPr="00A210E9">
        <w:rPr>
          <w:rFonts w:eastAsia="Calibri" w:hint="cs"/>
          <w:rtl/>
        </w:rPr>
        <w:t xml:space="preserve">עבור </w:t>
      </w:r>
      <w:r w:rsidRPr="00A210E9">
        <w:rPr>
          <w:rFonts w:eastAsia="Calibri" w:hint="eastAsia"/>
          <w:rtl/>
        </w:rPr>
        <w:t>פצועים</w:t>
      </w:r>
      <w:r w:rsidRPr="00A210E9">
        <w:rPr>
          <w:rFonts w:eastAsia="Calibri"/>
          <w:rtl/>
        </w:rPr>
        <w:t xml:space="preserve"> </w:t>
      </w:r>
      <w:r w:rsidRPr="00A210E9">
        <w:rPr>
          <w:rFonts w:eastAsia="Calibri" w:hint="eastAsia"/>
          <w:rtl/>
        </w:rPr>
        <w:t>אשר</w:t>
      </w:r>
      <w:r w:rsidRPr="00A210E9">
        <w:rPr>
          <w:rFonts w:eastAsia="Calibri"/>
          <w:rtl/>
        </w:rPr>
        <w:t xml:space="preserve"> </w:t>
      </w:r>
      <w:r w:rsidRPr="00A210E9">
        <w:rPr>
          <w:rFonts w:eastAsia="Calibri" w:hint="eastAsia"/>
          <w:rtl/>
        </w:rPr>
        <w:t>עונים</w:t>
      </w:r>
      <w:r w:rsidRPr="00A210E9">
        <w:rPr>
          <w:rFonts w:eastAsia="Calibri"/>
          <w:rtl/>
        </w:rPr>
        <w:t xml:space="preserve"> </w:t>
      </w:r>
      <w:r w:rsidRPr="00A210E9">
        <w:rPr>
          <w:rFonts w:eastAsia="Calibri" w:hint="eastAsia"/>
          <w:rtl/>
        </w:rPr>
        <w:t>על</w:t>
      </w:r>
      <w:r w:rsidRPr="00A210E9">
        <w:rPr>
          <w:rFonts w:eastAsia="Calibri"/>
          <w:rtl/>
        </w:rPr>
        <w:t xml:space="preserve"> </w:t>
      </w:r>
      <w:r w:rsidRPr="00A210E9">
        <w:rPr>
          <w:rFonts w:eastAsia="Calibri" w:hint="eastAsia"/>
          <w:rtl/>
        </w:rPr>
        <w:t>הקריטריונים</w:t>
      </w:r>
      <w:r w:rsidRPr="00A210E9">
        <w:rPr>
          <w:rFonts w:eastAsia="Calibri"/>
          <w:rtl/>
        </w:rPr>
        <w:t xml:space="preserve"> </w:t>
      </w:r>
      <w:r w:rsidRPr="00A210E9">
        <w:rPr>
          <w:rFonts w:eastAsia="Calibri" w:hint="eastAsia"/>
          <w:rtl/>
        </w:rPr>
        <w:t>לתג</w:t>
      </w:r>
      <w:r w:rsidRPr="00A210E9">
        <w:rPr>
          <w:rFonts w:eastAsia="Calibri"/>
          <w:rtl/>
        </w:rPr>
        <w:t xml:space="preserve"> </w:t>
      </w:r>
      <w:r w:rsidRPr="00A210E9">
        <w:rPr>
          <w:rFonts w:eastAsia="Calibri" w:hint="eastAsia"/>
          <w:rtl/>
        </w:rPr>
        <w:t>חניה</w:t>
      </w:r>
      <w:r w:rsidRPr="00A210E9">
        <w:rPr>
          <w:rFonts w:eastAsia="Calibri"/>
          <w:rtl/>
        </w:rPr>
        <w:t xml:space="preserve"> </w:t>
      </w:r>
      <w:r w:rsidRPr="00A210E9">
        <w:rPr>
          <w:rFonts w:eastAsia="Calibri" w:hint="eastAsia"/>
          <w:rtl/>
        </w:rPr>
        <w:t>נוכח</w:t>
      </w:r>
      <w:r w:rsidRPr="00A210E9">
        <w:rPr>
          <w:rFonts w:eastAsia="Calibri"/>
          <w:rtl/>
        </w:rPr>
        <w:t xml:space="preserve"> </w:t>
      </w:r>
      <w:r w:rsidRPr="00A210E9">
        <w:rPr>
          <w:rFonts w:eastAsia="Calibri" w:hint="eastAsia"/>
          <w:rtl/>
        </w:rPr>
        <w:t>מצבם</w:t>
      </w:r>
      <w:r w:rsidRPr="00A210E9">
        <w:rPr>
          <w:rFonts w:eastAsia="Calibri" w:hint="cs"/>
          <w:rtl/>
        </w:rPr>
        <w:t xml:space="preserve"> העכשווי</w:t>
      </w:r>
      <w:r w:rsidRPr="00A210E9">
        <w:rPr>
          <w:rFonts w:eastAsia="Calibri"/>
          <w:rtl/>
        </w:rPr>
        <w:t>, אגף השיקום שולח המלצה למשרד התחבורה להנפק</w:t>
      </w:r>
      <w:r w:rsidRPr="00A210E9">
        <w:rPr>
          <w:rFonts w:eastAsia="Calibri" w:hint="eastAsia"/>
          <w:rtl/>
        </w:rPr>
        <w:t>ת</w:t>
      </w:r>
      <w:r w:rsidRPr="00A210E9">
        <w:rPr>
          <w:rFonts w:eastAsia="Calibri"/>
          <w:rtl/>
        </w:rPr>
        <w:t xml:space="preserve"> </w:t>
      </w:r>
      <w:r w:rsidRPr="00A210E9">
        <w:rPr>
          <w:rFonts w:eastAsia="Calibri" w:hint="eastAsia"/>
          <w:rtl/>
        </w:rPr>
        <w:t>התג</w:t>
      </w:r>
      <w:r w:rsidRPr="00A210E9">
        <w:rPr>
          <w:rFonts w:eastAsia="Calibri"/>
          <w:rtl/>
        </w:rPr>
        <w:t xml:space="preserve">, ללא צורך בבדיקה נוספת, </w:t>
      </w:r>
      <w:r w:rsidRPr="00A210E9">
        <w:rPr>
          <w:rFonts w:eastAsia="Calibri" w:hint="eastAsia"/>
          <w:rtl/>
        </w:rPr>
        <w:t>ומשרד</w:t>
      </w:r>
      <w:r w:rsidRPr="00A210E9">
        <w:rPr>
          <w:rFonts w:eastAsia="Calibri"/>
          <w:rtl/>
        </w:rPr>
        <w:t xml:space="preserve"> התחבורה מנפיק </w:t>
      </w:r>
      <w:r w:rsidRPr="00A210E9">
        <w:rPr>
          <w:rFonts w:eastAsia="Calibri" w:hint="eastAsia"/>
          <w:rtl/>
        </w:rPr>
        <w:t>להם</w:t>
      </w:r>
      <w:r w:rsidRPr="00A210E9">
        <w:rPr>
          <w:rFonts w:eastAsia="Calibri"/>
          <w:rtl/>
        </w:rPr>
        <w:t xml:space="preserve"> תג חניה זמני</w:t>
      </w:r>
      <w:r>
        <w:rPr>
          <w:rFonts w:eastAsia="Calibri"/>
          <w:vertAlign w:val="superscript"/>
          <w:rtl/>
        </w:rPr>
        <w:footnoteReference w:id="164"/>
      </w:r>
      <w:r w:rsidRPr="00A210E9">
        <w:rPr>
          <w:rFonts w:eastAsia="Calibri"/>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אף שמשרד התחבורה מאפשר לקטועי רגליים לקבל תג חניה לצמיתות, נמצא כי לנכי צה"ל קטועי רגליים, ובהם נכי מלחמת חרבות ברזל, מאושר תג חניה זמני, וזאת עד אישור שיעורי נכות קבועים.</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eastAsia"/>
          <w:rtl/>
        </w:rPr>
        <w:t>אגף</w:t>
      </w:r>
      <w:r w:rsidRPr="00A210E9">
        <w:rPr>
          <w:rFonts w:eastAsia="Calibri"/>
          <w:rtl/>
        </w:rPr>
        <w:t xml:space="preserve"> </w:t>
      </w:r>
      <w:r w:rsidRPr="00A210E9">
        <w:rPr>
          <w:rFonts w:eastAsia="Calibri" w:hint="eastAsia"/>
          <w:rtl/>
        </w:rPr>
        <w:t>השיקום</w:t>
      </w:r>
      <w:r w:rsidRPr="00A210E9">
        <w:rPr>
          <w:rFonts w:eastAsia="Calibri"/>
          <w:rtl/>
        </w:rPr>
        <w:t xml:space="preserve"> </w:t>
      </w:r>
      <w:r w:rsidRPr="00A210E9">
        <w:rPr>
          <w:rFonts w:eastAsia="Calibri" w:hint="eastAsia"/>
          <w:rtl/>
        </w:rPr>
        <w:t>מסר</w:t>
      </w:r>
      <w:r w:rsidRPr="00A210E9">
        <w:rPr>
          <w:rFonts w:eastAsia="Calibri"/>
          <w:rtl/>
        </w:rPr>
        <w:t xml:space="preserve"> </w:t>
      </w:r>
      <w:r w:rsidRPr="00A210E9">
        <w:rPr>
          <w:rFonts w:eastAsia="Calibri" w:hint="eastAsia"/>
          <w:rtl/>
        </w:rPr>
        <w:t>בתשובתו</w:t>
      </w:r>
      <w:r w:rsidRPr="00A210E9">
        <w:rPr>
          <w:rFonts w:eastAsia="Calibri"/>
          <w:rtl/>
        </w:rPr>
        <w:t xml:space="preserve"> כי </w:t>
      </w:r>
      <w:r w:rsidRPr="00A210E9">
        <w:rPr>
          <w:rFonts w:eastAsia="Calibri" w:hint="cs"/>
          <w:rtl/>
        </w:rPr>
        <w:t xml:space="preserve">הוא </w:t>
      </w:r>
      <w:r w:rsidRPr="00A210E9">
        <w:rPr>
          <w:rFonts w:eastAsia="Calibri"/>
          <w:rtl/>
        </w:rPr>
        <w:t xml:space="preserve">מוסמך לאשר תגים לצמיתות רק לאחר </w:t>
      </w:r>
      <w:r w:rsidRPr="00A210E9">
        <w:rPr>
          <w:rFonts w:eastAsia="Calibri" w:hint="cs"/>
          <w:rtl/>
        </w:rPr>
        <w:t>שו</w:t>
      </w:r>
      <w:r w:rsidRPr="00A210E9">
        <w:rPr>
          <w:rFonts w:eastAsia="Calibri"/>
          <w:rtl/>
        </w:rPr>
        <w:t>ועדה רפואית</w:t>
      </w:r>
      <w:r w:rsidRPr="00A210E9">
        <w:rPr>
          <w:rFonts w:eastAsia="Calibri" w:hint="cs"/>
          <w:rtl/>
        </w:rPr>
        <w:t xml:space="preserve"> קובעת כי עליו לעשות כן</w:t>
      </w:r>
      <w:r w:rsidRPr="00A210E9">
        <w:rPr>
          <w:rFonts w:eastAsia="Calibri"/>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מומלץ שמשרד התחבורה ואגף השיקום יסכמו פתרון שיאפשר לנכי צה"ל קטועי רגליים שטרם קיבלו שיעורי נכות קבועים לקבל תג חניה לצמיתות ולהקל עבורם את הנטל הבירוקרטי.</w:t>
      </w:r>
    </w:p>
    <w:p w:rsidR="00A210E9" w:rsidRPr="00A210E9" w:rsidP="00A210E9">
      <w:pPr>
        <w:keepNext/>
        <w:keepLines/>
        <w:spacing w:line="269" w:lineRule="auto"/>
        <w:ind w:left="-567"/>
        <w:rPr>
          <w:rFonts w:eastAsia="Calibri"/>
          <w:szCs w:val="20"/>
          <w:rtl/>
        </w:rPr>
      </w:pPr>
    </w:p>
    <w:p w:rsidR="00A210E9" w:rsidRPr="00A210E9" w:rsidP="00A210E9">
      <w:pPr>
        <w:keepNext/>
        <w:keepLines/>
        <w:spacing w:line="269" w:lineRule="auto"/>
        <w:outlineLvl w:val="4"/>
        <w:rPr>
          <w:rFonts w:eastAsia="Times New Roman"/>
          <w:bCs/>
          <w:spacing w:val="40"/>
          <w:rtl/>
        </w:rPr>
      </w:pPr>
      <w:r w:rsidRPr="00A210E9">
        <w:rPr>
          <w:rFonts w:eastAsia="Times New Roman" w:hint="cs"/>
          <w:bCs/>
          <w:spacing w:val="40"/>
          <w:rtl/>
        </w:rPr>
        <w:t>בעלי תג חניה המחזיקים ברישיונות נהיגה מדרגה גבוהה</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אגף הרישוי מנפיק סוגים שונים של רישיונות נהיגה, חלקם מדרגה גבוהה (המאפשרים נהיגה בכלי רכב כבדים) שאף מצריכים בדיקת כשירות רפואית</w:t>
      </w:r>
      <w:bookmarkStart w:id="133" w:name="_Hlk219897309"/>
      <w:r w:rsidRPr="00A210E9">
        <w:rPr>
          <w:rFonts w:eastAsia="Calibri" w:hint="cs"/>
          <w:rtl/>
        </w:rPr>
        <w:t>.</w:t>
      </w:r>
      <w:bookmarkEnd w:id="133"/>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צוות הביקורת בחן את רישיונות הנהיגה של בעלי תג כיסא גלגלים המחזיקים ברישיונות נהיגה מדרגות גבוהות:</w:t>
      </w:r>
    </w:p>
    <w:p w:rsidR="00A210E9" w:rsidRPr="00A210E9" w:rsidP="00A210E9">
      <w:pPr>
        <w:keepNext/>
        <w:keepLines/>
        <w:spacing w:line="269" w:lineRule="auto"/>
        <w:jc w:val="center"/>
        <w:rPr>
          <w:rFonts w:eastAsia="Calibri"/>
          <w:b/>
          <w:bCs/>
          <w:rtl/>
        </w:rPr>
      </w:pPr>
      <w:r w:rsidRPr="00A210E9">
        <w:rPr>
          <w:rFonts w:eastAsia="Calibri" w:hint="cs"/>
          <w:rtl/>
        </w:rPr>
        <w:t>לוח 12:</w:t>
      </w:r>
      <w:r w:rsidRPr="00A210E9">
        <w:rPr>
          <w:rFonts w:eastAsia="Calibri" w:hint="cs"/>
        </w:rPr>
        <w:t xml:space="preserve"> </w:t>
      </w:r>
      <w:r w:rsidRPr="00A210E9">
        <w:rPr>
          <w:rFonts w:eastAsia="Calibri" w:hint="cs"/>
          <w:b/>
          <w:bCs/>
          <w:rtl/>
        </w:rPr>
        <w:t>מספר בעלי תג כיסא גלגלים המחזיקים ברישיונות נהיגה מדרגות גבוהות*, מרץ 2025</w:t>
      </w:r>
    </w:p>
    <w:tbl>
      <w:tblPr>
        <w:bidiVisual/>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
        <w:gridCol w:w="1387"/>
        <w:gridCol w:w="1254"/>
        <w:gridCol w:w="1205"/>
        <w:gridCol w:w="1259"/>
      </w:tblGrid>
      <w:tr w:rsidTr="003948B8">
        <w:tblPrEx>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820"/>
          <w:jc w:val="center"/>
        </w:trPr>
        <w:tc>
          <w:tcPr>
            <w:tcW w:w="1417" w:type="dxa"/>
            <w:shd w:val="clear" w:color="4F81BD" w:fill="4F81BD"/>
            <w:noWrap/>
            <w:vAlign w:val="center"/>
            <w:hideMark/>
          </w:tcPr>
          <w:p w:rsidR="00A210E9" w:rsidRPr="00A210E9" w:rsidP="00A210E9">
            <w:pPr>
              <w:spacing w:line="269" w:lineRule="auto"/>
              <w:jc w:val="center"/>
              <w:rPr>
                <w:rFonts w:ascii="David" w:eastAsia="Times New Roman" w:hAnsi="David"/>
                <w:b/>
                <w:bCs/>
                <w:color w:val="FFFFFF"/>
                <w:sz w:val="22"/>
                <w:szCs w:val="22"/>
              </w:rPr>
            </w:pPr>
            <w:r w:rsidRPr="00A210E9">
              <w:rPr>
                <w:rFonts w:ascii="David" w:eastAsia="Times New Roman" w:hAnsi="David"/>
                <w:b/>
                <w:bCs/>
                <w:color w:val="FFFFFF"/>
                <w:sz w:val="22"/>
                <w:szCs w:val="22"/>
                <w:rtl/>
              </w:rPr>
              <w:t xml:space="preserve">רישיון </w:t>
            </w:r>
            <w:r w:rsidRPr="00A210E9">
              <w:rPr>
                <w:rFonts w:ascii="David" w:eastAsia="Times New Roman" w:hAnsi="David"/>
                <w:b/>
                <w:bCs/>
                <w:color w:val="FFFFFF"/>
                <w:sz w:val="22"/>
                <w:szCs w:val="22"/>
              </w:rPr>
              <w:t>C</w:t>
            </w:r>
          </w:p>
        </w:tc>
        <w:tc>
          <w:tcPr>
            <w:tcW w:w="1387" w:type="dxa"/>
            <w:shd w:val="clear" w:color="4F81BD" w:fill="4F81BD"/>
            <w:vAlign w:val="center"/>
          </w:tcPr>
          <w:p w:rsidR="00A210E9" w:rsidRPr="00A210E9" w:rsidP="00A210E9">
            <w:pPr>
              <w:spacing w:line="269" w:lineRule="auto"/>
              <w:jc w:val="center"/>
              <w:rPr>
                <w:rFonts w:ascii="David" w:eastAsia="Times New Roman" w:hAnsi="David"/>
                <w:b/>
                <w:bCs/>
                <w:color w:val="FFFFFF"/>
                <w:sz w:val="22"/>
                <w:szCs w:val="22"/>
                <w:rtl/>
              </w:rPr>
            </w:pPr>
            <w:r w:rsidRPr="00A210E9">
              <w:rPr>
                <w:rFonts w:ascii="David" w:eastAsia="Times New Roman" w:hAnsi="David"/>
                <w:b/>
                <w:bCs/>
                <w:color w:val="FFFFFF"/>
                <w:sz w:val="22"/>
                <w:szCs w:val="22"/>
                <w:rtl/>
              </w:rPr>
              <w:t>רישיון</w:t>
            </w:r>
            <w:r w:rsidRPr="00A210E9">
              <w:rPr>
                <w:rFonts w:ascii="David" w:eastAsia="Times New Roman" w:hAnsi="David" w:hint="cs"/>
                <w:b/>
                <w:bCs/>
                <w:color w:val="FFFFFF"/>
                <w:sz w:val="22"/>
                <w:szCs w:val="22"/>
                <w:rtl/>
              </w:rPr>
              <w:t xml:space="preserve"> </w:t>
            </w:r>
            <w:r w:rsidRPr="00A210E9">
              <w:rPr>
                <w:rFonts w:ascii="David" w:eastAsia="Times New Roman" w:hAnsi="David" w:hint="cs"/>
                <w:b/>
                <w:bCs/>
                <w:color w:val="FFFFFF"/>
                <w:sz w:val="22"/>
                <w:szCs w:val="22"/>
              </w:rPr>
              <w:t>E</w:t>
            </w:r>
            <w:r w:rsidRPr="00A210E9">
              <w:rPr>
                <w:rFonts w:ascii="David" w:eastAsia="Times New Roman" w:hAnsi="David" w:hint="cs"/>
                <w:b/>
                <w:bCs/>
                <w:color w:val="FFFFFF"/>
                <w:sz w:val="22"/>
                <w:szCs w:val="22"/>
                <w:rtl/>
              </w:rPr>
              <w:t>+</w:t>
            </w:r>
            <w:r w:rsidRPr="00A210E9">
              <w:rPr>
                <w:rFonts w:ascii="David" w:eastAsia="Times New Roman" w:hAnsi="David" w:hint="cs"/>
                <w:b/>
                <w:bCs/>
                <w:color w:val="FFFFFF"/>
                <w:sz w:val="22"/>
                <w:szCs w:val="22"/>
              </w:rPr>
              <w:t>C</w:t>
            </w:r>
          </w:p>
        </w:tc>
        <w:tc>
          <w:tcPr>
            <w:tcW w:w="1254" w:type="dxa"/>
            <w:shd w:val="clear" w:color="4F81BD" w:fill="4F81BD"/>
            <w:noWrap/>
            <w:vAlign w:val="center"/>
            <w:hideMark/>
          </w:tcPr>
          <w:p w:rsidR="00A210E9" w:rsidRPr="00A210E9" w:rsidP="00A210E9">
            <w:pPr>
              <w:spacing w:line="269" w:lineRule="auto"/>
              <w:jc w:val="center"/>
              <w:rPr>
                <w:rFonts w:ascii="David" w:eastAsia="Times New Roman" w:hAnsi="David"/>
                <w:b/>
                <w:bCs/>
                <w:color w:val="FFFFFF"/>
                <w:sz w:val="22"/>
                <w:szCs w:val="22"/>
                <w:rtl/>
              </w:rPr>
            </w:pPr>
            <w:r w:rsidRPr="00A210E9">
              <w:rPr>
                <w:rFonts w:ascii="David" w:eastAsia="Times New Roman" w:hAnsi="David"/>
                <w:b/>
                <w:bCs/>
                <w:color w:val="FFFFFF"/>
                <w:sz w:val="22"/>
                <w:szCs w:val="22"/>
                <w:rtl/>
              </w:rPr>
              <w:t xml:space="preserve">רישיון </w:t>
            </w:r>
            <w:r w:rsidRPr="00A210E9">
              <w:rPr>
                <w:rFonts w:ascii="David" w:eastAsia="Times New Roman" w:hAnsi="David"/>
                <w:b/>
                <w:bCs/>
                <w:color w:val="FFFFFF"/>
                <w:sz w:val="22"/>
                <w:szCs w:val="22"/>
              </w:rPr>
              <w:t>C1</w:t>
            </w:r>
          </w:p>
        </w:tc>
        <w:tc>
          <w:tcPr>
            <w:tcW w:w="1205" w:type="dxa"/>
            <w:shd w:val="clear" w:color="4F81BD" w:fill="4F81BD"/>
            <w:noWrap/>
            <w:vAlign w:val="center"/>
            <w:hideMark/>
          </w:tcPr>
          <w:p w:rsidR="00A210E9" w:rsidRPr="00A210E9" w:rsidP="00A210E9">
            <w:pPr>
              <w:spacing w:line="269" w:lineRule="auto"/>
              <w:jc w:val="center"/>
              <w:rPr>
                <w:rFonts w:ascii="David" w:eastAsia="Times New Roman" w:hAnsi="David"/>
                <w:b/>
                <w:bCs/>
                <w:color w:val="FFFFFF"/>
                <w:sz w:val="22"/>
                <w:szCs w:val="22"/>
                <w:rtl/>
              </w:rPr>
            </w:pPr>
            <w:r w:rsidRPr="00A210E9">
              <w:rPr>
                <w:rFonts w:ascii="David" w:eastAsia="Times New Roman" w:hAnsi="David"/>
                <w:b/>
                <w:bCs/>
                <w:color w:val="FFFFFF"/>
                <w:sz w:val="22"/>
                <w:szCs w:val="22"/>
                <w:rtl/>
              </w:rPr>
              <w:t xml:space="preserve">רישיון </w:t>
            </w:r>
            <w:r w:rsidRPr="00A210E9">
              <w:rPr>
                <w:rFonts w:ascii="David" w:eastAsia="Times New Roman" w:hAnsi="David"/>
                <w:b/>
                <w:bCs/>
                <w:color w:val="FFFFFF"/>
                <w:sz w:val="22"/>
                <w:szCs w:val="22"/>
              </w:rPr>
              <w:t>D</w:t>
            </w:r>
          </w:p>
        </w:tc>
        <w:tc>
          <w:tcPr>
            <w:tcW w:w="1259" w:type="dxa"/>
            <w:shd w:val="clear" w:color="4F81BD" w:fill="4F81BD"/>
            <w:noWrap/>
            <w:vAlign w:val="center"/>
            <w:hideMark/>
          </w:tcPr>
          <w:p w:rsidR="00A210E9" w:rsidRPr="00A210E9" w:rsidP="00A210E9">
            <w:pPr>
              <w:spacing w:line="269" w:lineRule="auto"/>
              <w:jc w:val="center"/>
              <w:rPr>
                <w:rFonts w:ascii="David" w:eastAsia="Times New Roman" w:hAnsi="David"/>
                <w:b/>
                <w:bCs/>
                <w:color w:val="FFFFFF"/>
                <w:sz w:val="22"/>
                <w:szCs w:val="22"/>
                <w:rtl/>
              </w:rPr>
            </w:pPr>
            <w:r w:rsidRPr="00A210E9">
              <w:rPr>
                <w:rFonts w:ascii="David" w:eastAsia="Times New Roman" w:hAnsi="David"/>
                <w:b/>
                <w:bCs/>
                <w:color w:val="FFFFFF"/>
                <w:sz w:val="22"/>
                <w:szCs w:val="22"/>
                <w:rtl/>
              </w:rPr>
              <w:t xml:space="preserve">רישיון </w:t>
            </w:r>
            <w:r w:rsidRPr="00A210E9">
              <w:rPr>
                <w:rFonts w:ascii="David" w:eastAsia="Times New Roman" w:hAnsi="David"/>
                <w:b/>
                <w:bCs/>
                <w:color w:val="FFFFFF"/>
                <w:sz w:val="22"/>
                <w:szCs w:val="22"/>
              </w:rPr>
              <w:t>D2</w:t>
            </w:r>
          </w:p>
        </w:tc>
      </w:tr>
      <w:tr w:rsidTr="003948B8">
        <w:tblPrEx>
          <w:tblW w:w="6522" w:type="dxa"/>
          <w:jc w:val="center"/>
          <w:tblLook w:val="04A0"/>
        </w:tblPrEx>
        <w:trPr>
          <w:trHeight w:val="620"/>
          <w:jc w:val="center"/>
        </w:trPr>
        <w:tc>
          <w:tcPr>
            <w:tcW w:w="1417" w:type="dxa"/>
            <w:hideMark/>
          </w:tcPr>
          <w:p w:rsidR="00A210E9" w:rsidRPr="00A210E9" w:rsidP="00A210E9">
            <w:pPr>
              <w:spacing w:line="269" w:lineRule="auto"/>
              <w:jc w:val="center"/>
              <w:rPr>
                <w:rFonts w:ascii="David" w:eastAsia="Times New Roman" w:hAnsi="David"/>
                <w:color w:val="000000"/>
                <w:sz w:val="22"/>
                <w:szCs w:val="22"/>
                <w:rtl/>
              </w:rPr>
            </w:pPr>
            <w:r w:rsidRPr="00A210E9">
              <w:rPr>
                <w:rFonts w:ascii="David" w:eastAsia="Times New Roman" w:hAnsi="David"/>
                <w:color w:val="000000"/>
                <w:sz w:val="22"/>
                <w:szCs w:val="22"/>
                <w:rtl/>
              </w:rPr>
              <w:t>משא כבד מעל</w:t>
            </w:r>
            <w:r w:rsidRPr="00A210E9">
              <w:rPr>
                <w:rFonts w:ascii="David" w:eastAsia="Times New Roman" w:hAnsi="David"/>
                <w:color w:val="000000"/>
                <w:sz w:val="22"/>
                <w:szCs w:val="22"/>
              </w:rPr>
              <w:t xml:space="preserve">12 </w:t>
            </w:r>
            <w:r w:rsidRPr="00A210E9">
              <w:rPr>
                <w:rFonts w:ascii="David" w:eastAsia="Times New Roman" w:hAnsi="David" w:hint="cs"/>
                <w:color w:val="000000"/>
                <w:sz w:val="22"/>
                <w:szCs w:val="22"/>
                <w:rtl/>
              </w:rPr>
              <w:t>טונות</w:t>
            </w:r>
          </w:p>
        </w:tc>
        <w:tc>
          <w:tcPr>
            <w:tcW w:w="1387" w:type="dxa"/>
          </w:tcPr>
          <w:p w:rsidR="00A210E9" w:rsidRPr="00A210E9" w:rsidP="00A210E9">
            <w:pPr>
              <w:spacing w:line="269" w:lineRule="auto"/>
              <w:jc w:val="center"/>
              <w:rPr>
                <w:rFonts w:ascii="David" w:eastAsia="Times New Roman" w:hAnsi="David"/>
                <w:color w:val="000000"/>
                <w:sz w:val="22"/>
                <w:szCs w:val="22"/>
                <w:rtl/>
              </w:rPr>
            </w:pPr>
            <w:r w:rsidRPr="00A210E9">
              <w:rPr>
                <w:rFonts w:ascii="David" w:eastAsia="Times New Roman" w:hAnsi="David" w:hint="cs"/>
                <w:color w:val="000000"/>
                <w:sz w:val="22"/>
                <w:szCs w:val="22"/>
                <w:rtl/>
              </w:rPr>
              <w:t>רכב משא כבד שצמוד אליו נגרר או נתמך</w:t>
            </w:r>
          </w:p>
        </w:tc>
        <w:tc>
          <w:tcPr>
            <w:tcW w:w="1254" w:type="dxa"/>
            <w:hideMark/>
          </w:tcPr>
          <w:p w:rsidR="00A210E9" w:rsidRPr="00A210E9" w:rsidP="00A210E9">
            <w:pPr>
              <w:spacing w:line="269" w:lineRule="auto"/>
              <w:jc w:val="center"/>
              <w:rPr>
                <w:rFonts w:ascii="David" w:eastAsia="Times New Roman" w:hAnsi="David"/>
                <w:color w:val="000000"/>
                <w:sz w:val="22"/>
                <w:szCs w:val="22"/>
                <w:rtl/>
              </w:rPr>
            </w:pPr>
            <w:r w:rsidRPr="00A210E9">
              <w:rPr>
                <w:rFonts w:ascii="David" w:eastAsia="Times New Roman" w:hAnsi="David"/>
                <w:color w:val="000000"/>
                <w:sz w:val="22"/>
                <w:szCs w:val="22"/>
                <w:rtl/>
              </w:rPr>
              <w:t>משא קל עד</w:t>
            </w:r>
            <w:r w:rsidRPr="00A210E9">
              <w:rPr>
                <w:rFonts w:ascii="David" w:eastAsia="Times New Roman" w:hAnsi="David"/>
                <w:color w:val="000000"/>
                <w:sz w:val="22"/>
                <w:szCs w:val="22"/>
              </w:rPr>
              <w:t xml:space="preserve">12 </w:t>
            </w:r>
            <w:r w:rsidRPr="00A210E9">
              <w:rPr>
                <w:rFonts w:ascii="David" w:eastAsia="Times New Roman" w:hAnsi="David" w:hint="cs"/>
                <w:color w:val="000000"/>
                <w:sz w:val="22"/>
                <w:szCs w:val="22"/>
                <w:rtl/>
              </w:rPr>
              <w:t>טונות</w:t>
            </w:r>
          </w:p>
        </w:tc>
        <w:tc>
          <w:tcPr>
            <w:tcW w:w="1205" w:type="dxa"/>
            <w:hideMark/>
          </w:tcPr>
          <w:p w:rsidR="00A210E9" w:rsidRPr="00A210E9" w:rsidP="00A210E9">
            <w:pPr>
              <w:spacing w:line="269" w:lineRule="auto"/>
              <w:jc w:val="center"/>
              <w:rPr>
                <w:rFonts w:ascii="David" w:eastAsia="Times New Roman" w:hAnsi="David"/>
                <w:color w:val="000000"/>
                <w:sz w:val="22"/>
                <w:szCs w:val="22"/>
                <w:rtl/>
              </w:rPr>
            </w:pPr>
            <w:r w:rsidRPr="00A210E9">
              <w:rPr>
                <w:rFonts w:ascii="David" w:eastAsia="Times New Roman" w:hAnsi="David"/>
                <w:color w:val="000000"/>
                <w:sz w:val="22"/>
                <w:szCs w:val="22"/>
                <w:rtl/>
              </w:rPr>
              <w:t>אוטובוס</w:t>
            </w:r>
          </w:p>
        </w:tc>
        <w:tc>
          <w:tcPr>
            <w:tcW w:w="1259" w:type="dxa"/>
            <w:hideMark/>
          </w:tcPr>
          <w:p w:rsidR="00A210E9" w:rsidRPr="00A210E9" w:rsidP="00A210E9">
            <w:pPr>
              <w:spacing w:line="269" w:lineRule="auto"/>
              <w:jc w:val="center"/>
              <w:rPr>
                <w:rFonts w:ascii="David" w:eastAsia="Times New Roman" w:hAnsi="David"/>
                <w:color w:val="000000"/>
                <w:sz w:val="22"/>
                <w:szCs w:val="22"/>
                <w:rtl/>
              </w:rPr>
            </w:pPr>
            <w:r w:rsidRPr="00A210E9">
              <w:rPr>
                <w:rFonts w:ascii="David" w:eastAsia="Times New Roman" w:hAnsi="David"/>
                <w:color w:val="000000"/>
                <w:sz w:val="22"/>
                <w:szCs w:val="22"/>
                <w:rtl/>
              </w:rPr>
              <w:t>אוטובוס זעיר</w:t>
            </w:r>
            <w:r w:rsidRPr="00A210E9">
              <w:rPr>
                <w:rFonts w:ascii="David" w:eastAsia="Times New Roman" w:hAnsi="David" w:hint="cs"/>
                <w:color w:val="000000"/>
                <w:sz w:val="22"/>
                <w:szCs w:val="22"/>
                <w:rtl/>
              </w:rPr>
              <w:t xml:space="preserve"> ציבורי</w:t>
            </w:r>
          </w:p>
        </w:tc>
      </w:tr>
      <w:tr w:rsidTr="003948B8">
        <w:tblPrEx>
          <w:tblW w:w="6522" w:type="dxa"/>
          <w:jc w:val="center"/>
          <w:tblLook w:val="04A0"/>
        </w:tblPrEx>
        <w:trPr>
          <w:trHeight w:val="250"/>
          <w:jc w:val="center"/>
        </w:trPr>
        <w:tc>
          <w:tcPr>
            <w:tcW w:w="1417" w:type="dxa"/>
            <w:noWrap/>
            <w:vAlign w:val="bottom"/>
            <w:hideMark/>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color w:val="000000"/>
                <w:sz w:val="22"/>
                <w:szCs w:val="22"/>
                <w:rtl/>
              </w:rPr>
              <w:t>185</w:t>
            </w:r>
          </w:p>
        </w:tc>
        <w:tc>
          <w:tcPr>
            <w:tcW w:w="1387" w:type="dxa"/>
            <w:vAlign w:val="bottom"/>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color w:val="000000"/>
                <w:sz w:val="22"/>
                <w:szCs w:val="22"/>
                <w:rtl/>
              </w:rPr>
              <w:t>52</w:t>
            </w:r>
          </w:p>
        </w:tc>
        <w:tc>
          <w:tcPr>
            <w:tcW w:w="1254" w:type="dxa"/>
            <w:noWrap/>
            <w:vAlign w:val="bottom"/>
            <w:hideMark/>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color w:val="000000"/>
                <w:sz w:val="22"/>
                <w:szCs w:val="22"/>
                <w:rtl/>
              </w:rPr>
              <w:t>471</w:t>
            </w:r>
          </w:p>
        </w:tc>
        <w:tc>
          <w:tcPr>
            <w:tcW w:w="1205" w:type="dxa"/>
            <w:noWrap/>
            <w:vAlign w:val="bottom"/>
            <w:hideMark/>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color w:val="000000"/>
                <w:sz w:val="22"/>
                <w:szCs w:val="22"/>
                <w:rtl/>
              </w:rPr>
              <w:t>118</w:t>
            </w:r>
          </w:p>
        </w:tc>
        <w:tc>
          <w:tcPr>
            <w:tcW w:w="1259" w:type="dxa"/>
            <w:noWrap/>
            <w:vAlign w:val="bottom"/>
            <w:hideMark/>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color w:val="000000"/>
                <w:sz w:val="22"/>
                <w:szCs w:val="22"/>
                <w:rtl/>
              </w:rPr>
              <w:t>41</w:t>
            </w:r>
          </w:p>
        </w:tc>
      </w:tr>
    </w:tbl>
    <w:p w:rsidR="00A210E9" w:rsidRPr="00A210E9" w:rsidP="00A210E9">
      <w:pPr>
        <w:spacing w:line="269" w:lineRule="auto"/>
        <w:rPr>
          <w:rFonts w:eastAsia="Calibri"/>
          <w:szCs w:val="20"/>
          <w:rtl/>
        </w:rPr>
      </w:pPr>
      <w:r w:rsidRPr="00A210E9">
        <w:rPr>
          <w:rFonts w:eastAsia="Calibri" w:hint="eastAsia"/>
          <w:szCs w:val="20"/>
          <w:rtl/>
        </w:rPr>
        <w:t>על</w:t>
      </w:r>
      <w:r w:rsidRPr="00A210E9">
        <w:rPr>
          <w:rFonts w:eastAsia="Calibri"/>
          <w:szCs w:val="20"/>
          <w:rtl/>
        </w:rPr>
        <w:t xml:space="preserve"> פי נתוני משרד התחבורה, בעיבוד משרד מבקר המדינה. </w:t>
      </w:r>
    </w:p>
    <w:p w:rsidR="00A210E9" w:rsidRPr="00A210E9" w:rsidP="00A210E9">
      <w:pPr>
        <w:spacing w:line="269" w:lineRule="auto"/>
        <w:rPr>
          <w:rFonts w:eastAsia="Calibri"/>
          <w:szCs w:val="20"/>
          <w:rtl/>
        </w:rPr>
      </w:pPr>
      <w:r w:rsidRPr="00A210E9">
        <w:rPr>
          <w:rFonts w:eastAsia="Calibri"/>
          <w:szCs w:val="20"/>
          <w:rtl/>
        </w:rPr>
        <w:t xml:space="preserve">* חלק </w:t>
      </w:r>
      <w:r w:rsidRPr="00A210E9">
        <w:rPr>
          <w:rFonts w:eastAsia="Calibri" w:hint="cs"/>
          <w:szCs w:val="20"/>
          <w:rtl/>
        </w:rPr>
        <w:t>מבעלי תג כיסא גלגלים</w:t>
      </w:r>
      <w:r w:rsidRPr="00A210E9">
        <w:rPr>
          <w:rFonts w:eastAsia="Calibri"/>
          <w:szCs w:val="20"/>
          <w:rtl/>
        </w:rPr>
        <w:t xml:space="preserve"> </w:t>
      </w:r>
      <w:r w:rsidRPr="00A210E9">
        <w:rPr>
          <w:rFonts w:eastAsia="Calibri" w:hint="eastAsia"/>
          <w:szCs w:val="20"/>
          <w:rtl/>
        </w:rPr>
        <w:t>מחזיקים</w:t>
      </w:r>
      <w:r w:rsidRPr="00A210E9">
        <w:rPr>
          <w:rFonts w:eastAsia="Calibri"/>
          <w:szCs w:val="20"/>
          <w:rtl/>
        </w:rPr>
        <w:t xml:space="preserve"> בכמה סוגי רישיונות </w:t>
      </w:r>
      <w:r w:rsidRPr="00A210E9">
        <w:rPr>
          <w:rFonts w:eastAsia="Calibri" w:hint="cs"/>
          <w:szCs w:val="20"/>
          <w:rtl/>
        </w:rPr>
        <w:t>בו זמנית</w:t>
      </w:r>
      <w:r w:rsidRPr="00A210E9">
        <w:rPr>
          <w:rFonts w:eastAsia="Calibri"/>
          <w:szCs w:val="20"/>
          <w:rtl/>
        </w:rPr>
        <w:t>, כך שיש חפיפה מסוימת בנתונים.</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אגף הרישוי אחראי הן להנפקת רישיונות נהיגה והן להנפקת תגי חניה. מהלוח עולה כי 118 בעלי תג כיסא גלגלים מחזיקים ברישיון לאוטובוס (</w:t>
      </w:r>
      <w:r w:rsidRPr="00A210E9">
        <w:rPr>
          <w:rFonts w:eastAsia="Calibri" w:hint="cs"/>
          <w:b/>
          <w:bCs/>
        </w:rPr>
        <w:t>D</w:t>
      </w:r>
      <w:r w:rsidRPr="00A210E9">
        <w:rPr>
          <w:rFonts w:eastAsia="Calibri" w:hint="cs"/>
          <w:b/>
          <w:bCs/>
          <w:rtl/>
        </w:rPr>
        <w:t>), 185 בעלי תג כיסא גלגלים מחזיקים ברישיון למשא כבד מעל 12 טונות (</w:t>
      </w:r>
      <w:r w:rsidRPr="00A210E9">
        <w:rPr>
          <w:rFonts w:eastAsia="Calibri" w:hint="cs"/>
          <w:b/>
          <w:bCs/>
        </w:rPr>
        <w:t>C</w:t>
      </w:r>
      <w:r w:rsidRPr="00A210E9">
        <w:rPr>
          <w:rFonts w:eastAsia="Calibri" w:hint="cs"/>
          <w:b/>
          <w:bCs/>
          <w:rtl/>
        </w:rPr>
        <w:t>) שמתוכם 52 מחזיקים גם ברישיון לגרור תומך (</w:t>
      </w:r>
      <w:r w:rsidRPr="00A210E9">
        <w:rPr>
          <w:rFonts w:eastAsia="Calibri" w:hint="cs"/>
          <w:b/>
          <w:bCs/>
        </w:rPr>
        <w:t>E</w:t>
      </w:r>
      <w:r w:rsidRPr="00A210E9">
        <w:rPr>
          <w:rFonts w:eastAsia="Calibri" w:hint="cs"/>
          <w:b/>
          <w:bCs/>
          <w:rtl/>
        </w:rPr>
        <w:t>). הגם שאין קשר בין שני סוגי ההרשאות הממצא</w:t>
      </w:r>
      <w:r w:rsidRPr="00A210E9">
        <w:rPr>
          <w:rFonts w:eastAsia="Calibri"/>
          <w:b/>
          <w:bCs/>
          <w:rtl/>
        </w:rPr>
        <w:t xml:space="preserve"> עלול להעיד על </w:t>
      </w:r>
      <w:r w:rsidRPr="00A210E9">
        <w:rPr>
          <w:rFonts w:eastAsia="Calibri" w:hint="cs"/>
          <w:b/>
          <w:bCs/>
          <w:rtl/>
        </w:rPr>
        <w:t>ליקויים</w:t>
      </w:r>
      <w:r w:rsidRPr="00A210E9">
        <w:rPr>
          <w:rFonts w:eastAsia="Calibri"/>
          <w:b/>
          <w:bCs/>
          <w:rtl/>
        </w:rPr>
        <w:t xml:space="preserve"> בבדיקת הזכאות</w:t>
      </w:r>
      <w:r w:rsidRPr="00A210E9">
        <w:rPr>
          <w:rFonts w:eastAsia="Calibri" w:hint="cs"/>
          <w:b/>
          <w:bCs/>
          <w:rtl/>
        </w:rPr>
        <w:t xml:space="preserve"> לתגי חניה, או על כך שאגף הרישוי אינו מקפיד לבטל רישיונות נהיגה מדרגה גבוהה לנהגים שכבר אינם כשירים לנהוג ברכבים כבדים, אף שהוא אחראי לשני הנושאים. כמו כן, הדבר מעיד על ה</w:t>
      </w:r>
      <w:r w:rsidRPr="00A210E9">
        <w:rPr>
          <w:rFonts w:eastAsia="Calibri"/>
          <w:b/>
          <w:bCs/>
          <w:rtl/>
        </w:rPr>
        <w:t xml:space="preserve">יעדר </w:t>
      </w:r>
      <w:r w:rsidRPr="00A210E9">
        <w:rPr>
          <w:rFonts w:eastAsia="Calibri" w:hint="cs"/>
          <w:b/>
          <w:bCs/>
          <w:rtl/>
        </w:rPr>
        <w:t>בקרות מספיקות במערכות אגף הרישוי</w:t>
      </w:r>
      <w:r w:rsidRPr="00A210E9">
        <w:rPr>
          <w:rFonts w:eastAsia="Calibri"/>
          <w:b/>
          <w:bCs/>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משרד מבקר המדינה ממליץ</w:t>
      </w:r>
      <w:r w:rsidRPr="00A210E9">
        <w:rPr>
          <w:rFonts w:eastAsia="Calibri"/>
          <w:b/>
          <w:bCs/>
          <w:rtl/>
        </w:rPr>
        <w:t xml:space="preserve"> כי משרד התחבורה</w:t>
      </w:r>
      <w:r w:rsidRPr="00A210E9">
        <w:rPr>
          <w:rFonts w:eastAsia="Calibri" w:hint="cs"/>
          <w:b/>
          <w:bCs/>
          <w:rtl/>
        </w:rPr>
        <w:t xml:space="preserve"> י</w:t>
      </w:r>
      <w:r w:rsidRPr="00A210E9">
        <w:rPr>
          <w:rFonts w:eastAsia="Calibri"/>
          <w:b/>
          <w:bCs/>
          <w:rtl/>
        </w:rPr>
        <w:t xml:space="preserve">מסד תהליך עבודה </w:t>
      </w:r>
      <w:r w:rsidRPr="00A210E9">
        <w:rPr>
          <w:rFonts w:eastAsia="Calibri" w:hint="cs"/>
          <w:b/>
          <w:bCs/>
          <w:rtl/>
        </w:rPr>
        <w:t>ש</w:t>
      </w:r>
      <w:r w:rsidRPr="00A210E9">
        <w:rPr>
          <w:rFonts w:eastAsia="Calibri"/>
          <w:b/>
          <w:bCs/>
          <w:rtl/>
        </w:rPr>
        <w:t xml:space="preserve">במסגרתו ייבחנו לעומק מקרים </w:t>
      </w:r>
      <w:bookmarkStart w:id="134" w:name="_Hlk233112096"/>
      <w:r w:rsidRPr="00A210E9">
        <w:rPr>
          <w:rFonts w:eastAsia="Calibri" w:hint="cs"/>
          <w:b/>
          <w:bCs/>
          <w:rtl/>
        </w:rPr>
        <w:t>שבהם אדם מחזיק בעת ובעונה אחת</w:t>
      </w:r>
      <w:bookmarkEnd w:id="134"/>
      <w:r w:rsidRPr="00A210E9">
        <w:rPr>
          <w:rFonts w:eastAsia="Calibri" w:hint="cs"/>
          <w:b/>
          <w:bCs/>
          <w:rtl/>
        </w:rPr>
        <w:t xml:space="preserve"> </w:t>
      </w:r>
      <w:r w:rsidRPr="00A210E9">
        <w:rPr>
          <w:rFonts w:eastAsia="Calibri"/>
          <w:b/>
          <w:bCs/>
          <w:rtl/>
        </w:rPr>
        <w:t xml:space="preserve">בתג חניה וברישיון נהיגה מדרגה גבוהה. </w:t>
      </w:r>
      <w:r w:rsidRPr="00A210E9">
        <w:rPr>
          <w:rFonts w:eastAsia="Calibri" w:hint="cs"/>
          <w:b/>
          <w:bCs/>
          <w:rtl/>
        </w:rPr>
        <w:t>במסגרת</w:t>
      </w:r>
      <w:r w:rsidRPr="00A210E9">
        <w:rPr>
          <w:rFonts w:eastAsia="Calibri"/>
          <w:b/>
          <w:bCs/>
          <w:rtl/>
        </w:rPr>
        <w:t xml:space="preserve"> הבדיקה </w:t>
      </w:r>
      <w:r w:rsidRPr="00A210E9">
        <w:rPr>
          <w:rFonts w:eastAsia="Calibri" w:hint="cs"/>
          <w:b/>
          <w:bCs/>
          <w:rtl/>
        </w:rPr>
        <w:t>המשרד י</w:t>
      </w:r>
      <w:r w:rsidRPr="00A210E9">
        <w:rPr>
          <w:rFonts w:eastAsia="Calibri"/>
          <w:b/>
          <w:bCs/>
          <w:rtl/>
        </w:rPr>
        <w:t xml:space="preserve">וודא </w:t>
      </w:r>
      <w:r w:rsidRPr="00A210E9">
        <w:rPr>
          <w:rFonts w:eastAsia="Calibri" w:hint="cs"/>
          <w:b/>
          <w:bCs/>
          <w:rtl/>
        </w:rPr>
        <w:t>שיש</w:t>
      </w:r>
      <w:r w:rsidRPr="00A210E9">
        <w:rPr>
          <w:rFonts w:eastAsia="Calibri"/>
          <w:b/>
          <w:bCs/>
          <w:rtl/>
        </w:rPr>
        <w:t xml:space="preserve"> הצדקה למתן שתי ההרשאות, </w:t>
      </w:r>
      <w:r w:rsidRPr="00A210E9">
        <w:rPr>
          <w:rFonts w:eastAsia="Calibri" w:hint="cs"/>
          <w:b/>
          <w:bCs/>
          <w:rtl/>
        </w:rPr>
        <w:t>ואם</w:t>
      </w:r>
      <w:r w:rsidRPr="00A210E9">
        <w:rPr>
          <w:rFonts w:eastAsia="Calibri"/>
          <w:b/>
          <w:bCs/>
          <w:rtl/>
        </w:rPr>
        <w:t xml:space="preserve"> </w:t>
      </w:r>
      <w:r w:rsidRPr="00A210E9">
        <w:rPr>
          <w:rFonts w:eastAsia="Calibri" w:hint="cs"/>
          <w:b/>
          <w:bCs/>
          <w:rtl/>
        </w:rPr>
        <w:t>י</w:t>
      </w:r>
      <w:r w:rsidRPr="00A210E9">
        <w:rPr>
          <w:rFonts w:eastAsia="Calibri"/>
          <w:b/>
          <w:bCs/>
          <w:rtl/>
        </w:rPr>
        <w:t xml:space="preserve">מצא שאין הצדקה לכך </w:t>
      </w:r>
      <w:r w:rsidRPr="00A210E9">
        <w:rPr>
          <w:rFonts w:eastAsia="Calibri" w:hint="cs"/>
          <w:b/>
          <w:bCs/>
          <w:rtl/>
        </w:rPr>
        <w:t>-</w:t>
      </w:r>
      <w:r w:rsidRPr="00A210E9">
        <w:rPr>
          <w:rFonts w:eastAsia="Calibri"/>
          <w:b/>
          <w:bCs/>
          <w:rtl/>
        </w:rPr>
        <w:t xml:space="preserve"> </w:t>
      </w:r>
      <w:r w:rsidRPr="00A210E9">
        <w:rPr>
          <w:rFonts w:eastAsia="Calibri" w:hint="cs"/>
          <w:b/>
          <w:bCs/>
          <w:rtl/>
        </w:rPr>
        <w:t>יפעל</w:t>
      </w:r>
      <w:r w:rsidRPr="00A210E9">
        <w:rPr>
          <w:rFonts w:eastAsia="Calibri"/>
          <w:b/>
          <w:bCs/>
          <w:rtl/>
        </w:rPr>
        <w:t xml:space="preserve"> לביטול אחת מהן.</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eastAsia"/>
          <w:rtl/>
        </w:rPr>
        <w:t>משרד</w:t>
      </w:r>
      <w:r w:rsidRPr="00A210E9">
        <w:rPr>
          <w:rFonts w:eastAsia="Calibri"/>
          <w:rtl/>
        </w:rPr>
        <w:t xml:space="preserve"> </w:t>
      </w:r>
      <w:r w:rsidRPr="00A210E9">
        <w:rPr>
          <w:rFonts w:eastAsia="Calibri" w:hint="eastAsia"/>
          <w:rtl/>
        </w:rPr>
        <w:t>התחבורה</w:t>
      </w:r>
      <w:r w:rsidRPr="00A210E9">
        <w:rPr>
          <w:rFonts w:eastAsia="Calibri"/>
          <w:rtl/>
        </w:rPr>
        <w:t xml:space="preserve"> </w:t>
      </w:r>
      <w:r w:rsidRPr="00A210E9">
        <w:rPr>
          <w:rFonts w:eastAsia="Calibri" w:hint="eastAsia"/>
          <w:rtl/>
        </w:rPr>
        <w:t>מסר</w:t>
      </w:r>
      <w:r w:rsidRPr="00A210E9">
        <w:rPr>
          <w:rFonts w:eastAsia="Calibri"/>
          <w:rtl/>
        </w:rPr>
        <w:t xml:space="preserve"> </w:t>
      </w:r>
      <w:r w:rsidRPr="00A210E9">
        <w:rPr>
          <w:rFonts w:eastAsia="Calibri" w:hint="eastAsia"/>
          <w:rtl/>
        </w:rPr>
        <w:t>בתשובתו</w:t>
      </w:r>
      <w:r w:rsidRPr="00A210E9">
        <w:rPr>
          <w:rFonts w:eastAsia="Calibri"/>
          <w:rtl/>
        </w:rPr>
        <w:t xml:space="preserve"> </w:t>
      </w:r>
      <w:r w:rsidRPr="00A210E9">
        <w:rPr>
          <w:rFonts w:eastAsia="Calibri" w:hint="eastAsia"/>
          <w:rtl/>
        </w:rPr>
        <w:t>כי</w:t>
      </w:r>
      <w:r w:rsidRPr="00A210E9">
        <w:rPr>
          <w:rFonts w:eastAsia="Calibri"/>
          <w:rtl/>
        </w:rPr>
        <w:t xml:space="preserve"> </w:t>
      </w:r>
      <w:r w:rsidRPr="00A210E9">
        <w:rPr>
          <w:rFonts w:eastAsia="Calibri" w:hint="eastAsia"/>
          <w:rtl/>
        </w:rPr>
        <w:t>הוא</w:t>
      </w:r>
      <w:r w:rsidRPr="00A210E9">
        <w:rPr>
          <w:rFonts w:eastAsia="Calibri"/>
          <w:rtl/>
        </w:rPr>
        <w:t xml:space="preserve"> מכיר בצורך בהרחבת מנגנוני</w:t>
      </w:r>
      <w:r w:rsidRPr="00A210E9">
        <w:rPr>
          <w:rFonts w:eastAsia="Calibri" w:hint="cs"/>
          <w:rtl/>
        </w:rPr>
        <w:t>ם</w:t>
      </w:r>
      <w:r w:rsidRPr="00A210E9">
        <w:rPr>
          <w:rFonts w:eastAsia="Calibri"/>
          <w:rtl/>
        </w:rPr>
        <w:t xml:space="preserve"> </w:t>
      </w:r>
      <w:r w:rsidRPr="00A210E9">
        <w:rPr>
          <w:rFonts w:eastAsia="Calibri" w:hint="cs"/>
          <w:rtl/>
        </w:rPr>
        <w:t>להשוואה בין הנתונים שב</w:t>
      </w:r>
      <w:r w:rsidRPr="00A210E9">
        <w:rPr>
          <w:rFonts w:eastAsia="Calibri"/>
          <w:rtl/>
        </w:rPr>
        <w:t>מערכות המידע השונות, ובכלל זה בין נתוני הזכאות לתג</w:t>
      </w:r>
      <w:r w:rsidRPr="00A210E9">
        <w:rPr>
          <w:rFonts w:eastAsia="Calibri" w:hint="cs"/>
          <w:rtl/>
        </w:rPr>
        <w:t xml:space="preserve"> </w:t>
      </w:r>
      <w:r w:rsidRPr="00A210E9">
        <w:rPr>
          <w:rFonts w:eastAsia="Calibri"/>
          <w:rtl/>
        </w:rPr>
        <w:t xml:space="preserve">כיסא גלגלים </w:t>
      </w:r>
      <w:r w:rsidRPr="00A210E9">
        <w:rPr>
          <w:rFonts w:eastAsia="Calibri" w:hint="cs"/>
          <w:rtl/>
        </w:rPr>
        <w:t>ו</w:t>
      </w:r>
      <w:r w:rsidRPr="00A210E9">
        <w:rPr>
          <w:rFonts w:eastAsia="Calibri"/>
          <w:rtl/>
        </w:rPr>
        <w:t xml:space="preserve">בין נתוני רישיונות הנהיגה הקיימים במערכות המשרד. </w:t>
      </w:r>
      <w:r w:rsidRPr="00A210E9">
        <w:rPr>
          <w:rFonts w:eastAsia="Calibri" w:hint="eastAsia"/>
          <w:rtl/>
        </w:rPr>
        <w:t>עוד</w:t>
      </w:r>
      <w:r w:rsidRPr="00A210E9">
        <w:rPr>
          <w:rFonts w:eastAsia="Calibri"/>
          <w:rtl/>
        </w:rPr>
        <w:t xml:space="preserve"> ציין כי במסגרת פיתוח המערכת הרפואית החדשה יאופיין ויפותח מנגנון ייעודי לביצוע </w:t>
      </w:r>
      <w:r w:rsidRPr="00A210E9">
        <w:rPr>
          <w:rFonts w:eastAsia="Calibri" w:hint="cs"/>
          <w:rtl/>
        </w:rPr>
        <w:t>בדיקות</w:t>
      </w:r>
      <w:r w:rsidRPr="00A210E9">
        <w:rPr>
          <w:rFonts w:eastAsia="Calibri"/>
          <w:rtl/>
        </w:rPr>
        <w:t xml:space="preserve"> מסוג זה.</w:t>
      </w:r>
    </w:p>
    <w:p w:rsidR="00A210E9" w:rsidRPr="00A210E9" w:rsidP="00A210E9">
      <w:pPr>
        <w:spacing w:line="269" w:lineRule="auto"/>
        <w:rPr>
          <w:rFonts w:eastAsia="Calibri"/>
          <w:rtl/>
        </w:rPr>
      </w:pPr>
      <w:r w:rsidRPr="00A210E9">
        <w:rPr>
          <w:rFonts w:eastAsia="Calibri" w:hint="cs"/>
          <w:highlight w:val="cyan"/>
          <w:rtl/>
        </w:rPr>
        <w:t xml:space="preserve"> </w:t>
      </w:r>
    </w:p>
    <w:p w:rsidR="00A210E9" w:rsidRPr="00A210E9" w:rsidP="00A210E9">
      <w:pPr>
        <w:keepNext/>
        <w:keepLines/>
        <w:spacing w:line="269" w:lineRule="auto"/>
        <w:outlineLvl w:val="4"/>
        <w:rPr>
          <w:rFonts w:eastAsia="Times New Roman"/>
          <w:bCs/>
          <w:spacing w:val="40"/>
          <w:rtl/>
        </w:rPr>
      </w:pPr>
      <w:r w:rsidRPr="00A210E9">
        <w:rPr>
          <w:rFonts w:eastAsia="Times New Roman" w:hint="cs"/>
          <w:bCs/>
          <w:spacing w:val="40"/>
          <w:rtl/>
        </w:rPr>
        <w:t>אובדן או גניבה של תג חניה</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ככלל, אגף הרישוי מנפיק תג חניה פיזי אחד עבור כל מבקש, והוא מנפיק שני תגי חניה לאדם עם מוגבלות במקרים ממוקדים בלבד, למשל במקרה של הורים לקטין עם מוגבלות כדי לסייע במצבים שבהם הורה אחד לוקח למסגרת החינוכית וההורה השני אוסף, או במקרה של ילדים להורה עם מוגבלות כדי להקל במצבים שבהם אחד הילדים לוקח את ההורה וילד אחר מחזיר אותו.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ב</w:t>
      </w:r>
      <w:r w:rsidRPr="00A210E9">
        <w:rPr>
          <w:rFonts w:eastAsia="Calibri"/>
          <w:rtl/>
        </w:rPr>
        <w:t>מקרה של אובדן או גניב</w:t>
      </w:r>
      <w:r w:rsidRPr="00A210E9">
        <w:rPr>
          <w:rFonts w:eastAsia="Calibri" w:hint="cs"/>
          <w:rtl/>
        </w:rPr>
        <w:t>ה של</w:t>
      </w:r>
      <w:r w:rsidRPr="00A210E9">
        <w:rPr>
          <w:rFonts w:eastAsia="Calibri"/>
          <w:rtl/>
        </w:rPr>
        <w:t xml:space="preserve"> תג חניה,</w:t>
      </w:r>
      <w:r w:rsidRPr="00A210E9">
        <w:rPr>
          <w:rFonts w:eastAsia="Calibri" w:hint="cs"/>
          <w:rtl/>
        </w:rPr>
        <w:t xml:space="preserve"> על בעל התג</w:t>
      </w:r>
      <w:r w:rsidRPr="00A210E9">
        <w:rPr>
          <w:rFonts w:eastAsia="Calibri"/>
          <w:rtl/>
        </w:rPr>
        <w:t xml:space="preserve"> </w:t>
      </w:r>
      <w:r w:rsidRPr="00A210E9">
        <w:rPr>
          <w:rFonts w:eastAsia="Calibri" w:hint="cs"/>
          <w:rtl/>
        </w:rPr>
        <w:t>להגיש בקשה ל</w:t>
      </w:r>
      <w:r w:rsidRPr="00A210E9">
        <w:rPr>
          <w:rFonts w:eastAsia="Calibri"/>
          <w:rtl/>
        </w:rPr>
        <w:t xml:space="preserve">תג חלופי </w:t>
      </w:r>
      <w:r w:rsidRPr="00A210E9">
        <w:rPr>
          <w:rFonts w:eastAsia="Calibri" w:hint="cs"/>
          <w:rtl/>
        </w:rPr>
        <w:t>ב</w:t>
      </w:r>
      <w:r w:rsidRPr="00A210E9">
        <w:rPr>
          <w:rFonts w:eastAsia="Calibri"/>
          <w:rtl/>
        </w:rPr>
        <w:t>אתר משרד התחבורה</w:t>
      </w:r>
      <w:r w:rsidRPr="00A210E9">
        <w:rPr>
          <w:rFonts w:eastAsia="Calibri" w:hint="cs"/>
          <w:rtl/>
        </w:rPr>
        <w:t xml:space="preserve"> במרשתת.</w:t>
      </w:r>
      <w:r w:rsidRPr="00A210E9">
        <w:rPr>
          <w:rFonts w:eastAsia="Calibri"/>
          <w:rtl/>
        </w:rPr>
        <w:t xml:space="preserve"> הפעולה </w:t>
      </w:r>
      <w:r w:rsidRPr="00A210E9">
        <w:rPr>
          <w:rFonts w:eastAsia="Calibri" w:hint="cs"/>
          <w:rtl/>
        </w:rPr>
        <w:t xml:space="preserve">מתבצעת </w:t>
      </w:r>
      <w:r w:rsidRPr="00A210E9">
        <w:rPr>
          <w:rFonts w:eastAsia="Calibri"/>
          <w:rtl/>
        </w:rPr>
        <w:t xml:space="preserve">באופן אוטומטי </w:t>
      </w:r>
      <w:r w:rsidRPr="00A210E9">
        <w:rPr>
          <w:rFonts w:eastAsia="Calibri" w:hint="cs"/>
          <w:rtl/>
        </w:rPr>
        <w:t>ב</w:t>
      </w:r>
      <w:r w:rsidRPr="00A210E9">
        <w:rPr>
          <w:rFonts w:eastAsia="Calibri"/>
          <w:rtl/>
        </w:rPr>
        <w:t>מערכת התפעולית</w:t>
      </w:r>
      <w:r w:rsidRPr="00A210E9">
        <w:rPr>
          <w:rFonts w:eastAsia="Calibri" w:hint="cs"/>
          <w:rtl/>
        </w:rPr>
        <w:t xml:space="preserve"> של אגף הרישוי, ו</w:t>
      </w:r>
      <w:r w:rsidRPr="00A210E9">
        <w:rPr>
          <w:rFonts w:eastAsia="Calibri"/>
          <w:rtl/>
        </w:rPr>
        <w:t>התג המח</w:t>
      </w:r>
      <w:r w:rsidRPr="00A210E9">
        <w:rPr>
          <w:rFonts w:eastAsia="Calibri" w:hint="cs"/>
          <w:rtl/>
        </w:rPr>
        <w:t>ו</w:t>
      </w:r>
      <w:r w:rsidRPr="00A210E9">
        <w:rPr>
          <w:rFonts w:eastAsia="Calibri"/>
          <w:rtl/>
        </w:rPr>
        <w:t xml:space="preserve">דש </w:t>
      </w:r>
      <w:r w:rsidRPr="00A210E9">
        <w:rPr>
          <w:rFonts w:eastAsia="Calibri" w:hint="cs"/>
          <w:rtl/>
        </w:rPr>
        <w:t>נ</w:t>
      </w:r>
      <w:r w:rsidRPr="00A210E9">
        <w:rPr>
          <w:rFonts w:eastAsia="Calibri"/>
          <w:rtl/>
        </w:rPr>
        <w:t xml:space="preserve">שלח בדואר לכתובת </w:t>
      </w:r>
      <w:r w:rsidRPr="00A210E9">
        <w:rPr>
          <w:rFonts w:eastAsia="Calibri" w:hint="cs"/>
          <w:rtl/>
        </w:rPr>
        <w:t>המבקש ב</w:t>
      </w:r>
      <w:r w:rsidRPr="00A210E9">
        <w:rPr>
          <w:rFonts w:eastAsia="Calibri"/>
          <w:rtl/>
        </w:rPr>
        <w:t>תוך כ</w:t>
      </w:r>
      <w:r w:rsidRPr="00A210E9">
        <w:rPr>
          <w:rFonts w:eastAsia="Calibri" w:hint="cs"/>
          <w:rtl/>
        </w:rPr>
        <w:t>-</w:t>
      </w:r>
      <w:r w:rsidRPr="00A210E9">
        <w:rPr>
          <w:rFonts w:eastAsia="Calibri"/>
          <w:rtl/>
        </w:rPr>
        <w:t xml:space="preserve">30 </w:t>
      </w:r>
      <w:r w:rsidRPr="00A210E9">
        <w:rPr>
          <w:rFonts w:eastAsia="Calibri" w:hint="cs"/>
          <w:rtl/>
        </w:rPr>
        <w:t>ימים. ניתן להגיש את הבקשה גם בדואר אך במקרה כזה יישלח התג בתוך כ-60 ימים.</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נציגי הלשכה המשפטית של משרד התחבורה מסרו למשרד מבקר המדינה ביוני 2025 כי יש היקף רחב של דיווחים על אובדן. או גניבה של תג חניה שמובילים להנפקת תג חלופי, ואין כל דרך לאמת שהתג הראשון אכן אבד או נגנב. לכן, סביר שבחלק לא קטן מהמקרים הללו מדובר בדיווח שאינו אמיתי ונועד לצורך השגת תג שני שלא כדין</w:t>
      </w:r>
      <w:r>
        <w:rPr>
          <w:rFonts w:eastAsia="Calibri"/>
          <w:vertAlign w:val="superscript"/>
          <w:rtl/>
        </w:rPr>
        <w:footnoteReference w:id="165"/>
      </w:r>
      <w:r w:rsidRPr="00A210E9">
        <w:rPr>
          <w:rFonts w:eastAsia="Calibri" w:hint="cs"/>
          <w:rtl/>
        </w:rPr>
        <w:t>. עוד ציינו כי בשל קושי מחשובי לא ניתן לבטל תג שבעליו הודיע כי אבד או נגנב. תג החניה אינו נושא מספר סידורי חד-ערכי (אלא רק את מספר תעודת הזהות של בעל התג), לכן אין כל טעם בביטול תג והנפקתו מחדש משום שמדובר באותו התג עם אותו מספר תעודת זהות.</w:t>
      </w:r>
    </w:p>
    <w:p w:rsidR="00A210E9" w:rsidRPr="00A210E9" w:rsidP="00A210E9">
      <w:pPr>
        <w:spacing w:line="269" w:lineRule="auto"/>
        <w:rPr>
          <w:rFonts w:eastAsia="Calibri"/>
          <w:b/>
          <w:bCs/>
          <w:rtl/>
        </w:rPr>
      </w:pPr>
      <w:r w:rsidRPr="00A210E9">
        <w:rPr>
          <w:rFonts w:eastAsia="Calibri" w:hint="eastAsia"/>
          <w:b/>
          <w:bCs/>
          <w:rtl/>
        </w:rPr>
        <w:t>בביקורת</w:t>
      </w:r>
      <w:r w:rsidRPr="00A210E9">
        <w:rPr>
          <w:rFonts w:eastAsia="Calibri"/>
          <w:b/>
          <w:bCs/>
          <w:rtl/>
        </w:rPr>
        <w:t xml:space="preserve"> עלה כי אגף הרישוי לא קבע </w:t>
      </w:r>
      <w:r w:rsidRPr="00A210E9">
        <w:rPr>
          <w:rFonts w:eastAsia="Calibri" w:hint="eastAsia"/>
          <w:b/>
          <w:bCs/>
          <w:rtl/>
        </w:rPr>
        <w:t>רשימת</w:t>
      </w:r>
      <w:r w:rsidRPr="00A210E9">
        <w:rPr>
          <w:rFonts w:eastAsia="Calibri"/>
          <w:b/>
          <w:bCs/>
          <w:rtl/>
        </w:rPr>
        <w:t xml:space="preserve"> </w:t>
      </w:r>
      <w:r w:rsidRPr="00A210E9">
        <w:rPr>
          <w:rFonts w:eastAsia="Calibri" w:hint="eastAsia"/>
          <w:b/>
          <w:bCs/>
          <w:rtl/>
        </w:rPr>
        <w:t>מקרים</w:t>
      </w:r>
      <w:r w:rsidRPr="00A210E9">
        <w:rPr>
          <w:rFonts w:eastAsia="Calibri"/>
          <w:b/>
          <w:bCs/>
          <w:rtl/>
        </w:rPr>
        <w:t xml:space="preserve"> </w:t>
      </w:r>
      <w:r w:rsidRPr="00A210E9">
        <w:rPr>
          <w:rFonts w:eastAsia="Calibri" w:hint="eastAsia"/>
          <w:b/>
          <w:bCs/>
          <w:rtl/>
        </w:rPr>
        <w:t>קבועה</w:t>
      </w:r>
      <w:r w:rsidRPr="00A210E9">
        <w:rPr>
          <w:rFonts w:eastAsia="Calibri"/>
          <w:b/>
          <w:bCs/>
          <w:rtl/>
        </w:rPr>
        <w:t xml:space="preserve"> </w:t>
      </w:r>
      <w:r w:rsidRPr="00A210E9">
        <w:rPr>
          <w:rFonts w:eastAsia="Calibri" w:hint="eastAsia"/>
          <w:b/>
          <w:bCs/>
          <w:rtl/>
        </w:rPr>
        <w:t>או</w:t>
      </w:r>
      <w:r w:rsidRPr="00A210E9">
        <w:rPr>
          <w:rFonts w:eastAsia="Calibri"/>
          <w:b/>
          <w:bCs/>
          <w:rtl/>
        </w:rPr>
        <w:t xml:space="preserve"> </w:t>
      </w:r>
      <w:r w:rsidRPr="00A210E9">
        <w:rPr>
          <w:rFonts w:eastAsia="Calibri" w:hint="eastAsia"/>
          <w:b/>
          <w:bCs/>
          <w:rtl/>
        </w:rPr>
        <w:t>מסוימת</w:t>
      </w:r>
      <w:r w:rsidRPr="00A210E9">
        <w:rPr>
          <w:rFonts w:eastAsia="Calibri"/>
          <w:b/>
          <w:bCs/>
          <w:rtl/>
        </w:rPr>
        <w:t xml:space="preserve"> </w:t>
      </w:r>
      <w:r w:rsidRPr="00A210E9">
        <w:rPr>
          <w:rFonts w:eastAsia="Calibri" w:hint="eastAsia"/>
          <w:b/>
          <w:bCs/>
          <w:rtl/>
        </w:rPr>
        <w:t>שבהם</w:t>
      </w:r>
      <w:r w:rsidRPr="00A210E9">
        <w:rPr>
          <w:rFonts w:eastAsia="Calibri"/>
          <w:b/>
          <w:bCs/>
          <w:rtl/>
        </w:rPr>
        <w:t xml:space="preserve"> </w:t>
      </w:r>
      <w:r w:rsidRPr="00A210E9">
        <w:rPr>
          <w:rFonts w:eastAsia="Calibri" w:hint="eastAsia"/>
          <w:b/>
          <w:bCs/>
          <w:rtl/>
        </w:rPr>
        <w:t>ניתנים</w:t>
      </w:r>
      <w:r w:rsidRPr="00A210E9">
        <w:rPr>
          <w:rFonts w:eastAsia="Calibri"/>
          <w:b/>
          <w:bCs/>
          <w:rtl/>
        </w:rPr>
        <w:t xml:space="preserve"> </w:t>
      </w:r>
      <w:r w:rsidRPr="00A210E9">
        <w:rPr>
          <w:rFonts w:eastAsia="Calibri" w:hint="eastAsia"/>
          <w:b/>
          <w:bCs/>
          <w:rtl/>
        </w:rPr>
        <w:t>שני</w:t>
      </w:r>
      <w:r w:rsidRPr="00A210E9">
        <w:rPr>
          <w:rFonts w:eastAsia="Calibri"/>
          <w:b/>
          <w:bCs/>
          <w:rtl/>
        </w:rPr>
        <w:t xml:space="preserve"> </w:t>
      </w:r>
      <w:r w:rsidRPr="00A210E9">
        <w:rPr>
          <w:rFonts w:eastAsia="Calibri" w:hint="eastAsia"/>
          <w:b/>
          <w:bCs/>
          <w:rtl/>
        </w:rPr>
        <w:t>תגים</w:t>
      </w:r>
      <w:r w:rsidRPr="00A210E9">
        <w:rPr>
          <w:rFonts w:eastAsia="Calibri"/>
          <w:b/>
          <w:bCs/>
          <w:rtl/>
        </w:rPr>
        <w:t xml:space="preserve"> פיזיים לבעל תג חניה. עוד עלה כי </w:t>
      </w:r>
      <w:r w:rsidRPr="00A210E9">
        <w:rPr>
          <w:rFonts w:eastAsia="Calibri" w:hint="eastAsia"/>
          <w:b/>
          <w:bCs/>
          <w:rtl/>
        </w:rPr>
        <w:t>כאשר</w:t>
      </w:r>
      <w:r w:rsidRPr="00A210E9">
        <w:rPr>
          <w:rFonts w:eastAsia="Calibri"/>
          <w:b/>
          <w:bCs/>
          <w:rtl/>
        </w:rPr>
        <w:t xml:space="preserve"> </w:t>
      </w:r>
      <w:r w:rsidRPr="00A210E9">
        <w:rPr>
          <w:rFonts w:eastAsia="Calibri" w:hint="eastAsia"/>
          <w:b/>
          <w:bCs/>
          <w:rtl/>
        </w:rPr>
        <w:t>בעל</w:t>
      </w:r>
      <w:r w:rsidRPr="00A210E9">
        <w:rPr>
          <w:rFonts w:eastAsia="Calibri"/>
          <w:b/>
          <w:bCs/>
          <w:rtl/>
        </w:rPr>
        <w:t xml:space="preserve"> </w:t>
      </w:r>
      <w:r w:rsidRPr="00A210E9">
        <w:rPr>
          <w:rFonts w:eastAsia="Calibri" w:hint="eastAsia"/>
          <w:b/>
          <w:bCs/>
          <w:rtl/>
        </w:rPr>
        <w:t>תג</w:t>
      </w:r>
      <w:r w:rsidRPr="00A210E9">
        <w:rPr>
          <w:rFonts w:eastAsia="Calibri"/>
          <w:b/>
          <w:bCs/>
          <w:rtl/>
        </w:rPr>
        <w:t xml:space="preserve"> </w:t>
      </w:r>
      <w:r w:rsidRPr="00A210E9">
        <w:rPr>
          <w:rFonts w:eastAsia="Calibri" w:hint="eastAsia"/>
          <w:b/>
          <w:bCs/>
          <w:rtl/>
        </w:rPr>
        <w:t>מודיע</w:t>
      </w:r>
      <w:r w:rsidRPr="00A210E9">
        <w:rPr>
          <w:rFonts w:eastAsia="Calibri"/>
          <w:b/>
          <w:bCs/>
          <w:rtl/>
        </w:rPr>
        <w:t xml:space="preserve"> </w:t>
      </w:r>
      <w:r w:rsidRPr="00A210E9">
        <w:rPr>
          <w:rFonts w:eastAsia="Calibri" w:hint="eastAsia"/>
          <w:b/>
          <w:bCs/>
          <w:rtl/>
        </w:rPr>
        <w:t>על</w:t>
      </w:r>
      <w:r w:rsidRPr="00A210E9">
        <w:rPr>
          <w:rFonts w:eastAsia="Calibri"/>
          <w:b/>
          <w:bCs/>
          <w:rtl/>
        </w:rPr>
        <w:t xml:space="preserve"> </w:t>
      </w:r>
      <w:r w:rsidRPr="00A210E9">
        <w:rPr>
          <w:rFonts w:eastAsia="Calibri" w:hint="eastAsia"/>
          <w:b/>
          <w:bCs/>
          <w:rtl/>
        </w:rPr>
        <w:t>אובדן</w:t>
      </w:r>
      <w:r w:rsidRPr="00A210E9">
        <w:rPr>
          <w:rFonts w:eastAsia="Calibri"/>
          <w:b/>
          <w:bCs/>
          <w:rtl/>
        </w:rPr>
        <w:t xml:space="preserve"> </w:t>
      </w:r>
      <w:r w:rsidRPr="00A210E9">
        <w:rPr>
          <w:rFonts w:eastAsia="Calibri" w:hint="eastAsia"/>
          <w:b/>
          <w:bCs/>
          <w:rtl/>
        </w:rPr>
        <w:t>או</w:t>
      </w:r>
      <w:r w:rsidRPr="00A210E9">
        <w:rPr>
          <w:rFonts w:eastAsia="Calibri"/>
          <w:b/>
          <w:bCs/>
          <w:rtl/>
        </w:rPr>
        <w:t xml:space="preserve"> </w:t>
      </w:r>
      <w:r w:rsidRPr="00A210E9">
        <w:rPr>
          <w:rFonts w:eastAsia="Calibri" w:hint="eastAsia"/>
          <w:b/>
          <w:bCs/>
          <w:rtl/>
        </w:rPr>
        <w:t>גניבה</w:t>
      </w:r>
      <w:r w:rsidRPr="00A210E9">
        <w:rPr>
          <w:rFonts w:eastAsia="Calibri"/>
          <w:b/>
          <w:bCs/>
          <w:rtl/>
        </w:rPr>
        <w:t xml:space="preserve"> </w:t>
      </w:r>
      <w:r w:rsidRPr="00A210E9">
        <w:rPr>
          <w:rFonts w:eastAsia="Calibri" w:hint="eastAsia"/>
          <w:b/>
          <w:bCs/>
          <w:rtl/>
        </w:rPr>
        <w:t>של</w:t>
      </w:r>
      <w:r w:rsidRPr="00A210E9">
        <w:rPr>
          <w:rFonts w:eastAsia="Calibri"/>
          <w:b/>
          <w:bCs/>
          <w:rtl/>
        </w:rPr>
        <w:t xml:space="preserve"> </w:t>
      </w:r>
      <w:r w:rsidRPr="00A210E9">
        <w:rPr>
          <w:rFonts w:eastAsia="Calibri" w:hint="eastAsia"/>
          <w:b/>
          <w:bCs/>
          <w:rtl/>
        </w:rPr>
        <w:t>תג</w:t>
      </w:r>
      <w:r w:rsidRPr="00A210E9">
        <w:rPr>
          <w:rFonts w:eastAsia="Calibri"/>
          <w:b/>
          <w:bCs/>
          <w:rtl/>
        </w:rPr>
        <w:t xml:space="preserve">, </w:t>
      </w:r>
      <w:r w:rsidRPr="00A210E9">
        <w:rPr>
          <w:rFonts w:eastAsia="Calibri" w:hint="eastAsia"/>
          <w:b/>
          <w:bCs/>
          <w:rtl/>
        </w:rPr>
        <w:t>אגף</w:t>
      </w:r>
      <w:r w:rsidRPr="00A210E9">
        <w:rPr>
          <w:rFonts w:eastAsia="Calibri"/>
          <w:b/>
          <w:bCs/>
          <w:rtl/>
        </w:rPr>
        <w:t xml:space="preserve"> </w:t>
      </w:r>
      <w:r w:rsidRPr="00A210E9">
        <w:rPr>
          <w:rFonts w:eastAsia="Calibri" w:hint="eastAsia"/>
          <w:b/>
          <w:bCs/>
          <w:rtl/>
        </w:rPr>
        <w:t>הרישוי</w:t>
      </w:r>
      <w:r w:rsidRPr="00A210E9">
        <w:rPr>
          <w:rFonts w:eastAsia="Calibri"/>
          <w:b/>
          <w:bCs/>
          <w:rtl/>
        </w:rPr>
        <w:t xml:space="preserve"> </w:t>
      </w:r>
      <w:r w:rsidRPr="00A210E9">
        <w:rPr>
          <w:rFonts w:eastAsia="Calibri" w:hint="eastAsia"/>
          <w:b/>
          <w:bCs/>
          <w:rtl/>
        </w:rPr>
        <w:t>מנפיק</w:t>
      </w:r>
      <w:r w:rsidRPr="00A210E9">
        <w:rPr>
          <w:rFonts w:eastAsia="Calibri"/>
          <w:b/>
          <w:bCs/>
          <w:rtl/>
        </w:rPr>
        <w:t xml:space="preserve"> </w:t>
      </w:r>
      <w:r w:rsidRPr="00A210E9">
        <w:rPr>
          <w:rFonts w:eastAsia="Calibri" w:hint="eastAsia"/>
          <w:b/>
          <w:bCs/>
          <w:rtl/>
        </w:rPr>
        <w:t>עבורו</w:t>
      </w:r>
      <w:r w:rsidRPr="00A210E9">
        <w:rPr>
          <w:rFonts w:eastAsia="Calibri"/>
          <w:b/>
          <w:bCs/>
          <w:rtl/>
        </w:rPr>
        <w:t xml:space="preserve"> </w:t>
      </w:r>
      <w:r w:rsidRPr="00A210E9">
        <w:rPr>
          <w:rFonts w:eastAsia="Calibri" w:hint="eastAsia"/>
          <w:b/>
          <w:bCs/>
          <w:rtl/>
        </w:rPr>
        <w:t>תג</w:t>
      </w:r>
      <w:r w:rsidRPr="00A210E9">
        <w:rPr>
          <w:rFonts w:eastAsia="Calibri"/>
          <w:b/>
          <w:bCs/>
          <w:rtl/>
        </w:rPr>
        <w:t xml:space="preserve"> </w:t>
      </w:r>
      <w:r w:rsidRPr="00A210E9">
        <w:rPr>
          <w:rFonts w:eastAsia="Calibri" w:hint="eastAsia"/>
          <w:b/>
          <w:bCs/>
          <w:rtl/>
        </w:rPr>
        <w:t>חדש</w:t>
      </w:r>
      <w:r w:rsidRPr="00A210E9">
        <w:rPr>
          <w:rFonts w:eastAsia="Calibri"/>
          <w:b/>
          <w:bCs/>
          <w:rtl/>
        </w:rPr>
        <w:t xml:space="preserve"> </w:t>
      </w:r>
      <w:r w:rsidRPr="00A210E9">
        <w:rPr>
          <w:rFonts w:eastAsia="Calibri" w:hint="eastAsia"/>
          <w:b/>
          <w:bCs/>
          <w:rtl/>
        </w:rPr>
        <w:t>אולם</w:t>
      </w:r>
      <w:r w:rsidRPr="00A210E9">
        <w:rPr>
          <w:rFonts w:eastAsia="Calibri"/>
          <w:b/>
          <w:bCs/>
          <w:rtl/>
        </w:rPr>
        <w:t xml:space="preserve"> </w:t>
      </w:r>
      <w:r w:rsidRPr="00A210E9">
        <w:rPr>
          <w:rFonts w:eastAsia="Calibri" w:hint="eastAsia"/>
          <w:b/>
          <w:bCs/>
          <w:rtl/>
        </w:rPr>
        <w:t>התג</w:t>
      </w:r>
      <w:r w:rsidRPr="00A210E9">
        <w:rPr>
          <w:rFonts w:eastAsia="Calibri"/>
          <w:b/>
          <w:bCs/>
          <w:rtl/>
        </w:rPr>
        <w:t xml:space="preserve"> </w:t>
      </w:r>
      <w:r w:rsidRPr="00A210E9">
        <w:rPr>
          <w:rFonts w:eastAsia="Calibri" w:hint="eastAsia"/>
          <w:b/>
          <w:bCs/>
          <w:rtl/>
        </w:rPr>
        <w:t>הקודם</w:t>
      </w:r>
      <w:r w:rsidRPr="00A210E9">
        <w:rPr>
          <w:rFonts w:eastAsia="Calibri"/>
          <w:b/>
          <w:bCs/>
          <w:rtl/>
        </w:rPr>
        <w:t xml:space="preserve"> </w:t>
      </w:r>
      <w:r w:rsidRPr="00A210E9">
        <w:rPr>
          <w:rFonts w:eastAsia="Calibri" w:hint="cs"/>
          <w:b/>
          <w:bCs/>
          <w:rtl/>
        </w:rPr>
        <w:t>אינו</w:t>
      </w:r>
      <w:r w:rsidRPr="00A210E9">
        <w:rPr>
          <w:rFonts w:eastAsia="Calibri"/>
          <w:b/>
          <w:bCs/>
          <w:rtl/>
        </w:rPr>
        <w:t xml:space="preserve"> </w:t>
      </w:r>
      <w:r w:rsidRPr="00A210E9">
        <w:rPr>
          <w:rFonts w:eastAsia="Calibri" w:hint="eastAsia"/>
          <w:b/>
          <w:bCs/>
          <w:rtl/>
        </w:rPr>
        <w:t>מתבטל</w:t>
      </w:r>
      <w:r w:rsidRPr="00A210E9">
        <w:rPr>
          <w:rFonts w:eastAsia="Calibri" w:hint="cs"/>
          <w:b/>
          <w:bCs/>
          <w:rtl/>
        </w:rPr>
        <w:t xml:space="preserve"> בשל קושי מחשובי ומשום שהתג אינו נושא מספר </w:t>
      </w:r>
      <w:bookmarkStart w:id="135" w:name="_Hlk219897690"/>
      <w:r w:rsidRPr="00A210E9">
        <w:rPr>
          <w:rFonts w:eastAsia="Calibri" w:hint="cs"/>
          <w:b/>
          <w:bCs/>
          <w:rtl/>
        </w:rPr>
        <w:t>סידורי חד-ערכי</w:t>
      </w:r>
      <w:bookmarkEnd w:id="135"/>
      <w:r w:rsidRPr="00A210E9">
        <w:rPr>
          <w:rFonts w:eastAsia="Calibri"/>
          <w:b/>
          <w:bCs/>
          <w:rtl/>
        </w:rPr>
        <w:t xml:space="preserve">. </w:t>
      </w:r>
      <w:r w:rsidRPr="00A210E9">
        <w:rPr>
          <w:rFonts w:eastAsia="Calibri" w:hint="eastAsia"/>
          <w:b/>
          <w:bCs/>
          <w:rtl/>
        </w:rPr>
        <w:t>ממשרד</w:t>
      </w:r>
      <w:r w:rsidRPr="00A210E9">
        <w:rPr>
          <w:rFonts w:eastAsia="Calibri"/>
          <w:b/>
          <w:bCs/>
          <w:rtl/>
        </w:rPr>
        <w:t xml:space="preserve"> </w:t>
      </w:r>
      <w:r w:rsidRPr="00A210E9">
        <w:rPr>
          <w:rFonts w:eastAsia="Calibri" w:hint="eastAsia"/>
          <w:b/>
          <w:bCs/>
          <w:rtl/>
        </w:rPr>
        <w:t>התחבורה</w:t>
      </w:r>
      <w:r w:rsidRPr="00A210E9">
        <w:rPr>
          <w:rFonts w:eastAsia="Calibri"/>
          <w:b/>
          <w:bCs/>
          <w:rtl/>
        </w:rPr>
        <w:t xml:space="preserve"> </w:t>
      </w:r>
      <w:r w:rsidRPr="00A210E9">
        <w:rPr>
          <w:rFonts w:eastAsia="Calibri" w:hint="eastAsia"/>
          <w:b/>
          <w:bCs/>
          <w:rtl/>
        </w:rPr>
        <w:t>נמסר</w:t>
      </w:r>
      <w:r w:rsidRPr="00A210E9">
        <w:rPr>
          <w:rFonts w:eastAsia="Calibri"/>
          <w:b/>
          <w:bCs/>
          <w:rtl/>
        </w:rPr>
        <w:t xml:space="preserve"> </w:t>
      </w:r>
      <w:r w:rsidRPr="00A210E9">
        <w:rPr>
          <w:rFonts w:eastAsia="Calibri" w:hint="eastAsia"/>
          <w:b/>
          <w:bCs/>
          <w:rtl/>
        </w:rPr>
        <w:t>כי</w:t>
      </w:r>
      <w:r w:rsidRPr="00A210E9">
        <w:rPr>
          <w:rFonts w:eastAsia="Calibri"/>
          <w:b/>
          <w:bCs/>
          <w:rtl/>
        </w:rPr>
        <w:t xml:space="preserve"> </w:t>
      </w:r>
      <w:r w:rsidRPr="00A210E9">
        <w:rPr>
          <w:rFonts w:eastAsia="Calibri" w:hint="eastAsia"/>
          <w:b/>
          <w:bCs/>
          <w:rtl/>
        </w:rPr>
        <w:t>יש</w:t>
      </w:r>
      <w:r w:rsidRPr="00A210E9">
        <w:rPr>
          <w:rFonts w:eastAsia="Calibri"/>
          <w:b/>
          <w:bCs/>
          <w:rtl/>
        </w:rPr>
        <w:t xml:space="preserve"> </w:t>
      </w:r>
      <w:r w:rsidRPr="00A210E9">
        <w:rPr>
          <w:rFonts w:eastAsia="Calibri" w:hint="eastAsia"/>
          <w:b/>
          <w:bCs/>
          <w:rtl/>
        </w:rPr>
        <w:t>בקשות</w:t>
      </w:r>
      <w:r w:rsidRPr="00A210E9">
        <w:rPr>
          <w:rFonts w:eastAsia="Calibri"/>
          <w:b/>
          <w:bCs/>
          <w:rtl/>
        </w:rPr>
        <w:t xml:space="preserve"> </w:t>
      </w:r>
      <w:r w:rsidRPr="00A210E9">
        <w:rPr>
          <w:rFonts w:eastAsia="Calibri" w:hint="eastAsia"/>
          <w:b/>
          <w:bCs/>
          <w:rtl/>
        </w:rPr>
        <w:t>רבות</w:t>
      </w:r>
      <w:r w:rsidRPr="00A210E9">
        <w:rPr>
          <w:rFonts w:eastAsia="Calibri"/>
          <w:b/>
          <w:bCs/>
          <w:rtl/>
        </w:rPr>
        <w:t xml:space="preserve"> </w:t>
      </w:r>
      <w:r w:rsidRPr="00A210E9">
        <w:rPr>
          <w:rFonts w:eastAsia="Calibri" w:hint="eastAsia"/>
          <w:b/>
          <w:bCs/>
          <w:rtl/>
        </w:rPr>
        <w:t>להנפקת</w:t>
      </w:r>
      <w:r w:rsidRPr="00A210E9">
        <w:rPr>
          <w:rFonts w:eastAsia="Calibri"/>
          <w:b/>
          <w:bCs/>
          <w:rtl/>
        </w:rPr>
        <w:t xml:space="preserve"> </w:t>
      </w:r>
      <w:r w:rsidRPr="00A210E9">
        <w:rPr>
          <w:rFonts w:eastAsia="Calibri" w:hint="eastAsia"/>
          <w:b/>
          <w:bCs/>
          <w:rtl/>
        </w:rPr>
        <w:t>תג</w:t>
      </w:r>
      <w:r w:rsidRPr="00A210E9">
        <w:rPr>
          <w:rFonts w:eastAsia="Calibri"/>
          <w:b/>
          <w:bCs/>
          <w:rtl/>
        </w:rPr>
        <w:t xml:space="preserve"> </w:t>
      </w:r>
      <w:r w:rsidRPr="00A210E9">
        <w:rPr>
          <w:rFonts w:eastAsia="Calibri" w:hint="eastAsia"/>
          <w:b/>
          <w:bCs/>
          <w:rtl/>
        </w:rPr>
        <w:t>חדש</w:t>
      </w:r>
      <w:r w:rsidRPr="00A210E9">
        <w:rPr>
          <w:rFonts w:eastAsia="Calibri"/>
          <w:b/>
          <w:bCs/>
          <w:rtl/>
        </w:rPr>
        <w:t xml:space="preserve"> בעקבות גניבה או אובדן</w:t>
      </w:r>
      <w:r w:rsidRPr="00A210E9">
        <w:rPr>
          <w:rFonts w:eastAsia="Calibri" w:hint="cs"/>
          <w:b/>
          <w:bCs/>
          <w:rtl/>
        </w:rPr>
        <w:t>,</w:t>
      </w:r>
      <w:r w:rsidRPr="00A210E9">
        <w:rPr>
          <w:rFonts w:eastAsia="Calibri"/>
          <w:b/>
          <w:bCs/>
          <w:rtl/>
        </w:rPr>
        <w:t xml:space="preserve"> ולאגף הרישוי אין </w:t>
      </w:r>
      <w:r w:rsidRPr="00A210E9">
        <w:rPr>
          <w:rFonts w:eastAsia="Calibri" w:hint="cs"/>
          <w:b/>
          <w:bCs/>
          <w:rtl/>
        </w:rPr>
        <w:t xml:space="preserve">כל </w:t>
      </w:r>
      <w:r w:rsidRPr="00A210E9">
        <w:rPr>
          <w:rFonts w:eastAsia="Calibri"/>
          <w:b/>
          <w:bCs/>
          <w:rtl/>
        </w:rPr>
        <w:t xml:space="preserve">דרך לאמת את נכונות הטענה. </w:t>
      </w:r>
      <w:r w:rsidRPr="00A210E9">
        <w:rPr>
          <w:rFonts w:eastAsia="Calibri" w:hint="cs"/>
          <w:b/>
          <w:bCs/>
          <w:rtl/>
        </w:rPr>
        <w:t xml:space="preserve">הדבר פותח פתח נוסף לשימוש לרעה בתג, שכן יכול להתקיים מצב שבו בעלי תג מצהירים על אובדן פיקטיבי של תג, וכך </w:t>
      </w:r>
      <w:bookmarkStart w:id="136" w:name="_Hlk219897903"/>
      <w:r w:rsidRPr="00A210E9">
        <w:rPr>
          <w:rFonts w:eastAsia="Calibri" w:hint="cs"/>
          <w:b/>
          <w:bCs/>
          <w:rtl/>
        </w:rPr>
        <w:t>"זוכים" בשני תגי חניה או יותר ויכולים</w:t>
      </w:r>
      <w:bookmarkStart w:id="137" w:name="_Hlk219897820"/>
      <w:r w:rsidRPr="00A210E9">
        <w:rPr>
          <w:rFonts w:eastAsia="Calibri" w:hint="cs"/>
          <w:b/>
          <w:bCs/>
          <w:rtl/>
        </w:rPr>
        <w:t xml:space="preserve"> להשתמש בהם בו זמנית בשני רכבים המשויכים לתג</w:t>
      </w:r>
      <w:bookmarkEnd w:id="136"/>
      <w:bookmarkEnd w:id="137"/>
      <w:r w:rsidRPr="00A210E9">
        <w:rPr>
          <w:rFonts w:eastAsia="Calibri" w:hint="cs"/>
          <w:b/>
          <w:bCs/>
          <w:rtl/>
        </w:rPr>
        <w:t xml:space="preserve">, גם אם לא נמצא בהם בעל התג עצמו. אף שמשרד התחבורה מציין בטופס הבקשה להנפקת תג חניה, במקרים של אובדן או גניבה, כי כל הנפקה של תג חדש מבטלת באופן מיידי את התג הקודם, בפועל התג הישן אינו מתבטל אלא מונפק תג נוסף הנושא את אותו מספר תעודת זהות.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 xml:space="preserve">משרד מבקר המדינה ממליץ למשרד התחבורה </w:t>
      </w:r>
      <w:r w:rsidRPr="00A210E9">
        <w:rPr>
          <w:rFonts w:eastAsia="Calibri" w:hint="eastAsia"/>
          <w:b/>
          <w:bCs/>
          <w:rtl/>
        </w:rPr>
        <w:t>לבחון</w:t>
      </w:r>
      <w:r w:rsidRPr="00A210E9">
        <w:rPr>
          <w:rFonts w:eastAsia="Calibri"/>
          <w:b/>
          <w:bCs/>
          <w:rtl/>
        </w:rPr>
        <w:t xml:space="preserve"> </w:t>
      </w:r>
      <w:r w:rsidRPr="00A210E9">
        <w:rPr>
          <w:rFonts w:eastAsia="Calibri" w:hint="eastAsia"/>
          <w:b/>
          <w:bCs/>
          <w:rtl/>
        </w:rPr>
        <w:t>פתרונות</w:t>
      </w:r>
      <w:r w:rsidRPr="00A210E9">
        <w:rPr>
          <w:rFonts w:eastAsia="Calibri"/>
          <w:b/>
          <w:bCs/>
          <w:rtl/>
        </w:rPr>
        <w:t xml:space="preserve"> </w:t>
      </w:r>
      <w:r w:rsidRPr="00A210E9">
        <w:rPr>
          <w:rFonts w:eastAsia="Calibri" w:hint="eastAsia"/>
          <w:b/>
          <w:bCs/>
          <w:rtl/>
        </w:rPr>
        <w:t>שיאפשרו</w:t>
      </w:r>
      <w:r w:rsidRPr="00A210E9">
        <w:rPr>
          <w:rFonts w:eastAsia="Calibri" w:hint="cs"/>
          <w:b/>
          <w:bCs/>
          <w:rtl/>
        </w:rPr>
        <w:t xml:space="preserve"> לבטל תג חניה במקרים של אובדן או גניבה ובמקרים נוספים המצריכים ביטול תג. למשל, ביטול תג באמצעות הקצאת מספר חד-ערכי שיקושר לכל תג חניה פיזי או באמצעות הוספת שבב (צ'יפ) ייחודי לתג החניה.</w:t>
      </w:r>
    </w:p>
    <w:p w:rsidR="00A210E9" w:rsidRPr="00A210E9" w:rsidP="00A210E9">
      <w:pPr>
        <w:keepNext/>
        <w:keepLines/>
        <w:spacing w:line="269" w:lineRule="auto"/>
        <w:ind w:left="-567"/>
        <w:rPr>
          <w:rFonts w:eastAsia="Calibri"/>
          <w:szCs w:val="20"/>
          <w:rtl/>
        </w:rPr>
      </w:pPr>
    </w:p>
    <w:p w:rsidR="00A210E9" w:rsidRPr="00A210E9" w:rsidP="00A210E9">
      <w:pPr>
        <w:keepNext/>
        <w:keepLines/>
        <w:spacing w:line="269" w:lineRule="auto"/>
        <w:outlineLvl w:val="4"/>
        <w:rPr>
          <w:rFonts w:eastAsia="Times New Roman"/>
          <w:bCs/>
          <w:spacing w:val="40"/>
          <w:rtl/>
        </w:rPr>
      </w:pPr>
      <w:r w:rsidRPr="00A210E9">
        <w:rPr>
          <w:rFonts w:eastAsia="Times New Roman" w:hint="cs"/>
          <w:bCs/>
          <w:spacing w:val="40"/>
          <w:rtl/>
        </w:rPr>
        <w:t>שדרוג הטופס הדיגיטלי</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משרד התחבורה מתפעל את </w:t>
      </w:r>
      <w:r w:rsidRPr="00A210E9">
        <w:rPr>
          <w:rFonts w:eastAsia="Calibri"/>
          <w:rtl/>
        </w:rPr>
        <w:t xml:space="preserve">הטופס הדיגיטלי להגשת בקשות </w:t>
      </w:r>
      <w:r w:rsidRPr="00A210E9">
        <w:rPr>
          <w:rFonts w:eastAsia="Calibri" w:hint="cs"/>
          <w:rtl/>
        </w:rPr>
        <w:t>ל</w:t>
      </w:r>
      <w:r w:rsidRPr="00A210E9">
        <w:rPr>
          <w:rFonts w:eastAsia="Calibri"/>
          <w:rtl/>
        </w:rPr>
        <w:t>תג חניה ו</w:t>
      </w:r>
      <w:r w:rsidRPr="00A210E9">
        <w:rPr>
          <w:rFonts w:eastAsia="Calibri" w:hint="cs"/>
          <w:rtl/>
        </w:rPr>
        <w:t xml:space="preserve">את הטפסים לשירותים נוספים של אגף הרישוי על גבי פלטפורמה מחשובית הנתמכת על ידי שירותי </w:t>
      </w:r>
      <w:r w:rsidRPr="00A210E9">
        <w:rPr>
          <w:rFonts w:eastAsia="Calibri"/>
          <w:rtl/>
        </w:rPr>
        <w:t>מערך הדיגיטל.</w:t>
      </w:r>
      <w:r w:rsidRPr="00A210E9">
        <w:rPr>
          <w:rFonts w:eastAsia="Calibri" w:hint="cs"/>
          <w:rtl/>
        </w:rPr>
        <w:t xml:space="preserve"> הטופס מאפשר להגיש בקשות</w:t>
      </w:r>
      <w:r w:rsidRPr="00A210E9">
        <w:rPr>
          <w:rFonts w:eastAsia="Calibri"/>
          <w:rtl/>
        </w:rPr>
        <w:t xml:space="preserve"> </w:t>
      </w:r>
      <w:r w:rsidRPr="00A210E9">
        <w:rPr>
          <w:rFonts w:eastAsia="Calibri" w:hint="cs"/>
          <w:rtl/>
        </w:rPr>
        <w:t>לשירותים שונים בתחום תג חניה אשר פותחו על בסיס תשתית שירות ידנית וב</w:t>
      </w:r>
      <w:r w:rsidRPr="00A210E9">
        <w:rPr>
          <w:rFonts w:eastAsia="Calibri"/>
          <w:rtl/>
        </w:rPr>
        <w:t>תצוגה ישנה</w:t>
      </w:r>
      <w:r w:rsidRPr="00A210E9">
        <w:rPr>
          <w:rFonts w:eastAsia="Calibri" w:hint="cs"/>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מערך הדיגיטל מוביל במשרדי הממשלה השונים תהליך של</w:t>
      </w:r>
      <w:r w:rsidRPr="00A210E9">
        <w:rPr>
          <w:rFonts w:eastAsia="Calibri"/>
          <w:rtl/>
        </w:rPr>
        <w:t xml:space="preserve"> הסב</w:t>
      </w:r>
      <w:r w:rsidRPr="00A210E9">
        <w:rPr>
          <w:rFonts w:eastAsia="Calibri" w:hint="cs"/>
          <w:rtl/>
        </w:rPr>
        <w:t>ת תהליכים</w:t>
      </w:r>
      <w:r w:rsidRPr="00A210E9">
        <w:rPr>
          <w:rFonts w:eastAsia="Calibri"/>
          <w:rtl/>
        </w:rPr>
        <w:t xml:space="preserve"> </w:t>
      </w:r>
      <w:r w:rsidRPr="00A210E9">
        <w:rPr>
          <w:rFonts w:eastAsia="Calibri" w:hint="cs"/>
          <w:rtl/>
        </w:rPr>
        <w:t>לתצוגה חדשה יותר</w:t>
      </w:r>
      <w:r w:rsidRPr="00A210E9">
        <w:rPr>
          <w:rFonts w:eastAsia="Calibri"/>
          <w:rtl/>
        </w:rPr>
        <w:t xml:space="preserve"> של הטפסים</w:t>
      </w:r>
      <w:r w:rsidRPr="00A210E9">
        <w:rPr>
          <w:rFonts w:eastAsia="Calibri" w:hint="cs"/>
          <w:rtl/>
        </w:rPr>
        <w:t xml:space="preserve">. בתקופת ההסבה </w:t>
      </w:r>
      <w:r w:rsidRPr="00A210E9">
        <w:rPr>
          <w:rFonts w:eastAsia="Calibri"/>
          <w:rtl/>
        </w:rPr>
        <w:t xml:space="preserve">פחות </w:t>
      </w:r>
      <w:r w:rsidRPr="00A210E9">
        <w:rPr>
          <w:rFonts w:eastAsia="Calibri" w:hint="cs"/>
          <w:rtl/>
        </w:rPr>
        <w:t>מומלץ</w:t>
      </w:r>
      <w:r w:rsidRPr="00A210E9">
        <w:rPr>
          <w:rFonts w:eastAsia="Calibri"/>
          <w:rtl/>
        </w:rPr>
        <w:t xml:space="preserve"> לבצע פיתוחים גדולים על </w:t>
      </w:r>
      <w:r w:rsidRPr="00A210E9">
        <w:rPr>
          <w:rFonts w:eastAsia="Calibri" w:hint="cs"/>
          <w:rtl/>
        </w:rPr>
        <w:t>גבי התצוגה הישנה של הטופס, אלא</w:t>
      </w:r>
      <w:r w:rsidRPr="00A210E9">
        <w:rPr>
          <w:rFonts w:eastAsia="Calibri"/>
          <w:rtl/>
        </w:rPr>
        <w:t xml:space="preserve"> </w:t>
      </w:r>
      <w:r w:rsidRPr="00A210E9">
        <w:rPr>
          <w:rFonts w:eastAsia="Calibri" w:hint="cs"/>
          <w:rtl/>
        </w:rPr>
        <w:t>להתמקד בביצוע "</w:t>
      </w:r>
      <w:r w:rsidRPr="00A210E9">
        <w:rPr>
          <w:rFonts w:eastAsia="Calibri"/>
          <w:rtl/>
        </w:rPr>
        <w:t>שינויים קוסמטיים</w:t>
      </w:r>
      <w:r w:rsidRPr="00A210E9">
        <w:rPr>
          <w:rFonts w:eastAsia="Calibri" w:hint="cs"/>
          <w:rtl/>
        </w:rPr>
        <w:t>"</w:t>
      </w:r>
      <w:r w:rsidRPr="00A210E9">
        <w:rPr>
          <w:rFonts w:eastAsia="Calibri"/>
          <w:rtl/>
        </w:rPr>
        <w:t xml:space="preserve">, שינויי מלל, פיתוחים קטנים ותיקוני </w:t>
      </w:r>
      <w:r w:rsidRPr="00A210E9">
        <w:rPr>
          <w:rFonts w:eastAsia="Calibri" w:hint="cs"/>
          <w:rtl/>
        </w:rPr>
        <w:t>תקלות תוכנה</w:t>
      </w:r>
      <w:r w:rsidRPr="00A210E9">
        <w:rPr>
          <w:rFonts w:eastAsia="Calibri"/>
          <w:rtl/>
        </w:rPr>
        <w:t xml:space="preserve"> על הטופס הקיים.</w:t>
      </w:r>
      <w:r w:rsidRPr="00A210E9">
        <w:rPr>
          <w:rFonts w:eastAsia="Calibri" w:hint="cs"/>
          <w:rtl/>
        </w:rPr>
        <w:t xml:space="preserve"> בתכתובת בין משרד התחבורה למערך הדיגיטל מסר נציג מערך הדיגיטל כי בשל</w:t>
      </w:r>
      <w:r w:rsidRPr="00A210E9">
        <w:rPr>
          <w:rFonts w:eastAsia="Calibri"/>
          <w:rtl/>
        </w:rPr>
        <w:t xml:space="preserve"> מורכבות</w:t>
      </w:r>
      <w:r w:rsidRPr="00A210E9">
        <w:rPr>
          <w:rFonts w:eastAsia="Calibri" w:hint="cs"/>
          <w:rtl/>
        </w:rPr>
        <w:t xml:space="preserve"> הטופס הסבתו יכולה לקחת הרבה זמן, </w:t>
      </w:r>
      <w:r w:rsidRPr="00A210E9">
        <w:rPr>
          <w:rFonts w:eastAsia="Calibri"/>
          <w:rtl/>
        </w:rPr>
        <w:t>כמעט כמו טופס חדש</w:t>
      </w:r>
      <w:r w:rsidRPr="00A210E9">
        <w:rPr>
          <w:rFonts w:eastAsia="Calibri" w:hint="cs"/>
          <w:rtl/>
        </w:rPr>
        <w:t xml:space="preserve">, ובד בבד עם ההסבה </w:t>
      </w:r>
      <w:r w:rsidRPr="00A210E9">
        <w:rPr>
          <w:rFonts w:eastAsia="Calibri"/>
          <w:rtl/>
        </w:rPr>
        <w:t xml:space="preserve">כדאי </w:t>
      </w:r>
      <w:r w:rsidRPr="00A210E9">
        <w:rPr>
          <w:rFonts w:eastAsia="Calibri" w:hint="cs"/>
          <w:rtl/>
        </w:rPr>
        <w:t>לשדרג את תשתית ה</w:t>
      </w:r>
      <w:r w:rsidRPr="00A210E9">
        <w:rPr>
          <w:rFonts w:eastAsia="Calibri"/>
          <w:rtl/>
        </w:rPr>
        <w:t xml:space="preserve">שירות </w:t>
      </w:r>
      <w:r w:rsidRPr="00A210E9">
        <w:rPr>
          <w:rFonts w:eastAsia="Calibri" w:hint="cs"/>
          <w:rtl/>
        </w:rPr>
        <w:t xml:space="preserve">ולהחליפה </w:t>
      </w:r>
      <w:r w:rsidRPr="00A210E9">
        <w:rPr>
          <w:rFonts w:eastAsia="Calibri"/>
          <w:rtl/>
        </w:rPr>
        <w:t>ל</w:t>
      </w:r>
      <w:r w:rsidRPr="00A210E9">
        <w:rPr>
          <w:rFonts w:eastAsia="Calibri" w:hint="cs"/>
          <w:rtl/>
        </w:rPr>
        <w:t>"</w:t>
      </w:r>
      <w:r w:rsidRPr="00A210E9">
        <w:rPr>
          <w:rFonts w:eastAsia="Calibri"/>
          <w:rtl/>
        </w:rPr>
        <w:t>שדרת המידע</w:t>
      </w:r>
      <w:r w:rsidRPr="00A210E9">
        <w:rPr>
          <w:rFonts w:eastAsia="Calibri" w:hint="cs"/>
          <w:rtl/>
        </w:rPr>
        <w:t xml:space="preserve">". שדרת המידע היא תשתית מרכזית </w:t>
      </w:r>
      <w:r w:rsidRPr="00A210E9">
        <w:rPr>
          <w:rFonts w:eastAsia="Calibri"/>
          <w:rtl/>
        </w:rPr>
        <w:t xml:space="preserve">שמערך הדיגיטל הקים כדי לאפשר העברה מאובטחת, סטנדרטית ומנוהלת של מידע בין משרדי ממשלה וגופים ציבוריים </w:t>
      </w:r>
      <w:r w:rsidRPr="00A210E9">
        <w:rPr>
          <w:rFonts w:eastAsia="Calibri" w:hint="cs"/>
          <w:rtl/>
        </w:rPr>
        <w:t xml:space="preserve">לפי סוג המידע וסיווגו, </w:t>
      </w:r>
      <w:r w:rsidRPr="00A210E9">
        <w:rPr>
          <w:rFonts w:eastAsia="Calibri"/>
          <w:rtl/>
        </w:rPr>
        <w:t>בלי שכל משרד יצטרך לבנות לעצמו חיבור נפרד לכל גוף אחר</w:t>
      </w:r>
      <w:r w:rsidRPr="00A210E9">
        <w:rPr>
          <w:rFonts w:eastAsia="Calibri" w:hint="cs"/>
          <w:rtl/>
        </w:rPr>
        <w:t>. בנוגע למשרד התחבורה הכוונה היא לאותם שירותים שנדרש להנגיש לצרכנים מחוץ למשרד, ממשרדי ממשלה אחרים עד אזרחים. נוסף על כך, ל</w:t>
      </w:r>
      <w:r w:rsidRPr="00A210E9">
        <w:rPr>
          <w:rFonts w:ascii="David" w:eastAsia="Calibri" w:hAnsi="David"/>
          <w:sz w:val="24"/>
          <w:rtl/>
        </w:rPr>
        <w:t xml:space="preserve">שדרת המידע </w:t>
      </w:r>
      <w:r w:rsidRPr="00A210E9">
        <w:rPr>
          <w:rFonts w:ascii="David" w:eastAsia="Calibri" w:hAnsi="David" w:hint="cs"/>
          <w:sz w:val="24"/>
          <w:rtl/>
        </w:rPr>
        <w:t xml:space="preserve">תפקיד </w:t>
      </w:r>
      <w:r w:rsidRPr="00A210E9">
        <w:rPr>
          <w:rFonts w:ascii="David" w:eastAsia="Calibri" w:hAnsi="David"/>
          <w:sz w:val="24"/>
          <w:rtl/>
        </w:rPr>
        <w:t>מרכזי במ</w:t>
      </w:r>
      <w:r w:rsidRPr="00A210E9">
        <w:rPr>
          <w:rFonts w:ascii="David" w:eastAsia="Calibri" w:hAnsi="David" w:hint="cs"/>
          <w:sz w:val="24"/>
          <w:rtl/>
        </w:rPr>
        <w:t>י</w:t>
      </w:r>
      <w:r w:rsidRPr="00A210E9">
        <w:rPr>
          <w:rFonts w:ascii="David" w:eastAsia="Calibri" w:hAnsi="David"/>
          <w:sz w:val="24"/>
          <w:rtl/>
        </w:rPr>
        <w:t>מ</w:t>
      </w:r>
      <w:r w:rsidRPr="00A210E9">
        <w:rPr>
          <w:rFonts w:ascii="David" w:eastAsia="Calibri" w:hAnsi="David" w:hint="cs"/>
          <w:sz w:val="24"/>
          <w:rtl/>
        </w:rPr>
        <w:t>ו</w:t>
      </w:r>
      <w:r w:rsidRPr="00A210E9">
        <w:rPr>
          <w:rFonts w:ascii="David" w:eastAsia="Calibri" w:hAnsi="David"/>
          <w:sz w:val="24"/>
          <w:rtl/>
        </w:rPr>
        <w:t>ש המעבר לטכנולוגיות הענן</w:t>
      </w:r>
      <w:r w:rsidRPr="00A210E9">
        <w:rPr>
          <w:rFonts w:ascii="David" w:eastAsia="Calibri" w:hAnsi="David"/>
          <w:sz w:val="24"/>
        </w:rPr>
        <w:t>.</w:t>
      </w:r>
      <w:r w:rsidRPr="00A210E9">
        <w:rPr>
          <w:rFonts w:eastAsia="Calibri" w:hint="cs"/>
          <w:rtl/>
        </w:rPr>
        <w:t xml:space="preserve"> </w:t>
      </w:r>
    </w:p>
    <w:p w:rsidR="00A210E9" w:rsidRPr="00A210E9" w:rsidP="00A210E9">
      <w:pPr>
        <w:keepNext/>
        <w:keepLines/>
        <w:spacing w:line="269" w:lineRule="auto"/>
        <w:ind w:left="-567"/>
        <w:rPr>
          <w:rFonts w:eastAsia="Calibri"/>
          <w:szCs w:val="20"/>
        </w:rPr>
      </w:pPr>
    </w:p>
    <w:p w:rsidR="00A210E9" w:rsidRPr="00A210E9" w:rsidP="00A210E9">
      <w:pPr>
        <w:spacing w:line="269" w:lineRule="auto"/>
        <w:rPr>
          <w:rFonts w:eastAsia="Calibri"/>
          <w:b/>
          <w:bCs/>
          <w:rtl/>
        </w:rPr>
      </w:pPr>
      <w:r w:rsidRPr="00A210E9">
        <w:rPr>
          <w:rFonts w:eastAsia="Calibri" w:hint="cs"/>
          <w:b/>
          <w:bCs/>
          <w:rtl/>
        </w:rPr>
        <w:t xml:space="preserve">מהביקורת בנוגע לפלטפורמה של משרד התחבורה שעליה מתופעל הטופס הדיגיטלי לבקשה לתג חניה עולה כי הטופס מבוסס על תשתית </w:t>
      </w:r>
      <w:r w:rsidRPr="00A210E9">
        <w:rPr>
          <w:rFonts w:eastAsia="Calibri"/>
          <w:b/>
          <w:bCs/>
          <w:rtl/>
        </w:rPr>
        <w:t>טכנולוגי</w:t>
      </w:r>
      <w:r w:rsidRPr="00A210E9">
        <w:rPr>
          <w:rFonts w:eastAsia="Calibri" w:hint="cs"/>
          <w:b/>
          <w:bCs/>
          <w:rtl/>
        </w:rPr>
        <w:t>ית תצוגה</w:t>
      </w:r>
      <w:r w:rsidRPr="00A210E9">
        <w:rPr>
          <w:rFonts w:eastAsia="Calibri"/>
          <w:b/>
          <w:bCs/>
          <w:rtl/>
        </w:rPr>
        <w:t xml:space="preserve"> </w:t>
      </w:r>
      <w:r w:rsidRPr="00A210E9">
        <w:rPr>
          <w:rFonts w:eastAsia="Calibri" w:hint="cs"/>
          <w:b/>
          <w:bCs/>
          <w:rtl/>
        </w:rPr>
        <w:t>ישנה</w:t>
      </w:r>
      <w:r w:rsidRPr="00A210E9">
        <w:rPr>
          <w:rFonts w:eastAsia="Calibri"/>
          <w:b/>
          <w:bCs/>
          <w:rtl/>
        </w:rPr>
        <w:t xml:space="preserve"> </w:t>
      </w:r>
      <w:r w:rsidRPr="00A210E9">
        <w:rPr>
          <w:rFonts w:eastAsia="Calibri" w:hint="cs"/>
          <w:b/>
          <w:bCs/>
          <w:rtl/>
        </w:rPr>
        <w:t>ו</w:t>
      </w:r>
      <w:r w:rsidRPr="00A210E9">
        <w:rPr>
          <w:rFonts w:eastAsia="Calibri"/>
          <w:b/>
          <w:bCs/>
          <w:rtl/>
        </w:rPr>
        <w:t xml:space="preserve">נדרש </w:t>
      </w:r>
      <w:r w:rsidRPr="00A210E9">
        <w:rPr>
          <w:rFonts w:eastAsia="Calibri" w:hint="cs"/>
          <w:b/>
          <w:bCs/>
          <w:rtl/>
        </w:rPr>
        <w:t xml:space="preserve">לה </w:t>
      </w:r>
      <w:r w:rsidRPr="00A210E9">
        <w:rPr>
          <w:rFonts w:eastAsia="Calibri"/>
          <w:b/>
          <w:bCs/>
          <w:rtl/>
        </w:rPr>
        <w:t>שדרוג</w:t>
      </w:r>
      <w:r w:rsidRPr="00A210E9">
        <w:rPr>
          <w:rFonts w:eastAsia="Calibri" w:hint="cs"/>
          <w:b/>
          <w:bCs/>
          <w:rtl/>
        </w:rPr>
        <w:t>. יש כוונה להסב את הטפסים לתצוגה חדשה יותר, אולם יידרש לכך זמן רב, ולפי המלצת מערך הדיגיטל לא מומלץ בתקופת ההסבה לבצע פיתוחים גדולים, אלא להתמקד ב"שינויים קוסמטיים", תיקוני תקלות בתוכנת הטופס הקיים ופיתוחים משלימים בעלי השפעה מינורית</w:t>
      </w:r>
      <w:r w:rsidRPr="00A210E9">
        <w:rPr>
          <w:rFonts w:eastAsia="Calibri"/>
          <w:b/>
          <w:bCs/>
          <w:rtl/>
        </w:rPr>
        <w:t>.</w:t>
      </w:r>
      <w:r w:rsidRPr="00A210E9">
        <w:rPr>
          <w:rFonts w:eastAsia="Calibri" w:hint="cs"/>
          <w:b/>
          <w:bCs/>
          <w:rtl/>
        </w:rPr>
        <w:t xml:space="preserve"> נוסף על כך, מערך הדיגיטל המליץ למשרד התחבורה להחליף את </w:t>
      </w:r>
      <w:r w:rsidRPr="00A210E9">
        <w:rPr>
          <w:rFonts w:eastAsia="Calibri"/>
          <w:b/>
          <w:bCs/>
          <w:rtl/>
        </w:rPr>
        <w:t xml:space="preserve">תשתית </w:t>
      </w:r>
      <w:r w:rsidRPr="00A210E9">
        <w:rPr>
          <w:rFonts w:eastAsia="Calibri" w:hint="cs"/>
          <w:b/>
          <w:bCs/>
          <w:rtl/>
        </w:rPr>
        <w:t xml:space="preserve">השירות </w:t>
      </w:r>
      <w:r w:rsidRPr="00A210E9">
        <w:rPr>
          <w:rFonts w:eastAsia="Calibri"/>
          <w:b/>
          <w:bCs/>
          <w:rtl/>
        </w:rPr>
        <w:t>לשדרת מידע בענן</w:t>
      </w:r>
      <w:r w:rsidRPr="00A210E9">
        <w:rPr>
          <w:rFonts w:eastAsia="Calibri" w:hint="cs"/>
          <w:b/>
          <w:bCs/>
          <w:rtl/>
        </w:rPr>
        <w:t xml:space="preserve"> כדי </w:t>
      </w:r>
      <w:r w:rsidRPr="00A210E9">
        <w:rPr>
          <w:rFonts w:eastAsia="Calibri"/>
          <w:b/>
          <w:bCs/>
          <w:rtl/>
        </w:rPr>
        <w:t>לאפשר העברה מאובטחת, סטנדרטית ומנוהלת של מידע</w:t>
      </w:r>
      <w:r w:rsidRPr="00A210E9">
        <w:rPr>
          <w:rFonts w:eastAsia="Calibri" w:hint="cs"/>
          <w:b/>
          <w:bCs/>
          <w:rtl/>
        </w:rPr>
        <w:t xml:space="preserve"> </w:t>
      </w:r>
      <w:r w:rsidRPr="00A210E9">
        <w:rPr>
          <w:rFonts w:eastAsia="Calibri"/>
          <w:b/>
          <w:bCs/>
          <w:rtl/>
        </w:rPr>
        <w:t>בי</w:t>
      </w:r>
      <w:r w:rsidRPr="00A210E9">
        <w:rPr>
          <w:rFonts w:eastAsia="Calibri" w:hint="cs"/>
          <w:b/>
          <w:bCs/>
          <w:rtl/>
        </w:rPr>
        <w:t>ן משרד התחבורה</w:t>
      </w:r>
      <w:r w:rsidRPr="00A210E9">
        <w:rPr>
          <w:rFonts w:eastAsia="Calibri"/>
          <w:b/>
          <w:bCs/>
          <w:rtl/>
        </w:rPr>
        <w:t xml:space="preserve"> </w:t>
      </w:r>
      <w:r w:rsidRPr="00A210E9">
        <w:rPr>
          <w:rFonts w:eastAsia="Calibri" w:hint="cs"/>
          <w:b/>
          <w:bCs/>
          <w:rtl/>
        </w:rPr>
        <w:t>ל</w:t>
      </w:r>
      <w:r w:rsidRPr="00A210E9">
        <w:rPr>
          <w:rFonts w:eastAsia="Calibri"/>
          <w:b/>
          <w:bCs/>
          <w:rtl/>
        </w:rPr>
        <w:t xml:space="preserve">משרדי ממשלה </w:t>
      </w:r>
      <w:r w:rsidRPr="00A210E9">
        <w:rPr>
          <w:rFonts w:eastAsia="Calibri" w:hint="cs"/>
          <w:b/>
          <w:bCs/>
          <w:rtl/>
        </w:rPr>
        <w:t xml:space="preserve">אחרים </w:t>
      </w:r>
      <w:r w:rsidRPr="00A210E9">
        <w:rPr>
          <w:rFonts w:eastAsia="Calibri"/>
          <w:b/>
          <w:bCs/>
          <w:rtl/>
        </w:rPr>
        <w:t>ו</w:t>
      </w:r>
      <w:r w:rsidRPr="00A210E9">
        <w:rPr>
          <w:rFonts w:eastAsia="Calibri" w:hint="cs"/>
          <w:b/>
          <w:bCs/>
          <w:rtl/>
        </w:rPr>
        <w:t>ל</w:t>
      </w:r>
      <w:r w:rsidRPr="00A210E9">
        <w:rPr>
          <w:rFonts w:eastAsia="Calibri"/>
          <w:b/>
          <w:bCs/>
          <w:rtl/>
        </w:rPr>
        <w:t>גופים ציבוריים ל</w:t>
      </w:r>
      <w:r w:rsidRPr="00A210E9">
        <w:rPr>
          <w:rFonts w:eastAsia="Calibri" w:hint="cs"/>
          <w:b/>
          <w:bCs/>
          <w:rtl/>
        </w:rPr>
        <w:t xml:space="preserve">פי </w:t>
      </w:r>
      <w:r w:rsidRPr="00A210E9">
        <w:rPr>
          <w:rFonts w:eastAsia="Calibri"/>
          <w:b/>
          <w:bCs/>
          <w:rtl/>
        </w:rPr>
        <w:t>סוג המידע וסיווגו</w:t>
      </w:r>
      <w:r w:rsidRPr="00A210E9">
        <w:rPr>
          <w:rFonts w:eastAsia="Calibri" w:hint="cs"/>
          <w:b/>
          <w:bCs/>
          <w:rtl/>
        </w:rPr>
        <w:t xml:space="preserve">. עד סיום שדרוג תצוגת הטפסים ותשתית השירות לא ניתן יהיה לתת מענה על הפיתוחים הנדרשים לאור הצרכים השונים שעלו בתהליך הנפקת תגי חניה.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משרד מבקר המדינה ממליץ למשרד התחבורה, בשיתוף מערך הדיגיטל, לקדם את הסבת הטופס הדיגיטלי לבקשות לתגי חניה לתצוגה חדשה יותר, ובו זמנית לקדם את החלפת תשתית השירות שעל גביה הטופס מתופעל. בין היתר, כדי לתת מענה לכלל הפיתוחים הנדרשים לאור הצרכים והפערים השונים שעלו בתהליך הנפקת תגי חניה.</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משרד התחבורה כתב בתשובתו כי ה</w:t>
      </w:r>
      <w:r w:rsidRPr="00A210E9">
        <w:rPr>
          <w:rFonts w:eastAsia="Calibri"/>
          <w:rtl/>
        </w:rPr>
        <w:t xml:space="preserve">תכנית לשדרוג הטפסים הדיגיטליים </w:t>
      </w:r>
      <w:r w:rsidRPr="00A210E9">
        <w:rPr>
          <w:rFonts w:eastAsia="Calibri" w:hint="cs"/>
          <w:rtl/>
        </w:rPr>
        <w:t>והעברתם לתשתית טכנולוגית</w:t>
      </w:r>
      <w:r w:rsidRPr="00A210E9">
        <w:rPr>
          <w:rFonts w:eastAsia="Calibri"/>
          <w:rtl/>
        </w:rPr>
        <w:t xml:space="preserve"> מתקדמת</w:t>
      </w:r>
      <w:r w:rsidRPr="00A210E9">
        <w:rPr>
          <w:rFonts w:eastAsia="Calibri" w:hint="cs"/>
          <w:rtl/>
        </w:rPr>
        <w:t xml:space="preserve"> </w:t>
      </w:r>
      <w:r w:rsidRPr="00A210E9">
        <w:rPr>
          <w:rFonts w:eastAsia="Calibri"/>
          <w:rtl/>
        </w:rPr>
        <w:t>יותר צפויה להיות מושלמת עד סוף שנת 2026.</w:t>
      </w:r>
      <w:r w:rsidRPr="00A210E9">
        <w:rPr>
          <w:rFonts w:eastAsia="Calibri" w:hint="cs"/>
          <w:rtl/>
        </w:rPr>
        <w:t xml:space="preserve"> </w:t>
      </w:r>
      <w:r w:rsidRPr="00A210E9">
        <w:rPr>
          <w:rFonts w:eastAsia="Calibri"/>
          <w:rtl/>
        </w:rPr>
        <w:t>במסגרת המערכת הרפואית החדשה, הטפסים הדיגיטליים המשמשים להגשת בקשות לתג</w:t>
      </w:r>
      <w:r w:rsidRPr="00A210E9">
        <w:rPr>
          <w:rFonts w:eastAsia="Calibri" w:hint="cs"/>
          <w:rtl/>
        </w:rPr>
        <w:t xml:space="preserve"> </w:t>
      </w:r>
      <w:r w:rsidRPr="00A210E9">
        <w:rPr>
          <w:rFonts w:eastAsia="Calibri"/>
          <w:rtl/>
        </w:rPr>
        <w:t>חניה יוחלפו בתשתית טכנולוגית מודרנית, מבוססת ענן, שתאפשר ממשקי מידע</w:t>
      </w:r>
      <w:r w:rsidRPr="00A210E9">
        <w:rPr>
          <w:rFonts w:eastAsia="Calibri" w:hint="cs"/>
          <w:rtl/>
        </w:rPr>
        <w:t xml:space="preserve"> </w:t>
      </w:r>
      <w:r w:rsidRPr="00A210E9">
        <w:rPr>
          <w:rFonts w:eastAsia="Calibri"/>
          <w:rtl/>
        </w:rPr>
        <w:t xml:space="preserve">מתקדמים, העברת מידע מאובטחת ועמידה בתקני </w:t>
      </w:r>
      <w:r w:rsidRPr="00A210E9">
        <w:rPr>
          <w:rFonts w:eastAsia="Calibri"/>
        </w:rPr>
        <w:t>ISO</w:t>
      </w:r>
      <w:r w:rsidRPr="00A210E9">
        <w:rPr>
          <w:rFonts w:eastAsia="Calibri"/>
          <w:rtl/>
        </w:rPr>
        <w:t xml:space="preserve"> רפואיים, לצד שיפור משמעותי</w:t>
      </w:r>
      <w:r w:rsidRPr="00A210E9">
        <w:rPr>
          <w:rFonts w:eastAsia="Calibri" w:hint="cs"/>
          <w:rtl/>
        </w:rPr>
        <w:t xml:space="preserve"> </w:t>
      </w:r>
      <w:r w:rsidRPr="00A210E9">
        <w:rPr>
          <w:rFonts w:eastAsia="Calibri"/>
          <w:rtl/>
        </w:rPr>
        <w:t>בחוויית המשתמש וביכולות הבקרה</w:t>
      </w:r>
      <w:r w:rsidRPr="00A210E9">
        <w:rPr>
          <w:rFonts w:eastAsia="Calibri" w:hint="cs"/>
          <w:rtl/>
        </w:rPr>
        <w:t xml:space="preserve">. </w:t>
      </w:r>
      <w:r w:rsidRPr="00A210E9">
        <w:rPr>
          <w:rFonts w:eastAsia="Calibri"/>
          <w:rtl/>
        </w:rPr>
        <w:t>עם השלמת המעבר</w:t>
      </w:r>
      <w:r w:rsidRPr="00A210E9">
        <w:rPr>
          <w:rFonts w:eastAsia="Calibri" w:hint="cs"/>
          <w:rtl/>
        </w:rPr>
        <w:t xml:space="preserve"> לתשתית חדשה של הטופס</w:t>
      </w:r>
      <w:r w:rsidRPr="00A210E9">
        <w:rPr>
          <w:rFonts w:eastAsia="Calibri"/>
          <w:rtl/>
        </w:rPr>
        <w:t>, צפוי</w:t>
      </w:r>
      <w:r w:rsidRPr="00A210E9">
        <w:rPr>
          <w:rFonts w:eastAsia="Calibri" w:hint="cs"/>
          <w:rtl/>
        </w:rPr>
        <w:t xml:space="preserve"> </w:t>
      </w:r>
      <w:r w:rsidRPr="00A210E9">
        <w:rPr>
          <w:rFonts w:eastAsia="Calibri"/>
          <w:rtl/>
        </w:rPr>
        <w:t>שיפור משמעותי ביכולות המערכת התפעולית, ובכלל זה הרחבת ממשקים בין-ארגוניים,</w:t>
      </w:r>
      <w:r w:rsidRPr="00A210E9">
        <w:rPr>
          <w:rFonts w:eastAsia="Calibri" w:hint="cs"/>
          <w:rtl/>
        </w:rPr>
        <w:t xml:space="preserve"> </w:t>
      </w:r>
      <w:r w:rsidRPr="00A210E9">
        <w:rPr>
          <w:rFonts w:eastAsia="Calibri"/>
          <w:rtl/>
        </w:rPr>
        <w:t xml:space="preserve">העברת מידע </w:t>
      </w:r>
      <w:r w:rsidRPr="00A210E9">
        <w:rPr>
          <w:rFonts w:eastAsia="Calibri" w:hint="cs"/>
          <w:rtl/>
        </w:rPr>
        <w:t>באופן</w:t>
      </w:r>
      <w:r w:rsidRPr="00A210E9">
        <w:rPr>
          <w:rFonts w:eastAsia="Calibri"/>
          <w:rtl/>
        </w:rPr>
        <w:t xml:space="preserve"> מאובטח </w:t>
      </w:r>
      <w:r w:rsidRPr="00A210E9">
        <w:rPr>
          <w:rFonts w:eastAsia="Calibri" w:hint="cs"/>
          <w:rtl/>
        </w:rPr>
        <w:t>ואחיד</w:t>
      </w:r>
      <w:r w:rsidRPr="00A210E9">
        <w:rPr>
          <w:rFonts w:eastAsia="Calibri"/>
          <w:rtl/>
        </w:rPr>
        <w:t xml:space="preserve"> </w:t>
      </w:r>
      <w:r w:rsidRPr="00A210E9">
        <w:rPr>
          <w:rFonts w:eastAsia="Calibri" w:hint="cs"/>
          <w:rtl/>
        </w:rPr>
        <w:t>ו</w:t>
      </w:r>
      <w:r w:rsidRPr="00A210E9">
        <w:rPr>
          <w:rFonts w:eastAsia="Calibri"/>
          <w:rtl/>
        </w:rPr>
        <w:t>תצוגה חדשנית יותר</w:t>
      </w:r>
      <w:r w:rsidRPr="00A210E9">
        <w:rPr>
          <w:rFonts w:eastAsia="Calibri" w:hint="cs"/>
          <w:rtl/>
        </w:rPr>
        <w:t xml:space="preserve"> של נתונים</w:t>
      </w:r>
      <w:r w:rsidRPr="00A210E9">
        <w:rPr>
          <w:rFonts w:eastAsia="Calibri"/>
          <w:rtl/>
        </w:rPr>
        <w:t>, כל זאת לצד שיפור</w:t>
      </w:r>
      <w:r w:rsidRPr="00A210E9">
        <w:rPr>
          <w:rFonts w:eastAsia="Calibri" w:hint="cs"/>
          <w:rtl/>
        </w:rPr>
        <w:t xml:space="preserve"> </w:t>
      </w:r>
      <w:r w:rsidRPr="00A210E9">
        <w:rPr>
          <w:rFonts w:eastAsia="Calibri"/>
          <w:rtl/>
        </w:rPr>
        <w:t>חוויית המשתמש.</w:t>
      </w:r>
    </w:p>
    <w:p w:rsidR="00A210E9" w:rsidRPr="00A210E9" w:rsidP="00A210E9">
      <w:pPr>
        <w:spacing w:line="269" w:lineRule="auto"/>
        <w:rPr>
          <w:rFonts w:eastAsia="Calibri"/>
          <w:rtl/>
        </w:rPr>
      </w:pPr>
    </w:p>
    <w:p w:rsidR="00A210E9" w:rsidRPr="00A210E9" w:rsidP="00A210E9">
      <w:pPr>
        <w:keepNext/>
        <w:keepLines/>
        <w:spacing w:line="269" w:lineRule="auto"/>
        <w:outlineLvl w:val="3"/>
        <w:rPr>
          <w:rFonts w:eastAsia="Times New Roman"/>
          <w:bCs/>
          <w:szCs w:val="26"/>
          <w:rtl/>
        </w:rPr>
      </w:pPr>
      <w:bookmarkStart w:id="138" w:name="_Hlk223955408"/>
      <w:bookmarkStart w:id="139" w:name="_Hlk214551246"/>
      <w:r w:rsidRPr="00A210E9">
        <w:rPr>
          <w:rFonts w:eastAsia="Times New Roman"/>
          <w:bCs/>
          <w:szCs w:val="26"/>
          <w:rtl/>
        </w:rPr>
        <w:t>הטיפול בבקש</w:t>
      </w:r>
      <w:r w:rsidRPr="00A210E9">
        <w:rPr>
          <w:rFonts w:eastAsia="Times New Roman" w:hint="cs"/>
          <w:bCs/>
          <w:szCs w:val="26"/>
          <w:rtl/>
        </w:rPr>
        <w:t>ות וקבלת ההחלטה הרפואית לגבי זכאות לתג</w:t>
      </w:r>
    </w:p>
    <w:bookmarkEnd w:id="138"/>
    <w:p w:rsidR="00A210E9" w:rsidRPr="00A210E9" w:rsidP="00A210E9">
      <w:pPr>
        <w:keepNext/>
        <w:keepLines/>
        <w:spacing w:line="269" w:lineRule="auto"/>
        <w:ind w:left="-567"/>
        <w:rPr>
          <w:rFonts w:eastAsia="Calibri"/>
          <w:szCs w:val="20"/>
          <w:rtl/>
        </w:rPr>
      </w:pPr>
    </w:p>
    <w:p w:rsidR="00A210E9" w:rsidRPr="00A210E9" w:rsidP="00A210E9">
      <w:pPr>
        <w:keepNext/>
        <w:keepLines/>
        <w:spacing w:line="269" w:lineRule="auto"/>
        <w:outlineLvl w:val="4"/>
        <w:rPr>
          <w:rFonts w:eastAsia="Times New Roman"/>
          <w:bCs/>
          <w:spacing w:val="40"/>
          <w:rtl/>
        </w:rPr>
      </w:pPr>
      <w:bookmarkStart w:id="140" w:name="OLE_LINK1"/>
      <w:bookmarkStart w:id="141" w:name="OLE_LINK2"/>
      <w:r w:rsidRPr="00A210E9">
        <w:rPr>
          <w:rFonts w:eastAsia="Times New Roman" w:hint="cs"/>
          <w:bCs/>
          <w:spacing w:val="40"/>
          <w:rtl/>
        </w:rPr>
        <w:t xml:space="preserve">התקשרויות משרד התחבורה עם חברות לקבלת שירותי ייעוץ רפואי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ניהול התקשרויות של משרד ממשלתי עם ספק חיצוני מחייב תשתית סדורה של קבלת החלטות, חלוקת אחריות ותיעוד ממשקי עבודה לאורך חיי ההתקשרות, לפי כללי מינהל תקין והמסגרת הנורמטיבית שחלה על התקשרויות במשרדי הממשלה (חוק חובת המכרזים, התשנ"ב-1992, והוראות תקנון כספים ומשק (התכ"ם)). בתוך כך, נדרש לנהל את ההתקשרות באופן שמאפשר בקרה שוטפת, הפקת לקחים והבטחת רציפות של מתן השירות גם בסיום התקשרות.</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משנת 2008, כאשר בחינת הזכאות לתגי חניה על פי סעיף 1א לחוק עברה מלשכות הבריאות המחוזיות למשרד התחבורה, אגף הרישוי נעזר לשם כך בשירותיה של חברה א' שבאותה עת כבר נתנה שירותים אחרים לאגף הרישוי במיקור חוץ. בשנת 2010 חברה ב' זכתה במכרז ומשנת 2011 החליפה את חברה א'. חברה ב' המשיכה לספק שירותי ייעוץ רפואי לצורך בדיקת זכאות לתגי חניה עד סוף 2024. ביולי 2023 נפתחה חקירה סמויה של המשטרה, ובמרכזה עמד תהליך הנפקת תגי חניה, ובדצמבר 2024 הפכה החקירה לגלויה. בפברואר 2025, עם תום תקופת ההתקשרות עם חברה ב', לא חידש המשרד את ההתקשרות עימה, בין היתר בעקבות החקירה המשטרתית</w:t>
      </w:r>
      <w:r>
        <w:rPr>
          <w:rFonts w:eastAsia="Calibri"/>
          <w:vertAlign w:val="superscript"/>
          <w:rtl/>
        </w:rPr>
        <w:footnoteReference w:id="166"/>
      </w:r>
      <w:r w:rsidRPr="00A210E9">
        <w:rPr>
          <w:rFonts w:eastAsia="Calibri" w:hint="cs"/>
          <w:rtl/>
        </w:rPr>
        <w:t xml:space="preserve">. במאי 2025 התקשר משרד התחבורה בפטור ממכרז </w:t>
      </w:r>
      <w:r w:rsidRPr="00A210E9">
        <w:rPr>
          <w:rFonts w:eastAsia="Calibri" w:hint="eastAsia"/>
          <w:rtl/>
        </w:rPr>
        <w:t>עם</w:t>
      </w:r>
      <w:r w:rsidRPr="00A210E9">
        <w:rPr>
          <w:rFonts w:eastAsia="Calibri"/>
          <w:rtl/>
        </w:rPr>
        <w:t xml:space="preserve"> </w:t>
      </w:r>
      <w:r w:rsidRPr="00A210E9">
        <w:rPr>
          <w:rFonts w:eastAsia="Calibri" w:hint="eastAsia"/>
          <w:rtl/>
        </w:rPr>
        <w:t>חברה</w:t>
      </w:r>
      <w:r w:rsidRPr="00A210E9">
        <w:rPr>
          <w:rFonts w:eastAsia="Calibri"/>
          <w:rtl/>
        </w:rPr>
        <w:t xml:space="preserve"> </w:t>
      </w:r>
      <w:r w:rsidRPr="00A210E9">
        <w:rPr>
          <w:rFonts w:eastAsia="Calibri" w:hint="cs"/>
          <w:rtl/>
        </w:rPr>
        <w:t>אחרת</w:t>
      </w:r>
      <w:r w:rsidRPr="00A210E9">
        <w:rPr>
          <w:rFonts w:eastAsia="Calibri"/>
          <w:rtl/>
        </w:rPr>
        <w:t xml:space="preserve"> (</w:t>
      </w:r>
      <w:r w:rsidRPr="00A210E9">
        <w:rPr>
          <w:rFonts w:eastAsia="Calibri" w:hint="eastAsia"/>
          <w:rtl/>
        </w:rPr>
        <w:t>להלן</w:t>
      </w:r>
      <w:r w:rsidRPr="00A210E9">
        <w:rPr>
          <w:rFonts w:eastAsia="Calibri"/>
          <w:rtl/>
        </w:rPr>
        <w:t xml:space="preserve"> - </w:t>
      </w:r>
      <w:r w:rsidRPr="00A210E9">
        <w:rPr>
          <w:rFonts w:eastAsia="Calibri" w:hint="eastAsia"/>
          <w:rtl/>
        </w:rPr>
        <w:t>חברה</w:t>
      </w:r>
      <w:r w:rsidRPr="00A210E9">
        <w:rPr>
          <w:rFonts w:eastAsia="Calibri"/>
          <w:rtl/>
        </w:rPr>
        <w:t xml:space="preserve"> </w:t>
      </w:r>
      <w:r w:rsidRPr="00A210E9">
        <w:rPr>
          <w:rFonts w:eastAsia="Calibri" w:hint="eastAsia"/>
          <w:rtl/>
        </w:rPr>
        <w:t>ג</w:t>
      </w:r>
      <w:r w:rsidRPr="00A210E9">
        <w:rPr>
          <w:rFonts w:eastAsia="Calibri"/>
          <w:rtl/>
        </w:rPr>
        <w:t>')</w:t>
      </w:r>
      <w:r w:rsidRPr="00A210E9">
        <w:rPr>
          <w:rFonts w:eastAsia="Calibri" w:hint="cs"/>
          <w:rtl/>
        </w:rPr>
        <w:t xml:space="preserve"> למשך שנה לצורך הטיפול בבקשות לתג חניה.</w:t>
      </w:r>
    </w:p>
    <w:p w:rsidR="00A210E9" w:rsidRPr="00A210E9" w:rsidP="00A210E9">
      <w:pPr>
        <w:keepNext/>
        <w:keepLines/>
        <w:spacing w:line="269" w:lineRule="auto"/>
        <w:ind w:left="-567"/>
        <w:rPr>
          <w:rFonts w:eastAsia="Calibri"/>
          <w:szCs w:val="20"/>
          <w:rtl/>
        </w:rPr>
      </w:pPr>
    </w:p>
    <w:p w:rsidR="00A210E9" w:rsidRPr="00A210E9" w:rsidP="00A210E9">
      <w:pPr>
        <w:keepNext/>
        <w:keepLines/>
        <w:spacing w:line="269" w:lineRule="auto"/>
        <w:outlineLvl w:val="5"/>
        <w:rPr>
          <w:rFonts w:eastAsia="Times New Roman"/>
          <w:spacing w:val="40"/>
          <w:rtl/>
        </w:rPr>
      </w:pPr>
      <w:r w:rsidRPr="00A210E9">
        <w:rPr>
          <w:rFonts w:eastAsia="Times New Roman" w:hint="cs"/>
          <w:spacing w:val="40"/>
          <w:rtl/>
        </w:rPr>
        <w:t xml:space="preserve">התקשרויות עם חברה ב'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משנת 2011 עד פברואר 2025 סיפקה חברה ב' למשרד התחבורה את </w:t>
      </w:r>
      <w:r w:rsidRPr="00A210E9">
        <w:rPr>
          <w:rFonts w:eastAsia="Calibri"/>
          <w:rtl/>
        </w:rPr>
        <w:t xml:space="preserve">שירותי </w:t>
      </w:r>
      <w:r w:rsidRPr="00A210E9">
        <w:rPr>
          <w:rFonts w:eastAsia="Calibri" w:hint="cs"/>
          <w:rtl/>
        </w:rPr>
        <w:t>ה</w:t>
      </w:r>
      <w:r w:rsidRPr="00A210E9">
        <w:rPr>
          <w:rFonts w:eastAsia="Calibri"/>
          <w:rtl/>
        </w:rPr>
        <w:t xml:space="preserve">ייעוץ </w:t>
      </w:r>
      <w:r w:rsidRPr="00A210E9">
        <w:rPr>
          <w:rFonts w:eastAsia="Calibri" w:hint="cs"/>
          <w:rtl/>
        </w:rPr>
        <w:t>ה</w:t>
      </w:r>
      <w:r w:rsidRPr="00A210E9">
        <w:rPr>
          <w:rFonts w:eastAsia="Calibri"/>
          <w:rtl/>
        </w:rPr>
        <w:t xml:space="preserve">רפואי </w:t>
      </w:r>
      <w:r w:rsidRPr="00A210E9">
        <w:rPr>
          <w:rFonts w:eastAsia="Calibri" w:hint="cs"/>
          <w:rtl/>
        </w:rPr>
        <w:t>ה</w:t>
      </w:r>
      <w:r w:rsidRPr="00A210E9">
        <w:rPr>
          <w:rFonts w:eastAsia="Calibri"/>
          <w:rtl/>
        </w:rPr>
        <w:t>מקצועי בנוגע ל</w:t>
      </w:r>
      <w:r w:rsidRPr="00A210E9">
        <w:rPr>
          <w:rFonts w:eastAsia="Calibri" w:hint="cs"/>
          <w:rtl/>
        </w:rPr>
        <w:t>זכאות</w:t>
      </w:r>
      <w:r w:rsidRPr="00A210E9">
        <w:rPr>
          <w:rFonts w:eastAsia="Calibri"/>
          <w:rtl/>
        </w:rPr>
        <w:t xml:space="preserve"> לתגי חניה </w:t>
      </w:r>
      <w:r w:rsidRPr="00A210E9">
        <w:rPr>
          <w:rFonts w:eastAsia="Calibri" w:hint="cs"/>
          <w:rtl/>
        </w:rPr>
        <w:t xml:space="preserve">באמצעות כמה התקשרויות. על פי מסמכי המכרזים, סיפקה </w:t>
      </w:r>
      <w:r w:rsidRPr="00A210E9">
        <w:rPr>
          <w:rFonts w:eastAsia="Calibri"/>
          <w:rtl/>
        </w:rPr>
        <w:t xml:space="preserve">החברה </w:t>
      </w:r>
      <w:r w:rsidRPr="00A210E9">
        <w:rPr>
          <w:rFonts w:eastAsia="Calibri" w:hint="cs"/>
          <w:rtl/>
        </w:rPr>
        <w:t>את חוות דעתה על סמך מסמכים רפואיים בלבד שהגישו הפונים</w:t>
      </w:r>
      <w:r w:rsidRPr="00A210E9">
        <w:rPr>
          <w:rFonts w:eastAsia="Calibri"/>
          <w:rtl/>
        </w:rPr>
        <w:t>. ההתקשרו</w:t>
      </w:r>
      <w:r w:rsidRPr="00A210E9">
        <w:rPr>
          <w:rFonts w:eastAsia="Calibri" w:hint="cs"/>
          <w:rtl/>
        </w:rPr>
        <w:t>יו</w:t>
      </w:r>
      <w:r w:rsidRPr="00A210E9">
        <w:rPr>
          <w:rFonts w:eastAsia="Calibri"/>
          <w:rtl/>
        </w:rPr>
        <w:t xml:space="preserve">ת </w:t>
      </w:r>
      <w:r w:rsidRPr="00A210E9">
        <w:rPr>
          <w:rFonts w:eastAsia="Calibri" w:hint="cs"/>
          <w:rtl/>
        </w:rPr>
        <w:t>התבססו</w:t>
      </w:r>
      <w:r w:rsidRPr="00A210E9">
        <w:rPr>
          <w:rFonts w:eastAsia="Calibri"/>
          <w:rtl/>
        </w:rPr>
        <w:t xml:space="preserve"> על תשלום </w:t>
      </w:r>
      <w:r w:rsidRPr="00A210E9">
        <w:rPr>
          <w:rFonts w:eastAsia="Calibri" w:hint="cs"/>
          <w:rtl/>
        </w:rPr>
        <w:t xml:space="preserve">שחושב </w:t>
      </w:r>
      <w:r w:rsidRPr="00A210E9">
        <w:rPr>
          <w:rFonts w:eastAsia="Calibri"/>
          <w:rtl/>
        </w:rPr>
        <w:t xml:space="preserve">לפי </w:t>
      </w:r>
      <w:r w:rsidRPr="00A210E9">
        <w:rPr>
          <w:rFonts w:eastAsia="Calibri" w:hint="cs"/>
          <w:rtl/>
        </w:rPr>
        <w:t>מספר הפניות שנבדקו בפועל. להלן פירוט ההתקשרויות:</w:t>
      </w:r>
    </w:p>
    <w:p w:rsidR="00A210E9" w:rsidRPr="00A210E9" w:rsidP="00A210E9">
      <w:pPr>
        <w:keepNext/>
        <w:keepLines/>
        <w:spacing w:line="269" w:lineRule="auto"/>
        <w:ind w:left="-567"/>
        <w:rPr>
          <w:rFonts w:eastAsia="Calibri"/>
          <w:szCs w:val="20"/>
          <w:rtl/>
        </w:rPr>
      </w:pPr>
    </w:p>
    <w:p w:rsidR="00A210E9" w:rsidRPr="00A210E9" w:rsidP="00A210E9">
      <w:pPr>
        <w:keepNext/>
        <w:keepLines/>
        <w:spacing w:line="269" w:lineRule="auto"/>
        <w:jc w:val="center"/>
        <w:rPr>
          <w:rFonts w:eastAsia="Calibri"/>
          <w:b/>
          <w:bCs/>
          <w:rtl/>
        </w:rPr>
      </w:pPr>
      <w:r w:rsidRPr="00A210E9">
        <w:rPr>
          <w:rFonts w:eastAsia="Calibri" w:hint="eastAsia"/>
          <w:rtl/>
        </w:rPr>
        <w:t>לוח</w:t>
      </w:r>
      <w:r w:rsidRPr="00A210E9">
        <w:rPr>
          <w:rFonts w:eastAsia="Calibri"/>
          <w:rtl/>
        </w:rPr>
        <w:t xml:space="preserve"> </w:t>
      </w:r>
      <w:r w:rsidRPr="00A210E9">
        <w:rPr>
          <w:rFonts w:eastAsia="Calibri" w:hint="cs"/>
          <w:rtl/>
        </w:rPr>
        <w:t>13</w:t>
      </w:r>
      <w:r w:rsidRPr="00A210E9">
        <w:rPr>
          <w:rFonts w:eastAsia="Calibri"/>
          <w:rtl/>
        </w:rPr>
        <w:t>:</w:t>
      </w:r>
      <w:r w:rsidRPr="00A210E9">
        <w:rPr>
          <w:rFonts w:eastAsia="Calibri" w:hint="cs"/>
          <w:b/>
          <w:bCs/>
        </w:rPr>
        <w:t xml:space="preserve"> </w:t>
      </w:r>
      <w:r w:rsidRPr="00A210E9">
        <w:rPr>
          <w:rFonts w:eastAsia="Calibri" w:hint="cs"/>
          <w:b/>
          <w:bCs/>
          <w:rtl/>
        </w:rPr>
        <w:t>התקשרויות משרד התחבורה עם חברה ב' למתן שירותי ייעוץ רפואי לצורך בדיקת זכאות לתגי חניה</w:t>
      </w:r>
    </w:p>
    <w:tbl>
      <w:tblPr>
        <w:tblStyle w:val="TableGrid"/>
        <w:bidiVisual/>
        <w:tblW w:w="8219" w:type="dxa"/>
        <w:tblInd w:w="112" w:type="dxa"/>
        <w:tblLayout w:type="fixed"/>
        <w:tblLook w:val="04A0"/>
      </w:tblPr>
      <w:tblGrid>
        <w:gridCol w:w="851"/>
        <w:gridCol w:w="1134"/>
        <w:gridCol w:w="1134"/>
        <w:gridCol w:w="850"/>
        <w:gridCol w:w="1701"/>
        <w:gridCol w:w="992"/>
        <w:gridCol w:w="1557"/>
      </w:tblGrid>
      <w:tr w:rsidTr="0087347C">
        <w:tblPrEx>
          <w:tblW w:w="8219" w:type="dxa"/>
          <w:tblInd w:w="112" w:type="dxa"/>
          <w:tblLayout w:type="fixed"/>
          <w:tblLook w:val="04A0"/>
        </w:tblPrEx>
        <w:trPr>
          <w:tblHeader/>
        </w:trPr>
        <w:tc>
          <w:tcPr>
            <w:tcW w:w="851" w:type="dxa"/>
          </w:tcPr>
          <w:p w:rsidR="00A210E9" w:rsidRPr="00A210E9" w:rsidP="00A210E9">
            <w:pPr>
              <w:spacing w:line="269" w:lineRule="auto"/>
              <w:jc w:val="center"/>
              <w:rPr>
                <w:rFonts w:eastAsia="Calibri"/>
                <w:b/>
                <w:bCs/>
                <w:szCs w:val="20"/>
                <w:rtl/>
              </w:rPr>
            </w:pPr>
            <w:r w:rsidRPr="00A210E9">
              <w:rPr>
                <w:rFonts w:eastAsia="Calibri" w:hint="cs"/>
                <w:b/>
                <w:bCs/>
                <w:szCs w:val="20"/>
                <w:rtl/>
              </w:rPr>
              <w:t>סוג ההליך</w:t>
            </w:r>
          </w:p>
        </w:tc>
        <w:tc>
          <w:tcPr>
            <w:tcW w:w="1134" w:type="dxa"/>
          </w:tcPr>
          <w:p w:rsidR="00A210E9" w:rsidRPr="00A210E9" w:rsidP="00A210E9">
            <w:pPr>
              <w:spacing w:line="269" w:lineRule="auto"/>
              <w:jc w:val="center"/>
              <w:rPr>
                <w:rFonts w:eastAsia="Calibri"/>
                <w:b/>
                <w:bCs/>
                <w:szCs w:val="20"/>
                <w:rtl/>
              </w:rPr>
            </w:pPr>
            <w:r w:rsidRPr="00A210E9">
              <w:rPr>
                <w:rFonts w:eastAsia="Calibri" w:hint="cs"/>
                <w:b/>
                <w:bCs/>
                <w:szCs w:val="20"/>
                <w:rtl/>
              </w:rPr>
              <w:t>תחילת ההתקשרות</w:t>
            </w:r>
          </w:p>
        </w:tc>
        <w:tc>
          <w:tcPr>
            <w:tcW w:w="1134" w:type="dxa"/>
          </w:tcPr>
          <w:p w:rsidR="00A210E9" w:rsidRPr="00A210E9" w:rsidP="00A210E9">
            <w:pPr>
              <w:spacing w:line="269" w:lineRule="auto"/>
              <w:jc w:val="center"/>
              <w:rPr>
                <w:rFonts w:eastAsia="Calibri"/>
                <w:b/>
                <w:bCs/>
                <w:szCs w:val="20"/>
                <w:rtl/>
              </w:rPr>
            </w:pPr>
            <w:r w:rsidRPr="00A210E9">
              <w:rPr>
                <w:rFonts w:eastAsia="Calibri" w:hint="cs"/>
                <w:b/>
                <w:bCs/>
                <w:szCs w:val="20"/>
                <w:rtl/>
              </w:rPr>
              <w:t>סוף ההתקשרות</w:t>
            </w:r>
          </w:p>
        </w:tc>
        <w:tc>
          <w:tcPr>
            <w:tcW w:w="850" w:type="dxa"/>
          </w:tcPr>
          <w:p w:rsidR="00A210E9" w:rsidRPr="00A210E9" w:rsidP="00A210E9">
            <w:pPr>
              <w:spacing w:line="269" w:lineRule="auto"/>
              <w:jc w:val="center"/>
              <w:rPr>
                <w:rFonts w:eastAsia="Calibri"/>
                <w:b/>
                <w:bCs/>
                <w:szCs w:val="20"/>
                <w:rtl/>
              </w:rPr>
            </w:pPr>
            <w:r w:rsidRPr="00A210E9">
              <w:rPr>
                <w:rFonts w:eastAsia="Calibri" w:hint="cs"/>
                <w:b/>
                <w:bCs/>
                <w:szCs w:val="20"/>
                <w:rtl/>
              </w:rPr>
              <w:t>מספר המכרז</w:t>
            </w:r>
          </w:p>
        </w:tc>
        <w:tc>
          <w:tcPr>
            <w:tcW w:w="1701" w:type="dxa"/>
          </w:tcPr>
          <w:p w:rsidR="00A210E9" w:rsidRPr="00A210E9" w:rsidP="00A210E9">
            <w:pPr>
              <w:spacing w:line="269" w:lineRule="auto"/>
              <w:jc w:val="center"/>
              <w:rPr>
                <w:rFonts w:eastAsia="Calibri"/>
                <w:b/>
                <w:bCs/>
                <w:szCs w:val="20"/>
                <w:rtl/>
              </w:rPr>
            </w:pPr>
            <w:r w:rsidRPr="00A210E9">
              <w:rPr>
                <w:rFonts w:eastAsia="Calibri" w:hint="cs"/>
                <w:b/>
                <w:bCs/>
                <w:szCs w:val="20"/>
                <w:rtl/>
              </w:rPr>
              <w:t>משך ההתקשרות</w:t>
            </w:r>
          </w:p>
        </w:tc>
        <w:tc>
          <w:tcPr>
            <w:tcW w:w="992" w:type="dxa"/>
          </w:tcPr>
          <w:p w:rsidR="00A210E9" w:rsidRPr="00A210E9" w:rsidP="00A210E9">
            <w:pPr>
              <w:spacing w:line="269" w:lineRule="auto"/>
              <w:jc w:val="center"/>
              <w:rPr>
                <w:rFonts w:eastAsia="Calibri"/>
                <w:b/>
                <w:bCs/>
                <w:szCs w:val="20"/>
                <w:rtl/>
              </w:rPr>
            </w:pPr>
            <w:r w:rsidRPr="00A210E9">
              <w:rPr>
                <w:rFonts w:eastAsia="Calibri" w:hint="cs"/>
                <w:b/>
                <w:bCs/>
                <w:szCs w:val="20"/>
                <w:rtl/>
              </w:rPr>
              <w:t xml:space="preserve">ההיקף הכספי </w:t>
            </w:r>
          </w:p>
        </w:tc>
        <w:tc>
          <w:tcPr>
            <w:tcW w:w="1557" w:type="dxa"/>
          </w:tcPr>
          <w:p w:rsidR="00A210E9" w:rsidRPr="00A210E9" w:rsidP="00A210E9">
            <w:pPr>
              <w:spacing w:line="269" w:lineRule="auto"/>
              <w:jc w:val="center"/>
              <w:rPr>
                <w:rFonts w:eastAsia="Calibri"/>
                <w:b/>
                <w:bCs/>
                <w:szCs w:val="20"/>
                <w:rtl/>
              </w:rPr>
            </w:pPr>
            <w:r w:rsidRPr="00A210E9">
              <w:rPr>
                <w:rFonts w:eastAsia="Calibri" w:hint="cs"/>
                <w:b/>
                <w:bCs/>
                <w:szCs w:val="20"/>
                <w:rtl/>
              </w:rPr>
              <w:t>הערות</w:t>
            </w:r>
          </w:p>
        </w:tc>
      </w:tr>
      <w:tr w:rsidTr="0087347C">
        <w:tblPrEx>
          <w:tblW w:w="8219" w:type="dxa"/>
          <w:tblInd w:w="112" w:type="dxa"/>
          <w:tblLayout w:type="fixed"/>
          <w:tblLook w:val="04A0"/>
        </w:tblPrEx>
        <w:tc>
          <w:tcPr>
            <w:tcW w:w="851" w:type="dxa"/>
          </w:tcPr>
          <w:p w:rsidR="00A210E9" w:rsidRPr="00A210E9" w:rsidP="00A210E9">
            <w:pPr>
              <w:spacing w:line="269" w:lineRule="auto"/>
              <w:jc w:val="left"/>
              <w:rPr>
                <w:rFonts w:eastAsia="Calibri"/>
                <w:szCs w:val="20"/>
                <w:rtl/>
              </w:rPr>
            </w:pPr>
            <w:r w:rsidRPr="00A210E9">
              <w:rPr>
                <w:rFonts w:eastAsia="Calibri" w:hint="cs"/>
                <w:szCs w:val="20"/>
                <w:rtl/>
              </w:rPr>
              <w:t>מכרז</w:t>
            </w:r>
            <w:r>
              <w:rPr>
                <w:rFonts w:eastAsia="Calibri"/>
                <w:vertAlign w:val="superscript"/>
                <w:rtl/>
              </w:rPr>
              <w:footnoteReference w:id="167"/>
            </w:r>
          </w:p>
        </w:tc>
        <w:tc>
          <w:tcPr>
            <w:tcW w:w="1134" w:type="dxa"/>
          </w:tcPr>
          <w:p w:rsidR="00A210E9" w:rsidRPr="00A210E9" w:rsidP="00A210E9">
            <w:pPr>
              <w:spacing w:line="269" w:lineRule="auto"/>
              <w:jc w:val="left"/>
              <w:rPr>
                <w:rFonts w:eastAsia="Calibri"/>
                <w:szCs w:val="20"/>
                <w:rtl/>
              </w:rPr>
            </w:pPr>
            <w:r w:rsidRPr="00A210E9">
              <w:rPr>
                <w:rFonts w:eastAsia="Calibri" w:hint="cs"/>
                <w:szCs w:val="20"/>
                <w:rtl/>
              </w:rPr>
              <w:t>אפריל 2011</w:t>
            </w:r>
          </w:p>
        </w:tc>
        <w:tc>
          <w:tcPr>
            <w:tcW w:w="1134" w:type="dxa"/>
          </w:tcPr>
          <w:p w:rsidR="00A210E9" w:rsidRPr="00A210E9" w:rsidP="00A210E9">
            <w:pPr>
              <w:spacing w:line="269" w:lineRule="auto"/>
              <w:jc w:val="left"/>
              <w:rPr>
                <w:rFonts w:eastAsia="Calibri"/>
                <w:szCs w:val="20"/>
                <w:rtl/>
              </w:rPr>
            </w:pPr>
            <w:r w:rsidRPr="00A210E9">
              <w:rPr>
                <w:rFonts w:eastAsia="Calibri" w:hint="cs"/>
                <w:szCs w:val="20"/>
                <w:rtl/>
              </w:rPr>
              <w:t>אפריל 2015</w:t>
            </w:r>
          </w:p>
        </w:tc>
        <w:tc>
          <w:tcPr>
            <w:tcW w:w="850" w:type="dxa"/>
          </w:tcPr>
          <w:p w:rsidR="00A210E9" w:rsidRPr="00A210E9" w:rsidP="00A210E9">
            <w:pPr>
              <w:spacing w:line="269" w:lineRule="auto"/>
              <w:jc w:val="left"/>
              <w:rPr>
                <w:rFonts w:eastAsia="Calibri"/>
                <w:szCs w:val="20"/>
                <w:rtl/>
              </w:rPr>
            </w:pPr>
            <w:r w:rsidRPr="00A210E9">
              <w:rPr>
                <w:rFonts w:eastAsia="Calibri" w:hint="cs"/>
                <w:szCs w:val="20"/>
                <w:rtl/>
              </w:rPr>
              <w:t>31.10</w:t>
            </w:r>
          </w:p>
        </w:tc>
        <w:tc>
          <w:tcPr>
            <w:tcW w:w="1701" w:type="dxa"/>
          </w:tcPr>
          <w:p w:rsidR="00A210E9" w:rsidRPr="00A210E9" w:rsidP="00A210E9">
            <w:pPr>
              <w:spacing w:line="269" w:lineRule="auto"/>
              <w:jc w:val="left"/>
              <w:rPr>
                <w:rFonts w:eastAsia="Calibri"/>
                <w:szCs w:val="20"/>
                <w:rtl/>
              </w:rPr>
            </w:pPr>
            <w:r w:rsidRPr="00A210E9">
              <w:rPr>
                <w:rFonts w:eastAsia="Calibri" w:hint="cs"/>
                <w:szCs w:val="20"/>
                <w:rtl/>
              </w:rPr>
              <w:t xml:space="preserve">24 חודשים; </w:t>
            </w:r>
          </w:p>
          <w:p w:rsidR="00A210E9" w:rsidRPr="00A210E9" w:rsidP="00A210E9">
            <w:pPr>
              <w:spacing w:line="269" w:lineRule="auto"/>
              <w:jc w:val="left"/>
              <w:rPr>
                <w:rFonts w:eastAsia="Calibri"/>
                <w:szCs w:val="20"/>
                <w:rtl/>
              </w:rPr>
            </w:pPr>
            <w:r w:rsidRPr="00A210E9">
              <w:rPr>
                <w:rFonts w:eastAsia="Calibri" w:hint="cs"/>
                <w:szCs w:val="20"/>
                <w:rtl/>
              </w:rPr>
              <w:t>כמו כן, מומשו שתי אופציות להארכת ההתקשרות, כל אחת לשנה נוספת</w:t>
            </w:r>
          </w:p>
        </w:tc>
        <w:tc>
          <w:tcPr>
            <w:tcW w:w="992" w:type="dxa"/>
            <w:vMerge w:val="restart"/>
          </w:tcPr>
          <w:p w:rsidR="00A210E9" w:rsidRPr="00A210E9" w:rsidP="00A210E9">
            <w:pPr>
              <w:spacing w:line="269" w:lineRule="auto"/>
              <w:jc w:val="left"/>
              <w:rPr>
                <w:rFonts w:eastAsia="Calibri"/>
                <w:szCs w:val="20"/>
                <w:rtl/>
              </w:rPr>
            </w:pPr>
          </w:p>
          <w:p w:rsidR="00A210E9" w:rsidRPr="00A210E9" w:rsidP="00A210E9">
            <w:pPr>
              <w:spacing w:line="269" w:lineRule="auto"/>
              <w:jc w:val="left"/>
              <w:rPr>
                <w:rFonts w:eastAsia="Calibri"/>
                <w:szCs w:val="20"/>
                <w:rtl/>
              </w:rPr>
            </w:pPr>
          </w:p>
          <w:p w:rsidR="00A210E9" w:rsidRPr="00A210E9" w:rsidP="00A210E9">
            <w:pPr>
              <w:spacing w:line="269" w:lineRule="auto"/>
              <w:jc w:val="left"/>
              <w:rPr>
                <w:rFonts w:eastAsia="Calibri"/>
                <w:szCs w:val="20"/>
                <w:rtl/>
              </w:rPr>
            </w:pPr>
          </w:p>
          <w:p w:rsidR="00A210E9" w:rsidRPr="00A210E9" w:rsidP="00A210E9">
            <w:pPr>
              <w:spacing w:line="269" w:lineRule="auto"/>
              <w:jc w:val="left"/>
              <w:rPr>
                <w:rFonts w:eastAsia="Calibri"/>
                <w:szCs w:val="20"/>
                <w:rtl/>
              </w:rPr>
            </w:pPr>
          </w:p>
          <w:p w:rsidR="00A210E9" w:rsidRPr="00A210E9" w:rsidP="00A210E9">
            <w:pPr>
              <w:spacing w:line="269" w:lineRule="auto"/>
              <w:jc w:val="left"/>
              <w:rPr>
                <w:rFonts w:eastAsia="Calibri"/>
                <w:szCs w:val="20"/>
                <w:rtl/>
              </w:rPr>
            </w:pPr>
          </w:p>
          <w:p w:rsidR="00A210E9" w:rsidRPr="00A210E9" w:rsidP="00A210E9">
            <w:pPr>
              <w:spacing w:line="269" w:lineRule="auto"/>
              <w:jc w:val="left"/>
              <w:rPr>
                <w:rFonts w:eastAsia="Calibri"/>
                <w:szCs w:val="20"/>
                <w:rtl/>
              </w:rPr>
            </w:pPr>
            <w:r w:rsidRPr="00A210E9">
              <w:rPr>
                <w:rFonts w:eastAsia="Calibri" w:hint="cs"/>
                <w:szCs w:val="20"/>
                <w:rtl/>
              </w:rPr>
              <w:t>840,000 ש"ח</w:t>
            </w:r>
          </w:p>
          <w:p w:rsidR="00A210E9" w:rsidRPr="00A210E9" w:rsidP="00A210E9">
            <w:pPr>
              <w:spacing w:line="269" w:lineRule="auto"/>
              <w:jc w:val="left"/>
              <w:rPr>
                <w:rFonts w:eastAsia="Calibri"/>
                <w:szCs w:val="20"/>
                <w:rtl/>
              </w:rPr>
            </w:pPr>
          </w:p>
          <w:p w:rsidR="00A210E9" w:rsidRPr="00A210E9" w:rsidP="00A210E9">
            <w:pPr>
              <w:spacing w:line="269" w:lineRule="auto"/>
              <w:jc w:val="left"/>
              <w:rPr>
                <w:rFonts w:eastAsia="Calibri"/>
                <w:szCs w:val="20"/>
                <w:rtl/>
              </w:rPr>
            </w:pPr>
          </w:p>
        </w:tc>
        <w:tc>
          <w:tcPr>
            <w:tcW w:w="1557" w:type="dxa"/>
          </w:tcPr>
          <w:p w:rsidR="00A210E9" w:rsidRPr="00A210E9" w:rsidP="00A210E9">
            <w:pPr>
              <w:spacing w:line="269" w:lineRule="auto"/>
              <w:jc w:val="left"/>
              <w:rPr>
                <w:rFonts w:eastAsia="Calibri"/>
                <w:szCs w:val="20"/>
                <w:rtl/>
              </w:rPr>
            </w:pPr>
          </w:p>
        </w:tc>
      </w:tr>
      <w:tr w:rsidTr="0087347C">
        <w:tblPrEx>
          <w:tblW w:w="8219" w:type="dxa"/>
          <w:tblInd w:w="112" w:type="dxa"/>
          <w:tblLayout w:type="fixed"/>
          <w:tblLook w:val="04A0"/>
        </w:tblPrEx>
        <w:tc>
          <w:tcPr>
            <w:tcW w:w="851" w:type="dxa"/>
          </w:tcPr>
          <w:p w:rsidR="00A210E9" w:rsidRPr="00A210E9" w:rsidP="00A210E9">
            <w:pPr>
              <w:spacing w:line="269" w:lineRule="auto"/>
              <w:jc w:val="left"/>
              <w:rPr>
                <w:rFonts w:eastAsia="Calibri"/>
                <w:szCs w:val="20"/>
                <w:rtl/>
              </w:rPr>
            </w:pPr>
            <w:r w:rsidRPr="00A210E9">
              <w:rPr>
                <w:rFonts w:eastAsia="Calibri" w:hint="cs"/>
                <w:szCs w:val="20"/>
                <w:rtl/>
              </w:rPr>
              <w:t>פטור</w:t>
            </w:r>
            <w:r>
              <w:rPr>
                <w:rFonts w:eastAsia="Calibri"/>
                <w:vertAlign w:val="superscript"/>
                <w:rtl/>
              </w:rPr>
              <w:footnoteReference w:id="168"/>
            </w:r>
          </w:p>
        </w:tc>
        <w:tc>
          <w:tcPr>
            <w:tcW w:w="1134" w:type="dxa"/>
          </w:tcPr>
          <w:p w:rsidR="00A210E9" w:rsidRPr="00A210E9" w:rsidP="00A210E9">
            <w:pPr>
              <w:spacing w:line="269" w:lineRule="auto"/>
              <w:jc w:val="left"/>
              <w:rPr>
                <w:rFonts w:eastAsia="Calibri"/>
                <w:szCs w:val="20"/>
                <w:rtl/>
              </w:rPr>
            </w:pPr>
            <w:r w:rsidRPr="00A210E9">
              <w:rPr>
                <w:rFonts w:eastAsia="Calibri" w:hint="cs"/>
                <w:szCs w:val="20"/>
                <w:rtl/>
              </w:rPr>
              <w:t>18.5.15</w:t>
            </w:r>
          </w:p>
        </w:tc>
        <w:tc>
          <w:tcPr>
            <w:tcW w:w="1134" w:type="dxa"/>
          </w:tcPr>
          <w:p w:rsidR="00A210E9" w:rsidRPr="00A210E9" w:rsidP="00A210E9">
            <w:pPr>
              <w:spacing w:line="269" w:lineRule="auto"/>
              <w:jc w:val="left"/>
              <w:rPr>
                <w:rFonts w:eastAsia="Calibri"/>
                <w:szCs w:val="20"/>
                <w:rtl/>
              </w:rPr>
            </w:pPr>
            <w:r w:rsidRPr="00A210E9">
              <w:rPr>
                <w:rFonts w:eastAsia="Calibri" w:hint="cs"/>
                <w:szCs w:val="20"/>
                <w:rtl/>
              </w:rPr>
              <w:t>18.11.15</w:t>
            </w:r>
          </w:p>
        </w:tc>
        <w:tc>
          <w:tcPr>
            <w:tcW w:w="850" w:type="dxa"/>
          </w:tcPr>
          <w:p w:rsidR="00A210E9" w:rsidRPr="00A210E9" w:rsidP="00A210E9">
            <w:pPr>
              <w:spacing w:line="269" w:lineRule="auto"/>
              <w:jc w:val="left"/>
              <w:rPr>
                <w:rFonts w:eastAsia="Calibri"/>
                <w:szCs w:val="20"/>
                <w:rtl/>
              </w:rPr>
            </w:pPr>
            <w:r w:rsidRPr="00A210E9">
              <w:rPr>
                <w:rFonts w:eastAsia="Calibri" w:hint="cs"/>
                <w:szCs w:val="20"/>
                <w:rtl/>
              </w:rPr>
              <w:t>31.10</w:t>
            </w:r>
          </w:p>
        </w:tc>
        <w:tc>
          <w:tcPr>
            <w:tcW w:w="1701" w:type="dxa"/>
          </w:tcPr>
          <w:p w:rsidR="00A210E9" w:rsidRPr="00A210E9" w:rsidP="00A210E9">
            <w:pPr>
              <w:spacing w:line="269" w:lineRule="auto"/>
              <w:jc w:val="left"/>
              <w:rPr>
                <w:rFonts w:eastAsia="Calibri"/>
                <w:szCs w:val="20"/>
                <w:rtl/>
              </w:rPr>
            </w:pPr>
            <w:r w:rsidRPr="00A210E9">
              <w:rPr>
                <w:rFonts w:eastAsia="Calibri" w:hint="cs"/>
                <w:szCs w:val="20"/>
                <w:rtl/>
              </w:rPr>
              <w:t>6 חודשים</w:t>
            </w:r>
          </w:p>
        </w:tc>
        <w:tc>
          <w:tcPr>
            <w:tcW w:w="992" w:type="dxa"/>
            <w:vMerge/>
          </w:tcPr>
          <w:p w:rsidR="00A210E9" w:rsidRPr="00A210E9" w:rsidP="00A210E9">
            <w:pPr>
              <w:spacing w:line="269" w:lineRule="auto"/>
              <w:jc w:val="left"/>
              <w:rPr>
                <w:rFonts w:eastAsia="Calibri"/>
                <w:szCs w:val="20"/>
                <w:rtl/>
              </w:rPr>
            </w:pPr>
          </w:p>
        </w:tc>
        <w:tc>
          <w:tcPr>
            <w:tcW w:w="1557" w:type="dxa"/>
          </w:tcPr>
          <w:p w:rsidR="00A210E9" w:rsidRPr="00A210E9" w:rsidP="00A210E9">
            <w:pPr>
              <w:spacing w:line="269" w:lineRule="auto"/>
              <w:jc w:val="left"/>
              <w:rPr>
                <w:rFonts w:eastAsia="Calibri"/>
                <w:szCs w:val="20"/>
                <w:rtl/>
              </w:rPr>
            </w:pPr>
            <w:r w:rsidRPr="00A210E9">
              <w:rPr>
                <w:rFonts w:eastAsia="Calibri" w:hint="cs"/>
                <w:szCs w:val="20"/>
                <w:rtl/>
              </w:rPr>
              <w:t>הארכת התקשרות מעבר למימוש האופציות שנכללו במכרז, שאושרה כדי לשמור על רצף מתן השירות (מכרז חדש היה בתהליך הכנה)</w:t>
            </w:r>
          </w:p>
        </w:tc>
      </w:tr>
      <w:tr w:rsidTr="0087347C">
        <w:tblPrEx>
          <w:tblW w:w="8219" w:type="dxa"/>
          <w:tblInd w:w="112" w:type="dxa"/>
          <w:tblLayout w:type="fixed"/>
          <w:tblLook w:val="04A0"/>
        </w:tblPrEx>
        <w:tc>
          <w:tcPr>
            <w:tcW w:w="851" w:type="dxa"/>
          </w:tcPr>
          <w:p w:rsidR="00A210E9" w:rsidRPr="00A210E9" w:rsidP="00A210E9">
            <w:pPr>
              <w:spacing w:line="269" w:lineRule="auto"/>
              <w:jc w:val="left"/>
              <w:rPr>
                <w:rFonts w:eastAsia="Calibri"/>
                <w:szCs w:val="20"/>
                <w:rtl/>
              </w:rPr>
            </w:pPr>
            <w:r w:rsidRPr="00A210E9">
              <w:rPr>
                <w:rFonts w:eastAsia="Calibri" w:hint="cs"/>
                <w:szCs w:val="20"/>
                <w:rtl/>
              </w:rPr>
              <w:t>מכרז</w:t>
            </w:r>
          </w:p>
        </w:tc>
        <w:tc>
          <w:tcPr>
            <w:tcW w:w="1134" w:type="dxa"/>
          </w:tcPr>
          <w:p w:rsidR="00A210E9" w:rsidRPr="00A210E9" w:rsidP="00A210E9">
            <w:pPr>
              <w:spacing w:line="269" w:lineRule="auto"/>
              <w:jc w:val="left"/>
              <w:rPr>
                <w:rFonts w:eastAsia="Calibri"/>
                <w:szCs w:val="20"/>
                <w:rtl/>
              </w:rPr>
            </w:pPr>
            <w:r w:rsidRPr="00A210E9">
              <w:rPr>
                <w:rFonts w:eastAsia="Calibri" w:hint="cs"/>
                <w:szCs w:val="20"/>
                <w:rtl/>
              </w:rPr>
              <w:t>14.2.16</w:t>
            </w:r>
          </w:p>
        </w:tc>
        <w:tc>
          <w:tcPr>
            <w:tcW w:w="1134" w:type="dxa"/>
          </w:tcPr>
          <w:p w:rsidR="00A210E9" w:rsidRPr="00A210E9" w:rsidP="00A210E9">
            <w:pPr>
              <w:spacing w:line="269" w:lineRule="auto"/>
              <w:jc w:val="left"/>
              <w:rPr>
                <w:rFonts w:eastAsia="Calibri"/>
                <w:szCs w:val="20"/>
                <w:rtl/>
              </w:rPr>
            </w:pPr>
            <w:r w:rsidRPr="00A210E9">
              <w:rPr>
                <w:rFonts w:eastAsia="Calibri" w:hint="cs"/>
                <w:szCs w:val="20"/>
                <w:rtl/>
              </w:rPr>
              <w:t>14.2.21</w:t>
            </w:r>
          </w:p>
        </w:tc>
        <w:tc>
          <w:tcPr>
            <w:tcW w:w="850" w:type="dxa"/>
          </w:tcPr>
          <w:p w:rsidR="00A210E9" w:rsidRPr="00A210E9" w:rsidP="00A210E9">
            <w:pPr>
              <w:spacing w:line="269" w:lineRule="auto"/>
              <w:jc w:val="left"/>
              <w:rPr>
                <w:rFonts w:eastAsia="Calibri"/>
                <w:szCs w:val="20"/>
                <w:rtl/>
              </w:rPr>
            </w:pPr>
            <w:r w:rsidRPr="00A210E9">
              <w:rPr>
                <w:rFonts w:eastAsia="Calibri" w:hint="cs"/>
                <w:szCs w:val="20"/>
                <w:rtl/>
              </w:rPr>
              <w:t>31.14*</w:t>
            </w:r>
          </w:p>
          <w:p w:rsidR="00A210E9" w:rsidRPr="00A210E9" w:rsidP="00A210E9">
            <w:pPr>
              <w:spacing w:line="269" w:lineRule="auto"/>
              <w:jc w:val="left"/>
              <w:rPr>
                <w:rFonts w:eastAsia="Calibri"/>
                <w:szCs w:val="20"/>
                <w:rtl/>
              </w:rPr>
            </w:pPr>
          </w:p>
        </w:tc>
        <w:tc>
          <w:tcPr>
            <w:tcW w:w="1701" w:type="dxa"/>
          </w:tcPr>
          <w:p w:rsidR="00A210E9" w:rsidRPr="00A210E9" w:rsidP="00A210E9">
            <w:pPr>
              <w:spacing w:line="269" w:lineRule="auto"/>
              <w:jc w:val="left"/>
              <w:rPr>
                <w:rFonts w:eastAsia="Calibri"/>
                <w:szCs w:val="20"/>
                <w:rtl/>
              </w:rPr>
            </w:pPr>
            <w:r w:rsidRPr="00A210E9">
              <w:rPr>
                <w:rFonts w:eastAsia="Calibri" w:hint="cs"/>
                <w:szCs w:val="20"/>
                <w:rtl/>
              </w:rPr>
              <w:t xml:space="preserve">36 חודשים; </w:t>
            </w:r>
          </w:p>
          <w:p w:rsidR="00A210E9" w:rsidRPr="00A210E9" w:rsidP="00A210E9">
            <w:pPr>
              <w:spacing w:line="269" w:lineRule="auto"/>
              <w:jc w:val="left"/>
              <w:rPr>
                <w:rFonts w:eastAsia="Calibri"/>
                <w:szCs w:val="20"/>
                <w:rtl/>
              </w:rPr>
            </w:pPr>
            <w:r w:rsidRPr="00A210E9">
              <w:rPr>
                <w:rFonts w:eastAsia="Calibri" w:hint="cs"/>
                <w:szCs w:val="20"/>
                <w:rtl/>
              </w:rPr>
              <w:t>כמו כן, מומשו שתי אופציות להארכת ההתקשרות, כל אחת לשנה נוספת</w:t>
            </w:r>
          </w:p>
        </w:tc>
        <w:tc>
          <w:tcPr>
            <w:tcW w:w="992" w:type="dxa"/>
            <w:vMerge w:val="restart"/>
          </w:tcPr>
          <w:p w:rsidR="00A210E9" w:rsidRPr="00A210E9" w:rsidP="00A210E9">
            <w:pPr>
              <w:spacing w:line="269" w:lineRule="auto"/>
              <w:jc w:val="left"/>
              <w:rPr>
                <w:rFonts w:eastAsia="Calibri"/>
                <w:szCs w:val="20"/>
                <w:rtl/>
              </w:rPr>
            </w:pPr>
            <w:r w:rsidRPr="00A210E9">
              <w:rPr>
                <w:rFonts w:eastAsia="Calibri" w:hint="cs"/>
                <w:szCs w:val="20"/>
                <w:rtl/>
              </w:rPr>
              <w:t>כ-2.17 מיליון ש"ח בשנה</w:t>
            </w:r>
          </w:p>
        </w:tc>
        <w:tc>
          <w:tcPr>
            <w:tcW w:w="1557" w:type="dxa"/>
          </w:tcPr>
          <w:p w:rsidR="00A210E9" w:rsidRPr="00A210E9" w:rsidP="00A210E9">
            <w:pPr>
              <w:spacing w:line="269" w:lineRule="auto"/>
              <w:jc w:val="left"/>
              <w:rPr>
                <w:rFonts w:eastAsia="Calibri"/>
                <w:szCs w:val="20"/>
                <w:rtl/>
              </w:rPr>
            </w:pPr>
          </w:p>
        </w:tc>
      </w:tr>
      <w:tr w:rsidTr="0087347C">
        <w:tblPrEx>
          <w:tblW w:w="8219" w:type="dxa"/>
          <w:tblInd w:w="112" w:type="dxa"/>
          <w:tblLayout w:type="fixed"/>
          <w:tblLook w:val="04A0"/>
        </w:tblPrEx>
        <w:tc>
          <w:tcPr>
            <w:tcW w:w="851" w:type="dxa"/>
          </w:tcPr>
          <w:p w:rsidR="00A210E9" w:rsidRPr="00A210E9" w:rsidP="00A210E9">
            <w:pPr>
              <w:spacing w:line="269" w:lineRule="auto"/>
              <w:jc w:val="left"/>
              <w:rPr>
                <w:rFonts w:eastAsia="Calibri"/>
                <w:szCs w:val="20"/>
                <w:rtl/>
              </w:rPr>
            </w:pPr>
            <w:r w:rsidRPr="00A210E9">
              <w:rPr>
                <w:rFonts w:eastAsia="Calibri" w:hint="cs"/>
                <w:szCs w:val="20"/>
                <w:rtl/>
              </w:rPr>
              <w:t>פטור</w:t>
            </w:r>
          </w:p>
        </w:tc>
        <w:tc>
          <w:tcPr>
            <w:tcW w:w="1134" w:type="dxa"/>
          </w:tcPr>
          <w:p w:rsidR="00A210E9" w:rsidRPr="00A210E9" w:rsidP="00A210E9">
            <w:pPr>
              <w:spacing w:line="269" w:lineRule="auto"/>
              <w:jc w:val="left"/>
              <w:rPr>
                <w:rFonts w:eastAsia="Calibri"/>
                <w:szCs w:val="20"/>
                <w:rtl/>
              </w:rPr>
            </w:pPr>
            <w:r w:rsidRPr="00A210E9">
              <w:rPr>
                <w:rFonts w:eastAsia="Calibri" w:hint="cs"/>
                <w:szCs w:val="20"/>
                <w:rtl/>
              </w:rPr>
              <w:t>15.2.21</w:t>
            </w:r>
          </w:p>
        </w:tc>
        <w:tc>
          <w:tcPr>
            <w:tcW w:w="1134" w:type="dxa"/>
          </w:tcPr>
          <w:p w:rsidR="00A210E9" w:rsidRPr="00A210E9" w:rsidP="00A210E9">
            <w:pPr>
              <w:spacing w:line="269" w:lineRule="auto"/>
              <w:jc w:val="left"/>
              <w:rPr>
                <w:rFonts w:eastAsia="Calibri"/>
                <w:szCs w:val="20"/>
                <w:rtl/>
              </w:rPr>
            </w:pPr>
            <w:r w:rsidRPr="00A210E9">
              <w:rPr>
                <w:rFonts w:eastAsia="Calibri" w:hint="cs"/>
                <w:szCs w:val="20"/>
                <w:rtl/>
              </w:rPr>
              <w:t>15.7.21</w:t>
            </w:r>
          </w:p>
        </w:tc>
        <w:tc>
          <w:tcPr>
            <w:tcW w:w="850" w:type="dxa"/>
          </w:tcPr>
          <w:p w:rsidR="00A210E9" w:rsidRPr="00A210E9" w:rsidP="00A210E9">
            <w:pPr>
              <w:spacing w:line="269" w:lineRule="auto"/>
              <w:jc w:val="left"/>
              <w:rPr>
                <w:rFonts w:eastAsia="Calibri"/>
                <w:szCs w:val="20"/>
                <w:rtl/>
              </w:rPr>
            </w:pPr>
            <w:r w:rsidRPr="00A210E9">
              <w:rPr>
                <w:rFonts w:eastAsia="Calibri" w:hint="cs"/>
                <w:szCs w:val="20"/>
                <w:rtl/>
              </w:rPr>
              <w:t>31.14</w:t>
            </w:r>
          </w:p>
        </w:tc>
        <w:tc>
          <w:tcPr>
            <w:tcW w:w="1701" w:type="dxa"/>
          </w:tcPr>
          <w:p w:rsidR="00A210E9" w:rsidRPr="00A210E9" w:rsidP="00A210E9">
            <w:pPr>
              <w:spacing w:line="269" w:lineRule="auto"/>
              <w:jc w:val="left"/>
              <w:rPr>
                <w:rFonts w:eastAsia="Calibri"/>
                <w:szCs w:val="20"/>
                <w:rtl/>
              </w:rPr>
            </w:pPr>
            <w:r w:rsidRPr="00A210E9">
              <w:rPr>
                <w:rFonts w:eastAsia="Calibri" w:hint="cs"/>
                <w:szCs w:val="20"/>
                <w:rtl/>
              </w:rPr>
              <w:t>5 חודשים</w:t>
            </w:r>
          </w:p>
        </w:tc>
        <w:tc>
          <w:tcPr>
            <w:tcW w:w="992" w:type="dxa"/>
            <w:vMerge/>
          </w:tcPr>
          <w:p w:rsidR="00A210E9" w:rsidRPr="00A210E9" w:rsidP="00A210E9">
            <w:pPr>
              <w:spacing w:line="269" w:lineRule="auto"/>
              <w:jc w:val="left"/>
              <w:rPr>
                <w:rFonts w:eastAsia="Calibri"/>
                <w:szCs w:val="20"/>
                <w:rtl/>
              </w:rPr>
            </w:pPr>
          </w:p>
        </w:tc>
        <w:tc>
          <w:tcPr>
            <w:tcW w:w="1557" w:type="dxa"/>
          </w:tcPr>
          <w:p w:rsidR="00A210E9" w:rsidRPr="00A210E9" w:rsidP="00A210E9">
            <w:pPr>
              <w:spacing w:line="269" w:lineRule="auto"/>
              <w:jc w:val="left"/>
              <w:rPr>
                <w:rFonts w:eastAsia="Calibri"/>
                <w:szCs w:val="20"/>
                <w:rtl/>
              </w:rPr>
            </w:pPr>
            <w:r w:rsidRPr="00A210E9">
              <w:rPr>
                <w:rFonts w:eastAsia="Calibri" w:hint="cs"/>
                <w:szCs w:val="20"/>
                <w:rtl/>
              </w:rPr>
              <w:t>הארכת התקשרות בשל הימשכות הליכי מכרז 53.20</w:t>
            </w:r>
          </w:p>
        </w:tc>
      </w:tr>
      <w:tr w:rsidTr="0087347C">
        <w:tblPrEx>
          <w:tblW w:w="8219" w:type="dxa"/>
          <w:tblInd w:w="112" w:type="dxa"/>
          <w:tblLayout w:type="fixed"/>
          <w:tblLook w:val="04A0"/>
        </w:tblPrEx>
        <w:tc>
          <w:tcPr>
            <w:tcW w:w="851" w:type="dxa"/>
          </w:tcPr>
          <w:p w:rsidR="00A210E9" w:rsidRPr="00A210E9" w:rsidP="00A210E9">
            <w:pPr>
              <w:spacing w:line="269" w:lineRule="auto"/>
              <w:jc w:val="left"/>
              <w:rPr>
                <w:rFonts w:eastAsia="Calibri"/>
                <w:szCs w:val="20"/>
                <w:rtl/>
              </w:rPr>
            </w:pPr>
            <w:r w:rsidRPr="00A210E9">
              <w:rPr>
                <w:rFonts w:eastAsia="Calibri" w:hint="cs"/>
                <w:szCs w:val="20"/>
                <w:rtl/>
              </w:rPr>
              <w:t>פטור</w:t>
            </w:r>
          </w:p>
        </w:tc>
        <w:tc>
          <w:tcPr>
            <w:tcW w:w="1134" w:type="dxa"/>
          </w:tcPr>
          <w:p w:rsidR="00A210E9" w:rsidRPr="00A210E9" w:rsidP="00A210E9">
            <w:pPr>
              <w:spacing w:line="269" w:lineRule="auto"/>
              <w:jc w:val="left"/>
              <w:rPr>
                <w:rFonts w:eastAsia="Calibri"/>
                <w:szCs w:val="20"/>
                <w:rtl/>
              </w:rPr>
            </w:pPr>
            <w:r w:rsidRPr="00A210E9">
              <w:rPr>
                <w:rFonts w:eastAsia="Calibri" w:hint="cs"/>
                <w:szCs w:val="20"/>
                <w:rtl/>
              </w:rPr>
              <w:t>16.7.21</w:t>
            </w:r>
          </w:p>
        </w:tc>
        <w:tc>
          <w:tcPr>
            <w:tcW w:w="1134" w:type="dxa"/>
          </w:tcPr>
          <w:p w:rsidR="00A210E9" w:rsidRPr="00A210E9" w:rsidP="00A210E9">
            <w:pPr>
              <w:spacing w:line="269" w:lineRule="auto"/>
              <w:jc w:val="left"/>
              <w:rPr>
                <w:rFonts w:eastAsia="Calibri"/>
                <w:szCs w:val="20"/>
                <w:rtl/>
              </w:rPr>
            </w:pPr>
            <w:r w:rsidRPr="00A210E9">
              <w:rPr>
                <w:rFonts w:eastAsia="Calibri" w:hint="cs"/>
                <w:szCs w:val="20"/>
                <w:rtl/>
              </w:rPr>
              <w:t>14.8.20</w:t>
            </w:r>
          </w:p>
        </w:tc>
        <w:tc>
          <w:tcPr>
            <w:tcW w:w="850" w:type="dxa"/>
          </w:tcPr>
          <w:p w:rsidR="00A210E9" w:rsidRPr="00A210E9" w:rsidP="00A210E9">
            <w:pPr>
              <w:spacing w:line="269" w:lineRule="auto"/>
              <w:jc w:val="left"/>
              <w:rPr>
                <w:rFonts w:eastAsia="Calibri"/>
                <w:szCs w:val="20"/>
                <w:rtl/>
              </w:rPr>
            </w:pPr>
            <w:r w:rsidRPr="00A210E9">
              <w:rPr>
                <w:rFonts w:eastAsia="Calibri" w:hint="cs"/>
                <w:szCs w:val="20"/>
                <w:rtl/>
              </w:rPr>
              <w:t>31.14</w:t>
            </w:r>
          </w:p>
        </w:tc>
        <w:tc>
          <w:tcPr>
            <w:tcW w:w="1701" w:type="dxa"/>
          </w:tcPr>
          <w:p w:rsidR="00A210E9" w:rsidRPr="00A210E9" w:rsidP="00A210E9">
            <w:pPr>
              <w:spacing w:line="269" w:lineRule="auto"/>
              <w:jc w:val="left"/>
              <w:rPr>
                <w:rFonts w:eastAsia="Calibri"/>
                <w:szCs w:val="20"/>
                <w:rtl/>
              </w:rPr>
            </w:pPr>
            <w:r w:rsidRPr="00A210E9">
              <w:rPr>
                <w:rFonts w:eastAsia="Calibri" w:hint="cs"/>
                <w:szCs w:val="20"/>
                <w:rtl/>
              </w:rPr>
              <w:t>חודש אחד</w:t>
            </w:r>
          </w:p>
        </w:tc>
        <w:tc>
          <w:tcPr>
            <w:tcW w:w="992" w:type="dxa"/>
            <w:vMerge/>
          </w:tcPr>
          <w:p w:rsidR="00A210E9" w:rsidRPr="00A210E9" w:rsidP="00A210E9">
            <w:pPr>
              <w:spacing w:line="269" w:lineRule="auto"/>
              <w:jc w:val="left"/>
              <w:rPr>
                <w:rFonts w:eastAsia="Calibri"/>
                <w:szCs w:val="20"/>
                <w:rtl/>
              </w:rPr>
            </w:pPr>
          </w:p>
        </w:tc>
        <w:tc>
          <w:tcPr>
            <w:tcW w:w="1557" w:type="dxa"/>
          </w:tcPr>
          <w:p w:rsidR="00A210E9" w:rsidRPr="00A210E9" w:rsidP="00A210E9">
            <w:pPr>
              <w:spacing w:line="269" w:lineRule="auto"/>
              <w:jc w:val="left"/>
              <w:rPr>
                <w:rFonts w:eastAsia="Calibri"/>
                <w:szCs w:val="20"/>
                <w:rtl/>
              </w:rPr>
            </w:pPr>
            <w:r w:rsidRPr="00A210E9">
              <w:rPr>
                <w:rFonts w:eastAsia="Calibri" w:hint="cs"/>
                <w:szCs w:val="20"/>
                <w:rtl/>
              </w:rPr>
              <w:t>הארכת התקשרות בשל הימשכות הליכי מכרז 53.20</w:t>
            </w:r>
          </w:p>
        </w:tc>
      </w:tr>
      <w:tr w:rsidTr="0087347C">
        <w:tblPrEx>
          <w:tblW w:w="8219" w:type="dxa"/>
          <w:tblInd w:w="112" w:type="dxa"/>
          <w:tblLayout w:type="fixed"/>
          <w:tblLook w:val="04A0"/>
        </w:tblPrEx>
        <w:tc>
          <w:tcPr>
            <w:tcW w:w="851" w:type="dxa"/>
          </w:tcPr>
          <w:p w:rsidR="00A210E9" w:rsidRPr="00A210E9" w:rsidP="00A210E9">
            <w:pPr>
              <w:spacing w:line="269" w:lineRule="auto"/>
              <w:jc w:val="left"/>
              <w:rPr>
                <w:rFonts w:eastAsia="Calibri"/>
                <w:szCs w:val="20"/>
                <w:rtl/>
              </w:rPr>
            </w:pPr>
            <w:r w:rsidRPr="00A210E9">
              <w:rPr>
                <w:rFonts w:eastAsia="Calibri" w:hint="cs"/>
                <w:szCs w:val="20"/>
                <w:rtl/>
              </w:rPr>
              <w:t>פטור</w:t>
            </w:r>
          </w:p>
        </w:tc>
        <w:tc>
          <w:tcPr>
            <w:tcW w:w="1134" w:type="dxa"/>
          </w:tcPr>
          <w:p w:rsidR="00A210E9" w:rsidRPr="00A210E9" w:rsidP="00A210E9">
            <w:pPr>
              <w:spacing w:line="269" w:lineRule="auto"/>
              <w:jc w:val="left"/>
              <w:rPr>
                <w:rFonts w:eastAsia="Calibri"/>
                <w:szCs w:val="20"/>
                <w:rtl/>
              </w:rPr>
            </w:pPr>
            <w:r w:rsidRPr="00A210E9">
              <w:rPr>
                <w:rFonts w:eastAsia="Calibri" w:hint="cs"/>
                <w:szCs w:val="20"/>
                <w:rtl/>
              </w:rPr>
              <w:t>15.8.21</w:t>
            </w:r>
          </w:p>
        </w:tc>
        <w:tc>
          <w:tcPr>
            <w:tcW w:w="1134" w:type="dxa"/>
          </w:tcPr>
          <w:p w:rsidR="00A210E9" w:rsidRPr="00A210E9" w:rsidP="00A210E9">
            <w:pPr>
              <w:spacing w:line="269" w:lineRule="auto"/>
              <w:jc w:val="left"/>
              <w:rPr>
                <w:rFonts w:eastAsia="Calibri"/>
                <w:szCs w:val="20"/>
                <w:rtl/>
              </w:rPr>
            </w:pPr>
            <w:r w:rsidRPr="00A210E9">
              <w:rPr>
                <w:rFonts w:eastAsia="Calibri" w:hint="cs"/>
                <w:szCs w:val="20"/>
                <w:rtl/>
              </w:rPr>
              <w:t>14.9.21</w:t>
            </w:r>
          </w:p>
        </w:tc>
        <w:tc>
          <w:tcPr>
            <w:tcW w:w="850" w:type="dxa"/>
          </w:tcPr>
          <w:p w:rsidR="00A210E9" w:rsidRPr="00A210E9" w:rsidP="00A210E9">
            <w:pPr>
              <w:spacing w:line="269" w:lineRule="auto"/>
              <w:jc w:val="left"/>
              <w:rPr>
                <w:rFonts w:eastAsia="Calibri"/>
                <w:szCs w:val="20"/>
                <w:rtl/>
              </w:rPr>
            </w:pPr>
            <w:r w:rsidRPr="00A210E9">
              <w:rPr>
                <w:rFonts w:eastAsia="Calibri" w:hint="cs"/>
                <w:szCs w:val="20"/>
                <w:rtl/>
              </w:rPr>
              <w:t>31.14</w:t>
            </w:r>
          </w:p>
        </w:tc>
        <w:tc>
          <w:tcPr>
            <w:tcW w:w="1701" w:type="dxa"/>
          </w:tcPr>
          <w:p w:rsidR="00A210E9" w:rsidRPr="00A210E9" w:rsidP="00A210E9">
            <w:pPr>
              <w:spacing w:line="269" w:lineRule="auto"/>
              <w:jc w:val="left"/>
              <w:rPr>
                <w:rFonts w:eastAsia="Calibri"/>
                <w:szCs w:val="20"/>
                <w:rtl/>
              </w:rPr>
            </w:pPr>
            <w:r w:rsidRPr="00A210E9">
              <w:rPr>
                <w:rFonts w:eastAsia="Calibri" w:hint="cs"/>
                <w:szCs w:val="20"/>
                <w:rtl/>
              </w:rPr>
              <w:t>חודש אחד</w:t>
            </w:r>
          </w:p>
        </w:tc>
        <w:tc>
          <w:tcPr>
            <w:tcW w:w="992" w:type="dxa"/>
            <w:vMerge/>
          </w:tcPr>
          <w:p w:rsidR="00A210E9" w:rsidRPr="00A210E9" w:rsidP="00A210E9">
            <w:pPr>
              <w:spacing w:line="269" w:lineRule="auto"/>
              <w:jc w:val="left"/>
              <w:rPr>
                <w:rFonts w:eastAsia="Calibri"/>
                <w:szCs w:val="20"/>
                <w:rtl/>
              </w:rPr>
            </w:pPr>
          </w:p>
        </w:tc>
        <w:tc>
          <w:tcPr>
            <w:tcW w:w="1557" w:type="dxa"/>
          </w:tcPr>
          <w:p w:rsidR="00A210E9" w:rsidRPr="00A210E9" w:rsidP="00A210E9">
            <w:pPr>
              <w:spacing w:line="269" w:lineRule="auto"/>
              <w:jc w:val="left"/>
              <w:rPr>
                <w:rFonts w:eastAsia="Calibri"/>
                <w:szCs w:val="20"/>
                <w:rtl/>
              </w:rPr>
            </w:pPr>
            <w:r w:rsidRPr="00A210E9">
              <w:rPr>
                <w:rFonts w:eastAsia="Calibri" w:hint="cs"/>
                <w:szCs w:val="20"/>
                <w:rtl/>
              </w:rPr>
              <w:t>הארכת התקשרות לצורך הענקת תקופת התארגנות לזוכה במכרז 53.20 (חברה ב')</w:t>
            </w:r>
          </w:p>
        </w:tc>
      </w:tr>
      <w:tr w:rsidTr="0087347C">
        <w:tblPrEx>
          <w:tblW w:w="8219" w:type="dxa"/>
          <w:tblInd w:w="112" w:type="dxa"/>
          <w:tblLayout w:type="fixed"/>
          <w:tblLook w:val="04A0"/>
        </w:tblPrEx>
        <w:tc>
          <w:tcPr>
            <w:tcW w:w="851" w:type="dxa"/>
          </w:tcPr>
          <w:p w:rsidR="00A210E9" w:rsidRPr="00A210E9" w:rsidP="00A210E9">
            <w:pPr>
              <w:spacing w:line="269" w:lineRule="auto"/>
              <w:jc w:val="left"/>
              <w:rPr>
                <w:rFonts w:eastAsia="Calibri"/>
                <w:szCs w:val="20"/>
                <w:rtl/>
              </w:rPr>
            </w:pPr>
            <w:r w:rsidRPr="00A210E9">
              <w:rPr>
                <w:rFonts w:eastAsia="Calibri" w:hint="cs"/>
                <w:szCs w:val="20"/>
                <w:rtl/>
              </w:rPr>
              <w:t>---</w:t>
            </w:r>
          </w:p>
        </w:tc>
        <w:tc>
          <w:tcPr>
            <w:tcW w:w="1134" w:type="dxa"/>
          </w:tcPr>
          <w:p w:rsidR="00A210E9" w:rsidRPr="00A210E9" w:rsidP="00A210E9">
            <w:pPr>
              <w:spacing w:line="269" w:lineRule="auto"/>
              <w:jc w:val="left"/>
              <w:rPr>
                <w:rFonts w:eastAsia="Calibri"/>
                <w:szCs w:val="20"/>
                <w:rtl/>
              </w:rPr>
            </w:pPr>
            <w:r w:rsidRPr="00A210E9">
              <w:rPr>
                <w:rFonts w:eastAsia="Calibri" w:hint="cs"/>
                <w:szCs w:val="20"/>
                <w:rtl/>
              </w:rPr>
              <w:t>14.9.21</w:t>
            </w:r>
          </w:p>
        </w:tc>
        <w:tc>
          <w:tcPr>
            <w:tcW w:w="1134" w:type="dxa"/>
          </w:tcPr>
          <w:p w:rsidR="00A210E9" w:rsidRPr="00A210E9" w:rsidP="00A210E9">
            <w:pPr>
              <w:spacing w:line="269" w:lineRule="auto"/>
              <w:jc w:val="left"/>
              <w:rPr>
                <w:rFonts w:eastAsia="Calibri"/>
                <w:szCs w:val="20"/>
                <w:rtl/>
              </w:rPr>
            </w:pPr>
            <w:r w:rsidRPr="00A210E9">
              <w:rPr>
                <w:rFonts w:eastAsia="Calibri" w:hint="cs"/>
                <w:szCs w:val="20"/>
                <w:rtl/>
              </w:rPr>
              <w:t>19.2.22</w:t>
            </w:r>
          </w:p>
        </w:tc>
        <w:tc>
          <w:tcPr>
            <w:tcW w:w="850" w:type="dxa"/>
          </w:tcPr>
          <w:p w:rsidR="00A210E9" w:rsidRPr="00A210E9" w:rsidP="00A210E9">
            <w:pPr>
              <w:spacing w:line="269" w:lineRule="auto"/>
              <w:jc w:val="left"/>
              <w:rPr>
                <w:rFonts w:eastAsia="Calibri"/>
                <w:szCs w:val="20"/>
                <w:rtl/>
              </w:rPr>
            </w:pPr>
          </w:p>
        </w:tc>
        <w:tc>
          <w:tcPr>
            <w:tcW w:w="1701" w:type="dxa"/>
          </w:tcPr>
          <w:p w:rsidR="00A210E9" w:rsidRPr="00A210E9" w:rsidP="00A210E9">
            <w:pPr>
              <w:spacing w:line="269" w:lineRule="auto"/>
              <w:jc w:val="left"/>
              <w:rPr>
                <w:rFonts w:eastAsia="Calibri"/>
                <w:szCs w:val="20"/>
                <w:rtl/>
              </w:rPr>
            </w:pPr>
            <w:r w:rsidRPr="00A210E9">
              <w:rPr>
                <w:rFonts w:eastAsia="Calibri" w:hint="cs"/>
                <w:szCs w:val="20"/>
                <w:rtl/>
              </w:rPr>
              <w:t>5 חודשים</w:t>
            </w:r>
          </w:p>
        </w:tc>
        <w:tc>
          <w:tcPr>
            <w:tcW w:w="992" w:type="dxa"/>
          </w:tcPr>
          <w:p w:rsidR="00A210E9" w:rsidRPr="00A210E9" w:rsidP="00A210E9">
            <w:pPr>
              <w:spacing w:line="269" w:lineRule="auto"/>
              <w:jc w:val="left"/>
              <w:rPr>
                <w:rFonts w:eastAsia="Calibri"/>
                <w:szCs w:val="20"/>
                <w:rtl/>
              </w:rPr>
            </w:pPr>
            <w:r w:rsidRPr="00A210E9">
              <w:rPr>
                <w:rFonts w:eastAsia="Calibri" w:hint="cs"/>
                <w:szCs w:val="20"/>
                <w:rtl/>
              </w:rPr>
              <w:t>כ-1.21 מיליון ש"ח</w:t>
            </w:r>
          </w:p>
        </w:tc>
        <w:tc>
          <w:tcPr>
            <w:tcW w:w="1557" w:type="dxa"/>
          </w:tcPr>
          <w:p w:rsidR="00A210E9" w:rsidRPr="00A210E9" w:rsidP="00A210E9">
            <w:pPr>
              <w:spacing w:line="269" w:lineRule="auto"/>
              <w:jc w:val="left"/>
              <w:rPr>
                <w:rFonts w:eastAsia="Calibri"/>
                <w:szCs w:val="20"/>
                <w:rtl/>
              </w:rPr>
            </w:pPr>
            <w:r w:rsidRPr="00A210E9">
              <w:rPr>
                <w:rFonts w:eastAsia="Calibri" w:hint="cs"/>
                <w:szCs w:val="20"/>
                <w:rtl/>
              </w:rPr>
              <w:t>תשלומים שאושרו בדיעבד בתקופה שבה לא הייתה התקשרות חוזית עם החברה, ושלא באמצעות הזמנת רכש מוסדרת</w:t>
            </w:r>
          </w:p>
        </w:tc>
      </w:tr>
      <w:tr w:rsidTr="0087347C">
        <w:tblPrEx>
          <w:tblW w:w="8219" w:type="dxa"/>
          <w:tblInd w:w="112" w:type="dxa"/>
          <w:tblLayout w:type="fixed"/>
          <w:tblLook w:val="04A0"/>
        </w:tblPrEx>
        <w:tc>
          <w:tcPr>
            <w:tcW w:w="851" w:type="dxa"/>
          </w:tcPr>
          <w:p w:rsidR="00A210E9" w:rsidRPr="00A210E9" w:rsidP="00A210E9">
            <w:pPr>
              <w:spacing w:line="269" w:lineRule="auto"/>
              <w:jc w:val="left"/>
              <w:rPr>
                <w:rFonts w:eastAsia="Calibri"/>
                <w:szCs w:val="20"/>
                <w:rtl/>
              </w:rPr>
            </w:pPr>
            <w:r w:rsidRPr="00A210E9">
              <w:rPr>
                <w:rFonts w:eastAsia="Calibri" w:hint="cs"/>
                <w:szCs w:val="20"/>
                <w:rtl/>
              </w:rPr>
              <w:t>מכרז</w:t>
            </w:r>
          </w:p>
        </w:tc>
        <w:tc>
          <w:tcPr>
            <w:tcW w:w="1134" w:type="dxa"/>
          </w:tcPr>
          <w:p w:rsidR="00A210E9" w:rsidRPr="00A210E9" w:rsidP="00A210E9">
            <w:pPr>
              <w:spacing w:line="269" w:lineRule="auto"/>
              <w:jc w:val="left"/>
              <w:rPr>
                <w:rFonts w:eastAsia="Calibri"/>
                <w:szCs w:val="20"/>
                <w:rtl/>
              </w:rPr>
            </w:pPr>
            <w:r w:rsidRPr="00A210E9">
              <w:rPr>
                <w:rFonts w:eastAsia="Calibri" w:hint="cs"/>
                <w:szCs w:val="20"/>
                <w:rtl/>
              </w:rPr>
              <w:t>20.2.22</w:t>
            </w:r>
          </w:p>
          <w:p w:rsidR="00A210E9" w:rsidRPr="00A210E9" w:rsidP="00A210E9">
            <w:pPr>
              <w:spacing w:line="269" w:lineRule="auto"/>
              <w:jc w:val="left"/>
              <w:rPr>
                <w:rFonts w:eastAsia="Calibri"/>
                <w:szCs w:val="20"/>
                <w:rtl/>
              </w:rPr>
            </w:pPr>
          </w:p>
        </w:tc>
        <w:tc>
          <w:tcPr>
            <w:tcW w:w="1134" w:type="dxa"/>
          </w:tcPr>
          <w:p w:rsidR="00A210E9" w:rsidRPr="00A210E9" w:rsidP="00A210E9">
            <w:pPr>
              <w:spacing w:line="269" w:lineRule="auto"/>
              <w:jc w:val="left"/>
              <w:rPr>
                <w:rFonts w:eastAsia="Calibri"/>
                <w:szCs w:val="20"/>
                <w:rtl/>
              </w:rPr>
            </w:pPr>
            <w:r w:rsidRPr="00A210E9">
              <w:rPr>
                <w:rFonts w:eastAsia="Calibri" w:hint="cs"/>
                <w:szCs w:val="20"/>
                <w:rtl/>
              </w:rPr>
              <w:t>20.2.25</w:t>
            </w:r>
          </w:p>
        </w:tc>
        <w:tc>
          <w:tcPr>
            <w:tcW w:w="850" w:type="dxa"/>
          </w:tcPr>
          <w:p w:rsidR="00A210E9" w:rsidRPr="00A210E9" w:rsidP="00A210E9">
            <w:pPr>
              <w:spacing w:line="269" w:lineRule="auto"/>
              <w:jc w:val="left"/>
              <w:rPr>
                <w:rFonts w:eastAsia="Calibri"/>
                <w:szCs w:val="20"/>
                <w:rtl/>
              </w:rPr>
            </w:pPr>
            <w:r w:rsidRPr="00A210E9">
              <w:rPr>
                <w:rFonts w:eastAsia="Calibri" w:hint="cs"/>
                <w:szCs w:val="20"/>
                <w:rtl/>
              </w:rPr>
              <w:t>53.20*</w:t>
            </w:r>
          </w:p>
        </w:tc>
        <w:tc>
          <w:tcPr>
            <w:tcW w:w="1701" w:type="dxa"/>
          </w:tcPr>
          <w:p w:rsidR="00A210E9" w:rsidRPr="00A210E9" w:rsidP="00A210E9">
            <w:pPr>
              <w:spacing w:line="269" w:lineRule="auto"/>
              <w:jc w:val="left"/>
              <w:rPr>
                <w:rFonts w:eastAsia="Calibri"/>
                <w:szCs w:val="20"/>
                <w:rtl/>
              </w:rPr>
            </w:pPr>
            <w:r w:rsidRPr="00A210E9">
              <w:rPr>
                <w:rFonts w:eastAsia="Calibri" w:hint="cs"/>
                <w:szCs w:val="20"/>
                <w:rtl/>
              </w:rPr>
              <w:t xml:space="preserve">36 חודשים </w:t>
            </w:r>
          </w:p>
          <w:p w:rsidR="00A210E9" w:rsidRPr="00A210E9" w:rsidP="00A210E9">
            <w:pPr>
              <w:spacing w:line="269" w:lineRule="auto"/>
              <w:jc w:val="left"/>
              <w:rPr>
                <w:rFonts w:eastAsia="Calibri"/>
                <w:szCs w:val="20"/>
                <w:rtl/>
              </w:rPr>
            </w:pPr>
            <w:r w:rsidRPr="00A210E9">
              <w:rPr>
                <w:rFonts w:eastAsia="Calibri" w:hint="cs"/>
                <w:szCs w:val="20"/>
                <w:rtl/>
              </w:rPr>
              <w:t>(אופציית הארכה לשתי תקופות נוספות של שנה כל אחת לא מומשה)</w:t>
            </w:r>
          </w:p>
        </w:tc>
        <w:tc>
          <w:tcPr>
            <w:tcW w:w="992" w:type="dxa"/>
          </w:tcPr>
          <w:p w:rsidR="00A210E9" w:rsidRPr="00A210E9" w:rsidP="00A210E9">
            <w:pPr>
              <w:spacing w:line="269" w:lineRule="auto"/>
              <w:jc w:val="left"/>
              <w:rPr>
                <w:rFonts w:eastAsia="Calibri"/>
                <w:szCs w:val="20"/>
                <w:rtl/>
              </w:rPr>
            </w:pPr>
            <w:r w:rsidRPr="00A210E9">
              <w:rPr>
                <w:rFonts w:eastAsia="Calibri" w:hint="cs"/>
                <w:szCs w:val="20"/>
                <w:rtl/>
              </w:rPr>
              <w:t>כ-2.7 מיליון ש"ח בשנה</w:t>
            </w:r>
          </w:p>
        </w:tc>
        <w:tc>
          <w:tcPr>
            <w:tcW w:w="1557" w:type="dxa"/>
          </w:tcPr>
          <w:p w:rsidR="00A210E9" w:rsidRPr="00A210E9" w:rsidP="00A210E9">
            <w:pPr>
              <w:spacing w:line="269" w:lineRule="auto"/>
              <w:jc w:val="left"/>
              <w:rPr>
                <w:rFonts w:eastAsia="Calibri"/>
                <w:szCs w:val="20"/>
                <w:rtl/>
              </w:rPr>
            </w:pPr>
          </w:p>
        </w:tc>
      </w:tr>
    </w:tbl>
    <w:p w:rsidR="00A210E9" w:rsidRPr="00A210E9" w:rsidP="00A210E9">
      <w:pPr>
        <w:spacing w:line="269" w:lineRule="auto"/>
        <w:rPr>
          <w:rFonts w:eastAsia="Calibri"/>
          <w:szCs w:val="20"/>
          <w:rtl/>
        </w:rPr>
      </w:pPr>
      <w:r w:rsidRPr="00A210E9">
        <w:rPr>
          <w:rFonts w:eastAsia="Calibri" w:hint="eastAsia"/>
          <w:szCs w:val="20"/>
          <w:rtl/>
        </w:rPr>
        <w:t>על</w:t>
      </w:r>
      <w:r w:rsidRPr="00A210E9">
        <w:rPr>
          <w:rFonts w:eastAsia="Calibri"/>
          <w:szCs w:val="20"/>
          <w:rtl/>
        </w:rPr>
        <w:t xml:space="preserve"> פי </w:t>
      </w:r>
      <w:r w:rsidRPr="00A210E9">
        <w:rPr>
          <w:rFonts w:eastAsia="Calibri" w:hint="eastAsia"/>
          <w:szCs w:val="20"/>
          <w:rtl/>
        </w:rPr>
        <w:t>מסמכים</w:t>
      </w:r>
      <w:r w:rsidRPr="00A210E9">
        <w:rPr>
          <w:rFonts w:eastAsia="Calibri"/>
          <w:szCs w:val="20"/>
          <w:rtl/>
        </w:rPr>
        <w:t xml:space="preserve"> של </w:t>
      </w:r>
      <w:r w:rsidRPr="00A210E9">
        <w:rPr>
          <w:rFonts w:eastAsia="Calibri" w:hint="eastAsia"/>
          <w:szCs w:val="20"/>
          <w:rtl/>
        </w:rPr>
        <w:t>משרד</w:t>
      </w:r>
      <w:r w:rsidRPr="00A210E9">
        <w:rPr>
          <w:rFonts w:eastAsia="Calibri"/>
          <w:szCs w:val="20"/>
          <w:rtl/>
        </w:rPr>
        <w:t xml:space="preserve"> התחבורה (</w:t>
      </w:r>
      <w:r w:rsidRPr="00A210E9">
        <w:rPr>
          <w:rFonts w:eastAsia="Calibri" w:hint="eastAsia"/>
          <w:szCs w:val="20"/>
          <w:rtl/>
        </w:rPr>
        <w:t>בין</w:t>
      </w:r>
      <w:r w:rsidRPr="00A210E9">
        <w:rPr>
          <w:rFonts w:eastAsia="Calibri"/>
          <w:szCs w:val="20"/>
          <w:rtl/>
        </w:rPr>
        <w:t xml:space="preserve"> היתר, מסמך מ</w:t>
      </w:r>
      <w:r w:rsidRPr="00A210E9">
        <w:rPr>
          <w:rFonts w:eastAsia="Calibri" w:hint="eastAsia"/>
          <w:szCs w:val="20"/>
          <w:rtl/>
        </w:rPr>
        <w:t>מחלקת</w:t>
      </w:r>
      <w:r w:rsidRPr="00A210E9">
        <w:rPr>
          <w:rFonts w:eastAsia="Calibri"/>
          <w:szCs w:val="20"/>
          <w:rtl/>
        </w:rPr>
        <w:t xml:space="preserve"> הרכש של משרד התחבורה</w:t>
      </w:r>
      <w:r>
        <w:rPr>
          <w:rFonts w:eastAsia="Calibri"/>
          <w:vertAlign w:val="superscript"/>
          <w:rtl/>
        </w:rPr>
        <w:footnoteReference w:id="169"/>
      </w:r>
      <w:r w:rsidRPr="00A210E9">
        <w:rPr>
          <w:rFonts w:eastAsia="Calibri"/>
          <w:szCs w:val="20"/>
          <w:rtl/>
        </w:rPr>
        <w:t xml:space="preserve">) </w:t>
      </w:r>
      <w:r w:rsidRPr="00A210E9">
        <w:rPr>
          <w:rFonts w:eastAsia="Calibri" w:hint="eastAsia"/>
          <w:szCs w:val="20"/>
          <w:rtl/>
        </w:rPr>
        <w:t>ומסמכי</w:t>
      </w:r>
      <w:r w:rsidRPr="00A210E9">
        <w:rPr>
          <w:rFonts w:eastAsia="Calibri"/>
          <w:szCs w:val="20"/>
          <w:rtl/>
        </w:rPr>
        <w:t xml:space="preserve"> מרכז המחקר והמידע של הכנסת, בעיבוד משרד מבקר המדינה</w:t>
      </w:r>
      <w:r w:rsidRPr="00A210E9">
        <w:rPr>
          <w:rFonts w:eastAsia="Calibri" w:hint="cs"/>
          <w:szCs w:val="20"/>
          <w:rtl/>
        </w:rPr>
        <w:t>.</w:t>
      </w:r>
    </w:p>
    <w:p w:rsidR="00A210E9" w:rsidRPr="00A210E9" w:rsidP="0087347C">
      <w:pPr>
        <w:spacing w:line="269" w:lineRule="auto"/>
        <w:ind w:left="282" w:hanging="284"/>
        <w:rPr>
          <w:rFonts w:eastAsia="Calibri"/>
          <w:szCs w:val="20"/>
          <w:rtl/>
        </w:rPr>
      </w:pPr>
      <w:r w:rsidRPr="00A210E9">
        <w:rPr>
          <w:rFonts w:eastAsia="Calibri"/>
          <w:szCs w:val="20"/>
          <w:rtl/>
        </w:rPr>
        <w:t xml:space="preserve">* </w:t>
      </w:r>
      <w:r w:rsidR="0087347C">
        <w:rPr>
          <w:rFonts w:eastAsia="Calibri"/>
          <w:szCs w:val="20"/>
          <w:rtl/>
        </w:rPr>
        <w:tab/>
      </w:r>
      <w:r w:rsidRPr="00A210E9">
        <w:rPr>
          <w:rFonts w:eastAsia="Calibri" w:hint="eastAsia"/>
          <w:szCs w:val="20"/>
          <w:rtl/>
        </w:rPr>
        <w:t>המכרז</w:t>
      </w:r>
      <w:r w:rsidRPr="00A210E9">
        <w:rPr>
          <w:rFonts w:eastAsia="Calibri"/>
          <w:szCs w:val="20"/>
          <w:rtl/>
        </w:rPr>
        <w:t xml:space="preserve"> היה למתן שירותי ייעוץ רפואי לאגף הרישוי הן לצורך בדיקת זכאות לתגי חניה והן לצורך בדיקת כשירות רפואית </w:t>
      </w:r>
      <w:r w:rsidRPr="00A210E9">
        <w:rPr>
          <w:rFonts w:eastAsia="Calibri" w:hint="eastAsia"/>
          <w:szCs w:val="20"/>
          <w:rtl/>
        </w:rPr>
        <w:t>לנהיגה</w:t>
      </w:r>
      <w:r w:rsidRPr="00A210E9">
        <w:rPr>
          <w:rFonts w:eastAsia="Calibri"/>
          <w:szCs w:val="20"/>
          <w:rtl/>
        </w:rPr>
        <w:t xml:space="preserve"> ברכב מנועי </w:t>
      </w:r>
      <w:r w:rsidRPr="00A210E9">
        <w:rPr>
          <w:rFonts w:eastAsia="Calibri" w:hint="eastAsia"/>
          <w:szCs w:val="20"/>
          <w:rtl/>
        </w:rPr>
        <w:t>של</w:t>
      </w:r>
      <w:r w:rsidRPr="00A210E9">
        <w:rPr>
          <w:rFonts w:eastAsia="Calibri"/>
          <w:szCs w:val="20"/>
          <w:rtl/>
        </w:rPr>
        <w:t xml:space="preserve"> </w:t>
      </w:r>
      <w:r w:rsidRPr="00A210E9">
        <w:rPr>
          <w:rFonts w:eastAsia="Calibri" w:hint="eastAsia"/>
          <w:szCs w:val="20"/>
          <w:rtl/>
        </w:rPr>
        <w:t>נהגים</w:t>
      </w:r>
      <w:r w:rsidRPr="00A210E9">
        <w:rPr>
          <w:rFonts w:eastAsia="Calibri"/>
          <w:szCs w:val="20"/>
          <w:rtl/>
        </w:rPr>
        <w:t xml:space="preserve"> שבהצהרתם הרפואית דיווחו על ממצאים המחייבים עיון.</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חברה ב' זכתה לראשונה במכרז בשנת 2011 (מכרז 31.10)</w:t>
      </w:r>
      <w:r w:rsidRPr="00A210E9">
        <w:rPr>
          <w:rFonts w:eastAsia="Calibri"/>
          <w:rtl/>
        </w:rPr>
        <w:t>.</w:t>
      </w:r>
      <w:r w:rsidRPr="00A210E9">
        <w:rPr>
          <w:rFonts w:eastAsia="Calibri" w:hint="cs"/>
          <w:rtl/>
        </w:rPr>
        <w:t xml:space="preserve"> בהמשך, היא זכתה בשני מכרזים נוספים בשנים 2016 (מכרז 31.14)</w:t>
      </w:r>
      <w:r w:rsidRPr="00A210E9">
        <w:rPr>
          <w:rFonts w:eastAsia="Calibri" w:hint="cs"/>
        </w:rPr>
        <w:t xml:space="preserve"> </w:t>
      </w:r>
      <w:r w:rsidRPr="00A210E9">
        <w:rPr>
          <w:rFonts w:eastAsia="Calibri" w:hint="cs"/>
          <w:rtl/>
        </w:rPr>
        <w:t>ו-2021 (מכרז 53.20).</w:t>
      </w:r>
      <w:r w:rsidRPr="00A210E9">
        <w:rPr>
          <w:rFonts w:eastAsia="Calibri"/>
          <w:rtl/>
        </w:rPr>
        <w:t xml:space="preserve"> </w:t>
      </w:r>
      <w:bookmarkEnd w:id="140"/>
      <w:bookmarkEnd w:id="141"/>
      <w:r w:rsidRPr="00A210E9">
        <w:rPr>
          <w:rFonts w:eastAsia="Calibri" w:hint="cs"/>
          <w:rtl/>
        </w:rPr>
        <w:t>במהלך השנים עלו כמה וכמה אי-סדרים הנוגעים לניהול ההתקשרויות המוזכרות בלוח שנעשו לצורך בדיקת זכאות לתגי חניה (וגם בהתקשרויות אחרות של החברה עם משרד התחבורה):</w:t>
      </w:r>
    </w:p>
    <w:p w:rsidR="00A210E9" w:rsidRPr="00A210E9" w:rsidP="00A210E9">
      <w:pPr>
        <w:keepNext/>
        <w:keepLines/>
        <w:spacing w:line="269" w:lineRule="auto"/>
        <w:ind w:left="-567"/>
        <w:rPr>
          <w:rFonts w:eastAsia="Calibri"/>
          <w:szCs w:val="20"/>
          <w:rtl/>
        </w:rPr>
      </w:pPr>
    </w:p>
    <w:p w:rsidR="00A210E9" w:rsidRPr="00A210E9" w:rsidP="00A210E9">
      <w:pPr>
        <w:numPr>
          <w:ilvl w:val="0"/>
          <w:numId w:val="17"/>
        </w:numPr>
        <w:spacing w:line="269" w:lineRule="auto"/>
        <w:contextualSpacing/>
        <w:rPr>
          <w:rFonts w:eastAsia="Calibri"/>
          <w:rtl/>
        </w:rPr>
      </w:pPr>
      <w:r w:rsidRPr="00A210E9">
        <w:rPr>
          <w:rFonts w:eastAsia="Calibri" w:hint="cs"/>
          <w:rtl/>
        </w:rPr>
        <w:t>תקופת ההתקשרות לפי מכרז 31.10 אמורה הייתה להסתיים באפריל 2015 לאחר מיצוי תקופות אופציה שהיו כלולות בה. בשל עיכובים בהליכי מכרז 31.14 אושרה התקשרות בפטור ממכרז למשך חצי שנה (ממאי עד נובמבר 2015). דפוס זה חזר על עצמו גם כאשר הסתיימה תקופת ההתקשרות לפי מכרז 31.14 בפברואר 2021, גם היא לאחר מיצוי תקופות אופציה שהיו כלולות בה - הליך עריכת מכרז 53.20 התמשך מעבר לצפוי ובעקבות זאת אושרו לאגף הרישוי שלוש התקשרויות עם חברה ב' בפטור ממכרז לתקופה מצטברת של שבעה חודשים (מפברואר עד ספטמבר 2021). תקופת ההתקשרות על פי מכרז 53.20 הסתיימה בפברואר 2025 בלי שמומשו האופציות להארכתה. גם במקרה זה, לא היה משרד התחבורה ערוך להתקשרות עם ספק חדש, ואף לא פרסם עדיין מכרז. יוצא אפוא שעד סוף מאי 2025 לא טיפל המשרד בבקשות חדשות לקבלת תגי חניה, ובסוף במאי 2025 התקשר לצורך כך עם חברה ג' בפטור ממכרז (ראו פירוט להלן). נכון למועד סיום הביקורת, לא פרסם עדיין משרד התחבורה מכרז חדש.</w:t>
      </w:r>
    </w:p>
    <w:p w:rsidR="00A210E9" w:rsidRPr="00A210E9" w:rsidP="00A210E9">
      <w:pPr>
        <w:keepNext/>
        <w:keepLines/>
        <w:spacing w:line="269" w:lineRule="auto"/>
        <w:ind w:left="-567"/>
        <w:rPr>
          <w:rFonts w:eastAsia="Calibri"/>
          <w:szCs w:val="20"/>
          <w:rtl/>
        </w:rPr>
      </w:pPr>
    </w:p>
    <w:p w:rsidR="00A210E9" w:rsidRPr="00A210E9" w:rsidP="00A210E9">
      <w:pPr>
        <w:numPr>
          <w:ilvl w:val="0"/>
          <w:numId w:val="17"/>
        </w:numPr>
        <w:spacing w:line="269" w:lineRule="auto"/>
        <w:contextualSpacing/>
        <w:rPr>
          <w:rFonts w:eastAsia="Calibri"/>
        </w:rPr>
      </w:pPr>
      <w:r w:rsidRPr="00A210E9">
        <w:rPr>
          <w:rFonts w:eastAsia="Calibri" w:hint="cs"/>
          <w:rtl/>
        </w:rPr>
        <w:t>בשנים 2021 - 2022 שירותי הייעוץ הרפואי ניתנו על ידי חברה ב' ללא הזמנת רכש מוסדרת במשך שתי תקופות:</w:t>
      </w:r>
    </w:p>
    <w:p w:rsidR="00A210E9" w:rsidRPr="00A210E9" w:rsidP="00A210E9">
      <w:pPr>
        <w:keepNext/>
        <w:keepLines/>
        <w:spacing w:line="269" w:lineRule="auto"/>
        <w:ind w:left="-567"/>
        <w:rPr>
          <w:rFonts w:eastAsia="Calibri"/>
          <w:szCs w:val="20"/>
          <w:rtl/>
        </w:rPr>
      </w:pPr>
    </w:p>
    <w:p w:rsidR="00A210E9" w:rsidRPr="00A210E9" w:rsidP="00A210E9">
      <w:pPr>
        <w:numPr>
          <w:ilvl w:val="1"/>
          <w:numId w:val="17"/>
        </w:numPr>
        <w:spacing w:line="269" w:lineRule="auto"/>
        <w:contextualSpacing/>
        <w:rPr>
          <w:rFonts w:eastAsia="Calibri"/>
        </w:rPr>
      </w:pPr>
      <w:r w:rsidRPr="00A210E9">
        <w:rPr>
          <w:rFonts w:eastAsia="Calibri" w:hint="cs"/>
          <w:rtl/>
        </w:rPr>
        <w:t xml:space="preserve">בתקופה 14.9.21 - 19.2.22 נתנה חברה ב' שירותי ייעוץ בסך של כ-1.2 מיליון ש"ח (כולל מע"ם) בלי שהייתה התקשרות מוסדרת בין הצדדים; וזאת כאמור, לאחר שכבר אושרו כמה הארכות התקשרות בפטור ממכרז ובשל העיכוב בפרסום מכרז 53.20. השרות ניתן ללא הזמנת רכש קיימת במערכות המידע. </w:t>
      </w:r>
    </w:p>
    <w:p w:rsidR="00A210E9" w:rsidRPr="00A210E9" w:rsidP="00A210E9">
      <w:pPr>
        <w:keepNext/>
        <w:keepLines/>
        <w:spacing w:line="269" w:lineRule="auto"/>
        <w:ind w:left="-567"/>
        <w:rPr>
          <w:rFonts w:eastAsia="Calibri"/>
          <w:szCs w:val="20"/>
        </w:rPr>
      </w:pPr>
    </w:p>
    <w:p w:rsidR="00A210E9" w:rsidRPr="00A210E9" w:rsidP="00A210E9">
      <w:pPr>
        <w:numPr>
          <w:ilvl w:val="1"/>
          <w:numId w:val="17"/>
        </w:numPr>
        <w:spacing w:line="269" w:lineRule="auto"/>
        <w:contextualSpacing/>
        <w:rPr>
          <w:rFonts w:eastAsia="Calibri"/>
        </w:rPr>
      </w:pPr>
      <w:r w:rsidRPr="00A210E9">
        <w:rPr>
          <w:rFonts w:eastAsia="Calibri" w:hint="cs"/>
          <w:rtl/>
        </w:rPr>
        <w:t>בתקופה 20.2.22 - 30.6.22, אף שכבר נחתם חוזה התקשרות חדש עם חברה ב', לא הקים משרד התחבורה הזמנת רכש מוסדרת במערכות המידע, ולמרות זאת נתנה חברה ב' לאגף הרישוי שירותי ייעוץ ב</w:t>
      </w:r>
      <w:r w:rsidRPr="00A210E9">
        <w:rPr>
          <w:rFonts w:eastAsia="Calibri"/>
          <w:rtl/>
        </w:rPr>
        <w:t xml:space="preserve">סך של </w:t>
      </w:r>
      <w:r w:rsidRPr="00A210E9">
        <w:rPr>
          <w:rFonts w:eastAsia="Calibri" w:hint="cs"/>
          <w:rtl/>
        </w:rPr>
        <w:t>כ-1.3 מיליון ש"ח</w:t>
      </w:r>
      <w:r w:rsidRPr="00A210E9">
        <w:rPr>
          <w:rFonts w:eastAsia="Calibri"/>
          <w:rtl/>
        </w:rPr>
        <w:t xml:space="preserve"> </w:t>
      </w:r>
      <w:r w:rsidRPr="00A210E9">
        <w:rPr>
          <w:rFonts w:eastAsia="Calibri" w:hint="cs"/>
          <w:rtl/>
        </w:rPr>
        <w:t>(</w:t>
      </w:r>
      <w:r w:rsidRPr="00A210E9">
        <w:rPr>
          <w:rFonts w:eastAsia="Calibri"/>
          <w:rtl/>
        </w:rPr>
        <w:t>כולל מע״</w:t>
      </w:r>
      <w:r w:rsidRPr="00A210E9">
        <w:rPr>
          <w:rFonts w:eastAsia="Calibri" w:hint="cs"/>
          <w:rtl/>
        </w:rPr>
        <w:t>ם)</w:t>
      </w:r>
      <w:r w:rsidRPr="00A210E9">
        <w:rPr>
          <w:rFonts w:eastAsia="Calibri"/>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ind w:left="312"/>
        <w:rPr>
          <w:rFonts w:eastAsia="Calibri"/>
          <w:rtl/>
        </w:rPr>
      </w:pPr>
      <w:r w:rsidRPr="00A210E9">
        <w:rPr>
          <w:rFonts w:eastAsia="Calibri" w:hint="cs"/>
          <w:rtl/>
        </w:rPr>
        <w:t xml:space="preserve">על פי מכתב ששלח סגן החשב הכללי במשרד האוצר (להלן - החשכ"ל) לחשב משרד התחבורה באוקטובר 2022, לטענת משרד התחבורה שני המקרים אירעו בשל היעדר כוח אדם, והשהיית פעילות הספק הייתה מובילה לפגיעה באינטרס הציבורי. סגן החשכ"ל הדגיש </w:t>
      </w:r>
      <w:r w:rsidRPr="00A210E9">
        <w:rPr>
          <w:rFonts w:eastAsia="Calibri"/>
          <w:rtl/>
        </w:rPr>
        <w:t>כי מדובר באירוע</w:t>
      </w:r>
      <w:r w:rsidRPr="00A210E9">
        <w:rPr>
          <w:rFonts w:eastAsia="Calibri" w:hint="cs"/>
          <w:rtl/>
        </w:rPr>
        <w:t>ים</w:t>
      </w:r>
      <w:r w:rsidRPr="00A210E9">
        <w:rPr>
          <w:rFonts w:eastAsia="Calibri"/>
          <w:rtl/>
        </w:rPr>
        <w:t xml:space="preserve"> חמור</w:t>
      </w:r>
      <w:r w:rsidRPr="00A210E9">
        <w:rPr>
          <w:rFonts w:eastAsia="Calibri" w:hint="cs"/>
          <w:rtl/>
        </w:rPr>
        <w:t>ים</w:t>
      </w:r>
      <w:r w:rsidRPr="00A210E9">
        <w:rPr>
          <w:rFonts w:eastAsia="Calibri"/>
          <w:rtl/>
        </w:rPr>
        <w:t xml:space="preserve"> שאל ל</w:t>
      </w:r>
      <w:r w:rsidRPr="00A210E9">
        <w:rPr>
          <w:rFonts w:eastAsia="Calibri" w:hint="cs"/>
          <w:rtl/>
        </w:rPr>
        <w:t>הם</w:t>
      </w:r>
      <w:r w:rsidRPr="00A210E9">
        <w:rPr>
          <w:rFonts w:eastAsia="Calibri"/>
          <w:rtl/>
        </w:rPr>
        <w:t xml:space="preserve"> לחזור על עצמ</w:t>
      </w:r>
      <w:r w:rsidRPr="00A210E9">
        <w:rPr>
          <w:rFonts w:eastAsia="Calibri" w:hint="cs"/>
          <w:rtl/>
        </w:rPr>
        <w:t>ם, וכי</w:t>
      </w:r>
      <w:r w:rsidRPr="00A210E9">
        <w:rPr>
          <w:rFonts w:eastAsia="Calibri"/>
          <w:rtl/>
        </w:rPr>
        <w:t xml:space="preserve"> על המשרד לוודא כי הספקים שפועלים</w:t>
      </w:r>
      <w:r w:rsidRPr="00A210E9">
        <w:rPr>
          <w:rFonts w:eastAsia="Calibri" w:hint="cs"/>
          <w:rtl/>
        </w:rPr>
        <w:t xml:space="preserve"> </w:t>
      </w:r>
      <w:r w:rsidRPr="00A210E9">
        <w:rPr>
          <w:rFonts w:eastAsia="Calibri"/>
          <w:rtl/>
        </w:rPr>
        <w:t>במסגרת התקשרויותיו מתנהלים על בסיס התקשרויות מתוקצבות ומאושרות</w:t>
      </w:r>
      <w:r w:rsidRPr="00A210E9">
        <w:rPr>
          <w:rFonts w:eastAsia="Calibri" w:hint="cs"/>
          <w:rtl/>
        </w:rPr>
        <w:t xml:space="preserve">. הוא אישר את שתי בקשות התשלום בדיעבד, וזאת לאור הצעדים שאגף הרישוי ציין שנקט למניעת הישנות </w:t>
      </w:r>
      <w:r w:rsidRPr="00A210E9">
        <w:rPr>
          <w:rFonts w:eastAsia="Calibri"/>
          <w:rtl/>
        </w:rPr>
        <w:t xml:space="preserve">מקרים מסוג זה, ובפרט פנייה </w:t>
      </w:r>
      <w:r w:rsidRPr="00A210E9">
        <w:rPr>
          <w:rFonts w:eastAsia="Calibri" w:hint="cs"/>
          <w:rtl/>
        </w:rPr>
        <w:t>ל</w:t>
      </w:r>
      <w:r w:rsidRPr="00A210E9">
        <w:rPr>
          <w:rFonts w:eastAsia="Calibri"/>
          <w:rtl/>
        </w:rPr>
        <w:t xml:space="preserve">ספק ופיתוח </w:t>
      </w:r>
      <w:r w:rsidRPr="00A210E9">
        <w:rPr>
          <w:rFonts w:eastAsia="Calibri" w:hint="cs"/>
          <w:rtl/>
        </w:rPr>
        <w:t xml:space="preserve">שיתוף פעולה עם </w:t>
      </w:r>
      <w:r w:rsidRPr="00A210E9">
        <w:rPr>
          <w:rFonts w:eastAsia="Calibri"/>
          <w:rtl/>
        </w:rPr>
        <w:t>גופי המטה במשרד</w:t>
      </w:r>
      <w:r w:rsidRPr="00A210E9">
        <w:rPr>
          <w:rFonts w:eastAsia="Calibri" w:hint="cs"/>
          <w:rtl/>
        </w:rPr>
        <w:t xml:space="preserve">. הסגן הוסיף כי אם </w:t>
      </w:r>
      <w:r w:rsidRPr="00A210E9">
        <w:rPr>
          <w:rFonts w:eastAsia="Calibri"/>
          <w:rtl/>
        </w:rPr>
        <w:t>מקרים אלו יחזרו</w:t>
      </w:r>
      <w:r w:rsidRPr="00A210E9">
        <w:rPr>
          <w:rFonts w:eastAsia="Calibri" w:hint="cs"/>
          <w:rtl/>
        </w:rPr>
        <w:t>,</w:t>
      </w:r>
      <w:r w:rsidRPr="00A210E9">
        <w:rPr>
          <w:rFonts w:eastAsia="Calibri"/>
          <w:rtl/>
        </w:rPr>
        <w:t xml:space="preserve"> על המשרד לפעול </w:t>
      </w:r>
      <w:r w:rsidRPr="00A210E9">
        <w:rPr>
          <w:rFonts w:eastAsia="Calibri" w:hint="cs"/>
          <w:rtl/>
        </w:rPr>
        <w:t>ע</w:t>
      </w:r>
      <w:r w:rsidRPr="00A210E9">
        <w:rPr>
          <w:rFonts w:eastAsia="Calibri"/>
          <w:rtl/>
        </w:rPr>
        <w:t>ל</w:t>
      </w:r>
      <w:r w:rsidRPr="00A210E9">
        <w:rPr>
          <w:rFonts w:eastAsia="Calibri" w:hint="cs"/>
          <w:rtl/>
        </w:rPr>
        <w:t xml:space="preserve"> פי </w:t>
      </w:r>
      <w:r w:rsidRPr="00A210E9">
        <w:rPr>
          <w:rFonts w:eastAsia="Calibri"/>
          <w:rtl/>
        </w:rPr>
        <w:t>הנחיות החשבות ולעצור התקשרויות במידת הצורך.</w:t>
      </w:r>
    </w:p>
    <w:p w:rsidR="00A210E9" w:rsidRPr="00A210E9" w:rsidP="00A210E9">
      <w:pPr>
        <w:keepNext/>
        <w:keepLines/>
        <w:spacing w:line="269" w:lineRule="auto"/>
        <w:ind w:left="-567"/>
        <w:rPr>
          <w:rFonts w:eastAsia="Calibri"/>
          <w:szCs w:val="20"/>
          <w:rtl/>
        </w:rPr>
      </w:pPr>
    </w:p>
    <w:p w:rsidR="00A210E9" w:rsidRPr="00A210E9" w:rsidP="00A210E9">
      <w:pPr>
        <w:numPr>
          <w:ilvl w:val="0"/>
          <w:numId w:val="17"/>
        </w:numPr>
        <w:spacing w:line="269" w:lineRule="auto"/>
        <w:contextualSpacing/>
        <w:rPr>
          <w:rFonts w:eastAsia="Calibri"/>
          <w:rtl/>
        </w:rPr>
      </w:pPr>
      <w:r w:rsidRPr="00A210E9">
        <w:rPr>
          <w:rFonts w:eastAsia="Calibri" w:hint="cs"/>
          <w:rtl/>
        </w:rPr>
        <w:t>מפרוטוקול ועדת המכרזים של משרד התחבורה מאוגוסט 2021 עולה כי מתוך שלוש הצעות שהתקבלו למכרז 53.20 לא עמדו שתי חברות בתנאי הסף ונפסלו, ונשארה הצעתה של חברה ב' בלבד. בדיון של ועדת המכרזים ציין חבר הוועדה נציג חשבות משרד התחבורה: "נשארנו עם הצעה אחת עם ספק שנותן לנו כיום את השירות ברמת שירות שהאגף המקצועי לא מרוצה ממנה". חבר ועדה אחר, נציג יועמ"שית המשרד, ציין כי ליציאה למכרז חדש יש גם מחירים אחרים, ו"בהתחשב בכך שאובייקטיבית ההצעה טובה גם אם שביעות הרצון לא מקסימלית, הרי שבחירה בהצעה כהצעה זוכה נראית כצעד המתאים, תוך הקפדה של האגף מהיום הראשון על עמידה של הזכיין במחויבויות שלו מתחילת הדרך". בסיום הדיון הכריזה הוועדה על חברה ב' כזוכה במכרז.</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bookmarkStart w:id="142" w:name="_Hlk223944026"/>
      <w:r w:rsidRPr="00A210E9">
        <w:rPr>
          <w:rFonts w:eastAsia="Calibri" w:hint="cs"/>
          <w:b/>
          <w:bCs/>
          <w:rtl/>
        </w:rPr>
        <w:t xml:space="preserve">משנת 2011 עד פברואר 2025 סיפקה חברה ב' למשרד התחבורה </w:t>
      </w:r>
      <w:r w:rsidRPr="00A210E9">
        <w:rPr>
          <w:rFonts w:eastAsia="Calibri"/>
          <w:b/>
          <w:bCs/>
          <w:rtl/>
        </w:rPr>
        <w:t>שירותי ייעוץ רפואי בנוגע ל</w:t>
      </w:r>
      <w:r w:rsidRPr="00A210E9">
        <w:rPr>
          <w:rFonts w:eastAsia="Calibri" w:hint="cs"/>
          <w:b/>
          <w:bCs/>
          <w:rtl/>
        </w:rPr>
        <w:t>בדיקת זכאות</w:t>
      </w:r>
      <w:r w:rsidRPr="00A210E9">
        <w:rPr>
          <w:rFonts w:eastAsia="Calibri"/>
          <w:b/>
          <w:bCs/>
          <w:rtl/>
        </w:rPr>
        <w:t xml:space="preserve"> לתגי חניה </w:t>
      </w:r>
      <w:r w:rsidRPr="00A210E9">
        <w:rPr>
          <w:rFonts w:eastAsia="Calibri" w:hint="cs"/>
          <w:b/>
          <w:bCs/>
          <w:rtl/>
        </w:rPr>
        <w:t xml:space="preserve">באמצעות כמה התקשרויות. בביקורת עלה כי לאורך השנים נפלו פגמים בהתקשרויות בין משרד התחבורה לבין החברה. לקראת סיום תקופות ההתקשרות עם הספק משרד התחבורה לא היה מוכן לפרסום מכרזים חדשים. עקב כך, אושרו כמה פעמים התקשרויות עם חברה ב' בפטור ממכרז, לאחר שמומשו כל האופציות להארכת ההתקשרות על פי ההסכמים. בעקבות זאת, גם סופקו שירותים על ידי חברה ב' בלי שהייתה התקשרות תקפה והזמנת רכש מוסדרת. כמו כן, הוכרזה חברה ב' כזוכה במכרז 53.20 לאחר שהצעתה הייתה היחידה שעמדה בתנאי הסף הנדרשים, אף שאגף הרישוי דיווח כי לא היה מרוצה מרמת השירות שהחברה סיפקה. </w:t>
      </w:r>
    </w:p>
    <w:bookmarkEnd w:id="142"/>
    <w:p w:rsidR="0029344A">
      <w:pPr>
        <w:bidi w:val="0"/>
        <w:spacing w:after="200" w:line="276" w:lineRule="auto"/>
        <w:rPr>
          <w:rFonts w:eastAsia="Calibri"/>
          <w:b/>
          <w:bCs/>
          <w:rtl/>
        </w:rPr>
      </w:pPr>
      <w:r>
        <w:rPr>
          <w:rFonts w:eastAsia="Calibri"/>
          <w:b/>
          <w:bCs/>
          <w:rtl/>
        </w:rPr>
        <w:br w:type="page"/>
      </w:r>
    </w:p>
    <w:p w:rsidR="00A210E9" w:rsidRPr="00A210E9" w:rsidP="00A210E9">
      <w:pPr>
        <w:spacing w:line="269" w:lineRule="auto"/>
        <w:rPr>
          <w:rFonts w:eastAsia="Calibri"/>
        </w:rPr>
      </w:pPr>
      <w:r w:rsidRPr="00A210E9">
        <w:rPr>
          <w:rFonts w:eastAsia="Calibri" w:hint="cs"/>
          <w:b/>
          <w:bCs/>
          <w:rtl/>
        </w:rPr>
        <w:t>על משרד התחבורה להפיק לקחים מהתקשרויות שערך לאורך השנים לצורך קבלת שירותי ייעוץ רפואי, ובהתאם לכך לשפר ולייעל את ניהול תהליכי ההתקשרות שלו עם ספקים, ובייחוד עליו להיערך בזמן סביר לקראת סוף ההתקשרות עם ספק קיים לפרסום המכרז הבא. הכול, כדי להימנע מלהתקשר עם ספקים בפטור ממכרז וכדי לאפשר לעצמו מרחב תמרון לצורך בחירת ספקים איכותיים. כמו כן, עליו להקפיד על קיומן של התקשרויות והזמנות רכש מוסדרות עם ספקים.</w:t>
      </w:r>
    </w:p>
    <w:p w:rsidR="00A210E9" w:rsidRPr="00A210E9" w:rsidP="00A210E9">
      <w:pPr>
        <w:keepNext/>
        <w:keepLines/>
        <w:spacing w:line="269" w:lineRule="auto"/>
        <w:ind w:left="-567"/>
        <w:rPr>
          <w:rFonts w:eastAsia="Calibri"/>
          <w:szCs w:val="20"/>
          <w:rtl/>
        </w:rPr>
      </w:pPr>
    </w:p>
    <w:p w:rsidR="00A210E9" w:rsidRPr="00A210E9" w:rsidP="00A210E9">
      <w:pPr>
        <w:keepNext/>
        <w:keepLines/>
        <w:spacing w:line="269" w:lineRule="auto"/>
        <w:outlineLvl w:val="5"/>
        <w:rPr>
          <w:rFonts w:eastAsia="Times New Roman"/>
          <w:spacing w:val="40"/>
          <w:rtl/>
        </w:rPr>
      </w:pPr>
      <w:r w:rsidRPr="00A210E9">
        <w:rPr>
          <w:rFonts w:eastAsia="Times New Roman" w:hint="cs"/>
          <w:spacing w:val="40"/>
          <w:rtl/>
        </w:rPr>
        <w:t>התקשרויות משרדי ממשלה אחרים עם ח</w:t>
      </w:r>
      <w:r w:rsidRPr="00A210E9">
        <w:rPr>
          <w:rFonts w:eastAsia="Times New Roman" w:hint="eastAsia"/>
          <w:spacing w:val="40"/>
          <w:rtl/>
        </w:rPr>
        <w:t>ברה</w:t>
      </w:r>
      <w:r w:rsidRPr="00A210E9">
        <w:rPr>
          <w:rFonts w:eastAsia="Times New Roman"/>
          <w:spacing w:val="40"/>
          <w:rtl/>
        </w:rPr>
        <w:t xml:space="preserve"> </w:t>
      </w:r>
      <w:r w:rsidRPr="00A210E9">
        <w:rPr>
          <w:rFonts w:eastAsia="Times New Roman" w:hint="eastAsia"/>
          <w:spacing w:val="40"/>
          <w:rtl/>
        </w:rPr>
        <w:t>ב</w:t>
      </w:r>
      <w:r w:rsidRPr="00A210E9">
        <w:rPr>
          <w:rFonts w:eastAsia="Times New Roman"/>
          <w:spacing w:val="40"/>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הבדיקה החקירתית 2023 העלתה כי בד בבד עם אספקת שירותיה למשרד התחבורה סיפקה חברה ב' </w:t>
      </w:r>
      <w:r w:rsidRPr="00A210E9">
        <w:rPr>
          <w:rFonts w:eastAsia="Calibri"/>
          <w:rtl/>
        </w:rPr>
        <w:t xml:space="preserve">שירותים </w:t>
      </w:r>
      <w:r w:rsidRPr="00A210E9">
        <w:rPr>
          <w:rFonts w:eastAsia="Calibri" w:hint="cs"/>
          <w:rtl/>
        </w:rPr>
        <w:t>לכמה</w:t>
      </w:r>
      <w:r w:rsidRPr="00A210E9">
        <w:rPr>
          <w:rFonts w:eastAsia="Calibri"/>
          <w:rtl/>
        </w:rPr>
        <w:t xml:space="preserve"> משרדי ממשלה</w:t>
      </w:r>
      <w:r w:rsidRPr="00A210E9">
        <w:rPr>
          <w:rFonts w:eastAsia="Calibri" w:hint="cs"/>
          <w:rtl/>
        </w:rPr>
        <w:t xml:space="preserve">. </w:t>
      </w:r>
      <w:r w:rsidRPr="00A210E9">
        <w:rPr>
          <w:rFonts w:eastAsia="Calibri"/>
          <w:rtl/>
        </w:rPr>
        <w:t xml:space="preserve">שילוב של </w:t>
      </w:r>
      <w:r w:rsidRPr="00A210E9">
        <w:rPr>
          <w:rFonts w:eastAsia="Calibri" w:hint="cs"/>
          <w:rtl/>
        </w:rPr>
        <w:t>התקשרויות</w:t>
      </w:r>
      <w:r w:rsidRPr="00A210E9">
        <w:rPr>
          <w:rFonts w:eastAsia="Calibri"/>
          <w:rtl/>
        </w:rPr>
        <w:t xml:space="preserve"> אלו </w:t>
      </w:r>
      <w:r w:rsidRPr="00A210E9">
        <w:rPr>
          <w:rFonts w:eastAsia="Calibri" w:hint="cs"/>
          <w:rtl/>
        </w:rPr>
        <w:t>העלה</w:t>
      </w:r>
      <w:r w:rsidRPr="00A210E9">
        <w:rPr>
          <w:rFonts w:eastAsia="Calibri"/>
          <w:rtl/>
        </w:rPr>
        <w:t xml:space="preserve"> חשש לניגוד עניינים </w:t>
      </w:r>
      <w:r w:rsidRPr="00A210E9">
        <w:rPr>
          <w:rFonts w:eastAsia="Calibri" w:hint="cs"/>
          <w:rtl/>
        </w:rPr>
        <w:t xml:space="preserve">בנוגע </w:t>
      </w:r>
      <w:r w:rsidRPr="00A210E9">
        <w:rPr>
          <w:rFonts w:eastAsia="Calibri"/>
          <w:rtl/>
        </w:rPr>
        <w:t>ל</w:t>
      </w:r>
      <w:r w:rsidRPr="00A210E9">
        <w:rPr>
          <w:rFonts w:eastAsia="Calibri" w:hint="cs"/>
          <w:rtl/>
        </w:rPr>
        <w:t xml:space="preserve">התקשרות במסגרת </w:t>
      </w:r>
      <w:r w:rsidRPr="00A210E9">
        <w:rPr>
          <w:rFonts w:eastAsia="Calibri"/>
          <w:rtl/>
        </w:rPr>
        <w:t>מכרז 53.20</w:t>
      </w:r>
      <w:r w:rsidRPr="00A210E9">
        <w:rPr>
          <w:rFonts w:eastAsia="Calibri" w:hint="cs"/>
          <w:rtl/>
        </w:rPr>
        <w:t xml:space="preserve">; </w:t>
      </w:r>
      <w:r w:rsidRPr="00A210E9">
        <w:rPr>
          <w:rFonts w:eastAsia="Calibri"/>
          <w:rtl/>
        </w:rPr>
        <w:t>לדוגמה</w:t>
      </w:r>
      <w:r w:rsidRPr="00A210E9">
        <w:rPr>
          <w:rFonts w:eastAsia="Calibri" w:hint="cs"/>
          <w:rtl/>
        </w:rPr>
        <w:t>,</w:t>
      </w:r>
      <w:r w:rsidRPr="00A210E9">
        <w:rPr>
          <w:rFonts w:eastAsia="Calibri"/>
          <w:rtl/>
        </w:rPr>
        <w:t xml:space="preserve"> </w:t>
      </w:r>
      <w:r w:rsidRPr="00A210E9">
        <w:rPr>
          <w:rFonts w:eastAsia="Calibri" w:hint="cs"/>
          <w:rtl/>
        </w:rPr>
        <w:t>חברה ב'</w:t>
      </w:r>
      <w:r w:rsidRPr="00A210E9">
        <w:rPr>
          <w:rFonts w:eastAsia="Calibri"/>
          <w:rtl/>
        </w:rPr>
        <w:t xml:space="preserve"> </w:t>
      </w:r>
      <w:r w:rsidRPr="00A210E9">
        <w:rPr>
          <w:rFonts w:eastAsia="Calibri" w:hint="cs"/>
          <w:rtl/>
        </w:rPr>
        <w:t>סיפקה</w:t>
      </w:r>
      <w:r w:rsidRPr="00A210E9">
        <w:rPr>
          <w:rFonts w:eastAsia="Calibri"/>
          <w:rtl/>
        </w:rPr>
        <w:t xml:space="preserve"> </w:t>
      </w:r>
      <w:r w:rsidRPr="00A210E9">
        <w:rPr>
          <w:rFonts w:eastAsia="Calibri" w:hint="cs"/>
          <w:rtl/>
        </w:rPr>
        <w:t>ל</w:t>
      </w:r>
      <w:r w:rsidRPr="00A210E9">
        <w:rPr>
          <w:rFonts w:eastAsia="Calibri"/>
          <w:rtl/>
        </w:rPr>
        <w:t>משרד הבריאות שירותים למיצוי</w:t>
      </w:r>
      <w:r w:rsidRPr="00A210E9">
        <w:rPr>
          <w:rFonts w:eastAsia="Calibri" w:hint="cs"/>
          <w:rtl/>
        </w:rPr>
        <w:t xml:space="preserve"> </w:t>
      </w:r>
      <w:r w:rsidRPr="00A210E9">
        <w:rPr>
          <w:rFonts w:eastAsia="Calibri"/>
          <w:rtl/>
        </w:rPr>
        <w:t>זכויות</w:t>
      </w:r>
      <w:r w:rsidRPr="00A210E9">
        <w:rPr>
          <w:rFonts w:eastAsia="Calibri" w:hint="cs"/>
          <w:rtl/>
        </w:rPr>
        <w:t>, בין היתר</w:t>
      </w:r>
      <w:r w:rsidRPr="00A210E9">
        <w:rPr>
          <w:rFonts w:eastAsia="Calibri"/>
          <w:rtl/>
        </w:rPr>
        <w:t xml:space="preserve"> </w:t>
      </w:r>
      <w:r w:rsidRPr="00A210E9">
        <w:rPr>
          <w:rFonts w:eastAsia="Calibri" w:hint="cs"/>
          <w:rtl/>
        </w:rPr>
        <w:t xml:space="preserve">לצורך </w:t>
      </w:r>
      <w:r w:rsidRPr="00A210E9">
        <w:rPr>
          <w:rFonts w:eastAsia="Calibri"/>
          <w:rtl/>
        </w:rPr>
        <w:t>הגשת בקשות לתג חניה</w:t>
      </w:r>
      <w:r>
        <w:rPr>
          <w:rFonts w:eastAsia="Calibri"/>
          <w:vertAlign w:val="superscript"/>
          <w:rtl/>
        </w:rPr>
        <w:footnoteReference w:id="170"/>
      </w:r>
      <w:r w:rsidRPr="00A210E9">
        <w:rPr>
          <w:rFonts w:eastAsia="Calibri"/>
          <w:rtl/>
        </w:rPr>
        <w:t xml:space="preserve">, </w:t>
      </w:r>
      <w:r w:rsidRPr="00A210E9">
        <w:rPr>
          <w:rFonts w:eastAsia="Calibri" w:hint="cs"/>
          <w:rtl/>
        </w:rPr>
        <w:t>ול</w:t>
      </w:r>
      <w:r w:rsidRPr="00A210E9">
        <w:rPr>
          <w:rFonts w:eastAsia="Calibri"/>
          <w:rtl/>
        </w:rPr>
        <w:t xml:space="preserve">ביטוח הלאומי </w:t>
      </w:r>
      <w:r w:rsidRPr="00A210E9">
        <w:rPr>
          <w:rFonts w:eastAsia="Calibri" w:hint="cs"/>
          <w:rtl/>
        </w:rPr>
        <w:t>סייעה</w:t>
      </w:r>
      <w:r w:rsidRPr="00A210E9">
        <w:rPr>
          <w:rFonts w:eastAsia="Calibri"/>
          <w:rtl/>
        </w:rPr>
        <w:t xml:space="preserve"> בהגשה לוועדות רפואיות</w:t>
      </w:r>
      <w:r w:rsidRPr="00A210E9">
        <w:rPr>
          <w:rFonts w:eastAsia="Calibri" w:hint="cs"/>
          <w:rtl/>
        </w:rPr>
        <w:t xml:space="preserve"> (</w:t>
      </w:r>
      <w:r w:rsidRPr="00A210E9">
        <w:rPr>
          <w:rFonts w:eastAsia="Calibri"/>
          <w:rtl/>
        </w:rPr>
        <w:t>הכרה בנכות</w:t>
      </w:r>
      <w:r w:rsidRPr="00A210E9">
        <w:rPr>
          <w:rFonts w:eastAsia="Calibri" w:hint="cs"/>
          <w:rtl/>
        </w:rPr>
        <w:t>)</w:t>
      </w:r>
      <w:r>
        <w:rPr>
          <w:rFonts w:eastAsia="Calibri"/>
          <w:vertAlign w:val="superscript"/>
          <w:rtl/>
        </w:rPr>
        <w:footnoteReference w:id="171"/>
      </w:r>
      <w:r w:rsidRPr="00A210E9">
        <w:rPr>
          <w:rFonts w:eastAsia="Calibri" w:hint="cs"/>
          <w:rtl/>
        </w:rPr>
        <w:t>;</w:t>
      </w:r>
      <w:r w:rsidRPr="00A210E9">
        <w:rPr>
          <w:rFonts w:eastAsia="Calibri"/>
          <w:rtl/>
        </w:rPr>
        <w:t xml:space="preserve"> </w:t>
      </w:r>
      <w:r w:rsidRPr="00A210E9">
        <w:rPr>
          <w:rFonts w:eastAsia="Calibri" w:hint="cs"/>
          <w:rtl/>
        </w:rPr>
        <w:t>ו</w:t>
      </w:r>
      <w:r w:rsidRPr="00A210E9">
        <w:rPr>
          <w:rFonts w:eastAsia="Calibri"/>
          <w:rtl/>
        </w:rPr>
        <w:t xml:space="preserve">כל זאת </w:t>
      </w:r>
      <w:r w:rsidRPr="00A210E9">
        <w:rPr>
          <w:rFonts w:eastAsia="Calibri" w:hint="cs"/>
          <w:rtl/>
        </w:rPr>
        <w:t xml:space="preserve">בד בבד עם </w:t>
      </w:r>
      <w:r w:rsidRPr="00A210E9">
        <w:rPr>
          <w:rFonts w:eastAsia="Calibri"/>
          <w:rtl/>
        </w:rPr>
        <w:t>מתן שירותים למשרד התחבורה</w:t>
      </w:r>
      <w:r w:rsidRPr="00A210E9">
        <w:rPr>
          <w:rFonts w:eastAsia="Calibri" w:hint="cs"/>
          <w:rtl/>
        </w:rPr>
        <w:t xml:space="preserve"> לבדיקת עמידה בקריטריונים לקבלת תג. כך, </w:t>
      </w:r>
      <w:r w:rsidRPr="00A210E9">
        <w:rPr>
          <w:rFonts w:eastAsia="Calibri"/>
          <w:rtl/>
        </w:rPr>
        <w:t xml:space="preserve">עלול </w:t>
      </w:r>
      <w:r w:rsidRPr="00A210E9">
        <w:rPr>
          <w:rFonts w:eastAsia="Calibri" w:hint="cs"/>
          <w:rtl/>
        </w:rPr>
        <w:t>היה להיווצר</w:t>
      </w:r>
      <w:r w:rsidRPr="00A210E9">
        <w:rPr>
          <w:rFonts w:eastAsia="Calibri"/>
          <w:rtl/>
        </w:rPr>
        <w:t xml:space="preserve"> מצב שבו חבר</w:t>
      </w:r>
      <w:r w:rsidRPr="00A210E9">
        <w:rPr>
          <w:rFonts w:eastAsia="Calibri" w:hint="cs"/>
          <w:rtl/>
        </w:rPr>
        <w:t>ה ב' עלולה הייתה לקבל</w:t>
      </w:r>
      <w:r w:rsidRPr="00A210E9">
        <w:rPr>
          <w:rFonts w:eastAsia="Calibri"/>
          <w:rtl/>
        </w:rPr>
        <w:t xml:space="preserve"> תשלום </w:t>
      </w:r>
      <w:r w:rsidRPr="00A210E9">
        <w:rPr>
          <w:rFonts w:eastAsia="Calibri" w:hint="cs"/>
          <w:rtl/>
        </w:rPr>
        <w:t xml:space="preserve">הן </w:t>
      </w:r>
      <w:r w:rsidRPr="00A210E9">
        <w:rPr>
          <w:rFonts w:eastAsia="Calibri"/>
          <w:rtl/>
        </w:rPr>
        <w:t>ממשרד הבריאות</w:t>
      </w:r>
      <w:r w:rsidRPr="00A210E9">
        <w:rPr>
          <w:rFonts w:eastAsia="Calibri" w:hint="cs"/>
          <w:rtl/>
        </w:rPr>
        <w:t xml:space="preserve"> או מ</w:t>
      </w:r>
      <w:r w:rsidRPr="00A210E9">
        <w:rPr>
          <w:rFonts w:eastAsia="Calibri"/>
          <w:rtl/>
        </w:rPr>
        <w:t xml:space="preserve">הביטוח הלאומי </w:t>
      </w:r>
      <w:r w:rsidRPr="00A210E9">
        <w:rPr>
          <w:rFonts w:eastAsia="Calibri" w:hint="cs"/>
          <w:rtl/>
        </w:rPr>
        <w:t xml:space="preserve">עבור בקשה של אזרח מסוים </w:t>
      </w:r>
      <w:r w:rsidRPr="00A210E9">
        <w:rPr>
          <w:rFonts w:eastAsia="Calibri"/>
          <w:rtl/>
        </w:rPr>
        <w:t>למיצוי</w:t>
      </w:r>
      <w:r w:rsidRPr="00A210E9">
        <w:rPr>
          <w:rFonts w:eastAsia="Calibri" w:hint="cs"/>
          <w:rtl/>
        </w:rPr>
        <w:t xml:space="preserve"> </w:t>
      </w:r>
      <w:r w:rsidRPr="00A210E9">
        <w:rPr>
          <w:rFonts w:eastAsia="Calibri"/>
          <w:rtl/>
        </w:rPr>
        <w:t xml:space="preserve">זכויות </w:t>
      </w:r>
      <w:r w:rsidRPr="00A210E9">
        <w:rPr>
          <w:rFonts w:eastAsia="Calibri" w:hint="cs"/>
          <w:rtl/>
        </w:rPr>
        <w:t xml:space="preserve">או סיוע בהגשת בקשה לוועדות רפואיות בנוגע להכרה בנכות, והן ממשרד התחבורה עבור אותו אזרח בגין בדיקת </w:t>
      </w:r>
      <w:r w:rsidRPr="00A210E9">
        <w:rPr>
          <w:rFonts w:eastAsia="Calibri"/>
          <w:rtl/>
        </w:rPr>
        <w:t>זכאות לתג חניה.</w:t>
      </w:r>
      <w:r w:rsidRPr="00A210E9">
        <w:rPr>
          <w:rFonts w:eastAsia="Calibri" w:hint="cs"/>
          <w:rtl/>
        </w:rPr>
        <w:t xml:space="preserve"> בדוח צוין כי חברה ב' לא הודיעה למשרד התחבורה על התקשרויותיה האחרות כדי להסיר את החשש לניגוד עניינים, למרות חובתה לעשות כן לפי סעיף 5.2 לחוזה ההתקשרות שעליו חתמה עם משרד התחבורה, הקובע כי "בכל מקרה שיווצר חשש כלשהו לניגוד עניינים בין הספק לבין המזמין יודיע הספק על כך למזמין, ללא כל שיהוי ויפעל באופן מידי להסרת ניגוד העניינים".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sz w:val="24"/>
          <w:rtl/>
        </w:rPr>
      </w:pPr>
      <w:bookmarkStart w:id="143" w:name="_Hlk223944177"/>
      <w:r w:rsidRPr="00A210E9">
        <w:rPr>
          <w:rFonts w:eastAsia="Calibri" w:hint="cs"/>
          <w:b/>
          <w:bCs/>
          <w:sz w:val="24"/>
          <w:rtl/>
        </w:rPr>
        <w:t xml:space="preserve">הבדיקה החקירתית 2023 שיזם משרד התחבורה בנוגע לתהליך הנפקת תגי חניה העלתה חשש לניגוד עניינים שחברה ב' הייתה מצויה בו, עקב אספקה מקבילה של שירותים לגופים ממשלתיים אחרים כגון משרד הבריאות ובט"ל. בביקורת עלה כי אף על פי שהחשד לניגוד עניינים עלה כבר במרץ 2023, לא ערכו משרד התחבורה והחשכ"ל שימוע לחברה ב' בנושא מיד עם גילויו. השימוע התקיים רק לאחר כשנה וחצי (בדצמבר 2024) ולאחריו הוחלט לסיים את ההתקשרות עם חברה ב'. ומשכך, המשרד </w:t>
      </w:r>
      <w:r w:rsidRPr="00A210E9">
        <w:rPr>
          <w:rFonts w:eastAsia="Calibri"/>
          <w:b/>
          <w:bCs/>
          <w:sz w:val="24"/>
          <w:rtl/>
        </w:rPr>
        <w:t>לא מ</w:t>
      </w:r>
      <w:r w:rsidRPr="00A210E9">
        <w:rPr>
          <w:rFonts w:eastAsia="Calibri" w:hint="cs"/>
          <w:b/>
          <w:bCs/>
          <w:sz w:val="24"/>
          <w:rtl/>
        </w:rPr>
        <w:t>י</w:t>
      </w:r>
      <w:r w:rsidRPr="00A210E9">
        <w:rPr>
          <w:rFonts w:eastAsia="Calibri"/>
          <w:b/>
          <w:bCs/>
          <w:sz w:val="24"/>
          <w:rtl/>
        </w:rPr>
        <w:t>מש אופציות להארכת ההתקשרות</w:t>
      </w:r>
      <w:r w:rsidRPr="00A210E9">
        <w:rPr>
          <w:rFonts w:eastAsia="Calibri" w:hint="cs"/>
          <w:b/>
          <w:bCs/>
          <w:sz w:val="24"/>
          <w:rtl/>
        </w:rPr>
        <w:t xml:space="preserve">. בביקורת עלה כי באגף החשכ"ל לא קיים מנגנון בקרה על ספקים שנותנים שירותים לכמה גופים ממשלתיים בו זמנית, וזאת למרות אחריותו לכלל ההתקשרויות של הממשלה ויכולתו לראות תמונה רוחבית של התקשרויות אלה. בקרה כזו עשויה הייתה להציף את ניגוד העניינים לפני הבדיקה החקירתית 2023.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חברה ב' כתבה בתשובתה </w:t>
      </w:r>
      <w:r w:rsidRPr="00A210E9">
        <w:rPr>
          <w:rFonts w:eastAsia="Calibri" w:hint="eastAsia"/>
          <w:rtl/>
        </w:rPr>
        <w:t>ממאי</w:t>
      </w:r>
      <w:r w:rsidRPr="00A210E9">
        <w:rPr>
          <w:rFonts w:eastAsia="Calibri"/>
          <w:rtl/>
        </w:rPr>
        <w:t xml:space="preserve"> 2026 (להלן </w:t>
      </w:r>
      <w:r w:rsidRPr="00A210E9">
        <w:rPr>
          <w:rFonts w:eastAsia="Calibri" w:hint="cs"/>
          <w:rtl/>
        </w:rPr>
        <w:t>-</w:t>
      </w:r>
      <w:r w:rsidRPr="00A210E9">
        <w:rPr>
          <w:rFonts w:eastAsia="Calibri"/>
          <w:rtl/>
        </w:rPr>
        <w:t xml:space="preserve"> תשובת חברה ב')</w:t>
      </w:r>
      <w:r w:rsidRPr="00A210E9">
        <w:rPr>
          <w:rFonts w:eastAsia="Calibri"/>
        </w:rPr>
        <w:t xml:space="preserve"> </w:t>
      </w:r>
      <w:r w:rsidRPr="00A210E9">
        <w:rPr>
          <w:rFonts w:eastAsia="Calibri" w:hint="cs"/>
          <w:rtl/>
        </w:rPr>
        <w:t xml:space="preserve">כי השירותים שנתנה למשרד הבריאות ולביטוח לאומי ניתנו מכוח מכרזים מצומצמים בהיקפם במגוון רחב מאוד של תחומי זכויות, אשר לא נגעו לקידום או לייזום של בקשות לתגי חניה או לבחינת הזכאות להם, ועל כן לא היה חשש לניגוד עניינים שהיה עליה לדווח עליו.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sz w:val="24"/>
          <w:rtl/>
        </w:rPr>
      </w:pPr>
      <w:r w:rsidRPr="00A210E9">
        <w:rPr>
          <w:rFonts w:eastAsia="Calibri" w:hint="cs"/>
          <w:rtl/>
        </w:rPr>
        <w:t>משרד התחבורה כתב בתשובתו כי סוגיית ניגוד העניינים של חברה ב' היא סוגיה רוחבית, נוכח מעורבותה העמוקה של החברה בשירותים רפואיים הניתנים לגופי מדינה שונים, וכי סוגיה זו נבחנת.</w:t>
      </w:r>
    </w:p>
    <w:bookmarkEnd w:id="143"/>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פוטנציאל לניגודי עניינים של ספקים עלול להשפיע באופן רוחבי על מתן שירותים לציבור. על אגף החשכ"ל ועל משרד התחבורה להפיק לקחים מההתקשרויות המקבילות של חברה ב' עם כמה גופים ממשלתיים ומהפוטנציאל לניגוד עניינים שעלה בהקשר זה. כמו כן, על משרד התחבורה לאכוף את תנאי חוזה ההתקשרות עם ספקים שעימם הוא מתקשר ועל החשכ"ל לבצע בקרה על כך.</w:t>
      </w:r>
    </w:p>
    <w:p w:rsidR="00A210E9" w:rsidRPr="00A210E9" w:rsidP="00A210E9">
      <w:pPr>
        <w:keepNext/>
        <w:keepLines/>
        <w:spacing w:line="269" w:lineRule="auto"/>
        <w:outlineLvl w:val="5"/>
        <w:rPr>
          <w:rFonts w:eastAsia="Times New Roman"/>
          <w:spacing w:val="40"/>
          <w:rtl/>
        </w:rPr>
      </w:pPr>
      <w:r w:rsidRPr="00A210E9">
        <w:rPr>
          <w:rFonts w:eastAsia="Times New Roman" w:hint="cs"/>
          <w:spacing w:val="40"/>
          <w:rtl/>
        </w:rPr>
        <w:t>סיום ההתקשרות עם חברה ב'</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rtl/>
        </w:rPr>
        <w:t xml:space="preserve">על רקע הממצאים החמורים שעלו </w:t>
      </w:r>
      <w:r w:rsidRPr="00A210E9">
        <w:rPr>
          <w:rFonts w:eastAsia="Calibri" w:hint="cs"/>
          <w:rtl/>
        </w:rPr>
        <w:t xml:space="preserve">בבדיקה החקירתית 2023 החלה ביולי 2023 </w:t>
      </w:r>
      <w:r w:rsidRPr="00A210E9">
        <w:rPr>
          <w:rFonts w:eastAsia="Calibri"/>
          <w:rtl/>
        </w:rPr>
        <w:t xml:space="preserve">חקירה </w:t>
      </w:r>
      <w:r w:rsidRPr="00A210E9">
        <w:rPr>
          <w:rFonts w:eastAsia="Calibri" w:hint="cs"/>
          <w:rtl/>
        </w:rPr>
        <w:t xml:space="preserve">משטרתית סמויה. המשטרה הנחתה את משרד התחבורה שלא לנקוט בפעולות שעלולות לשבש את החקירה. עם הפיכת החקירה המשטרתית </w:t>
      </w:r>
      <w:r w:rsidRPr="00A210E9">
        <w:rPr>
          <w:rFonts w:eastAsia="Calibri"/>
          <w:rtl/>
        </w:rPr>
        <w:t>לגלויה</w:t>
      </w:r>
      <w:r w:rsidRPr="00A210E9">
        <w:rPr>
          <w:rFonts w:eastAsia="Calibri" w:hint="cs"/>
          <w:rtl/>
        </w:rPr>
        <w:t xml:space="preserve"> (בדצמבר 2024) </w:t>
      </w:r>
      <w:r w:rsidRPr="00A210E9">
        <w:rPr>
          <w:rFonts w:eastAsia="Calibri"/>
          <w:rtl/>
        </w:rPr>
        <w:t>החל משרד הת</w:t>
      </w:r>
      <w:r w:rsidRPr="00A210E9">
        <w:rPr>
          <w:rFonts w:eastAsia="Calibri" w:hint="cs"/>
          <w:rtl/>
        </w:rPr>
        <w:t>ח</w:t>
      </w:r>
      <w:r w:rsidRPr="00A210E9">
        <w:rPr>
          <w:rFonts w:eastAsia="Calibri"/>
          <w:rtl/>
        </w:rPr>
        <w:t xml:space="preserve">בורה בהליכי שימוע </w:t>
      </w:r>
      <w:r w:rsidRPr="00A210E9">
        <w:rPr>
          <w:rFonts w:eastAsia="Calibri" w:hint="cs"/>
          <w:rtl/>
        </w:rPr>
        <w:t>ל</w:t>
      </w:r>
      <w:r w:rsidRPr="00A210E9">
        <w:rPr>
          <w:rFonts w:eastAsia="Calibri"/>
          <w:rtl/>
        </w:rPr>
        <w:t>חבר</w:t>
      </w:r>
      <w:r w:rsidRPr="00A210E9">
        <w:rPr>
          <w:rFonts w:eastAsia="Calibri" w:hint="cs"/>
          <w:rtl/>
        </w:rPr>
        <w:t xml:space="preserve">ה ב' </w:t>
      </w:r>
      <w:r w:rsidRPr="00A210E9">
        <w:rPr>
          <w:rFonts w:eastAsia="Calibri"/>
          <w:rtl/>
        </w:rPr>
        <w:t>במטרה להביא לסיום ההתקשרות עימה.</w:t>
      </w:r>
      <w:r w:rsidRPr="00A210E9">
        <w:rPr>
          <w:rFonts w:eastAsia="Calibri" w:hint="cs"/>
          <w:rtl/>
        </w:rPr>
        <w:t xml:space="preserve"> ממצאי החקירה הצביעו על </w:t>
      </w:r>
      <w:r w:rsidRPr="00A210E9">
        <w:rPr>
          <w:rFonts w:eastAsia="Calibri"/>
          <w:rtl/>
        </w:rPr>
        <w:t>חשדות</w:t>
      </w:r>
      <w:r w:rsidRPr="00A210E9">
        <w:rPr>
          <w:rFonts w:eastAsia="Calibri" w:hint="cs"/>
          <w:rtl/>
        </w:rPr>
        <w:t xml:space="preserve"> </w:t>
      </w:r>
      <w:r w:rsidRPr="00A210E9">
        <w:rPr>
          <w:rFonts w:eastAsia="Calibri"/>
          <w:rtl/>
        </w:rPr>
        <w:t xml:space="preserve">לביצוע עבירות פליליות בתהליך הטיפול בבקשות לתגי </w:t>
      </w:r>
      <w:r w:rsidRPr="00A210E9">
        <w:rPr>
          <w:rFonts w:eastAsia="Calibri" w:hint="cs"/>
          <w:rtl/>
        </w:rPr>
        <w:t>חניה</w:t>
      </w:r>
      <w:r w:rsidRPr="00A210E9">
        <w:rPr>
          <w:rFonts w:eastAsia="Calibri"/>
          <w:rtl/>
        </w:rPr>
        <w:t>. בין היתר, עלה חשד</w:t>
      </w:r>
      <w:r w:rsidRPr="00A210E9">
        <w:rPr>
          <w:rFonts w:eastAsia="Calibri" w:hint="cs"/>
          <w:rtl/>
        </w:rPr>
        <w:t xml:space="preserve"> </w:t>
      </w:r>
      <w:r w:rsidRPr="00A210E9">
        <w:rPr>
          <w:rFonts w:eastAsia="Calibri"/>
          <w:rtl/>
        </w:rPr>
        <w:t xml:space="preserve">למעורבות גורמים שונים </w:t>
      </w:r>
      <w:r w:rsidRPr="00A210E9">
        <w:rPr>
          <w:rFonts w:eastAsia="Calibri" w:hint="cs"/>
          <w:rtl/>
        </w:rPr>
        <w:t>בתהליך הנפקה</w:t>
      </w:r>
      <w:r w:rsidRPr="00A210E9">
        <w:rPr>
          <w:rFonts w:eastAsia="Calibri"/>
          <w:rtl/>
        </w:rPr>
        <w:t xml:space="preserve"> בלתי תקין של תגי </w:t>
      </w:r>
      <w:r w:rsidRPr="00A210E9">
        <w:rPr>
          <w:rFonts w:eastAsia="Calibri" w:hint="cs"/>
          <w:rtl/>
        </w:rPr>
        <w:t>חניה</w:t>
      </w:r>
      <w:r w:rsidRPr="00A210E9">
        <w:rPr>
          <w:rFonts w:eastAsia="Calibri"/>
          <w:rtl/>
        </w:rPr>
        <w:t>, לרבות ניצול לרעה של</w:t>
      </w:r>
      <w:r w:rsidRPr="00A210E9">
        <w:rPr>
          <w:rFonts w:eastAsia="Calibri" w:hint="cs"/>
          <w:rtl/>
        </w:rPr>
        <w:t xml:space="preserve"> </w:t>
      </w:r>
      <w:r w:rsidRPr="00A210E9">
        <w:rPr>
          <w:rFonts w:eastAsia="Calibri"/>
          <w:rtl/>
        </w:rPr>
        <w:t xml:space="preserve">סמכויות רופאים ומשתפי פעולה, והסתמכות על מסמכים רפואיים כוזבים </w:t>
      </w:r>
      <w:r w:rsidRPr="00A210E9">
        <w:rPr>
          <w:rFonts w:eastAsia="Calibri" w:hint="cs"/>
          <w:rtl/>
        </w:rPr>
        <w:t>שהועלו</w:t>
      </w:r>
      <w:r w:rsidRPr="00A210E9">
        <w:rPr>
          <w:rFonts w:eastAsia="Calibri"/>
          <w:rtl/>
        </w:rPr>
        <w:t xml:space="preserve"> </w:t>
      </w:r>
      <w:r w:rsidRPr="00A210E9">
        <w:rPr>
          <w:rFonts w:eastAsia="Calibri" w:hint="cs"/>
          <w:rtl/>
        </w:rPr>
        <w:t>ב</w:t>
      </w:r>
      <w:r w:rsidRPr="00A210E9">
        <w:rPr>
          <w:rFonts w:eastAsia="Calibri"/>
          <w:rtl/>
        </w:rPr>
        <w:t>מערכת</w:t>
      </w:r>
      <w:r>
        <w:rPr>
          <w:rFonts w:eastAsia="Calibri"/>
          <w:vertAlign w:val="superscript"/>
          <w:rtl/>
        </w:rPr>
        <w:footnoteReference w:id="172"/>
      </w:r>
      <w:r w:rsidRPr="00A210E9">
        <w:rPr>
          <w:rFonts w:eastAsia="Calibri"/>
          <w:rtl/>
        </w:rPr>
        <w:t>.</w:t>
      </w:r>
      <w:r w:rsidRPr="00A210E9">
        <w:rPr>
          <w:rFonts w:eastAsia="Calibri" w:hint="cs"/>
          <w:rtl/>
        </w:rPr>
        <w:t xml:space="preserve"> נכון למאי 2026, חקירת המשטרה טרם הסתיימה, הליך השימוע טרם הושלם, ומתנהל שיח באשר לכוונת משרד התחבורה להשית על החברה פיצויים מוסכמים.</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כאמור, </w:t>
      </w:r>
      <w:r w:rsidRPr="00A210E9">
        <w:rPr>
          <w:rFonts w:eastAsia="Calibri"/>
          <w:rtl/>
        </w:rPr>
        <w:t>ב</w:t>
      </w:r>
      <w:r w:rsidRPr="00A210E9">
        <w:rPr>
          <w:rFonts w:eastAsia="Calibri" w:hint="cs"/>
          <w:rtl/>
        </w:rPr>
        <w:t>-</w:t>
      </w:r>
      <w:r w:rsidRPr="00A210E9">
        <w:rPr>
          <w:rFonts w:eastAsia="Calibri"/>
          <w:rtl/>
        </w:rPr>
        <w:t>20.2.25</w:t>
      </w:r>
      <w:r w:rsidRPr="00A210E9">
        <w:rPr>
          <w:rFonts w:eastAsia="Calibri" w:hint="cs"/>
          <w:rtl/>
        </w:rPr>
        <w:t xml:space="preserve">, </w:t>
      </w:r>
      <w:r w:rsidRPr="00A210E9">
        <w:rPr>
          <w:rFonts w:eastAsia="Calibri"/>
          <w:rtl/>
        </w:rPr>
        <w:t xml:space="preserve">במהלך הליכי השימוע, הסתיים החוזה עם </w:t>
      </w:r>
      <w:r w:rsidRPr="00A210E9">
        <w:rPr>
          <w:rFonts w:eastAsia="Calibri" w:hint="cs"/>
          <w:rtl/>
        </w:rPr>
        <w:t>החברה</w:t>
      </w:r>
      <w:r w:rsidRPr="00A210E9">
        <w:rPr>
          <w:rFonts w:eastAsia="Calibri"/>
          <w:rtl/>
        </w:rPr>
        <w:t xml:space="preserve"> וההתקשרות לא הוארכה עוד. </w:t>
      </w:r>
      <w:r w:rsidRPr="00A210E9">
        <w:rPr>
          <w:rFonts w:eastAsia="Calibri" w:hint="cs"/>
          <w:rtl/>
        </w:rPr>
        <w:t>החברה</w:t>
      </w:r>
      <w:r w:rsidRPr="00A210E9">
        <w:rPr>
          <w:rFonts w:eastAsia="Calibri"/>
          <w:rtl/>
        </w:rPr>
        <w:t xml:space="preserve"> התחייבה להמשיך לדון בבקשות שהוגשו עד סוף 2024, אולם קצב</w:t>
      </w:r>
      <w:r w:rsidRPr="00A210E9">
        <w:rPr>
          <w:rFonts w:eastAsia="Calibri" w:hint="cs"/>
          <w:rtl/>
        </w:rPr>
        <w:t xml:space="preserve"> </w:t>
      </w:r>
      <w:r w:rsidRPr="00A210E9">
        <w:rPr>
          <w:rFonts w:eastAsia="Calibri"/>
          <w:rtl/>
        </w:rPr>
        <w:t>הטיפול בבקשות הואט</w:t>
      </w:r>
      <w:r w:rsidRPr="00A210E9">
        <w:rPr>
          <w:rFonts w:eastAsia="Calibri" w:hint="cs"/>
          <w:rtl/>
        </w:rPr>
        <w:t xml:space="preserve"> מאוד. בפועל,</w:t>
      </w:r>
      <w:r w:rsidRPr="00A210E9">
        <w:rPr>
          <w:rFonts w:eastAsia="Calibri"/>
          <w:rtl/>
        </w:rPr>
        <w:t xml:space="preserve"> בקשות חדשות לתגי </w:t>
      </w:r>
      <w:r w:rsidRPr="00A210E9">
        <w:rPr>
          <w:rFonts w:eastAsia="Calibri" w:hint="cs"/>
          <w:rtl/>
        </w:rPr>
        <w:t xml:space="preserve">חניה </w:t>
      </w:r>
      <w:r w:rsidRPr="00A210E9">
        <w:rPr>
          <w:rFonts w:eastAsia="Calibri"/>
          <w:rtl/>
        </w:rPr>
        <w:t xml:space="preserve">שהוגשו </w:t>
      </w:r>
      <w:r w:rsidRPr="00A210E9">
        <w:rPr>
          <w:rFonts w:eastAsia="Calibri" w:hint="cs"/>
          <w:rtl/>
        </w:rPr>
        <w:t xml:space="preserve">למשרד התחבורה </w:t>
      </w:r>
      <w:r w:rsidRPr="00A210E9">
        <w:rPr>
          <w:rFonts w:eastAsia="Calibri"/>
          <w:rtl/>
        </w:rPr>
        <w:t>מ</w:t>
      </w:r>
      <w:r w:rsidRPr="00A210E9">
        <w:rPr>
          <w:rFonts w:eastAsia="Calibri" w:hint="cs"/>
          <w:rtl/>
        </w:rPr>
        <w:t>-</w:t>
      </w:r>
      <w:r w:rsidRPr="00A210E9">
        <w:rPr>
          <w:rFonts w:eastAsia="Calibri"/>
          <w:rtl/>
        </w:rPr>
        <w:t>1.1.25 לא</w:t>
      </w:r>
      <w:r w:rsidRPr="00A210E9">
        <w:rPr>
          <w:rFonts w:eastAsia="Calibri" w:hint="cs"/>
          <w:rtl/>
        </w:rPr>
        <w:t xml:space="preserve"> </w:t>
      </w:r>
      <w:r w:rsidRPr="00A210E9">
        <w:rPr>
          <w:rFonts w:eastAsia="Calibri"/>
          <w:rtl/>
        </w:rPr>
        <w:t xml:space="preserve">הועברו </w:t>
      </w:r>
      <w:r w:rsidRPr="00A210E9">
        <w:rPr>
          <w:rFonts w:eastAsia="Calibri" w:hint="cs"/>
          <w:rtl/>
        </w:rPr>
        <w:t>לחברה ב'</w:t>
      </w:r>
      <w:r w:rsidRPr="00A210E9">
        <w:rPr>
          <w:rFonts w:eastAsia="Calibri"/>
          <w:rtl/>
        </w:rPr>
        <w:t xml:space="preserve"> ולא נבדקו</w:t>
      </w:r>
      <w:r w:rsidRPr="00A210E9">
        <w:rPr>
          <w:rFonts w:eastAsia="Calibri" w:hint="cs"/>
          <w:rtl/>
        </w:rPr>
        <w:t xml:space="preserve"> עד 27.5.25</w:t>
      </w:r>
      <w:r w:rsidRPr="00A210E9">
        <w:rPr>
          <w:rFonts w:eastAsia="Calibri"/>
          <w:rtl/>
        </w:rPr>
        <w:t>.</w:t>
      </w:r>
      <w:r w:rsidRPr="00A210E9">
        <w:rPr>
          <w:rFonts w:eastAsia="Calibri" w:hint="cs"/>
          <w:rtl/>
        </w:rPr>
        <w:t xml:space="preserve"> יצוין כי אגף הרישוי המשיך להנפיק תגים עבור אוכלוסיות שנבדקו בגופים המאשרים זכאות לתג על פי סעיף 1 לחוק.</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בסיכום ישיבת ועדת הכלכלה שהתקיימה בנושא ב-</w:t>
      </w:r>
      <w:r w:rsidRPr="00A210E9">
        <w:rPr>
          <w:rFonts w:ascii="David" w:eastAsia="Calibri" w:hAnsi="David"/>
          <w:sz w:val="24"/>
        </w:rPr>
        <w:t>11.2.2026</w:t>
      </w:r>
      <w:r w:rsidRPr="00A210E9">
        <w:rPr>
          <w:rFonts w:ascii="David" w:eastAsia="Calibri" w:hAnsi="David"/>
          <w:sz w:val="24"/>
          <w:rtl/>
        </w:rPr>
        <w:t>,</w:t>
      </w:r>
      <w:r w:rsidRPr="00A210E9">
        <w:rPr>
          <w:rFonts w:eastAsia="Calibri" w:hint="cs"/>
          <w:rtl/>
        </w:rPr>
        <w:t xml:space="preserve"> עקב עצירת הנפקת תגי חניה בינואר 2025, צוין בין יתר ההחלטות כי הוועדה קוראת</w:t>
      </w:r>
      <w:r w:rsidRPr="00A210E9">
        <w:rPr>
          <w:rFonts w:eastAsia="Calibri"/>
          <w:rtl/>
        </w:rPr>
        <w:t xml:space="preserve"> למשרד התחבורה לפעול לקיצור זמן הטיפול בבקשות לקבל</w:t>
      </w:r>
      <w:r w:rsidRPr="00A210E9">
        <w:rPr>
          <w:rFonts w:eastAsia="Calibri" w:hint="cs"/>
          <w:rtl/>
        </w:rPr>
        <w:t>ת</w:t>
      </w:r>
      <w:r w:rsidRPr="00A210E9">
        <w:rPr>
          <w:rFonts w:eastAsia="Calibri"/>
          <w:rtl/>
        </w:rPr>
        <w:t xml:space="preserve"> תג </w:t>
      </w:r>
      <w:r w:rsidRPr="00A210E9">
        <w:rPr>
          <w:rFonts w:eastAsia="Calibri" w:hint="cs"/>
          <w:rtl/>
        </w:rPr>
        <w:t xml:space="preserve">חניה. כמו כן, </w:t>
      </w:r>
      <w:r w:rsidRPr="00A210E9">
        <w:rPr>
          <w:rFonts w:eastAsia="Calibri"/>
          <w:rtl/>
        </w:rPr>
        <w:t>משרד התחבורה</w:t>
      </w:r>
      <w:r w:rsidRPr="00A210E9">
        <w:rPr>
          <w:rFonts w:eastAsia="Calibri" w:hint="cs"/>
          <w:rtl/>
        </w:rPr>
        <w:t xml:space="preserve"> התבקש</w:t>
      </w:r>
      <w:r w:rsidRPr="00A210E9">
        <w:rPr>
          <w:rFonts w:eastAsia="Calibri"/>
          <w:rtl/>
        </w:rPr>
        <w:t xml:space="preserve"> לסיים את גיבוש ה</w:t>
      </w:r>
      <w:r w:rsidRPr="00A210E9">
        <w:rPr>
          <w:rFonts w:eastAsia="Calibri" w:hint="cs"/>
          <w:rtl/>
        </w:rPr>
        <w:t xml:space="preserve">קריטריונים לזכאות לתג חניה, </w:t>
      </w:r>
      <w:r w:rsidRPr="00A210E9">
        <w:rPr>
          <w:rFonts w:eastAsia="Calibri"/>
          <w:rtl/>
        </w:rPr>
        <w:t>לפרסמ</w:t>
      </w:r>
      <w:r w:rsidRPr="00A210E9">
        <w:rPr>
          <w:rFonts w:eastAsia="Calibri" w:hint="cs"/>
          <w:rtl/>
        </w:rPr>
        <w:t>ם</w:t>
      </w:r>
      <w:r w:rsidRPr="00A210E9">
        <w:rPr>
          <w:rFonts w:eastAsia="Calibri"/>
          <w:rtl/>
        </w:rPr>
        <w:t xml:space="preserve"> לציבור בתוך 30 </w:t>
      </w:r>
      <w:r w:rsidRPr="00A210E9">
        <w:rPr>
          <w:rFonts w:eastAsia="Calibri" w:hint="cs"/>
          <w:rtl/>
        </w:rPr>
        <w:t>ימים</w:t>
      </w:r>
      <w:r w:rsidRPr="00A210E9">
        <w:rPr>
          <w:rFonts w:eastAsia="Calibri"/>
          <w:rtl/>
        </w:rPr>
        <w:t xml:space="preserve"> ולזרז את קידום החקיקה הנדרשת</w:t>
      </w:r>
      <w:r>
        <w:rPr>
          <w:rFonts w:eastAsia="Calibri"/>
          <w:vertAlign w:val="superscript"/>
          <w:rtl/>
        </w:rPr>
        <w:footnoteReference w:id="173"/>
      </w:r>
      <w:r w:rsidRPr="00A210E9">
        <w:rPr>
          <w:rFonts w:eastAsia="Calibri"/>
          <w:rtl/>
        </w:rPr>
        <w:t>.</w:t>
      </w:r>
      <w:r w:rsidRPr="00A210E9">
        <w:rPr>
          <w:rFonts w:eastAsia="Calibri" w:hint="cs"/>
          <w:rtl/>
        </w:rPr>
        <w:t xml:space="preserve"> </w:t>
      </w:r>
      <w:r w:rsidRPr="00A210E9">
        <w:rPr>
          <w:rFonts w:eastAsia="Calibri" w:hint="eastAsia"/>
          <w:rtl/>
        </w:rPr>
        <w:t>כאמור</w:t>
      </w:r>
      <w:r w:rsidRPr="00A210E9">
        <w:rPr>
          <w:rFonts w:eastAsia="Calibri"/>
          <w:rtl/>
        </w:rPr>
        <w:t>, לעיל בפרק "</w:t>
      </w:r>
      <w:r w:rsidRPr="00A210E9">
        <w:rPr>
          <w:rFonts w:eastAsia="Calibri" w:hint="eastAsia"/>
          <w:rtl/>
        </w:rPr>
        <w:t>הקריטריונים</w:t>
      </w:r>
      <w:r w:rsidRPr="00A210E9">
        <w:rPr>
          <w:rFonts w:eastAsia="Calibri"/>
          <w:rtl/>
        </w:rPr>
        <w:t xml:space="preserve"> לאישור תג חניה</w:t>
      </w:r>
      <w:r w:rsidRPr="00A210E9">
        <w:rPr>
          <w:rFonts w:eastAsia="Calibri" w:hint="cs"/>
          <w:rtl/>
        </w:rPr>
        <w:t>"</w:t>
      </w:r>
      <w:r w:rsidRPr="00A210E9">
        <w:rPr>
          <w:rFonts w:eastAsia="Calibri"/>
          <w:rtl/>
        </w:rPr>
        <w:t xml:space="preserve">, </w:t>
      </w:r>
      <w:r w:rsidRPr="00A210E9">
        <w:rPr>
          <w:rFonts w:eastAsia="Calibri" w:hint="eastAsia"/>
          <w:rtl/>
        </w:rPr>
        <w:t>משרד</w:t>
      </w:r>
      <w:r w:rsidRPr="00A210E9">
        <w:rPr>
          <w:rFonts w:eastAsia="Calibri"/>
          <w:rtl/>
        </w:rPr>
        <w:t xml:space="preserve"> </w:t>
      </w:r>
      <w:r w:rsidRPr="00A210E9">
        <w:rPr>
          <w:rFonts w:eastAsia="Calibri" w:hint="eastAsia"/>
          <w:rtl/>
        </w:rPr>
        <w:t>התחבורה</w:t>
      </w:r>
      <w:r w:rsidRPr="00A210E9">
        <w:rPr>
          <w:rFonts w:eastAsia="Calibri"/>
          <w:rtl/>
        </w:rPr>
        <w:t xml:space="preserve"> </w:t>
      </w:r>
      <w:r w:rsidRPr="00A210E9">
        <w:rPr>
          <w:rFonts w:eastAsia="Calibri" w:hint="eastAsia"/>
          <w:rtl/>
        </w:rPr>
        <w:t>עדיין</w:t>
      </w:r>
      <w:r w:rsidRPr="00A210E9">
        <w:rPr>
          <w:rFonts w:eastAsia="Calibri"/>
          <w:rtl/>
        </w:rPr>
        <w:t xml:space="preserve"> לא הגדיר </w:t>
      </w:r>
      <w:r w:rsidRPr="00A210E9">
        <w:rPr>
          <w:rFonts w:eastAsia="Calibri" w:hint="eastAsia"/>
          <w:rtl/>
        </w:rPr>
        <w:t>קריטריונים</w:t>
      </w:r>
      <w:r w:rsidRPr="00A210E9">
        <w:rPr>
          <w:rFonts w:eastAsia="Calibri"/>
          <w:rtl/>
        </w:rPr>
        <w:t xml:space="preserve"> </w:t>
      </w:r>
      <w:r w:rsidRPr="00A210E9">
        <w:rPr>
          <w:rFonts w:eastAsia="Calibri" w:hint="eastAsia"/>
          <w:rtl/>
        </w:rPr>
        <w:t>ברורים</w:t>
      </w:r>
      <w:r w:rsidRPr="00A210E9">
        <w:rPr>
          <w:rFonts w:eastAsia="Calibri"/>
          <w:rtl/>
        </w:rPr>
        <w:t xml:space="preserve"> </w:t>
      </w:r>
      <w:r w:rsidRPr="00A210E9">
        <w:rPr>
          <w:rFonts w:eastAsia="Calibri" w:hint="eastAsia"/>
          <w:rtl/>
        </w:rPr>
        <w:t>לזכאות</w:t>
      </w:r>
      <w:r w:rsidRPr="00A210E9">
        <w:rPr>
          <w:rFonts w:eastAsia="Calibri"/>
          <w:rtl/>
        </w:rPr>
        <w:t xml:space="preserve"> </w:t>
      </w:r>
      <w:r w:rsidRPr="00A210E9">
        <w:rPr>
          <w:rFonts w:eastAsia="Calibri" w:hint="eastAsia"/>
          <w:rtl/>
        </w:rPr>
        <w:t>לתג</w:t>
      </w:r>
      <w:r w:rsidRPr="00A210E9">
        <w:rPr>
          <w:rFonts w:eastAsia="Calibri" w:hint="cs"/>
          <w:rtl/>
        </w:rPr>
        <w:t xml:space="preserve"> חניה.</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ביום 25.3.25 אישרה ועדת הפטור של החשכ"ל את החלטת ועדת הפטור של משרד התחבורה לצאת לתיחור בין חמישה ספקים אפשריים </w:t>
      </w:r>
      <w:r w:rsidRPr="00A210E9">
        <w:rPr>
          <w:rFonts w:eastAsia="Calibri"/>
          <w:rtl/>
        </w:rPr>
        <w:t xml:space="preserve">לטובת בדיקות זכאות רפואית לתגי </w:t>
      </w:r>
      <w:r w:rsidRPr="00A210E9">
        <w:rPr>
          <w:rFonts w:eastAsia="Calibri" w:hint="cs"/>
          <w:rtl/>
        </w:rPr>
        <w:t>חניה שלא באמצעות מכרז</w:t>
      </w:r>
      <w:r w:rsidRPr="00A210E9">
        <w:rPr>
          <w:rFonts w:eastAsia="Calibri"/>
          <w:rtl/>
        </w:rPr>
        <w:t>.</w:t>
      </w:r>
      <w:r w:rsidRPr="00A210E9">
        <w:rPr>
          <w:rFonts w:eastAsia="Calibri" w:hint="cs"/>
          <w:rtl/>
        </w:rPr>
        <w:t xml:space="preserve"> בהחלטה צוין כי בעקבות הפסקת ההתקשרות עם חברה ב' </w:t>
      </w:r>
      <w:r w:rsidRPr="00A210E9">
        <w:rPr>
          <w:rFonts w:eastAsia="Calibri"/>
          <w:rtl/>
        </w:rPr>
        <w:t>נותרו אלפי בקשות ללא מענה</w:t>
      </w:r>
      <w:r w:rsidRPr="00A210E9">
        <w:rPr>
          <w:rFonts w:eastAsia="Calibri" w:hint="cs"/>
          <w:rtl/>
        </w:rPr>
        <w:t>,</w:t>
      </w:r>
      <w:r w:rsidRPr="00A210E9">
        <w:rPr>
          <w:rFonts w:eastAsia="Calibri"/>
          <w:rtl/>
        </w:rPr>
        <w:t xml:space="preserve"> ועל אחת כמה וכמה על רקע מלחמת חרבות ברזל והעלייה </w:t>
      </w:r>
      <w:r w:rsidRPr="00A210E9">
        <w:rPr>
          <w:rFonts w:eastAsia="Calibri" w:hint="eastAsia"/>
          <w:rtl/>
        </w:rPr>
        <w:t>במספר</w:t>
      </w:r>
      <w:r w:rsidRPr="00A210E9">
        <w:rPr>
          <w:rFonts w:eastAsia="Calibri"/>
          <w:rtl/>
        </w:rPr>
        <w:t xml:space="preserve"> הנדרשים </w:t>
      </w:r>
      <w:r w:rsidRPr="00A210E9">
        <w:rPr>
          <w:rFonts w:eastAsia="Calibri" w:hint="cs"/>
          <w:rtl/>
        </w:rPr>
        <w:t>לתגי חניה</w:t>
      </w:r>
      <w:r w:rsidRPr="00A210E9">
        <w:rPr>
          <w:rFonts w:eastAsia="Calibri"/>
          <w:rtl/>
        </w:rPr>
        <w:t>.</w:t>
      </w:r>
      <w:r w:rsidRPr="00A210E9">
        <w:rPr>
          <w:rFonts w:eastAsia="Calibri" w:hint="cs"/>
          <w:rtl/>
        </w:rPr>
        <w:t xml:space="preserve"> עוד צוין כי </w:t>
      </w:r>
      <w:r w:rsidRPr="00A210E9">
        <w:rPr>
          <w:rFonts w:eastAsia="Calibri"/>
          <w:rtl/>
        </w:rPr>
        <w:t xml:space="preserve">המשרד </w:t>
      </w:r>
      <w:r w:rsidRPr="00A210E9">
        <w:rPr>
          <w:rFonts w:eastAsia="Calibri" w:hint="cs"/>
          <w:rtl/>
        </w:rPr>
        <w:t>נערך</w:t>
      </w:r>
      <w:r w:rsidRPr="00A210E9">
        <w:rPr>
          <w:rFonts w:eastAsia="Calibri"/>
          <w:rtl/>
        </w:rPr>
        <w:t xml:space="preserve"> </w:t>
      </w:r>
      <w:r w:rsidRPr="00A210E9">
        <w:rPr>
          <w:rFonts w:eastAsia="Calibri" w:hint="cs"/>
          <w:rtl/>
        </w:rPr>
        <w:t>לפרסום</w:t>
      </w:r>
      <w:r w:rsidRPr="00A210E9">
        <w:rPr>
          <w:rFonts w:eastAsia="Calibri"/>
          <w:rtl/>
        </w:rPr>
        <w:t xml:space="preserve"> מכרז</w:t>
      </w:r>
      <w:r w:rsidRPr="00A210E9">
        <w:rPr>
          <w:rFonts w:eastAsia="Calibri" w:hint="cs"/>
          <w:rtl/>
        </w:rPr>
        <w:t xml:space="preserve"> </w:t>
      </w:r>
      <w:r w:rsidRPr="00A210E9">
        <w:rPr>
          <w:rFonts w:eastAsia="Calibri"/>
          <w:rtl/>
        </w:rPr>
        <w:t>חדש</w:t>
      </w:r>
      <w:r w:rsidRPr="00A210E9">
        <w:rPr>
          <w:rFonts w:eastAsia="Calibri" w:hint="cs"/>
          <w:rtl/>
        </w:rPr>
        <w:t xml:space="preserve"> אשר </w:t>
      </w:r>
      <w:r w:rsidRPr="00A210E9">
        <w:rPr>
          <w:rFonts w:eastAsia="Calibri"/>
          <w:rtl/>
        </w:rPr>
        <w:t xml:space="preserve">יכלול תנאים נוספים וטיובים </w:t>
      </w:r>
      <w:r w:rsidRPr="00A210E9">
        <w:rPr>
          <w:rFonts w:eastAsia="Calibri" w:hint="cs"/>
          <w:rtl/>
        </w:rPr>
        <w:t>מהותיים לעומת ה</w:t>
      </w:r>
      <w:r w:rsidRPr="00A210E9">
        <w:rPr>
          <w:rFonts w:eastAsia="Calibri"/>
          <w:rtl/>
        </w:rPr>
        <w:t>מכרז הקודם</w:t>
      </w:r>
      <w:r w:rsidRPr="00A210E9">
        <w:rPr>
          <w:rFonts w:eastAsia="Calibri" w:hint="cs"/>
          <w:rtl/>
        </w:rPr>
        <w:t>, ויי</w:t>
      </w:r>
      <w:r w:rsidRPr="00A210E9">
        <w:rPr>
          <w:rFonts w:eastAsia="Calibri"/>
          <w:rtl/>
        </w:rPr>
        <w:t>קבע</w:t>
      </w:r>
      <w:r w:rsidRPr="00A210E9">
        <w:rPr>
          <w:rFonts w:eastAsia="Calibri" w:hint="cs"/>
          <w:rtl/>
        </w:rPr>
        <w:t>ו</w:t>
      </w:r>
      <w:r w:rsidRPr="00A210E9">
        <w:rPr>
          <w:rFonts w:eastAsia="Calibri"/>
          <w:rtl/>
        </w:rPr>
        <w:t xml:space="preserve"> </w:t>
      </w:r>
      <w:r w:rsidRPr="00A210E9">
        <w:rPr>
          <w:rFonts w:eastAsia="Calibri" w:hint="cs"/>
          <w:rtl/>
        </w:rPr>
        <w:t xml:space="preserve">בו </w:t>
      </w:r>
      <w:r w:rsidRPr="00A210E9">
        <w:rPr>
          <w:rFonts w:eastAsia="Calibri"/>
          <w:rtl/>
        </w:rPr>
        <w:t xml:space="preserve">דרישת בדיקות </w:t>
      </w:r>
      <w:r w:rsidRPr="00A210E9">
        <w:rPr>
          <w:rFonts w:eastAsia="Calibri" w:hint="cs"/>
          <w:rtl/>
        </w:rPr>
        <w:t>פיזיות</w:t>
      </w:r>
      <w:r w:rsidRPr="00A210E9">
        <w:rPr>
          <w:rFonts w:eastAsia="Calibri"/>
          <w:rtl/>
        </w:rPr>
        <w:t xml:space="preserve"> והסדרת ממשק טכנולוגי מול קופות החולים</w:t>
      </w:r>
      <w:r w:rsidRPr="00A210E9">
        <w:rPr>
          <w:rFonts w:eastAsia="Calibri" w:hint="cs"/>
          <w:rtl/>
        </w:rPr>
        <w:t xml:space="preserve">. משרד התחבורה ביקש שתי תקופות אופציה של חצי שנה כל אחת עבור ההתקשרות בפטור עם הזוכה בתהליך התיחור, אולם הוועדה לא אישרה זאת. </w:t>
      </w:r>
      <w:r w:rsidRPr="00A210E9">
        <w:rPr>
          <w:rFonts w:eastAsia="Calibri"/>
          <w:rtl/>
        </w:rPr>
        <w:t xml:space="preserve">ועדת הפטור של </w:t>
      </w:r>
      <w:r w:rsidRPr="00A210E9">
        <w:rPr>
          <w:rFonts w:eastAsia="Calibri" w:hint="cs"/>
          <w:rtl/>
        </w:rPr>
        <w:t>ה</w:t>
      </w:r>
      <w:r w:rsidRPr="00A210E9">
        <w:rPr>
          <w:rFonts w:eastAsia="Calibri"/>
          <w:rtl/>
        </w:rPr>
        <w:t xml:space="preserve">חשכ"ל </w:t>
      </w:r>
      <w:r w:rsidRPr="00A210E9">
        <w:rPr>
          <w:rFonts w:eastAsia="Calibri" w:hint="cs"/>
          <w:rtl/>
        </w:rPr>
        <w:t xml:space="preserve">אישרה את </w:t>
      </w:r>
      <w:r w:rsidRPr="00A210E9">
        <w:rPr>
          <w:rFonts w:eastAsia="Calibri"/>
          <w:rtl/>
        </w:rPr>
        <w:t>ההתקשרות לשנה</w:t>
      </w:r>
      <w:r w:rsidRPr="00A210E9">
        <w:rPr>
          <w:rFonts w:eastAsia="Calibri" w:hint="cs"/>
          <w:rtl/>
        </w:rPr>
        <w:t>, ודרשה מ</w:t>
      </w:r>
      <w:r w:rsidRPr="00A210E9">
        <w:rPr>
          <w:rFonts w:eastAsia="Calibri"/>
          <w:rtl/>
        </w:rPr>
        <w:t xml:space="preserve">משרד </w:t>
      </w:r>
      <w:r w:rsidRPr="00A210E9">
        <w:rPr>
          <w:rFonts w:eastAsia="Calibri" w:hint="cs"/>
          <w:rtl/>
        </w:rPr>
        <w:t xml:space="preserve">התחבורה </w:t>
      </w:r>
      <w:r w:rsidRPr="00A210E9">
        <w:rPr>
          <w:rFonts w:eastAsia="Calibri"/>
          <w:rtl/>
        </w:rPr>
        <w:t>לעדכן מדי</w:t>
      </w:r>
      <w:r w:rsidRPr="00A210E9">
        <w:rPr>
          <w:rFonts w:eastAsia="Calibri" w:hint="cs"/>
          <w:rtl/>
        </w:rPr>
        <w:t xml:space="preserve"> שלושה</w:t>
      </w:r>
      <w:r w:rsidRPr="00A210E9">
        <w:rPr>
          <w:rFonts w:eastAsia="Calibri"/>
          <w:rtl/>
        </w:rPr>
        <w:t xml:space="preserve"> חודשים </w:t>
      </w:r>
      <w:r w:rsidRPr="00A210E9">
        <w:rPr>
          <w:rFonts w:eastAsia="Calibri" w:hint="cs"/>
          <w:rtl/>
        </w:rPr>
        <w:t xml:space="preserve">את אגף החשכ"ל </w:t>
      </w:r>
      <w:r w:rsidRPr="00A210E9">
        <w:rPr>
          <w:rFonts w:eastAsia="Calibri"/>
          <w:rtl/>
        </w:rPr>
        <w:t>בדבר ההתקדמות בהליך המכרז</w:t>
      </w:r>
      <w:r w:rsidRPr="00A210E9">
        <w:rPr>
          <w:rFonts w:eastAsia="Calibri" w:hint="cs"/>
          <w:rtl/>
        </w:rPr>
        <w:t xml:space="preserve"> החדש</w:t>
      </w:r>
      <w:r w:rsidRPr="00A210E9">
        <w:rPr>
          <w:rFonts w:eastAsia="Calibri"/>
          <w:rtl/>
        </w:rPr>
        <w:t>.</w:t>
      </w:r>
      <w:r w:rsidRPr="00A210E9">
        <w:rPr>
          <w:rFonts w:eastAsia="Calibri" w:hint="cs"/>
          <w:rtl/>
        </w:rPr>
        <w:t xml:space="preserve"> בתום תהליך התיחור, בסוף מאי 2025 התקשר משרד התחבורה עם חברה ג' לפרק זמן של עד שנה. בתשובתה ממאי 2026 מסרה חברה ג' </w:t>
      </w:r>
      <w:r w:rsidRPr="00A210E9">
        <w:rPr>
          <w:rFonts w:eastAsia="Calibri"/>
          <w:rtl/>
        </w:rPr>
        <w:t xml:space="preserve">(להלן </w:t>
      </w:r>
      <w:r w:rsidRPr="00A210E9">
        <w:rPr>
          <w:rFonts w:eastAsia="Calibri" w:hint="cs"/>
          <w:rtl/>
        </w:rPr>
        <w:t>-</w:t>
      </w:r>
      <w:r w:rsidRPr="00A210E9">
        <w:rPr>
          <w:rFonts w:eastAsia="Calibri"/>
          <w:rtl/>
        </w:rPr>
        <w:t xml:space="preserve"> תשובת חברה ג')</w:t>
      </w:r>
      <w:r w:rsidRPr="00A210E9">
        <w:rPr>
          <w:rFonts w:eastAsia="Calibri" w:hint="cs"/>
        </w:rPr>
        <w:t xml:space="preserve"> </w:t>
      </w:r>
      <w:r w:rsidRPr="00A210E9">
        <w:rPr>
          <w:rFonts w:eastAsia="Calibri" w:hint="cs"/>
          <w:rtl/>
        </w:rPr>
        <w:t xml:space="preserve">כי </w:t>
      </w:r>
      <w:r w:rsidRPr="00A210E9">
        <w:rPr>
          <w:rFonts w:eastAsia="Calibri"/>
          <w:rtl/>
        </w:rPr>
        <w:t xml:space="preserve">בחודשים הראשונים </w:t>
      </w:r>
      <w:r w:rsidRPr="00A210E9">
        <w:rPr>
          <w:rFonts w:eastAsia="Calibri" w:hint="cs"/>
          <w:rtl/>
        </w:rPr>
        <w:t xml:space="preserve">של ההתקשרות </w:t>
      </w:r>
      <w:r w:rsidRPr="00A210E9">
        <w:rPr>
          <w:rFonts w:eastAsia="Calibri"/>
          <w:rtl/>
        </w:rPr>
        <w:t>מדובר היה בתקופת הקמה והטמעה, ורק לקראת אוגוסט</w:t>
      </w:r>
      <w:r w:rsidRPr="00A210E9">
        <w:rPr>
          <w:rFonts w:eastAsia="Calibri" w:hint="cs"/>
          <w:rtl/>
        </w:rPr>
        <w:t xml:space="preserve"> 2025 </w:t>
      </w:r>
      <w:r w:rsidRPr="00A210E9">
        <w:rPr>
          <w:rFonts w:eastAsia="Calibri"/>
          <w:rtl/>
        </w:rPr>
        <w:t>הפעילות התגבשה בפועל.</w:t>
      </w:r>
    </w:p>
    <w:p w:rsidR="00A210E9" w:rsidRPr="00A210E9" w:rsidP="00A210E9">
      <w:pPr>
        <w:keepNext/>
        <w:keepLines/>
        <w:spacing w:line="269" w:lineRule="auto"/>
        <w:ind w:left="-567"/>
        <w:rPr>
          <w:rFonts w:eastAsia="Calibri"/>
          <w:szCs w:val="20"/>
          <w:rtl/>
        </w:rPr>
      </w:pPr>
      <w:bookmarkStart w:id="144" w:name="_Hlk223338414"/>
    </w:p>
    <w:p w:rsidR="00A210E9" w:rsidRPr="00A210E9" w:rsidP="00A210E9">
      <w:pPr>
        <w:spacing w:line="269" w:lineRule="auto"/>
        <w:rPr>
          <w:rFonts w:eastAsia="Calibri"/>
          <w:rtl/>
        </w:rPr>
      </w:pPr>
      <w:bookmarkStart w:id="145" w:name="_Hlk223338567"/>
      <w:r w:rsidRPr="00A210E9">
        <w:rPr>
          <w:rFonts w:eastAsia="Calibri" w:hint="cs"/>
          <w:rtl/>
        </w:rPr>
        <w:t>ב-8.9.25 ניתן פסק דין של בית המשפט העליון</w:t>
      </w:r>
      <w:r>
        <w:rPr>
          <w:rFonts w:eastAsia="Calibri"/>
          <w:vertAlign w:val="superscript"/>
          <w:rtl/>
        </w:rPr>
        <w:footnoteReference w:id="174"/>
      </w:r>
      <w:r w:rsidRPr="00A210E9">
        <w:rPr>
          <w:rFonts w:eastAsia="Calibri" w:hint="cs"/>
          <w:rtl/>
        </w:rPr>
        <w:t xml:space="preserve"> שדחה עתירה שהוגשה חמישה חודשים קודם לכן על ידי 200 מבקשי תגי חניה נגד משרד התחבורה, תוך שדרש לנמק מדוע הופסקה בדיקת הבקשות לתגי חניה שהוגשו למשרד התחבורה. בהתייחס לתגובה המקדמית של משרד התחבורה מיוני 2025 טענו העותרים כי </w:t>
      </w:r>
      <w:r w:rsidRPr="00A210E9">
        <w:rPr>
          <w:rFonts w:eastAsia="Calibri"/>
          <w:rtl/>
        </w:rPr>
        <w:t xml:space="preserve">"ישנם לפחות 40,000 </w:t>
      </w:r>
      <w:r w:rsidRPr="00A210E9">
        <w:rPr>
          <w:rFonts w:eastAsia="Calibri" w:hint="cs"/>
          <w:rtl/>
        </w:rPr>
        <w:t xml:space="preserve">נכים </w:t>
      </w:r>
      <w:r w:rsidRPr="00A210E9">
        <w:rPr>
          <w:rFonts w:eastAsia="Calibri"/>
          <w:rtl/>
        </w:rPr>
        <w:t xml:space="preserve">הממתינים לקבלת תווי </w:t>
      </w:r>
      <w:r w:rsidRPr="00A210E9">
        <w:rPr>
          <w:rFonts w:eastAsia="Calibri" w:hint="cs"/>
          <w:rtl/>
        </w:rPr>
        <w:t xml:space="preserve">[חניה] </w:t>
      </w:r>
      <w:r w:rsidRPr="00A210E9">
        <w:rPr>
          <w:rFonts w:eastAsia="Calibri"/>
          <w:rtl/>
        </w:rPr>
        <w:t>אשר ישמשו אותם לצרכיהם המידיים</w:t>
      </w:r>
      <w:r w:rsidRPr="00A210E9">
        <w:rPr>
          <w:rFonts w:eastAsia="Calibri" w:hint="cs"/>
          <w:rtl/>
        </w:rPr>
        <w:t>" ו"</w:t>
      </w:r>
      <w:r w:rsidRPr="00A210E9">
        <w:rPr>
          <w:rFonts w:eastAsia="Calibri"/>
          <w:rtl/>
        </w:rPr>
        <w:t>קצב הטיפול בפועל הוא איטי ביותר ואין התקדמות ממשית בהנפקת התווים</w:t>
      </w:r>
      <w:r w:rsidRPr="00A210E9">
        <w:rPr>
          <w:rFonts w:eastAsia="Calibri" w:hint="cs"/>
          <w:rtl/>
        </w:rPr>
        <w:t xml:space="preserve">". בפסק הדין צוין כי </w:t>
      </w:r>
      <w:r w:rsidRPr="00A210E9">
        <w:rPr>
          <w:rFonts w:eastAsia="Calibri"/>
          <w:rtl/>
        </w:rPr>
        <w:t xml:space="preserve">משרד התחבורה נקט </w:t>
      </w:r>
      <w:r w:rsidRPr="00A210E9">
        <w:rPr>
          <w:rFonts w:eastAsia="Calibri" w:hint="cs"/>
          <w:rtl/>
        </w:rPr>
        <w:t>כמה</w:t>
      </w:r>
      <w:r w:rsidRPr="00A210E9">
        <w:rPr>
          <w:rFonts w:eastAsia="Calibri"/>
          <w:rtl/>
        </w:rPr>
        <w:t xml:space="preserve"> צעדים שמטרתם למנוע פגיעה בציבור </w:t>
      </w:r>
      <w:r w:rsidRPr="00A210E9">
        <w:rPr>
          <w:rFonts w:eastAsia="Calibri" w:hint="cs"/>
          <w:rtl/>
        </w:rPr>
        <w:t>האנשים עם מוגבלות,</w:t>
      </w:r>
      <w:r w:rsidRPr="00A210E9">
        <w:rPr>
          <w:rFonts w:eastAsia="Calibri"/>
          <w:rtl/>
        </w:rPr>
        <w:t xml:space="preserve"> </w:t>
      </w:r>
      <w:r w:rsidRPr="00A210E9">
        <w:rPr>
          <w:rFonts w:eastAsia="Calibri" w:hint="cs"/>
          <w:rtl/>
        </w:rPr>
        <w:t>ו</w:t>
      </w:r>
      <w:r w:rsidRPr="00A210E9">
        <w:rPr>
          <w:rFonts w:eastAsia="Calibri"/>
          <w:rtl/>
        </w:rPr>
        <w:t xml:space="preserve">ההחלטה להפסיק זמנית את הנפקת תגי </w:t>
      </w:r>
      <w:r w:rsidRPr="00A210E9">
        <w:rPr>
          <w:rFonts w:eastAsia="Calibri" w:hint="cs"/>
          <w:rtl/>
        </w:rPr>
        <w:t>החניה</w:t>
      </w:r>
      <w:r w:rsidRPr="00A210E9">
        <w:rPr>
          <w:rFonts w:eastAsia="Calibri"/>
          <w:rtl/>
        </w:rPr>
        <w:t xml:space="preserve"> נבעה משיקולים ענייניים</w:t>
      </w:r>
      <w:r w:rsidRPr="00A210E9">
        <w:rPr>
          <w:rFonts w:eastAsia="Calibri" w:hint="cs"/>
          <w:rtl/>
        </w:rPr>
        <w:t>. עוד צוין בפסק הדין</w:t>
      </w:r>
      <w:r w:rsidRPr="00A210E9">
        <w:rPr>
          <w:rFonts w:eastAsia="Calibri"/>
          <w:rtl/>
        </w:rPr>
        <w:t xml:space="preserve"> </w:t>
      </w:r>
      <w:r w:rsidRPr="00A210E9">
        <w:rPr>
          <w:rFonts w:eastAsia="Calibri" w:hint="cs"/>
          <w:rtl/>
        </w:rPr>
        <w:t xml:space="preserve">וכי המשרד </w:t>
      </w:r>
      <w:r w:rsidRPr="00A210E9">
        <w:rPr>
          <w:rFonts w:eastAsia="Calibri"/>
          <w:rtl/>
        </w:rPr>
        <w:t xml:space="preserve">התחייב לקדם </w:t>
      </w:r>
      <w:r w:rsidRPr="00A210E9">
        <w:rPr>
          <w:rFonts w:eastAsia="Calibri" w:hint="cs"/>
          <w:rtl/>
        </w:rPr>
        <w:t>במהלך השנה שבה תפעל החברה</w:t>
      </w:r>
      <w:r w:rsidRPr="00A210E9">
        <w:rPr>
          <w:rFonts w:eastAsia="Calibri"/>
          <w:rtl/>
        </w:rPr>
        <w:t xml:space="preserve"> מכרז פומבי להתקשרות עם ספק חיצוני קבוע</w:t>
      </w:r>
      <w:r w:rsidRPr="00A210E9">
        <w:rPr>
          <w:rFonts w:eastAsia="Calibri" w:hint="cs"/>
          <w:rtl/>
        </w:rPr>
        <w:t xml:space="preserve">, כי הספק יבחן </w:t>
      </w:r>
      <w:r w:rsidRPr="00A210E9">
        <w:rPr>
          <w:rFonts w:eastAsia="Calibri"/>
          <w:rtl/>
        </w:rPr>
        <w:t xml:space="preserve">מטעמו בקשות לתגי </w:t>
      </w:r>
      <w:r w:rsidRPr="00A210E9">
        <w:rPr>
          <w:rFonts w:eastAsia="Calibri" w:hint="cs"/>
          <w:rtl/>
        </w:rPr>
        <w:t>חניה,</w:t>
      </w:r>
      <w:r w:rsidRPr="00A210E9">
        <w:rPr>
          <w:rFonts w:eastAsia="Calibri"/>
          <w:rtl/>
        </w:rPr>
        <w:t xml:space="preserve"> תוך יישום מסקנות צוות ה</w:t>
      </w:r>
      <w:r w:rsidRPr="00A210E9">
        <w:rPr>
          <w:rFonts w:eastAsia="Calibri" w:hint="cs"/>
          <w:rtl/>
        </w:rPr>
        <w:t>ה</w:t>
      </w:r>
      <w:r w:rsidRPr="00A210E9">
        <w:rPr>
          <w:rFonts w:eastAsia="Calibri"/>
          <w:rtl/>
        </w:rPr>
        <w:t xml:space="preserve">יגוי </w:t>
      </w:r>
      <w:r w:rsidRPr="00A210E9">
        <w:rPr>
          <w:rFonts w:eastAsia="Calibri" w:hint="cs"/>
          <w:rtl/>
        </w:rPr>
        <w:t>ה</w:t>
      </w:r>
      <w:r w:rsidRPr="00A210E9">
        <w:rPr>
          <w:rFonts w:eastAsia="Calibri"/>
          <w:rtl/>
        </w:rPr>
        <w:t xml:space="preserve">מקצועי שהוקם, </w:t>
      </w:r>
      <w:r w:rsidRPr="00A210E9">
        <w:rPr>
          <w:rFonts w:eastAsia="Calibri" w:hint="cs"/>
          <w:rtl/>
        </w:rPr>
        <w:t>וכי</w:t>
      </w:r>
      <w:r w:rsidRPr="00A210E9">
        <w:rPr>
          <w:rFonts w:eastAsia="Calibri"/>
          <w:rtl/>
        </w:rPr>
        <w:t xml:space="preserve"> ועדת הפטור תקבל </w:t>
      </w:r>
      <w:r w:rsidRPr="00A210E9">
        <w:rPr>
          <w:rFonts w:eastAsia="Calibri" w:hint="cs"/>
          <w:rtl/>
        </w:rPr>
        <w:t xml:space="preserve">אחת לשלושה חודשים </w:t>
      </w:r>
      <w:r w:rsidRPr="00A210E9">
        <w:rPr>
          <w:rFonts w:eastAsia="Calibri"/>
          <w:rtl/>
        </w:rPr>
        <w:t xml:space="preserve">עדכון </w:t>
      </w:r>
      <w:r w:rsidRPr="00A210E9">
        <w:rPr>
          <w:rFonts w:eastAsia="Calibri" w:hint="cs"/>
          <w:rtl/>
        </w:rPr>
        <w:t>בדבר</w:t>
      </w:r>
      <w:r w:rsidRPr="00A210E9">
        <w:rPr>
          <w:rFonts w:eastAsia="Calibri"/>
          <w:rtl/>
        </w:rPr>
        <w:t xml:space="preserve"> התקדמות הליך המכרז.</w:t>
      </w:r>
      <w:r w:rsidRPr="00A210E9">
        <w:rPr>
          <w:rFonts w:eastAsia="Calibri" w:hint="cs"/>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נכון לאוגוסט 2025, מספר הבקשות שהצטברו ועדיין ממתינות למענה עומד על עשרות אלפים. כמו כן, לנציבות תלונות הציבור במשרד מבקר המדינה הגיעו במהלך 2025 - </w:t>
      </w:r>
      <w:bookmarkStart w:id="146" w:name="_Hlk223289199"/>
      <w:r w:rsidRPr="00A210E9">
        <w:rPr>
          <w:rFonts w:eastAsia="Calibri" w:hint="cs"/>
          <w:rtl/>
        </w:rPr>
        <w:t>כארבע מאות תלונות מאנשים עם מוגבלות שממתינים חודשים רבים לבחינת בקשתם</w:t>
      </w:r>
      <w:bookmarkEnd w:id="146"/>
      <w:r w:rsidRPr="00A210E9">
        <w:rPr>
          <w:rFonts w:eastAsia="Calibri" w:hint="cs"/>
          <w:rtl/>
        </w:rPr>
        <w:t xml:space="preserve">. </w:t>
      </w:r>
      <w:bookmarkEnd w:id="145"/>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משרד התחבורה כתב בתשובתו </w:t>
      </w:r>
      <w:r w:rsidRPr="00A210E9">
        <w:rPr>
          <w:rFonts w:eastAsia="Calibri"/>
          <w:rtl/>
        </w:rPr>
        <w:t>כי בהתאם לתנאי</w:t>
      </w:r>
      <w:r w:rsidRPr="00A210E9">
        <w:rPr>
          <w:rFonts w:eastAsia="Calibri" w:hint="cs"/>
          <w:rtl/>
        </w:rPr>
        <w:t xml:space="preserve"> </w:t>
      </w:r>
      <w:r w:rsidRPr="00A210E9">
        <w:rPr>
          <w:rFonts w:eastAsia="Calibri"/>
          <w:rtl/>
        </w:rPr>
        <w:t xml:space="preserve">ההתקשרות </w:t>
      </w:r>
      <w:r w:rsidRPr="00A210E9">
        <w:rPr>
          <w:rFonts w:eastAsia="Calibri" w:hint="cs"/>
          <w:rtl/>
        </w:rPr>
        <w:t xml:space="preserve">עם חברה ב' </w:t>
      </w:r>
      <w:r w:rsidRPr="00A210E9">
        <w:rPr>
          <w:rFonts w:eastAsia="Calibri"/>
          <w:rtl/>
        </w:rPr>
        <w:t>עמדו לזכות המשרד אפשרויות הארכה נוספות</w:t>
      </w:r>
      <w:r w:rsidRPr="00A210E9">
        <w:rPr>
          <w:rFonts w:eastAsia="Calibri" w:hint="cs"/>
          <w:rtl/>
        </w:rPr>
        <w:t>,</w:t>
      </w:r>
      <w:r w:rsidRPr="00A210E9">
        <w:rPr>
          <w:rFonts w:eastAsia="Calibri"/>
          <w:rtl/>
        </w:rPr>
        <w:t xml:space="preserve"> </w:t>
      </w:r>
      <w:r w:rsidRPr="00A210E9">
        <w:rPr>
          <w:rFonts w:eastAsia="Calibri" w:hint="cs"/>
          <w:rtl/>
        </w:rPr>
        <w:t>וכי מאחר שהתבצעה</w:t>
      </w:r>
      <w:r w:rsidRPr="00A210E9">
        <w:rPr>
          <w:rFonts w:eastAsia="Calibri"/>
          <w:rtl/>
        </w:rPr>
        <w:t xml:space="preserve"> חקירה</w:t>
      </w:r>
      <w:r w:rsidRPr="00A210E9">
        <w:rPr>
          <w:rFonts w:eastAsia="Calibri" w:hint="cs"/>
          <w:rtl/>
        </w:rPr>
        <w:t xml:space="preserve"> </w:t>
      </w:r>
      <w:r w:rsidRPr="00A210E9">
        <w:rPr>
          <w:rFonts w:eastAsia="Calibri"/>
          <w:rtl/>
        </w:rPr>
        <w:t>סמויה</w:t>
      </w:r>
      <w:r w:rsidRPr="00A210E9">
        <w:rPr>
          <w:rFonts w:eastAsia="Calibri" w:hint="cs"/>
          <w:rtl/>
        </w:rPr>
        <w:t xml:space="preserve"> בנושא הורתה לו</w:t>
      </w:r>
      <w:r w:rsidRPr="00A210E9">
        <w:rPr>
          <w:rFonts w:eastAsia="Calibri"/>
          <w:rtl/>
        </w:rPr>
        <w:t xml:space="preserve"> </w:t>
      </w:r>
      <w:r w:rsidRPr="00A210E9">
        <w:rPr>
          <w:rFonts w:eastAsia="Calibri" w:hint="cs"/>
          <w:rtl/>
        </w:rPr>
        <w:t>המשטרה להימנע</w:t>
      </w:r>
      <w:r w:rsidRPr="00A210E9">
        <w:rPr>
          <w:rFonts w:eastAsia="Calibri"/>
          <w:rtl/>
        </w:rPr>
        <w:t xml:space="preserve"> מביצוע פעולות פומביות הקשורות לפרסום מכרז חדש</w:t>
      </w:r>
      <w:r w:rsidRPr="00A210E9">
        <w:rPr>
          <w:rFonts w:eastAsia="Calibri" w:hint="cs"/>
          <w:rtl/>
        </w:rPr>
        <w:t>,</w:t>
      </w:r>
      <w:r w:rsidRPr="00A210E9">
        <w:rPr>
          <w:rFonts w:eastAsia="Calibri"/>
          <w:rtl/>
        </w:rPr>
        <w:t xml:space="preserve"> </w:t>
      </w:r>
      <w:r w:rsidRPr="00A210E9">
        <w:rPr>
          <w:rFonts w:eastAsia="Calibri" w:hint="cs"/>
          <w:rtl/>
        </w:rPr>
        <w:t xml:space="preserve">כדי </w:t>
      </w:r>
      <w:r w:rsidRPr="00A210E9">
        <w:rPr>
          <w:rFonts w:eastAsia="Calibri"/>
          <w:rtl/>
        </w:rPr>
        <w:t>שלא</w:t>
      </w:r>
      <w:r w:rsidRPr="00A210E9">
        <w:rPr>
          <w:rFonts w:eastAsia="Calibri" w:hint="cs"/>
          <w:rtl/>
        </w:rPr>
        <w:t xml:space="preserve"> </w:t>
      </w:r>
      <w:r w:rsidRPr="00A210E9">
        <w:rPr>
          <w:rFonts w:eastAsia="Calibri"/>
          <w:rtl/>
        </w:rPr>
        <w:t>לשבש את החקירה</w:t>
      </w:r>
      <w:r w:rsidRPr="00A210E9">
        <w:rPr>
          <w:rFonts w:eastAsia="Calibri" w:hint="cs"/>
          <w:rtl/>
        </w:rPr>
        <w:t xml:space="preserve">. המשרד הוסיף כי </w:t>
      </w:r>
      <w:r w:rsidRPr="00A210E9">
        <w:rPr>
          <w:rFonts w:eastAsia="Calibri"/>
          <w:rtl/>
        </w:rPr>
        <w:t>הבדיקות</w:t>
      </w:r>
      <w:r w:rsidRPr="00A210E9">
        <w:rPr>
          <w:rFonts w:eastAsia="Calibri" w:hint="cs"/>
          <w:rtl/>
        </w:rPr>
        <w:t xml:space="preserve"> </w:t>
      </w:r>
      <w:r w:rsidRPr="00A210E9">
        <w:rPr>
          <w:rFonts w:eastAsia="Calibri"/>
          <w:rtl/>
        </w:rPr>
        <w:t xml:space="preserve">הרפואיות </w:t>
      </w:r>
      <w:r w:rsidRPr="00A210E9">
        <w:rPr>
          <w:rFonts w:eastAsia="Calibri" w:hint="cs"/>
          <w:rtl/>
        </w:rPr>
        <w:t xml:space="preserve">הופסקו </w:t>
      </w:r>
      <w:r w:rsidRPr="00A210E9">
        <w:rPr>
          <w:rFonts w:eastAsia="Calibri"/>
          <w:rtl/>
        </w:rPr>
        <w:t>לצורך החלפת ספק ועדכון תנאי ההתקשרות</w:t>
      </w:r>
      <w:r w:rsidRPr="00A210E9">
        <w:rPr>
          <w:rFonts w:eastAsia="Calibri" w:hint="cs"/>
          <w:rtl/>
        </w:rPr>
        <w:t xml:space="preserve">, </w:t>
      </w:r>
      <w:r w:rsidRPr="00A210E9">
        <w:rPr>
          <w:rFonts w:eastAsia="Calibri" w:hint="eastAsia"/>
          <w:rtl/>
        </w:rPr>
        <w:t>וכי</w:t>
      </w:r>
      <w:r w:rsidRPr="00A210E9">
        <w:rPr>
          <w:rFonts w:eastAsia="Calibri"/>
          <w:rtl/>
        </w:rPr>
        <w:t xml:space="preserve"> </w:t>
      </w:r>
      <w:r w:rsidRPr="00A210E9">
        <w:rPr>
          <w:rFonts w:eastAsia="Calibri" w:hint="eastAsia"/>
          <w:rtl/>
        </w:rPr>
        <w:t>בתקופת</w:t>
      </w:r>
      <w:r w:rsidRPr="00A210E9">
        <w:rPr>
          <w:rFonts w:eastAsia="Calibri"/>
          <w:rtl/>
        </w:rPr>
        <w:t xml:space="preserve"> </w:t>
      </w:r>
      <w:r w:rsidRPr="00A210E9">
        <w:rPr>
          <w:rFonts w:eastAsia="Calibri" w:hint="eastAsia"/>
          <w:rtl/>
        </w:rPr>
        <w:t>הביניים</w:t>
      </w:r>
      <w:r w:rsidRPr="00A210E9">
        <w:rPr>
          <w:rFonts w:eastAsia="Calibri"/>
          <w:rtl/>
        </w:rPr>
        <w:t xml:space="preserve"> </w:t>
      </w:r>
      <w:r w:rsidRPr="00A210E9">
        <w:rPr>
          <w:rFonts w:eastAsia="Calibri" w:hint="eastAsia"/>
          <w:rtl/>
        </w:rPr>
        <w:t>עד</w:t>
      </w:r>
      <w:r w:rsidRPr="00A210E9">
        <w:rPr>
          <w:rFonts w:eastAsia="Calibri"/>
          <w:rtl/>
        </w:rPr>
        <w:t xml:space="preserve"> </w:t>
      </w:r>
      <w:r w:rsidRPr="00A210E9">
        <w:rPr>
          <w:rFonts w:eastAsia="Calibri" w:hint="eastAsia"/>
          <w:rtl/>
        </w:rPr>
        <w:t>לכניסתו</w:t>
      </w:r>
      <w:r w:rsidRPr="00A210E9">
        <w:rPr>
          <w:rFonts w:eastAsia="Calibri"/>
          <w:rtl/>
        </w:rPr>
        <w:t xml:space="preserve"> </w:t>
      </w:r>
      <w:r w:rsidRPr="00A210E9">
        <w:rPr>
          <w:rFonts w:eastAsia="Calibri" w:hint="cs"/>
          <w:rtl/>
        </w:rPr>
        <w:t xml:space="preserve">לתפקיד </w:t>
      </w:r>
      <w:r w:rsidRPr="00A210E9">
        <w:rPr>
          <w:rFonts w:eastAsia="Calibri" w:hint="eastAsia"/>
          <w:rtl/>
        </w:rPr>
        <w:t>של</w:t>
      </w:r>
      <w:r w:rsidRPr="00A210E9">
        <w:rPr>
          <w:rFonts w:eastAsia="Calibri"/>
          <w:rtl/>
        </w:rPr>
        <w:t xml:space="preserve"> </w:t>
      </w:r>
      <w:r w:rsidRPr="00A210E9">
        <w:rPr>
          <w:rFonts w:eastAsia="Calibri" w:hint="eastAsia"/>
          <w:rtl/>
        </w:rPr>
        <w:t>ספק</w:t>
      </w:r>
      <w:r w:rsidRPr="00A210E9">
        <w:rPr>
          <w:rFonts w:eastAsia="Calibri"/>
          <w:rtl/>
        </w:rPr>
        <w:t xml:space="preserve"> </w:t>
      </w:r>
      <w:r w:rsidRPr="00A210E9">
        <w:rPr>
          <w:rFonts w:eastAsia="Calibri" w:hint="eastAsia"/>
          <w:rtl/>
        </w:rPr>
        <w:t>חדש</w:t>
      </w:r>
      <w:r w:rsidRPr="00A210E9">
        <w:rPr>
          <w:rFonts w:eastAsia="Calibri"/>
          <w:rtl/>
        </w:rPr>
        <w:t xml:space="preserve"> </w:t>
      </w:r>
      <w:r w:rsidRPr="00A210E9">
        <w:rPr>
          <w:rFonts w:eastAsia="Calibri" w:hint="eastAsia"/>
          <w:rtl/>
        </w:rPr>
        <w:t>הוא</w:t>
      </w:r>
      <w:r w:rsidRPr="00A210E9">
        <w:rPr>
          <w:rFonts w:eastAsia="Calibri"/>
          <w:rtl/>
        </w:rPr>
        <w:t xml:space="preserve"> </w:t>
      </w:r>
      <w:r w:rsidRPr="00A210E9">
        <w:rPr>
          <w:rFonts w:eastAsia="Calibri" w:hint="eastAsia"/>
          <w:rtl/>
        </w:rPr>
        <w:t>אישר</w:t>
      </w:r>
      <w:r w:rsidRPr="00A210E9">
        <w:rPr>
          <w:rFonts w:eastAsia="Calibri"/>
          <w:rtl/>
        </w:rPr>
        <w:t xml:space="preserve"> </w:t>
      </w:r>
      <w:r w:rsidRPr="00A210E9">
        <w:rPr>
          <w:rFonts w:eastAsia="Calibri" w:hint="cs"/>
          <w:rtl/>
        </w:rPr>
        <w:t>ליותר</w:t>
      </w:r>
      <w:r w:rsidRPr="00A210E9">
        <w:rPr>
          <w:rFonts w:eastAsia="Calibri"/>
          <w:rtl/>
        </w:rPr>
        <w:t xml:space="preserve"> מ-60,000 בעלי תג </w:t>
      </w:r>
      <w:r w:rsidRPr="00A210E9">
        <w:rPr>
          <w:rFonts w:eastAsia="Calibri" w:hint="cs"/>
          <w:rtl/>
        </w:rPr>
        <w:t xml:space="preserve">הארכות מינהלתיות </w:t>
      </w:r>
      <w:r w:rsidRPr="00A210E9">
        <w:rPr>
          <w:rFonts w:eastAsia="Calibri"/>
          <w:rtl/>
        </w:rPr>
        <w:t>לתקופה של שישה חודשים</w:t>
      </w:r>
      <w:r w:rsidRPr="00A210E9">
        <w:rPr>
          <w:rFonts w:eastAsia="Calibri" w:hint="cs"/>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עמותת איל"ן כתבה בתשובתה כי הפסקת הנפקתם של תגי החניה פגעה קשות באוכלוסייה שהעמותה מייצגת, אינה עומדת במבחני המידתיות ופוגעת בזכאים ובזכות היסוד לניידות. עמותת הצעד הבא כתבה בתשובתה כי תוקף התג לא הוארך עבור חלק מהאוכלוסייה שהעמותה מייצגת. </w:t>
      </w:r>
    </w:p>
    <w:bookmarkEnd w:id="144"/>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bookmarkStart w:id="147" w:name="_Hlk223944433"/>
      <w:r w:rsidRPr="00A210E9">
        <w:rPr>
          <w:rFonts w:eastAsia="Calibri" w:hint="cs"/>
          <w:b/>
          <w:bCs/>
          <w:rtl/>
        </w:rPr>
        <w:t>בתקופה שהתנהלה חקירה משטרתית סמויה, המשטרה הנחתה את משרד התחבורה להימנע מ</w:t>
      </w:r>
      <w:r w:rsidRPr="00A210E9">
        <w:rPr>
          <w:rFonts w:eastAsia="Calibri"/>
          <w:b/>
          <w:bCs/>
          <w:rtl/>
        </w:rPr>
        <w:t xml:space="preserve">לפעול לסיום ההתקשרות עם חברה ב' או לפרסום מכרז חדש </w:t>
      </w:r>
      <w:r w:rsidRPr="00A210E9">
        <w:rPr>
          <w:rFonts w:eastAsia="Calibri" w:hint="cs"/>
          <w:b/>
          <w:bCs/>
          <w:rtl/>
        </w:rPr>
        <w:t xml:space="preserve">כדי שלא לשבש את החקירה, ועל כן החליט המשרד לעצור את הנפקתם של תגים חדשים. משמעות עצירת הטיפול בבקשות לתגי חניה היא פגיעה בפועל באנשים עם מוגבלות - צעד חריג שיש לנקוט רק באירועי קיצון ובמשורה. לאחר הפסקת הטיפול של חברה ב' בבקשות חדשות לתגי חניה בסוף 2024 הצטברו עשרות אלפי בקשות חדשות שלא טופלו, ובעקבות זאת המשרד יצא לתיחור בפטור ממכרז אשר בנסיבות העניין אושר על ידי ועדת הפטור של החשכ"ל. </w:t>
      </w:r>
      <w:bookmarkEnd w:id="147"/>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משרד התחבורה כתב בתשובתו כי </w:t>
      </w:r>
      <w:r w:rsidRPr="00A210E9">
        <w:rPr>
          <w:rFonts w:eastAsia="Calibri"/>
          <w:rtl/>
        </w:rPr>
        <w:t xml:space="preserve">עבודת </w:t>
      </w:r>
      <w:r w:rsidRPr="00A210E9">
        <w:rPr>
          <w:rFonts w:eastAsia="Calibri" w:hint="cs"/>
          <w:rtl/>
        </w:rPr>
        <w:t>הצוות הבין-משרדי 2025 נמצאת בשלבי סיום</w:t>
      </w:r>
      <w:r w:rsidRPr="00A210E9">
        <w:rPr>
          <w:rFonts w:eastAsia="Calibri"/>
          <w:rtl/>
        </w:rPr>
        <w:t xml:space="preserve"> וההתקשרות </w:t>
      </w:r>
      <w:r w:rsidRPr="00A210E9">
        <w:rPr>
          <w:rFonts w:eastAsia="Calibri" w:hint="cs"/>
          <w:rtl/>
        </w:rPr>
        <w:t xml:space="preserve">עם חברה ג' </w:t>
      </w:r>
      <w:r w:rsidRPr="00A210E9">
        <w:rPr>
          <w:rFonts w:eastAsia="Calibri"/>
          <w:rtl/>
        </w:rPr>
        <w:t>בשלב זה נועדה גם לגשר על תקופת הבינ</w:t>
      </w:r>
      <w:r w:rsidRPr="00A210E9">
        <w:rPr>
          <w:rFonts w:eastAsia="Calibri" w:hint="cs"/>
          <w:rtl/>
        </w:rPr>
        <w:t>י</w:t>
      </w:r>
      <w:r w:rsidRPr="00A210E9">
        <w:rPr>
          <w:rFonts w:eastAsia="Calibri"/>
          <w:rtl/>
        </w:rPr>
        <w:t>ים שעד</w:t>
      </w:r>
      <w:r w:rsidRPr="00A210E9">
        <w:rPr>
          <w:rFonts w:eastAsia="Calibri" w:hint="cs"/>
          <w:rtl/>
        </w:rPr>
        <w:t xml:space="preserve"> </w:t>
      </w:r>
      <w:r w:rsidRPr="00A210E9">
        <w:rPr>
          <w:rFonts w:eastAsia="Calibri"/>
          <w:rtl/>
        </w:rPr>
        <w:t>להטמעת שיטת העבודה החדשה ו</w:t>
      </w:r>
      <w:r w:rsidRPr="00A210E9">
        <w:rPr>
          <w:rFonts w:eastAsia="Calibri" w:hint="cs"/>
          <w:rtl/>
        </w:rPr>
        <w:t>לפי</w:t>
      </w:r>
      <w:r w:rsidRPr="00A210E9">
        <w:rPr>
          <w:rFonts w:eastAsia="Calibri"/>
          <w:rtl/>
        </w:rPr>
        <w:t xml:space="preserve">כך </w:t>
      </w:r>
      <w:r w:rsidRPr="00A210E9">
        <w:rPr>
          <w:rFonts w:eastAsia="Calibri" w:hint="cs"/>
          <w:rtl/>
        </w:rPr>
        <w:t>נכון למאי 2026</w:t>
      </w:r>
      <w:r w:rsidRPr="00A210E9">
        <w:rPr>
          <w:rFonts w:eastAsia="Calibri"/>
          <w:rtl/>
        </w:rPr>
        <w:t xml:space="preserve"> לא פורסם מכרז חדש</w:t>
      </w:r>
      <w:r w:rsidRPr="00A210E9">
        <w:rPr>
          <w:rFonts w:eastAsia="Calibri" w:hint="cs"/>
          <w:rtl/>
        </w:rPr>
        <w:t xml:space="preserve">, לנוכח </w:t>
      </w:r>
      <w:r w:rsidRPr="00A210E9">
        <w:rPr>
          <w:rFonts w:eastAsia="Calibri"/>
          <w:rtl/>
        </w:rPr>
        <w:t xml:space="preserve">השינויים הצפויים. עוד ציין המשרד כי הוא הפיק לקחים </w:t>
      </w:r>
      <w:r w:rsidRPr="00A210E9">
        <w:rPr>
          <w:rFonts w:eastAsia="Calibri" w:hint="eastAsia"/>
          <w:rtl/>
        </w:rPr>
        <w:t>מההתקשרות</w:t>
      </w:r>
      <w:r w:rsidRPr="00A210E9">
        <w:rPr>
          <w:rFonts w:eastAsia="Calibri"/>
          <w:rtl/>
        </w:rPr>
        <w:t xml:space="preserve"> </w:t>
      </w:r>
      <w:r w:rsidRPr="00A210E9">
        <w:rPr>
          <w:rFonts w:eastAsia="Calibri" w:hint="eastAsia"/>
          <w:rtl/>
        </w:rPr>
        <w:t>עם</w:t>
      </w:r>
      <w:r w:rsidRPr="00A210E9">
        <w:rPr>
          <w:rFonts w:eastAsia="Calibri"/>
          <w:rtl/>
        </w:rPr>
        <w:t xml:space="preserve"> </w:t>
      </w:r>
      <w:r w:rsidRPr="00A210E9">
        <w:rPr>
          <w:rFonts w:eastAsia="Calibri" w:hint="eastAsia"/>
          <w:rtl/>
        </w:rPr>
        <w:t>חברה</w:t>
      </w:r>
      <w:r w:rsidRPr="00A210E9">
        <w:rPr>
          <w:rFonts w:eastAsia="Calibri"/>
          <w:rtl/>
        </w:rPr>
        <w:t xml:space="preserve"> </w:t>
      </w:r>
      <w:r w:rsidRPr="00A210E9">
        <w:rPr>
          <w:rFonts w:eastAsia="Calibri" w:hint="eastAsia"/>
          <w:rtl/>
        </w:rPr>
        <w:t>ב</w:t>
      </w:r>
      <w:r w:rsidRPr="00A210E9">
        <w:rPr>
          <w:rFonts w:eastAsia="Calibri"/>
          <w:rtl/>
        </w:rPr>
        <w:t>'</w:t>
      </w:r>
      <w:r w:rsidRPr="00A210E9">
        <w:rPr>
          <w:rFonts w:eastAsia="Calibri" w:hint="cs"/>
          <w:rtl/>
        </w:rPr>
        <w:t>,</w:t>
      </w:r>
      <w:r w:rsidRPr="00A210E9">
        <w:rPr>
          <w:rFonts w:eastAsia="Calibri"/>
          <w:rtl/>
        </w:rPr>
        <w:t xml:space="preserve"> </w:t>
      </w:r>
      <w:r w:rsidRPr="00A210E9">
        <w:rPr>
          <w:rFonts w:eastAsia="Calibri" w:hint="eastAsia"/>
          <w:rtl/>
        </w:rPr>
        <w:t>וכי</w:t>
      </w:r>
      <w:r w:rsidRPr="00A210E9">
        <w:rPr>
          <w:rFonts w:eastAsia="Calibri"/>
          <w:rtl/>
        </w:rPr>
        <w:t xml:space="preserve"> </w:t>
      </w:r>
      <w:r w:rsidRPr="00A210E9">
        <w:rPr>
          <w:rFonts w:eastAsia="Calibri" w:hint="eastAsia"/>
          <w:rtl/>
        </w:rPr>
        <w:t>הוא</w:t>
      </w:r>
      <w:r w:rsidRPr="00A210E9">
        <w:rPr>
          <w:rFonts w:eastAsia="Calibri"/>
          <w:rtl/>
        </w:rPr>
        <w:t xml:space="preserve"> </w:t>
      </w:r>
      <w:r w:rsidRPr="00A210E9">
        <w:rPr>
          <w:rFonts w:eastAsia="Calibri" w:hint="eastAsia"/>
          <w:rtl/>
        </w:rPr>
        <w:t>פועל</w:t>
      </w:r>
      <w:r w:rsidRPr="00A210E9">
        <w:rPr>
          <w:rFonts w:eastAsia="Calibri"/>
          <w:rtl/>
        </w:rPr>
        <w:t xml:space="preserve"> </w:t>
      </w:r>
      <w:r w:rsidRPr="00A210E9">
        <w:rPr>
          <w:rFonts w:eastAsia="Calibri" w:hint="eastAsia"/>
          <w:rtl/>
        </w:rPr>
        <w:t>להתקשרות</w:t>
      </w:r>
      <w:r w:rsidRPr="00A210E9">
        <w:rPr>
          <w:rFonts w:eastAsia="Calibri"/>
          <w:rtl/>
        </w:rPr>
        <w:t xml:space="preserve"> </w:t>
      </w:r>
      <w:r w:rsidRPr="00A210E9">
        <w:rPr>
          <w:rFonts w:eastAsia="Calibri" w:hint="eastAsia"/>
          <w:rtl/>
        </w:rPr>
        <w:t>חדשה</w:t>
      </w:r>
      <w:r w:rsidRPr="00A210E9">
        <w:rPr>
          <w:rFonts w:eastAsia="Calibri"/>
          <w:rtl/>
        </w:rPr>
        <w:t xml:space="preserve"> </w:t>
      </w:r>
      <w:r w:rsidRPr="00A210E9">
        <w:rPr>
          <w:rFonts w:eastAsia="Calibri" w:hint="eastAsia"/>
          <w:rtl/>
        </w:rPr>
        <w:t>בתנאים</w:t>
      </w:r>
      <w:r w:rsidRPr="00A210E9">
        <w:rPr>
          <w:rFonts w:eastAsia="Calibri"/>
          <w:rtl/>
        </w:rPr>
        <w:t xml:space="preserve"> </w:t>
      </w:r>
      <w:r w:rsidRPr="00A210E9">
        <w:rPr>
          <w:rFonts w:eastAsia="Calibri" w:hint="eastAsia"/>
          <w:rtl/>
        </w:rPr>
        <w:t>מקצועיים</w:t>
      </w:r>
      <w:r w:rsidRPr="00A210E9">
        <w:rPr>
          <w:rFonts w:eastAsia="Calibri"/>
          <w:rtl/>
        </w:rPr>
        <w:t xml:space="preserve"> </w:t>
      </w:r>
      <w:r w:rsidRPr="00A210E9">
        <w:rPr>
          <w:rFonts w:eastAsia="Calibri" w:hint="eastAsia"/>
          <w:rtl/>
        </w:rPr>
        <w:t>ותפעוליים</w:t>
      </w:r>
      <w:r w:rsidRPr="00A210E9">
        <w:rPr>
          <w:rFonts w:eastAsia="Calibri"/>
          <w:rtl/>
        </w:rPr>
        <w:t xml:space="preserve"> </w:t>
      </w:r>
      <w:r w:rsidRPr="00A210E9">
        <w:rPr>
          <w:rFonts w:eastAsia="Calibri" w:hint="eastAsia"/>
          <w:rtl/>
        </w:rPr>
        <w:t>שונים</w:t>
      </w:r>
      <w:r w:rsidRPr="00A210E9">
        <w:rPr>
          <w:rFonts w:eastAsia="Calibri"/>
          <w:rtl/>
        </w:rPr>
        <w:t xml:space="preserve"> </w:t>
      </w:r>
      <w:r w:rsidRPr="00A210E9">
        <w:rPr>
          <w:rFonts w:eastAsia="Calibri" w:hint="eastAsia"/>
          <w:rtl/>
        </w:rPr>
        <w:t>על</w:t>
      </w:r>
      <w:r w:rsidRPr="00A210E9">
        <w:rPr>
          <w:rFonts w:eastAsia="Calibri"/>
          <w:rtl/>
        </w:rPr>
        <w:t xml:space="preserve"> </w:t>
      </w:r>
      <w:r w:rsidRPr="00A210E9">
        <w:rPr>
          <w:rFonts w:eastAsia="Calibri" w:hint="eastAsia"/>
          <w:rtl/>
        </w:rPr>
        <w:t>בסיס</w:t>
      </w:r>
      <w:r w:rsidRPr="00A210E9">
        <w:rPr>
          <w:rFonts w:eastAsia="Calibri"/>
          <w:rtl/>
        </w:rPr>
        <w:t xml:space="preserve"> </w:t>
      </w:r>
      <w:r w:rsidRPr="00A210E9">
        <w:rPr>
          <w:rFonts w:eastAsia="Calibri" w:hint="eastAsia"/>
          <w:rtl/>
        </w:rPr>
        <w:t>מודל</w:t>
      </w:r>
      <w:r w:rsidRPr="00A210E9">
        <w:rPr>
          <w:rFonts w:eastAsia="Calibri"/>
          <w:rtl/>
        </w:rPr>
        <w:t xml:space="preserve"> </w:t>
      </w:r>
      <w:r w:rsidRPr="00A210E9">
        <w:rPr>
          <w:rFonts w:eastAsia="Calibri" w:hint="eastAsia"/>
          <w:rtl/>
        </w:rPr>
        <w:t>הפעלה</w:t>
      </w:r>
      <w:r w:rsidRPr="00A210E9">
        <w:rPr>
          <w:rFonts w:eastAsia="Calibri"/>
          <w:rtl/>
        </w:rPr>
        <w:t xml:space="preserve"> </w:t>
      </w:r>
      <w:r w:rsidRPr="00A210E9">
        <w:rPr>
          <w:rFonts w:eastAsia="Calibri" w:hint="eastAsia"/>
          <w:rtl/>
        </w:rPr>
        <w:t>חדש</w:t>
      </w:r>
      <w:r w:rsidRPr="00A210E9">
        <w:rPr>
          <w:rFonts w:eastAsia="Calibri"/>
          <w:rtl/>
        </w:rPr>
        <w:t>.</w:t>
      </w:r>
      <w:r w:rsidRPr="00A210E9">
        <w:rPr>
          <w:rFonts w:eastAsia="Calibri" w:hint="cs"/>
          <w:rtl/>
        </w:rPr>
        <w:t xml:space="preserve"> משרד התחבורה מסר למשרד מבקר המדינה כי נכון לסוף מאי 2026 משך הטיפול הממוצע בבקשה הוא שבועיים-שלושה, וכי המשרד טיפל בכל הבקשות שהצטברו בעקבות הפסקת ההנפקה (למעט מספר מועט של בקשות).</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b/>
          <w:bCs/>
          <w:rtl/>
        </w:rPr>
        <w:t xml:space="preserve">יצוין כי </w:t>
      </w:r>
      <w:r w:rsidRPr="00A210E9">
        <w:rPr>
          <w:rFonts w:eastAsia="Calibri" w:hint="cs"/>
          <w:b/>
          <w:bCs/>
          <w:rtl/>
        </w:rPr>
        <w:t>על פי</w:t>
      </w:r>
      <w:r w:rsidRPr="00A210E9">
        <w:rPr>
          <w:rFonts w:eastAsia="Calibri"/>
          <w:b/>
          <w:bCs/>
          <w:rtl/>
        </w:rPr>
        <w:t xml:space="preserve"> החלטת </w:t>
      </w:r>
      <w:r w:rsidRPr="00A210E9">
        <w:rPr>
          <w:rFonts w:eastAsia="Calibri" w:hint="cs"/>
          <w:b/>
          <w:bCs/>
          <w:rtl/>
        </w:rPr>
        <w:t>ה</w:t>
      </w:r>
      <w:r w:rsidRPr="00A210E9">
        <w:rPr>
          <w:rFonts w:eastAsia="Calibri"/>
          <w:b/>
          <w:bCs/>
          <w:rtl/>
        </w:rPr>
        <w:t xml:space="preserve">ממשלה 3584 </w:t>
      </w:r>
      <w:r w:rsidRPr="00A210E9">
        <w:rPr>
          <w:rFonts w:eastAsia="Calibri" w:hint="cs"/>
          <w:b/>
          <w:bCs/>
          <w:rtl/>
        </w:rPr>
        <w:t>(4.12.25) היה על</w:t>
      </w:r>
      <w:r w:rsidRPr="00A210E9">
        <w:rPr>
          <w:rFonts w:eastAsia="Calibri"/>
          <w:b/>
          <w:bCs/>
          <w:rtl/>
        </w:rPr>
        <w:t xml:space="preserve"> </w:t>
      </w:r>
      <w:r w:rsidRPr="00A210E9">
        <w:rPr>
          <w:rFonts w:eastAsia="Calibri" w:hint="cs"/>
          <w:b/>
          <w:bCs/>
          <w:rtl/>
        </w:rPr>
        <w:t>ה</w:t>
      </w:r>
      <w:r w:rsidRPr="00A210E9">
        <w:rPr>
          <w:rFonts w:eastAsia="Calibri"/>
          <w:b/>
          <w:bCs/>
          <w:rtl/>
        </w:rPr>
        <w:t xml:space="preserve">צוות </w:t>
      </w:r>
      <w:r w:rsidRPr="00A210E9">
        <w:rPr>
          <w:rFonts w:eastAsia="Calibri" w:hint="cs"/>
          <w:b/>
          <w:bCs/>
          <w:rtl/>
        </w:rPr>
        <w:t>ה</w:t>
      </w:r>
      <w:r w:rsidRPr="00A210E9">
        <w:rPr>
          <w:rFonts w:eastAsia="Calibri"/>
          <w:b/>
          <w:bCs/>
          <w:rtl/>
        </w:rPr>
        <w:t xml:space="preserve">בין-משרדי 2025 </w:t>
      </w:r>
      <w:r w:rsidRPr="00A210E9">
        <w:rPr>
          <w:rFonts w:eastAsia="Calibri" w:hint="cs"/>
          <w:b/>
          <w:bCs/>
          <w:rtl/>
        </w:rPr>
        <w:t>לגבש</w:t>
      </w:r>
      <w:r w:rsidRPr="00A210E9">
        <w:rPr>
          <w:rFonts w:eastAsia="Calibri"/>
          <w:b/>
          <w:bCs/>
          <w:rtl/>
        </w:rPr>
        <w:t xml:space="preserve"> בתוך 90 ימים נוהל חדש להנפקת תגי חניה על ידי רשות הרישו</w:t>
      </w:r>
      <w:r w:rsidRPr="00A210E9">
        <w:rPr>
          <w:rFonts w:eastAsia="Calibri" w:hint="cs"/>
          <w:b/>
          <w:bCs/>
          <w:rtl/>
        </w:rPr>
        <w:t>י, כלומר עד 4.3.26</w:t>
      </w:r>
      <w:r w:rsidRPr="00A210E9">
        <w:rPr>
          <w:rFonts w:eastAsia="Calibri"/>
          <w:b/>
          <w:bCs/>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משרד התחבורה והחשכ"ל כתבו בתשובותיהם כי </w:t>
      </w:r>
      <w:r w:rsidRPr="00A210E9">
        <w:rPr>
          <w:rFonts w:eastAsia="Calibri"/>
          <w:rtl/>
        </w:rPr>
        <w:t>במסגרת עבודת</w:t>
      </w:r>
      <w:r w:rsidRPr="00A210E9">
        <w:rPr>
          <w:rFonts w:eastAsia="Calibri" w:hint="cs"/>
          <w:rtl/>
        </w:rPr>
        <w:t xml:space="preserve"> ה</w:t>
      </w:r>
      <w:r w:rsidRPr="00A210E9">
        <w:rPr>
          <w:rFonts w:eastAsia="Calibri"/>
          <w:rtl/>
        </w:rPr>
        <w:t xml:space="preserve">צוות </w:t>
      </w:r>
      <w:r w:rsidRPr="00A210E9">
        <w:rPr>
          <w:rFonts w:eastAsia="Calibri" w:hint="cs"/>
          <w:rtl/>
        </w:rPr>
        <w:t>ה</w:t>
      </w:r>
      <w:r w:rsidRPr="00A210E9">
        <w:rPr>
          <w:rFonts w:eastAsia="Calibri"/>
          <w:rtl/>
        </w:rPr>
        <w:t>בין-משרדי 2025</w:t>
      </w:r>
      <w:r w:rsidRPr="00A210E9">
        <w:rPr>
          <w:rFonts w:eastAsia="Calibri" w:hint="cs"/>
          <w:rtl/>
        </w:rPr>
        <w:t xml:space="preserve"> </w:t>
      </w:r>
      <w:r w:rsidRPr="00A210E9">
        <w:rPr>
          <w:rFonts w:eastAsia="Calibri"/>
          <w:rtl/>
        </w:rPr>
        <w:t xml:space="preserve">גובש מתווה </w:t>
      </w:r>
      <w:r w:rsidRPr="00A210E9">
        <w:rPr>
          <w:rFonts w:eastAsia="Calibri" w:hint="cs"/>
          <w:rtl/>
        </w:rPr>
        <w:t>ו</w:t>
      </w:r>
      <w:r w:rsidRPr="00A210E9">
        <w:rPr>
          <w:rFonts w:eastAsia="Calibri"/>
          <w:rtl/>
        </w:rPr>
        <w:t>לפיו ככלל</w:t>
      </w:r>
      <w:r w:rsidRPr="00A210E9">
        <w:rPr>
          <w:rFonts w:eastAsia="Calibri" w:hint="cs"/>
          <w:rtl/>
        </w:rPr>
        <w:t xml:space="preserve"> משרד התחבורה יפעיל מערך לבדיקות רפואיות</w:t>
      </w:r>
      <w:r w:rsidRPr="00A210E9">
        <w:rPr>
          <w:rFonts w:eastAsia="Calibri"/>
          <w:rtl/>
        </w:rPr>
        <w:t xml:space="preserve"> </w:t>
      </w:r>
      <w:r w:rsidRPr="00A210E9">
        <w:rPr>
          <w:rFonts w:eastAsia="Calibri" w:hint="cs"/>
          <w:rtl/>
        </w:rPr>
        <w:t xml:space="preserve">שיבדוק גם </w:t>
      </w:r>
      <w:r w:rsidRPr="00A210E9">
        <w:rPr>
          <w:rFonts w:eastAsia="Calibri"/>
          <w:rtl/>
        </w:rPr>
        <w:t xml:space="preserve">אוכלוסיות </w:t>
      </w:r>
      <w:r w:rsidRPr="00A210E9">
        <w:rPr>
          <w:rFonts w:eastAsia="Calibri" w:hint="cs"/>
          <w:rtl/>
        </w:rPr>
        <w:t>ש</w:t>
      </w:r>
      <w:r w:rsidRPr="00A210E9">
        <w:rPr>
          <w:rFonts w:eastAsia="Calibri"/>
          <w:rtl/>
        </w:rPr>
        <w:t>המוסד לביטוח לאומי</w:t>
      </w:r>
      <w:r w:rsidRPr="00A210E9">
        <w:rPr>
          <w:rFonts w:eastAsia="Calibri" w:hint="cs"/>
          <w:rtl/>
        </w:rPr>
        <w:t xml:space="preserve"> אינו מטפל בהן ישירות (תושבי חוץ או מי שאינם זכאים לקצבה מטעמי הכנסה, עבורם לא ניתן להסתמך על בדיקה רפואית של הביטוח הלאומי או של גוף ממשלתי מוסמך אחר).</w:t>
      </w:r>
      <w:r w:rsidRPr="00A210E9">
        <w:rPr>
          <w:rFonts w:eastAsia="Calibri"/>
          <w:rtl/>
        </w:rPr>
        <w:t xml:space="preserve"> </w:t>
      </w:r>
      <w:r w:rsidRPr="00A210E9">
        <w:rPr>
          <w:rFonts w:eastAsia="Calibri" w:hint="cs"/>
          <w:rtl/>
        </w:rPr>
        <w:t xml:space="preserve">לצורך ביצוע הבדיקות המערך יוכל להסתייע </w:t>
      </w:r>
      <w:r w:rsidRPr="00A210E9">
        <w:rPr>
          <w:rFonts w:eastAsia="Calibri"/>
          <w:rtl/>
        </w:rPr>
        <w:t xml:space="preserve">בחברה הפועלת מטעם הביטוח הלאומי, </w:t>
      </w:r>
      <w:r w:rsidRPr="00A210E9">
        <w:rPr>
          <w:rFonts w:eastAsia="Calibri" w:hint="cs"/>
          <w:rtl/>
        </w:rPr>
        <w:t>כדי להבטיח</w:t>
      </w:r>
      <w:r w:rsidRPr="00A210E9">
        <w:rPr>
          <w:rFonts w:eastAsia="Calibri"/>
          <w:rtl/>
        </w:rPr>
        <w:t xml:space="preserve"> שהבחינה תיעשה לפי מתודולוגיה אחידה, סדורה</w:t>
      </w:r>
      <w:r w:rsidRPr="00A210E9">
        <w:rPr>
          <w:rFonts w:eastAsia="Calibri" w:hint="cs"/>
          <w:rtl/>
        </w:rPr>
        <w:t xml:space="preserve"> </w:t>
      </w:r>
      <w:r w:rsidRPr="00A210E9">
        <w:rPr>
          <w:rFonts w:eastAsia="Calibri"/>
          <w:rtl/>
        </w:rPr>
        <w:t>ומבוקרת יותר.</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 xml:space="preserve">על הצוות הבין-משרדי 2025 להשלים בהקדם את הנוהל להנפקת תגי חניה על ידי רשות הרישוי כמתחייב מהחלטת הממשלה 3584. על משרד התחבורה לממש את התחייבותו לפני בית המשפט העליון, באופן שיאפשר שמירה על הרציפות של שירות לציבור האנשים עם מוגבלות. </w:t>
      </w:r>
    </w:p>
    <w:p w:rsidR="00A210E9" w:rsidRPr="00A210E9" w:rsidP="00A210E9">
      <w:pPr>
        <w:spacing w:line="269" w:lineRule="auto"/>
        <w:rPr>
          <w:rFonts w:eastAsia="Calibri"/>
          <w:b/>
          <w:bCs/>
          <w:rtl/>
        </w:rPr>
      </w:pPr>
    </w:p>
    <w:p w:rsidR="00A210E9" w:rsidRPr="00A210E9" w:rsidP="00A210E9">
      <w:pPr>
        <w:keepNext/>
        <w:keepLines/>
        <w:spacing w:line="269" w:lineRule="auto"/>
        <w:outlineLvl w:val="4"/>
        <w:rPr>
          <w:rFonts w:eastAsia="Times New Roman"/>
          <w:bCs/>
          <w:spacing w:val="40"/>
        </w:rPr>
      </w:pPr>
      <w:r w:rsidRPr="00A210E9">
        <w:rPr>
          <w:rFonts w:eastAsia="Times New Roman" w:hint="cs"/>
          <w:bCs/>
          <w:spacing w:val="40"/>
          <w:rtl/>
        </w:rPr>
        <w:t>דרישות לתנאי סף לרופאים ומספר</w:t>
      </w:r>
      <w:r w:rsidRPr="00A210E9">
        <w:rPr>
          <w:rFonts w:eastAsia="Times New Roman"/>
          <w:bCs/>
          <w:spacing w:val="40"/>
          <w:rtl/>
        </w:rPr>
        <w:t xml:space="preserve"> הרופאי</w:t>
      </w:r>
      <w:r w:rsidRPr="00A210E9">
        <w:rPr>
          <w:rFonts w:eastAsia="Times New Roman" w:hint="cs"/>
          <w:bCs/>
          <w:spacing w:val="40"/>
          <w:rtl/>
        </w:rPr>
        <w:t xml:space="preserve">ם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על פי ההתקשרות עם חברה ב' בשנת 2022 (מכרז 53.20), החברה נדרשה להעסיק שמונה רופאים (2 פנימאים, 2 אורטופדים, אונקולוג אחד, רופא תעסוקתי אחד והיתר לבחירת החברה). בבדיקת הביקורת הפנימית של משרד התחבורה נמצא כי בפועל רק ארבעה רופאים (רופא חמישי בדק בקשות מעטות בלבד) בחנו את הבקשות בתקופת ההתקשרות. כל חמשת הרופאים היו רופאי משפחה. יצוין כי במעמד הדיון בהצעה היחידה של חברה ב' במכרז 53.20 נפסלו שתי ההצעות האחרות בשל אי-עמידתן בתנאי הסף שנדרשו ממנהל הפרויקט ומהרופאים.</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בבדיקה החשבונאית 2025 נמצא בנוגע לסוגיית מומחיות הרופאים של חברה ב'</w:t>
      </w:r>
      <w:r w:rsidRPr="00A210E9">
        <w:rPr>
          <w:rFonts w:eastAsia="Calibri"/>
          <w:rtl/>
        </w:rPr>
        <w:t xml:space="preserve"> כי חרף הפערים הברורים בין דרישות </w:t>
      </w:r>
      <w:r w:rsidRPr="00A210E9">
        <w:rPr>
          <w:rFonts w:eastAsia="Calibri" w:hint="cs"/>
          <w:rtl/>
        </w:rPr>
        <w:t xml:space="preserve">מכרז 53.20 </w:t>
      </w:r>
      <w:r w:rsidRPr="00A210E9">
        <w:rPr>
          <w:rFonts w:eastAsia="Calibri"/>
          <w:rtl/>
        </w:rPr>
        <w:t>לבין הביצוע בפועל, לא הפעיל משרד</w:t>
      </w:r>
      <w:r w:rsidRPr="00A210E9">
        <w:rPr>
          <w:rFonts w:eastAsia="Calibri" w:hint="cs"/>
          <w:rtl/>
        </w:rPr>
        <w:t xml:space="preserve"> </w:t>
      </w:r>
      <w:r w:rsidRPr="00A210E9">
        <w:rPr>
          <w:rFonts w:eastAsia="Calibri"/>
          <w:rtl/>
        </w:rPr>
        <w:t xml:space="preserve">התחבורה כל מנגנון בקרה </w:t>
      </w:r>
      <w:r w:rsidRPr="00A210E9">
        <w:rPr>
          <w:rFonts w:eastAsia="Calibri" w:hint="cs"/>
          <w:rtl/>
        </w:rPr>
        <w:t>יעיל</w:t>
      </w:r>
      <w:r w:rsidRPr="00A210E9">
        <w:rPr>
          <w:rFonts w:eastAsia="Calibri"/>
          <w:rtl/>
        </w:rPr>
        <w:t xml:space="preserve"> על עמידת </w:t>
      </w:r>
      <w:r w:rsidRPr="00A210E9">
        <w:rPr>
          <w:rFonts w:eastAsia="Calibri" w:hint="cs"/>
          <w:rtl/>
        </w:rPr>
        <w:t>חברה ב'</w:t>
      </w:r>
      <w:r w:rsidRPr="00A210E9">
        <w:rPr>
          <w:rFonts w:eastAsia="Calibri"/>
          <w:rtl/>
        </w:rPr>
        <w:t xml:space="preserve"> בתנאים ההסכמיים</w:t>
      </w:r>
      <w:r w:rsidRPr="00A210E9">
        <w:rPr>
          <w:rFonts w:eastAsia="Calibri" w:hint="cs"/>
          <w:rtl/>
        </w:rPr>
        <w:t xml:space="preserve"> - </w:t>
      </w:r>
      <w:r w:rsidRPr="00A210E9">
        <w:rPr>
          <w:rFonts w:eastAsia="Calibri"/>
          <w:rtl/>
        </w:rPr>
        <w:t>לא נערכה</w:t>
      </w:r>
      <w:r w:rsidRPr="00A210E9">
        <w:rPr>
          <w:rFonts w:eastAsia="Calibri" w:hint="cs"/>
          <w:rtl/>
        </w:rPr>
        <w:t xml:space="preserve"> </w:t>
      </w:r>
      <w:r w:rsidRPr="00A210E9">
        <w:rPr>
          <w:rFonts w:eastAsia="Calibri"/>
          <w:rtl/>
        </w:rPr>
        <w:t>בדיקה תקופתית לבחינת ההתמחויות של הרופאים</w:t>
      </w:r>
      <w:r w:rsidRPr="00A210E9">
        <w:rPr>
          <w:rFonts w:eastAsia="Calibri" w:hint="cs"/>
          <w:rtl/>
        </w:rPr>
        <w:t>;</w:t>
      </w:r>
      <w:r w:rsidRPr="00A210E9">
        <w:rPr>
          <w:rFonts w:eastAsia="Calibri"/>
          <w:rtl/>
        </w:rPr>
        <w:t xml:space="preserve"> לא נבחנה עמידת החברה בדרישות</w:t>
      </w:r>
      <w:r w:rsidRPr="00A210E9">
        <w:rPr>
          <w:rFonts w:eastAsia="Calibri" w:hint="cs"/>
          <w:rtl/>
        </w:rPr>
        <w:t xml:space="preserve"> </w:t>
      </w:r>
      <w:r w:rsidRPr="00A210E9">
        <w:rPr>
          <w:rFonts w:eastAsia="Calibri"/>
          <w:rtl/>
        </w:rPr>
        <w:t>המכרז</w:t>
      </w:r>
      <w:r w:rsidRPr="00A210E9">
        <w:rPr>
          <w:rFonts w:eastAsia="Calibri" w:hint="cs"/>
          <w:rtl/>
        </w:rPr>
        <w:t>;</w:t>
      </w:r>
      <w:r w:rsidRPr="00A210E9">
        <w:rPr>
          <w:rFonts w:eastAsia="Calibri"/>
          <w:rtl/>
        </w:rPr>
        <w:t xml:space="preserve"> לא הופעלו סנקציות בגין אי-קיום הוראות ההתקשרות.</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חברה ב' כתבה בתשובתה כי היא עמדה בדרישות המכרז בנוגע להעסקת רופאים מומחים ובכלל זה רופאי משפחה, רופאים אונקולוגיים, אורתופדים ורופאים תעסוקתיים. כמו כן כתבה כי המערכת הרפואית לא איפשרה לנתב את הבקשות בהתאם לסוג ההתמחות של הרופא הבודק.</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בהתקשרות עם הספק הנוכחי - חברה ג' נדרשה עם החתימה על החוזה עם משרד התחבורה להעמיד את אנשי הצוות האלה: (א) 4 רופאים בשלב המיידי; (ב) 5 מזכירים רפואיים לפחות האחראים למיון הבקשות לפי תחומי הנכות והפנייתן לרופאים המתאימים; (ג) 10 רופאי משפחה לפחות ו-2 רופאים בכל אחד מהתחומים האלה: אורתופדיה, שיקום, תעסוקה, רפואה פנימית, אונקולוגיה, קרדיולוגיה ונוירולוגיה. המשרד יכול לדרוש העמדת רופאים נוספים מדיסציפלינות אחרות; (ד) מנהל מקצועי בעל סמכות ויכולת לתת מענה ופתרונות לאורך כל התקופה אד הוק. כחלק מתפקידו הוא יבצע בקרות על הרופאים ועל המזכיר הרפואי. משרד התחבורה מסר לצוות הביקורת ביולי 2025 כי עד כה עסקו בנושא 18 רופאים, והם טיפלו בכ-1,000 פניות ביום בממוצע.</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מדוח ביקורת שערכה חשבות משרד התחבורה בשנת 2025 על עבודת רופאי חברה ג' עלה כי אף שהרופאים של החברה נדרשו על פי ההתקשרות להיות בעלי ותק מסוים, לא כל הרופאים עמדו בדרישה זו, ובחלק מתחומי ההתמחות היה חוסר ברופאים. זאת ועוד, הספק מסר כי הרופאים מתקשים לחשב את אחוזי הנכות לפי תקנות הביטוח הלאומי (לבחינת סף נכות של 60% נכות), ובכך הם אינם פועלים לפי נוהלי העבודה ותנאי התהליך שקבע משרד התחבורה, אשר דורשים בחינה דו-שלבית של 60% נכות לפי ספר הביטוח הלאומי</w:t>
      </w:r>
      <w:r>
        <w:rPr>
          <w:rFonts w:eastAsia="Calibri"/>
          <w:vertAlign w:val="superscript"/>
          <w:rtl/>
        </w:rPr>
        <w:footnoteReference w:id="175"/>
      </w:r>
      <w:r w:rsidRPr="00A210E9">
        <w:rPr>
          <w:rFonts w:eastAsia="Calibri" w:hint="cs"/>
          <w:rtl/>
        </w:rPr>
        <w:t xml:space="preserve"> והתייחסות לסוגיית הניידות.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חברה ג' כתבה בתשובתה כי הממצאים אינם משקפים את אופן פעילותה נכון למאי 2026.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אף על פי שחברה ב' נדרשה לפי החוזה משנת 2022 (לפי מכרז 53.20) להעסיק שמונה רופאים בתחומי התמחות מוגדרים, על פי דוחות ביקורת פנימית והבדיקה החשבונאית 2025 בפועל היא העסיקה חמישה רופאים שאינם מתחומי ההתמחות שנקבעו במכרז. לצד האמור, נמצא כי בתיחור האחרון שביצע משרד התחבורה בפטור ממכרז באפריל 2025 עבור מתן שירותי ייעוץ רפואי לתגי חניה, הוכנסו שיפורים בנוגע לתחומי ההתמחות של הרופאים המטפלים בבקשות לתגי חניה. היקף הדיסציפלינות הנדרשות התרחב מארבע דיסציפלינות בהתקשרות עם חברה ב' לשבע דיסציפלינות עם חברה ג', וגם מספר הרופאים גדל מ-8 רופאים נדרשים ל-24 רופאים מתחומי התמחות מוגדרים ונוספו 5 מזכירים רפואיים ומנהל מקצועי. עם זאת, גם לאחר שחברה ג' החלה לעסוק בנושא, הועלה ב</w:t>
      </w:r>
      <w:r w:rsidRPr="00A210E9">
        <w:rPr>
          <w:rFonts w:eastAsia="Calibri"/>
          <w:b/>
          <w:bCs/>
          <w:rtl/>
        </w:rPr>
        <w:t>דוח ביקורת שערכה חשבות משרד התחבורה בשנת 2025</w:t>
      </w:r>
      <w:r w:rsidRPr="00A210E9">
        <w:rPr>
          <w:rFonts w:eastAsia="Calibri" w:hint="cs"/>
          <w:b/>
          <w:bCs/>
          <w:rtl/>
        </w:rPr>
        <w:t xml:space="preserve"> כי לא כל הרופאים שהעסיקה עמדו בוותק שנקבע בהליך התיחור, והיה חוסר ברופאים בחלק מתחומי ההתמחות.</w:t>
      </w:r>
    </w:p>
    <w:p w:rsidR="00A210E9" w:rsidRPr="00A210E9" w:rsidP="00A210E9">
      <w:pPr>
        <w:spacing w:line="269" w:lineRule="auto"/>
        <w:rPr>
          <w:rFonts w:eastAsia="Calibri"/>
          <w:rtl/>
        </w:rPr>
      </w:pPr>
      <w:r w:rsidRPr="00A210E9">
        <w:rPr>
          <w:rFonts w:eastAsia="Calibri" w:hint="cs"/>
          <w:rtl/>
        </w:rPr>
        <w:t>משרד מבקר המדינה בחן את תנאי ההתקשרות של כמה עיריות עם רופאים הבוחנים זכאות להקצאת חניה אישית לבעלי תג חניה וכן את תחומי ההתמחות של אותם רופאים. בעיריית חיפה למשל מועסקת רופאה שהיא מנהלת חדר מיון, אשר עברה קורס ייעודי שכותרתו "</w:t>
      </w:r>
      <w:r w:rsidRPr="00A210E9">
        <w:rPr>
          <w:rFonts w:eastAsia="Calibri"/>
          <w:rtl/>
        </w:rPr>
        <w:t>הערכת נכות רפואית</w:t>
      </w:r>
      <w:r w:rsidRPr="00A210E9">
        <w:rPr>
          <w:rFonts w:eastAsia="Calibri" w:hint="cs"/>
          <w:rtl/>
        </w:rPr>
        <w:t xml:space="preserve">" המיועד </w:t>
      </w:r>
      <w:r w:rsidRPr="00A210E9">
        <w:rPr>
          <w:rFonts w:eastAsia="Calibri"/>
          <w:rtl/>
        </w:rPr>
        <w:t xml:space="preserve">לרופאים </w:t>
      </w:r>
      <w:r w:rsidRPr="00A210E9">
        <w:rPr>
          <w:rFonts w:eastAsia="Calibri" w:hint="cs"/>
          <w:rtl/>
        </w:rPr>
        <w:t xml:space="preserve">ולעורכי דין </w:t>
      </w:r>
      <w:r w:rsidRPr="00A210E9">
        <w:rPr>
          <w:rFonts w:eastAsia="Calibri"/>
          <w:rtl/>
        </w:rPr>
        <w:t xml:space="preserve">העוסקים </w:t>
      </w:r>
      <w:r w:rsidRPr="00A210E9">
        <w:rPr>
          <w:rFonts w:eastAsia="Calibri" w:hint="cs"/>
          <w:rtl/>
        </w:rPr>
        <w:t xml:space="preserve">בין היתר </w:t>
      </w:r>
      <w:r w:rsidRPr="00A210E9">
        <w:rPr>
          <w:rFonts w:eastAsia="Calibri"/>
          <w:rtl/>
        </w:rPr>
        <w:t xml:space="preserve">בתחומים של הביטוח הלאומי </w:t>
      </w:r>
      <w:r w:rsidRPr="00A210E9">
        <w:rPr>
          <w:rFonts w:eastAsia="Calibri" w:hint="cs"/>
          <w:rtl/>
        </w:rPr>
        <w:t>ו</w:t>
      </w:r>
      <w:r w:rsidRPr="00A210E9">
        <w:rPr>
          <w:rFonts w:eastAsia="Calibri"/>
          <w:rtl/>
        </w:rPr>
        <w:t xml:space="preserve">ייצוג </w:t>
      </w:r>
      <w:r w:rsidRPr="00A210E9">
        <w:rPr>
          <w:rFonts w:eastAsia="Calibri" w:hint="cs"/>
          <w:rtl/>
        </w:rPr>
        <w:t>בו</w:t>
      </w:r>
      <w:r w:rsidRPr="00A210E9">
        <w:rPr>
          <w:rFonts w:eastAsia="Calibri"/>
          <w:rtl/>
        </w:rPr>
        <w:t>ועדות רפואיות</w:t>
      </w:r>
      <w:r w:rsidRPr="00A210E9">
        <w:rPr>
          <w:rFonts w:eastAsia="Calibri" w:hint="cs"/>
          <w:rtl/>
        </w:rPr>
        <w:t>.</w:t>
      </w:r>
      <w:r w:rsidRPr="00A210E9">
        <w:rPr>
          <w:rFonts w:eastAsia="Calibri"/>
          <w:rtl/>
        </w:rPr>
        <w:t xml:space="preserve"> </w:t>
      </w:r>
      <w:r w:rsidRPr="00A210E9">
        <w:rPr>
          <w:rFonts w:eastAsia="Calibri" w:hint="cs"/>
          <w:rtl/>
        </w:rPr>
        <w:t>קורס מסוג זה מתקיים בטכניון ובאוניברסיטת תל אביב</w:t>
      </w:r>
      <w:r>
        <w:rPr>
          <w:rFonts w:eastAsia="Calibri"/>
          <w:vertAlign w:val="superscript"/>
          <w:rtl/>
        </w:rPr>
        <w:footnoteReference w:id="176"/>
      </w:r>
      <w:r w:rsidRPr="00A210E9">
        <w:rPr>
          <w:rFonts w:eastAsia="Calibri" w:hint="cs"/>
          <w:rtl/>
        </w:rPr>
        <w:t xml:space="preserve">. עיריית תל אביב-יפו מעסיקה לשם כך רופא אורתופד ועיריית ירושלים מעסיקה רופאה תעסוקתית.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משרד מבקר המדינה ממליץ למשרד התחבורה להפיק לקחים מההתקשרות בפטור ממכרז עם חברה ג' משנת 2025 ולהטמיע אותם במכרז הבא. עוד מומלץ כי משרד התחבורה ילמד מניסיונם של בט"ל, של אגף השיקום, של משרד הרווחה ושל הרשויות המקומיות בעניין העסקת רופאים לצורך קביעת נכות רפואית, לדוגמה בנוגע להכשרות רלוונטיות לרופאים שהוא מעסיק.</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משרד הרווחה כתב בתשובתו כי אם משרד התחבורה יבקש ללמוד מניסיונו בכל הנוגע להכשרות רופאי אמון ולאופן העסקתם, הוא יסייע לו בכך. </w:t>
      </w:r>
    </w:p>
    <w:p w:rsidR="00A210E9" w:rsidRPr="00A210E9" w:rsidP="00A210E9">
      <w:pPr>
        <w:keepNext/>
        <w:keepLines/>
        <w:spacing w:line="269" w:lineRule="auto"/>
        <w:ind w:left="-567"/>
        <w:rPr>
          <w:rFonts w:eastAsia="Calibri"/>
          <w:szCs w:val="20"/>
          <w:rtl/>
        </w:rPr>
      </w:pPr>
    </w:p>
    <w:p w:rsidR="00A210E9" w:rsidRPr="00A210E9" w:rsidP="00A210E9">
      <w:pPr>
        <w:keepNext/>
        <w:keepLines/>
        <w:spacing w:line="269" w:lineRule="auto"/>
        <w:outlineLvl w:val="4"/>
        <w:rPr>
          <w:rFonts w:eastAsia="Times New Roman"/>
          <w:bCs/>
          <w:spacing w:val="40"/>
        </w:rPr>
      </w:pPr>
      <w:r w:rsidRPr="00A210E9">
        <w:rPr>
          <w:rFonts w:eastAsia="Times New Roman" w:hint="cs"/>
          <w:bCs/>
          <w:spacing w:val="40"/>
          <w:rtl/>
        </w:rPr>
        <w:t>תגמול כספי על בחינת הבקשה, מספר הבקשות שטופלו וזמני הטיפול</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בהתקשרות משנת 2016 עם חברה ב' היה התשלום עבור טיפול בפנייה בודדת 9.91 ש"ח לא כולל מע"ם. בהתקשרות משנת 2022 עם אותה החברה היה התשלום עבור טיפול בפנייה בודדת 12.05 ש"ח לא כולל מע"ם. בהתקשרות משנת 2025 עם חברה ג' התשלום עבור טיפול בפנייה בודדת עומד על 49 ש"ח לא כולל מע"ם. תעריפים אלה נקבעים מתוקף המכרז וקובעים את התשלום לחברה, אולם התשלום לרופא שמועסק על ידי החברה עשוי להיות נמוך יותר.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משרד מבקר המדינה בחן את אופן התשלום לרופאים הקובעים זכאות לנכות בגופים המאשרים. הביטוח הלאומי משלם לרופאים לפי שעות ההשתתפות בוועדות הרפואיות ולא לפי מספר התביעות הנבדקות. באגף השיקום הרופאים הם עובדי משרד הביטחון והם מקבלים שכר לפי הסכם קיבוצי. בדיקת תנאי ההתקשרות של כמה עיריות עם רופאים המאשרים זכאות להקצאת חניה אישית העלתה כי העיריות משלמות 200 - 300 ש"ח עבור בקשה אחת; דהיינו, פי 16 לפחות מהתשלום של משרד התחבורה לחברה ב' ופי ארבע לפחות מהתשלום לחברה ג'. יצוין כי בדומה לרופאי אגף הרישוי, הרופאים המועסקים על ידי העיריות שנבדקו בוחנים את הבקשות על פי מסמכים בלבד והם אינם בודקים פיזית את המבקשים.</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הביקורת הפנימית של משרד התחבורה בחנה בשנת 2022 את מספר ההחלטות שהתקבלו על ידי רופאי אגף הרישוי בשנים 2017 - 2021. הלוח שלהלן מציג נתונים יומיים על שני רופאים שעבדו בשנים אלה מתוך ארבעת הרופאים שבדקו את הבקשות. שני הרופאים הנותרים בדקו יחסית מעט בקשות:</w:t>
      </w:r>
    </w:p>
    <w:p w:rsidR="00A210E9" w:rsidRPr="00A210E9" w:rsidP="00A210E9">
      <w:pPr>
        <w:keepNext/>
        <w:keepLines/>
        <w:spacing w:line="269" w:lineRule="auto"/>
        <w:ind w:left="-567"/>
        <w:rPr>
          <w:rFonts w:eastAsia="Calibri"/>
          <w:szCs w:val="20"/>
          <w:rtl/>
        </w:rPr>
      </w:pPr>
    </w:p>
    <w:p w:rsidR="00A210E9" w:rsidRPr="00A210E9" w:rsidP="00A210E9">
      <w:pPr>
        <w:keepNext/>
        <w:keepLines/>
        <w:spacing w:line="269" w:lineRule="auto"/>
        <w:jc w:val="center"/>
        <w:rPr>
          <w:rFonts w:eastAsia="Calibri"/>
          <w:b/>
          <w:bCs/>
          <w:rtl/>
        </w:rPr>
      </w:pPr>
      <w:r w:rsidRPr="00A210E9">
        <w:rPr>
          <w:rFonts w:eastAsia="Calibri" w:hint="cs"/>
          <w:rtl/>
        </w:rPr>
        <w:t xml:space="preserve">לוח 14:  </w:t>
      </w:r>
      <w:r w:rsidRPr="00A210E9">
        <w:rPr>
          <w:rFonts w:eastAsia="Calibri" w:hint="cs"/>
          <w:b/>
          <w:bCs/>
          <w:rtl/>
        </w:rPr>
        <w:t xml:space="preserve">ממוצע החלטות יומי של שני רופאי חברה ב' שבדקו את מרבית הבקשות*, </w:t>
      </w:r>
    </w:p>
    <w:p w:rsidR="00A210E9" w:rsidRPr="00A210E9" w:rsidP="00A210E9">
      <w:pPr>
        <w:keepNext/>
        <w:keepLines/>
        <w:spacing w:line="269" w:lineRule="auto"/>
        <w:jc w:val="center"/>
        <w:rPr>
          <w:rFonts w:eastAsia="Calibri"/>
          <w:rtl/>
        </w:rPr>
      </w:pPr>
      <w:r w:rsidRPr="00A210E9">
        <w:rPr>
          <w:rFonts w:eastAsia="Calibri" w:hint="cs"/>
          <w:b/>
          <w:bCs/>
          <w:rtl/>
        </w:rPr>
        <w:t>2017 - 2021</w:t>
      </w:r>
    </w:p>
    <w:tbl>
      <w:tblPr>
        <w:tblStyle w:val="GridTable4Accent1"/>
        <w:bidiVisual/>
        <w:tblW w:w="3973" w:type="dxa"/>
        <w:jc w:val="center"/>
        <w:tblLook w:val="04A0"/>
      </w:tblPr>
      <w:tblGrid>
        <w:gridCol w:w="1225"/>
        <w:gridCol w:w="1480"/>
        <w:gridCol w:w="1268"/>
      </w:tblGrid>
      <w:tr w:rsidTr="00A210E9">
        <w:tblPrEx>
          <w:tblW w:w="3973" w:type="dxa"/>
          <w:jc w:val="center"/>
          <w:tblLook w:val="04A0"/>
        </w:tblPrEx>
        <w:trPr>
          <w:trHeight w:val="280"/>
          <w:jc w:val="center"/>
        </w:trPr>
        <w:tc>
          <w:tcPr>
            <w:tcW w:w="1225" w:type="dxa"/>
            <w:noWrap/>
            <w:hideMark/>
          </w:tcPr>
          <w:p w:rsidR="00A210E9" w:rsidRPr="00A210E9" w:rsidP="00A210E9">
            <w:pPr>
              <w:spacing w:line="269" w:lineRule="auto"/>
              <w:jc w:val="center"/>
              <w:rPr>
                <w:rFonts w:ascii="David" w:eastAsia="Times New Roman" w:hAnsi="David"/>
                <w:color w:val="000000"/>
                <w:sz w:val="22"/>
                <w:szCs w:val="22"/>
              </w:rPr>
            </w:pPr>
            <w:r w:rsidRPr="00A210E9">
              <w:rPr>
                <w:rFonts w:ascii="David" w:eastAsia="Times New Roman" w:hAnsi="David" w:hint="cs"/>
                <w:color w:val="000000"/>
                <w:sz w:val="22"/>
                <w:szCs w:val="22"/>
                <w:rtl/>
              </w:rPr>
              <w:t>ה</w:t>
            </w:r>
            <w:r w:rsidRPr="00A210E9">
              <w:rPr>
                <w:rFonts w:ascii="David" w:eastAsia="Times New Roman" w:hAnsi="David"/>
                <w:color w:val="000000"/>
                <w:sz w:val="22"/>
                <w:szCs w:val="22"/>
                <w:rtl/>
              </w:rPr>
              <w:t>שנה</w:t>
            </w:r>
          </w:p>
        </w:tc>
        <w:tc>
          <w:tcPr>
            <w:tcW w:w="1480" w:type="dxa"/>
            <w:noWrap/>
            <w:hideMark/>
          </w:tcPr>
          <w:p w:rsidR="00A210E9" w:rsidRPr="00A210E9" w:rsidP="00A210E9">
            <w:pPr>
              <w:spacing w:line="269" w:lineRule="auto"/>
              <w:jc w:val="center"/>
              <w:rPr>
                <w:rFonts w:ascii="David" w:eastAsia="Times New Roman" w:hAnsi="David"/>
                <w:color w:val="000000"/>
                <w:sz w:val="22"/>
                <w:szCs w:val="22"/>
              </w:rPr>
            </w:pPr>
            <w:r w:rsidRPr="00A210E9">
              <w:rPr>
                <w:rFonts w:ascii="David" w:eastAsia="Times New Roman" w:hAnsi="David"/>
                <w:color w:val="000000"/>
                <w:sz w:val="22"/>
                <w:szCs w:val="22"/>
                <w:rtl/>
              </w:rPr>
              <w:t>רופא 1</w:t>
            </w:r>
          </w:p>
        </w:tc>
        <w:tc>
          <w:tcPr>
            <w:tcW w:w="1268" w:type="dxa"/>
            <w:noWrap/>
            <w:hideMark/>
          </w:tcPr>
          <w:p w:rsidR="00A210E9" w:rsidRPr="00A210E9" w:rsidP="00A210E9">
            <w:pPr>
              <w:spacing w:line="269" w:lineRule="auto"/>
              <w:jc w:val="center"/>
              <w:rPr>
                <w:rFonts w:ascii="David" w:eastAsia="Times New Roman" w:hAnsi="David"/>
                <w:color w:val="000000"/>
                <w:sz w:val="22"/>
                <w:szCs w:val="22"/>
              </w:rPr>
            </w:pPr>
            <w:r w:rsidRPr="00A210E9">
              <w:rPr>
                <w:rFonts w:ascii="David" w:eastAsia="Times New Roman" w:hAnsi="David"/>
                <w:color w:val="000000"/>
                <w:sz w:val="22"/>
                <w:szCs w:val="22"/>
                <w:rtl/>
              </w:rPr>
              <w:t>רופא 2</w:t>
            </w:r>
          </w:p>
        </w:tc>
      </w:tr>
      <w:tr w:rsidTr="00A210E9">
        <w:tblPrEx>
          <w:tblW w:w="3973" w:type="dxa"/>
          <w:jc w:val="center"/>
          <w:tblLook w:val="04A0"/>
        </w:tblPrEx>
        <w:trPr>
          <w:trHeight w:val="280"/>
          <w:jc w:val="center"/>
        </w:trPr>
        <w:tc>
          <w:tcPr>
            <w:tcW w:w="1225" w:type="dxa"/>
            <w:noWrap/>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Pr>
              <w:t>2017</w:t>
            </w:r>
          </w:p>
        </w:tc>
        <w:tc>
          <w:tcPr>
            <w:tcW w:w="1480" w:type="dxa"/>
            <w:noWrap/>
            <w:hideMark/>
          </w:tcPr>
          <w:p w:rsidR="00A210E9" w:rsidRPr="00A210E9" w:rsidP="00A210E9">
            <w:pPr>
              <w:spacing w:line="269" w:lineRule="auto"/>
              <w:jc w:val="left"/>
              <w:rPr>
                <w:rFonts w:ascii="David" w:eastAsia="Times New Roman" w:hAnsi="David"/>
                <w:color w:val="000000"/>
                <w:sz w:val="22"/>
                <w:szCs w:val="22"/>
                <w:rtl/>
              </w:rPr>
            </w:pPr>
            <w:r w:rsidRPr="00A210E9">
              <w:rPr>
                <w:rFonts w:ascii="David" w:eastAsia="Times New Roman" w:hAnsi="David"/>
                <w:color w:val="000000"/>
                <w:sz w:val="22"/>
                <w:szCs w:val="22"/>
              </w:rPr>
              <w:t>97</w:t>
            </w:r>
          </w:p>
        </w:tc>
        <w:tc>
          <w:tcPr>
            <w:tcW w:w="1268" w:type="dxa"/>
            <w:noWrap/>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Pr>
              <w:t>66</w:t>
            </w:r>
          </w:p>
        </w:tc>
      </w:tr>
      <w:tr w:rsidTr="00A157C9">
        <w:tblPrEx>
          <w:tblW w:w="3973" w:type="dxa"/>
          <w:jc w:val="center"/>
          <w:tblLook w:val="04A0"/>
        </w:tblPrEx>
        <w:trPr>
          <w:trHeight w:val="280"/>
          <w:jc w:val="center"/>
        </w:trPr>
        <w:tc>
          <w:tcPr>
            <w:tcW w:w="1225" w:type="dxa"/>
            <w:noWrap/>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Pr>
              <w:t>2018</w:t>
            </w:r>
          </w:p>
        </w:tc>
        <w:tc>
          <w:tcPr>
            <w:tcW w:w="1480" w:type="dxa"/>
            <w:noWrap/>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Pr>
              <w:t>151</w:t>
            </w:r>
          </w:p>
        </w:tc>
        <w:tc>
          <w:tcPr>
            <w:tcW w:w="1268" w:type="dxa"/>
            <w:noWrap/>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Pr>
              <w:t>77</w:t>
            </w:r>
          </w:p>
        </w:tc>
      </w:tr>
      <w:tr w:rsidTr="00A210E9">
        <w:tblPrEx>
          <w:tblW w:w="3973" w:type="dxa"/>
          <w:jc w:val="center"/>
          <w:tblLook w:val="04A0"/>
        </w:tblPrEx>
        <w:trPr>
          <w:trHeight w:val="280"/>
          <w:jc w:val="center"/>
        </w:trPr>
        <w:tc>
          <w:tcPr>
            <w:tcW w:w="1225" w:type="dxa"/>
            <w:noWrap/>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Pr>
              <w:t>2019</w:t>
            </w:r>
          </w:p>
        </w:tc>
        <w:tc>
          <w:tcPr>
            <w:tcW w:w="1480" w:type="dxa"/>
            <w:noWrap/>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Pr>
              <w:t>176</w:t>
            </w:r>
          </w:p>
        </w:tc>
        <w:tc>
          <w:tcPr>
            <w:tcW w:w="1268" w:type="dxa"/>
            <w:noWrap/>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Pr>
              <w:t>153</w:t>
            </w:r>
          </w:p>
        </w:tc>
      </w:tr>
      <w:tr w:rsidTr="00A157C9">
        <w:tblPrEx>
          <w:tblW w:w="3973" w:type="dxa"/>
          <w:jc w:val="center"/>
          <w:tblLook w:val="04A0"/>
        </w:tblPrEx>
        <w:trPr>
          <w:trHeight w:val="280"/>
          <w:jc w:val="center"/>
        </w:trPr>
        <w:tc>
          <w:tcPr>
            <w:tcW w:w="1225" w:type="dxa"/>
            <w:noWrap/>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Pr>
              <w:t>2020</w:t>
            </w:r>
          </w:p>
        </w:tc>
        <w:tc>
          <w:tcPr>
            <w:tcW w:w="1480" w:type="dxa"/>
            <w:noWrap/>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Pr>
              <w:t>118</w:t>
            </w:r>
          </w:p>
        </w:tc>
        <w:tc>
          <w:tcPr>
            <w:tcW w:w="1268" w:type="dxa"/>
            <w:noWrap/>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Pr>
              <w:t>212</w:t>
            </w:r>
          </w:p>
        </w:tc>
      </w:tr>
      <w:tr w:rsidTr="00A210E9">
        <w:tblPrEx>
          <w:tblW w:w="3973" w:type="dxa"/>
          <w:jc w:val="center"/>
          <w:tblLook w:val="04A0"/>
        </w:tblPrEx>
        <w:trPr>
          <w:trHeight w:val="280"/>
          <w:jc w:val="center"/>
        </w:trPr>
        <w:tc>
          <w:tcPr>
            <w:tcW w:w="1225" w:type="dxa"/>
            <w:noWrap/>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Pr>
              <w:t>2021</w:t>
            </w:r>
          </w:p>
        </w:tc>
        <w:tc>
          <w:tcPr>
            <w:tcW w:w="1480" w:type="dxa"/>
            <w:noWrap/>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Pr>
              <w:t>247</w:t>
            </w:r>
          </w:p>
        </w:tc>
        <w:tc>
          <w:tcPr>
            <w:tcW w:w="1268" w:type="dxa"/>
            <w:noWrap/>
            <w:hideMark/>
          </w:tcPr>
          <w:p w:rsidR="00A210E9" w:rsidRPr="00A210E9" w:rsidP="00A210E9">
            <w:pPr>
              <w:spacing w:line="269" w:lineRule="auto"/>
              <w:jc w:val="left"/>
              <w:rPr>
                <w:rFonts w:ascii="David" w:eastAsia="Times New Roman" w:hAnsi="David"/>
                <w:color w:val="000000"/>
                <w:sz w:val="22"/>
                <w:szCs w:val="22"/>
              </w:rPr>
            </w:pPr>
            <w:r w:rsidRPr="00A210E9">
              <w:rPr>
                <w:rFonts w:ascii="David" w:eastAsia="Times New Roman" w:hAnsi="David"/>
                <w:color w:val="000000"/>
                <w:sz w:val="22"/>
                <w:szCs w:val="22"/>
              </w:rPr>
              <w:t>277</w:t>
            </w:r>
          </w:p>
        </w:tc>
      </w:tr>
    </w:tbl>
    <w:p w:rsidR="00A210E9" w:rsidRPr="00A210E9" w:rsidP="00A210E9">
      <w:pPr>
        <w:spacing w:line="269" w:lineRule="auto"/>
        <w:rPr>
          <w:rFonts w:eastAsia="Calibri"/>
          <w:szCs w:val="20"/>
          <w:rtl/>
        </w:rPr>
      </w:pPr>
      <w:r w:rsidRPr="00A210E9">
        <w:rPr>
          <w:rFonts w:eastAsia="Calibri" w:hint="eastAsia"/>
          <w:szCs w:val="20"/>
          <w:rtl/>
        </w:rPr>
        <w:t>על</w:t>
      </w:r>
      <w:r w:rsidRPr="00A210E9">
        <w:rPr>
          <w:rFonts w:eastAsia="Calibri"/>
          <w:szCs w:val="20"/>
          <w:rtl/>
        </w:rPr>
        <w:t xml:space="preserve"> פי נתוני </w:t>
      </w:r>
      <w:r w:rsidRPr="00A210E9">
        <w:rPr>
          <w:rFonts w:eastAsia="Calibri" w:hint="eastAsia"/>
          <w:szCs w:val="20"/>
          <w:rtl/>
        </w:rPr>
        <w:t>הביקורת</w:t>
      </w:r>
      <w:r w:rsidRPr="00A210E9">
        <w:rPr>
          <w:rFonts w:eastAsia="Calibri"/>
          <w:szCs w:val="20"/>
          <w:rtl/>
        </w:rPr>
        <w:t xml:space="preserve"> הפנימית של </w:t>
      </w:r>
      <w:r w:rsidRPr="00A210E9">
        <w:rPr>
          <w:rFonts w:eastAsia="Calibri" w:hint="eastAsia"/>
          <w:szCs w:val="20"/>
          <w:rtl/>
        </w:rPr>
        <w:t>משרד</w:t>
      </w:r>
      <w:r w:rsidRPr="00A210E9">
        <w:rPr>
          <w:rFonts w:eastAsia="Calibri"/>
          <w:szCs w:val="20"/>
          <w:rtl/>
        </w:rPr>
        <w:t xml:space="preserve"> התחבורה, בעיבוד משרד מבקר המדינה</w:t>
      </w:r>
      <w:r w:rsidRPr="00A210E9">
        <w:rPr>
          <w:rFonts w:eastAsia="Calibri" w:hint="cs"/>
          <w:szCs w:val="20"/>
          <w:rtl/>
        </w:rPr>
        <w:t>.</w:t>
      </w:r>
    </w:p>
    <w:p w:rsidR="00A210E9" w:rsidRPr="00A210E9" w:rsidP="00A210E9">
      <w:pPr>
        <w:spacing w:line="269" w:lineRule="auto"/>
        <w:rPr>
          <w:rFonts w:eastAsia="Calibri"/>
          <w:szCs w:val="20"/>
          <w:rtl/>
        </w:rPr>
      </w:pPr>
      <w:r w:rsidRPr="00A210E9">
        <w:rPr>
          <w:rFonts w:eastAsia="Calibri" w:hint="cs"/>
          <w:szCs w:val="20"/>
          <w:rtl/>
        </w:rPr>
        <w:t>* בהנחה שבשנה יש 261 ימי עבודה (ללא חגים ומועדים).</w:t>
      </w:r>
    </w:p>
    <w:p w:rsidR="00A210E9" w:rsidRPr="00A210E9" w:rsidP="00A210E9">
      <w:pPr>
        <w:spacing w:line="269" w:lineRule="auto"/>
        <w:rPr>
          <w:rFonts w:eastAsia="Calibri"/>
          <w:b/>
          <w:bCs/>
          <w:rtl/>
        </w:rPr>
      </w:pPr>
      <w:r w:rsidRPr="00A210E9">
        <w:rPr>
          <w:rFonts w:eastAsia="Calibri" w:hint="cs"/>
          <w:b/>
          <w:bCs/>
          <w:rtl/>
        </w:rPr>
        <w:t xml:space="preserve">מהלוח עולה כי בשנים 2017 - 2018 כל אחד משני הרופאים מטעם חברה ב' שטיפלו במרבית הבקשות לתגי חניה טיפל בעשרות בקשות ביום, ומאז מספר זה הלך ועלה. בשנים 2020 - 2021 כל רופא טיפל במאות בקשות ביום.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כאמור, משנת 2021 חל גידול חד במספר הבקשות לתגי חניה שהוגשו לאגף הרישוי. משרד התחבורה מצא כי בשנים 2022 - 2024 אושרו תגי החניה בלוחות זמנים שאינם מאפשרים מתן החלטה על בסיס בחינת המסמכים כנדרש, והרופאים גם נמנעו ממתן נימוקים רפואיים להחלטותיהם; למשל, נמצאו 110 מקרים שבהם הרופאים קיבלו יותר מ-480 החלטות ביממה אחת, נתון שמשקף כדקה וחצי להחלטה בממוצע, בהנחה שהרופא עבד 12 שעות עבודה באותו יום. נמצאו גם מקרים שבהם רופאים קיבלו ארבע החלטות ויותר בדקה, ומקרים אחרים שבהם בקשות נבדקו במשך 13 ו-16 שעות ברצף, ולאחר הפסקה של שעה עד שעתיים נמשכה הבדיקה ברצף במשך יותר מ-15 שעות.</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בשנים אלה התקבלו בנציבות תלונות הציבור במשרד מבקר המדינה ובמשרד התחבורה תלונות של פונים שבקשתם נדחתה, ומהן עלה שהבדיקה הרפואית אינה מעמיקה מספיק, מכיוון שהחלטה לדחיית הבקשה התקבלה בתוך דקות ספורות בלבד מרגע הגשת הבקשה. בעקבות זאת, הטמיע אגף הרישוי שיהוי טכני שאינו מאפשר לרופאים לטפל בבקשה ב-24 השעות הראשונות להגשתה, ובכך האריך באופן מלאכותי את זמן הטיפול בבקשות אך לא טיפל בשורש הבעיה.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חברה ב' כתבה בתשובתה למשרד מבקר המדינה ממאי 2026 כי הגישה למערכת הרפואית ניתנה לרופאי החברה בלבד, וכי לנציגי הניהול והתפעול מטעם החברה לא ניתנה גישה למערכת זו, שבה התקבלו ההחלטות ונרשמו הנתונים, אלא הם קיבלו ממשרד התחבורה אחת לחודש דוחות שעל בסיסם היא הייתה אמורה להפיק חשבוניות לתשלום, וללא מידע נוסף. על כן, ציינה החברה, לא היה די בכלים שהעמיד לרשותה משרד התחבורה כדי להקנות לה יכולת ניטור בזמן אמת ואף לא יכולת להפיק דוחות או לבצע בקרות מערכתיות בסיסיות.</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eastAsia"/>
          <w:rtl/>
        </w:rPr>
        <w:t>בתשובתו</w:t>
      </w:r>
      <w:r w:rsidRPr="00A210E9">
        <w:rPr>
          <w:rFonts w:eastAsia="Calibri"/>
          <w:rtl/>
        </w:rPr>
        <w:t xml:space="preserve"> מסר משרד התחבורה כי</w:t>
      </w:r>
      <w:r w:rsidRPr="00A210E9">
        <w:rPr>
          <w:rFonts w:eastAsia="Calibri" w:hint="cs"/>
          <w:rtl/>
        </w:rPr>
        <w:t xml:space="preserve"> </w:t>
      </w:r>
      <w:r w:rsidRPr="00A210E9">
        <w:rPr>
          <w:rFonts w:eastAsia="Calibri"/>
          <w:rtl/>
        </w:rPr>
        <w:t xml:space="preserve">סוגיות הנוגעות להיקף הבקשות המטופלות ולזמני הטיפול </w:t>
      </w:r>
      <w:r w:rsidRPr="00A210E9">
        <w:rPr>
          <w:rFonts w:eastAsia="Calibri" w:hint="cs"/>
          <w:rtl/>
        </w:rPr>
        <w:t>הו</w:t>
      </w:r>
      <w:r w:rsidRPr="00A210E9">
        <w:rPr>
          <w:rFonts w:eastAsia="Calibri"/>
          <w:rtl/>
        </w:rPr>
        <w:t xml:space="preserve">עלו במסגרת ביקורת פנימית </w:t>
      </w:r>
      <w:r w:rsidRPr="00A210E9">
        <w:rPr>
          <w:rFonts w:eastAsia="Calibri" w:hint="eastAsia"/>
          <w:rtl/>
        </w:rPr>
        <w:t>שהוא</w:t>
      </w:r>
      <w:r w:rsidRPr="00A210E9">
        <w:rPr>
          <w:rFonts w:eastAsia="Calibri"/>
          <w:rtl/>
        </w:rPr>
        <w:t xml:space="preserve"> </w:t>
      </w:r>
      <w:r w:rsidRPr="00A210E9">
        <w:rPr>
          <w:rFonts w:eastAsia="Calibri" w:hint="eastAsia"/>
          <w:rtl/>
        </w:rPr>
        <w:t>יזם</w:t>
      </w:r>
      <w:r w:rsidRPr="00A210E9">
        <w:rPr>
          <w:rFonts w:eastAsia="Calibri"/>
          <w:rtl/>
        </w:rPr>
        <w:t xml:space="preserve"> כבר בסוף שנת 2022. עוד </w:t>
      </w:r>
      <w:r w:rsidRPr="00A210E9">
        <w:rPr>
          <w:rFonts w:eastAsia="Calibri" w:hint="cs"/>
          <w:rtl/>
        </w:rPr>
        <w:t>מסר</w:t>
      </w:r>
      <w:r w:rsidRPr="00A210E9">
        <w:rPr>
          <w:rFonts w:eastAsia="Calibri"/>
          <w:rtl/>
        </w:rPr>
        <w:t xml:space="preserve"> כי חלק מן הממצאים הועברו לטיפול גורמי האכיפה, ו</w:t>
      </w:r>
      <w:r w:rsidRPr="00A210E9">
        <w:rPr>
          <w:rFonts w:eastAsia="Calibri" w:hint="eastAsia"/>
          <w:rtl/>
        </w:rPr>
        <w:t>כי</w:t>
      </w:r>
      <w:r w:rsidRPr="00A210E9">
        <w:rPr>
          <w:rFonts w:eastAsia="Calibri"/>
          <w:rtl/>
        </w:rPr>
        <w:t xml:space="preserve"> מאותו שלב, עם תחילתה של חקירה משטרתית סמויה, </w:t>
      </w:r>
      <w:r w:rsidRPr="00A210E9">
        <w:rPr>
          <w:rFonts w:eastAsia="Calibri" w:hint="cs"/>
          <w:rtl/>
        </w:rPr>
        <w:t xml:space="preserve">הוטלה </w:t>
      </w:r>
      <w:r w:rsidRPr="00A210E9">
        <w:rPr>
          <w:rFonts w:eastAsia="Calibri"/>
          <w:rtl/>
        </w:rPr>
        <w:t>מגבלה ממשית על יכולת</w:t>
      </w:r>
      <w:r w:rsidRPr="00A210E9">
        <w:rPr>
          <w:rFonts w:eastAsia="Calibri" w:hint="cs"/>
          <w:rtl/>
        </w:rPr>
        <w:t>ו</w:t>
      </w:r>
      <w:r w:rsidRPr="00A210E9">
        <w:rPr>
          <w:rFonts w:eastAsia="Calibri"/>
          <w:rtl/>
        </w:rPr>
        <w:t xml:space="preserve"> לפעול באופן גלוי מול הספק.</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תופעה זו חזרה על עצמה גם בהתקשרות עם חברה ג'. חשבות משרד התחבורה בדקה מדגם של בקשות ומצאה כי רופאים חיוו דעה (אישור או דחיה או השלמת מסמכים) על מאות בקשות ביום, דבר שאינו עולה בקנה אחד עם הערכות הזמן והתחשיב שבוצע לצורך התהליך התחרותי שבו הוערך שביום עבודה של שמונה שעות יבוצעו 4 - 5 בדיקות בשעה (הערכה לביצוע של 32 - 40 בדיקות ביום לרופא). עוד נמצא כי גם אם מדובר בעשר שעות עבודה ביום ובכשש בדיקות בשעה, מספר הבקשות הנבדקות אינו אמור להיות יותר מ-60 ובוודאי לא אמור להגיע למאות.</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בבדיקה החשבונאית 2025 צוין כי </w:t>
      </w:r>
      <w:r w:rsidRPr="00A210E9">
        <w:rPr>
          <w:rFonts w:eastAsia="Calibri"/>
          <w:rtl/>
        </w:rPr>
        <w:t>הצעת המחיר שהגישה חבר</w:t>
      </w:r>
      <w:r w:rsidRPr="00A210E9">
        <w:rPr>
          <w:rFonts w:eastAsia="Calibri" w:hint="cs"/>
          <w:rtl/>
        </w:rPr>
        <w:t xml:space="preserve">ה ב' </w:t>
      </w:r>
      <w:r w:rsidRPr="00A210E9">
        <w:rPr>
          <w:rFonts w:eastAsia="Calibri"/>
          <w:rtl/>
        </w:rPr>
        <w:t xml:space="preserve">למכרז </w:t>
      </w:r>
      <w:r w:rsidRPr="00A210E9">
        <w:rPr>
          <w:rFonts w:eastAsia="Calibri" w:hint="cs"/>
          <w:rtl/>
        </w:rPr>
        <w:t xml:space="preserve">משנת 2022 </w:t>
      </w:r>
      <w:r w:rsidRPr="00A210E9">
        <w:rPr>
          <w:rFonts w:eastAsia="Calibri"/>
          <w:rtl/>
        </w:rPr>
        <w:t>הייתה נמוכה באופן חריג בהשוואה למקובל</w:t>
      </w:r>
      <w:r w:rsidRPr="00A210E9">
        <w:rPr>
          <w:rFonts w:eastAsia="Calibri" w:hint="cs"/>
          <w:rtl/>
        </w:rPr>
        <w:t xml:space="preserve"> </w:t>
      </w:r>
      <w:r w:rsidRPr="00A210E9">
        <w:rPr>
          <w:rFonts w:eastAsia="Calibri"/>
          <w:rtl/>
        </w:rPr>
        <w:t xml:space="preserve">ולסביר בענף - 12.05 ש"ח לבדיקה לצורך קבלת תג </w:t>
      </w:r>
      <w:r w:rsidRPr="00A210E9">
        <w:rPr>
          <w:rFonts w:eastAsia="Calibri" w:hint="cs"/>
          <w:rtl/>
        </w:rPr>
        <w:t>חניה</w:t>
      </w:r>
      <w:r w:rsidRPr="00A210E9">
        <w:rPr>
          <w:rFonts w:eastAsia="Calibri"/>
          <w:rtl/>
        </w:rPr>
        <w:t xml:space="preserve">. </w:t>
      </w:r>
      <w:r w:rsidRPr="00A210E9">
        <w:rPr>
          <w:rFonts w:eastAsia="Calibri" w:hint="cs"/>
          <w:rtl/>
        </w:rPr>
        <w:t xml:space="preserve">עוד צוין כי </w:t>
      </w:r>
      <w:r w:rsidRPr="00A210E9">
        <w:rPr>
          <w:rFonts w:eastAsia="Calibri"/>
          <w:rtl/>
        </w:rPr>
        <w:t>תמחור כה נמוך מעורר סימני</w:t>
      </w:r>
      <w:r w:rsidRPr="00A210E9">
        <w:rPr>
          <w:rFonts w:eastAsia="Calibri" w:hint="cs"/>
          <w:rtl/>
        </w:rPr>
        <w:t xml:space="preserve"> </w:t>
      </w:r>
      <w:r w:rsidRPr="00A210E9">
        <w:rPr>
          <w:rFonts w:eastAsia="Calibri"/>
          <w:rtl/>
        </w:rPr>
        <w:t xml:space="preserve">שאלה מהותיים </w:t>
      </w:r>
      <w:r w:rsidRPr="00A210E9">
        <w:rPr>
          <w:rFonts w:eastAsia="Calibri" w:hint="cs"/>
          <w:rtl/>
        </w:rPr>
        <w:t>בנוגע</w:t>
      </w:r>
      <w:r w:rsidRPr="00A210E9">
        <w:rPr>
          <w:rFonts w:eastAsia="Calibri"/>
          <w:rtl/>
        </w:rPr>
        <w:t xml:space="preserve"> ליכולתו של הספק לעמוד בדרישות ההתקשרות, להעסיק את כוח</w:t>
      </w:r>
      <w:r w:rsidRPr="00A210E9">
        <w:rPr>
          <w:rFonts w:eastAsia="Calibri" w:hint="cs"/>
          <w:rtl/>
        </w:rPr>
        <w:t xml:space="preserve"> </w:t>
      </w:r>
      <w:r w:rsidRPr="00A210E9">
        <w:rPr>
          <w:rFonts w:eastAsia="Calibri"/>
          <w:rtl/>
        </w:rPr>
        <w:t xml:space="preserve">האדם המקצועי הנדרש ולספק שירות איכותי </w:t>
      </w:r>
      <w:r w:rsidRPr="00A210E9">
        <w:rPr>
          <w:rFonts w:eastAsia="Calibri" w:hint="cs"/>
          <w:rtl/>
        </w:rPr>
        <w:t>ע</w:t>
      </w:r>
      <w:r w:rsidRPr="00A210E9">
        <w:rPr>
          <w:rFonts w:eastAsia="Calibri"/>
          <w:rtl/>
        </w:rPr>
        <w:t>ל</w:t>
      </w:r>
      <w:r w:rsidRPr="00A210E9">
        <w:rPr>
          <w:rFonts w:eastAsia="Calibri" w:hint="cs"/>
          <w:rtl/>
        </w:rPr>
        <w:t xml:space="preserve"> פי ה</w:t>
      </w:r>
      <w:r w:rsidRPr="00A210E9">
        <w:rPr>
          <w:rFonts w:eastAsia="Calibri"/>
          <w:rtl/>
        </w:rPr>
        <w:t>סטנדרטים שנקבעו.</w:t>
      </w:r>
      <w:r w:rsidRPr="00A210E9">
        <w:rPr>
          <w:rFonts w:eastAsia="Calibri" w:hint="cs"/>
          <w:rtl/>
        </w:rPr>
        <w:t xml:space="preserve"> בבדיקה גם הודגש כי </w:t>
      </w:r>
      <w:r w:rsidRPr="00A210E9">
        <w:rPr>
          <w:rFonts w:eastAsia="Calibri"/>
          <w:rtl/>
        </w:rPr>
        <w:t>ממשרד התחבורה, כרשות המתקשרת, היה מצופה לבחון את סבירות התמחור שהוגש,</w:t>
      </w:r>
      <w:r w:rsidRPr="00A210E9">
        <w:rPr>
          <w:rFonts w:eastAsia="Calibri" w:hint="cs"/>
          <w:rtl/>
        </w:rPr>
        <w:t xml:space="preserve"> </w:t>
      </w:r>
      <w:r w:rsidRPr="00A210E9">
        <w:rPr>
          <w:rFonts w:eastAsia="Calibri"/>
          <w:rtl/>
        </w:rPr>
        <w:t xml:space="preserve">לרבות אופן חישוב העלויות, </w:t>
      </w:r>
      <w:r w:rsidRPr="00A210E9">
        <w:rPr>
          <w:rFonts w:eastAsia="Calibri" w:hint="cs"/>
          <w:rtl/>
        </w:rPr>
        <w:t xml:space="preserve">ואת </w:t>
      </w:r>
      <w:r w:rsidRPr="00A210E9">
        <w:rPr>
          <w:rFonts w:eastAsia="Calibri"/>
          <w:rtl/>
        </w:rPr>
        <w:t xml:space="preserve">הנחות העבודה ששימשו את הספק </w:t>
      </w:r>
      <w:r w:rsidRPr="00A210E9">
        <w:rPr>
          <w:rFonts w:eastAsia="Calibri" w:hint="cs"/>
          <w:rtl/>
        </w:rPr>
        <w:t>(</w:t>
      </w:r>
      <w:r w:rsidRPr="00A210E9">
        <w:rPr>
          <w:rFonts w:eastAsia="Calibri"/>
          <w:rtl/>
        </w:rPr>
        <w:t>כגון משך הזמן הממוצע</w:t>
      </w:r>
      <w:r w:rsidRPr="00A210E9">
        <w:rPr>
          <w:rFonts w:eastAsia="Calibri" w:hint="cs"/>
          <w:rtl/>
        </w:rPr>
        <w:t xml:space="preserve"> </w:t>
      </w:r>
      <w:r w:rsidRPr="00A210E9">
        <w:rPr>
          <w:rFonts w:eastAsia="Calibri"/>
          <w:rtl/>
        </w:rPr>
        <w:t>לכל בדיקה</w:t>
      </w:r>
      <w:r w:rsidRPr="00A210E9">
        <w:rPr>
          <w:rFonts w:eastAsia="Calibri" w:hint="cs"/>
          <w:rtl/>
        </w:rPr>
        <w:t>) וכן</w:t>
      </w:r>
      <w:r w:rsidRPr="00A210E9">
        <w:rPr>
          <w:rFonts w:eastAsia="Calibri"/>
          <w:rtl/>
        </w:rPr>
        <w:t xml:space="preserve"> אם קיים מתאם ריאלי בין המחיר לבין היקף המשאבים הנדרשים לצורך</w:t>
      </w:r>
      <w:r w:rsidRPr="00A210E9">
        <w:rPr>
          <w:rFonts w:eastAsia="Calibri" w:hint="cs"/>
          <w:rtl/>
        </w:rPr>
        <w:t xml:space="preserve"> </w:t>
      </w:r>
      <w:r w:rsidRPr="00A210E9">
        <w:rPr>
          <w:rFonts w:eastAsia="Calibri"/>
          <w:rtl/>
        </w:rPr>
        <w:t>קיום ההתחייבויות החוזיות.</w:t>
      </w:r>
      <w:r w:rsidRPr="00A210E9">
        <w:rPr>
          <w:rFonts w:eastAsia="Calibri" w:hint="cs"/>
          <w:rtl/>
        </w:rPr>
        <w:t xml:space="preserve"> עוד צוין כי </w:t>
      </w:r>
      <w:r w:rsidRPr="00A210E9">
        <w:rPr>
          <w:rFonts w:eastAsia="Calibri"/>
          <w:rtl/>
        </w:rPr>
        <w:t>ה</w:t>
      </w:r>
      <w:r w:rsidRPr="00A210E9">
        <w:rPr>
          <w:rFonts w:eastAsia="Calibri" w:hint="cs"/>
          <w:rtl/>
        </w:rPr>
        <w:t>י</w:t>
      </w:r>
      <w:r w:rsidRPr="00A210E9">
        <w:rPr>
          <w:rFonts w:eastAsia="Calibri"/>
          <w:rtl/>
        </w:rPr>
        <w:t xml:space="preserve">עדר </w:t>
      </w:r>
      <w:r w:rsidRPr="00A210E9">
        <w:rPr>
          <w:rFonts w:eastAsia="Calibri" w:hint="cs"/>
          <w:rtl/>
        </w:rPr>
        <w:t>בחינה כאמור</w:t>
      </w:r>
      <w:r w:rsidRPr="00A210E9">
        <w:rPr>
          <w:rFonts w:eastAsia="Calibri"/>
          <w:rtl/>
        </w:rPr>
        <w:t xml:space="preserve"> יוצר סיכון ממשי שההתקשרות </w:t>
      </w:r>
      <w:r w:rsidRPr="00A210E9">
        <w:rPr>
          <w:rFonts w:eastAsia="Calibri" w:hint="cs"/>
          <w:rtl/>
        </w:rPr>
        <w:t xml:space="preserve">תמומש </w:t>
      </w:r>
      <w:r w:rsidRPr="00A210E9">
        <w:rPr>
          <w:rFonts w:eastAsia="Calibri"/>
          <w:rtl/>
        </w:rPr>
        <w:t>תוך פשרות על איכות השירות, אי</w:t>
      </w:r>
      <w:r w:rsidRPr="00A210E9">
        <w:rPr>
          <w:rFonts w:eastAsia="Calibri" w:hint="cs"/>
          <w:rtl/>
        </w:rPr>
        <w:t>-</w:t>
      </w:r>
      <w:r w:rsidRPr="00A210E9">
        <w:rPr>
          <w:rFonts w:eastAsia="Calibri"/>
          <w:rtl/>
        </w:rPr>
        <w:t>עמידה בתנאי המכרז וההסכם והסתמכות על מנגנונים חסרים או בלתי סבירים מבחינת</w:t>
      </w:r>
      <w:r w:rsidRPr="00A210E9">
        <w:rPr>
          <w:rFonts w:eastAsia="Calibri" w:hint="cs"/>
          <w:rtl/>
        </w:rPr>
        <w:t xml:space="preserve"> </w:t>
      </w:r>
      <w:r w:rsidRPr="00A210E9">
        <w:rPr>
          <w:rFonts w:eastAsia="Calibri"/>
          <w:rtl/>
        </w:rPr>
        <w:t xml:space="preserve">משאבים וכוח אדם.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bookmarkStart w:id="148" w:name="_Hlk219907189"/>
      <w:r w:rsidRPr="00A210E9">
        <w:rPr>
          <w:rFonts w:eastAsia="Calibri" w:hint="cs"/>
          <w:b/>
          <w:bCs/>
          <w:rtl/>
        </w:rPr>
        <w:t>בביקורת עלה כי משנת 2017 ואילך, וביתר שאת משנת 2021, מספר הבקשות שכל רופא מטעם חברה ב' טיפל בהן הלך וגדל במידה לא סבירה. כבר בשנים אלה, וכן לאחריהן, העידו הנתונים על משך טיפול קצר מאוד ולא סביר בכל בקשה.</w:t>
      </w:r>
      <w:r w:rsidRPr="00A210E9">
        <w:rPr>
          <w:rFonts w:eastAsia="Calibri" w:hint="cs"/>
          <w:rtl/>
        </w:rPr>
        <w:t xml:space="preserve"> </w:t>
      </w:r>
      <w:bookmarkEnd w:id="148"/>
      <w:r w:rsidRPr="00A210E9">
        <w:rPr>
          <w:rFonts w:eastAsia="Calibri" w:hint="cs"/>
          <w:b/>
          <w:bCs/>
          <w:rtl/>
        </w:rPr>
        <w:t xml:space="preserve">הדבר הודגש בממצאים של משרד התחבורה עצמו על מקרים שבהם רופאים קיבלו 480 החלטות ביממה אחת, נתון </w:t>
      </w:r>
      <w:r w:rsidRPr="00A210E9">
        <w:rPr>
          <w:rFonts w:eastAsia="Calibri"/>
          <w:b/>
          <w:bCs/>
          <w:rtl/>
        </w:rPr>
        <w:t xml:space="preserve">לפיו הזמן הממוצע לקבלת החלטה נמשך </w:t>
      </w:r>
      <w:r w:rsidRPr="00A210E9">
        <w:rPr>
          <w:rFonts w:eastAsia="Calibri" w:hint="cs"/>
          <w:b/>
          <w:bCs/>
          <w:rtl/>
        </w:rPr>
        <w:t>כדקה וחצי, בהנחה שהרופא עבד 12 שעות באותו יום</w:t>
      </w:r>
      <w:r>
        <w:rPr>
          <w:rFonts w:eastAsia="Calibri"/>
          <w:b/>
          <w:bCs/>
          <w:vertAlign w:val="superscript"/>
          <w:rtl/>
        </w:rPr>
        <w:footnoteReference w:id="177"/>
      </w:r>
      <w:r w:rsidRPr="00A210E9">
        <w:rPr>
          <w:rFonts w:eastAsia="Calibri" w:hint="cs"/>
          <w:b/>
          <w:bCs/>
          <w:rtl/>
        </w:rPr>
        <w:t>.</w:t>
      </w:r>
      <w:r w:rsidRPr="00A210E9">
        <w:rPr>
          <w:rFonts w:eastAsia="Calibri"/>
          <w:sz w:val="16"/>
          <w:szCs w:val="16"/>
          <w:rtl/>
        </w:rPr>
        <w:t xml:space="preserve"> </w:t>
      </w:r>
      <w:r w:rsidRPr="00A210E9">
        <w:rPr>
          <w:rFonts w:eastAsia="Calibri" w:hint="cs"/>
          <w:b/>
          <w:bCs/>
          <w:rtl/>
        </w:rPr>
        <w:t xml:space="preserve">אף שמשרד התחבורה קיים תהליכי ביקורת במהלך השנים והעלה ממצאים, הוא לא בדק את איכות הטיפול בבקשות, לא טיפל בשורש הבעיה בתקופת ההתקשרויות עם חברה ב' עד ספטמבר 2021 ולא ביצע בקרות סדירות. </w:t>
      </w:r>
      <w:r w:rsidRPr="00A210E9">
        <w:rPr>
          <w:rFonts w:eastAsia="Calibri" w:hint="eastAsia"/>
          <w:b/>
          <w:bCs/>
          <w:rtl/>
        </w:rPr>
        <w:t>יתרה</w:t>
      </w:r>
      <w:r w:rsidRPr="00A210E9">
        <w:rPr>
          <w:rFonts w:eastAsia="Calibri"/>
          <w:b/>
          <w:bCs/>
          <w:rtl/>
        </w:rPr>
        <w:t xml:space="preserve"> </w:t>
      </w:r>
      <w:r w:rsidRPr="00A210E9">
        <w:rPr>
          <w:rFonts w:eastAsia="Calibri" w:hint="cs"/>
          <w:b/>
          <w:bCs/>
          <w:rtl/>
        </w:rPr>
        <w:t xml:space="preserve">מזו, גם במסגרת מכרז 53.20 בשנת 2022 לא טופל הנושא ולא שולבו במסמכי המכרז הנחיות וסנקציות מתאימות, וחברה ב' זכתה שוב במכרז זה. במסגרת ההתקשרות שבאה בעקבות מכרז 53.20, זמן הטיפול בבקשות התקצר עוד יותר. לא זו אף זו, גם בהתקשרות עם חברה ג' שהחלה בשנת 2025 נשנתה תופעה זו ונמצא כי רופאים טיפלו במאות בקשות ביום.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 xml:space="preserve">עוד הועלה </w:t>
      </w:r>
      <w:bookmarkStart w:id="149" w:name="_Hlk223945690"/>
      <w:r w:rsidRPr="00A210E9">
        <w:rPr>
          <w:rFonts w:eastAsia="Calibri" w:hint="cs"/>
          <w:b/>
          <w:bCs/>
          <w:rtl/>
        </w:rPr>
        <w:t>שהתמחור לחברה ב' עבור בדיקת זכאות לתגי חניה היה נמוך באופן לא סביר יחסית למקובל,</w:t>
      </w:r>
      <w:bookmarkEnd w:id="149"/>
      <w:r w:rsidRPr="00A210E9">
        <w:rPr>
          <w:rFonts w:eastAsia="Calibri" w:hint="cs"/>
          <w:b/>
          <w:bCs/>
          <w:rtl/>
        </w:rPr>
        <w:t xml:space="preserve"> למשל ביחס לרופאי הביטוח הלאומי ורופאי אגף השיקום, ובפרט ביחס לרופאים המייעצים לרשויות המקומיות.</w:t>
      </w:r>
      <w:r w:rsidRPr="00A210E9">
        <w:rPr>
          <w:rFonts w:eastAsia="Calibri" w:hint="cs"/>
          <w:b/>
          <w:bCs/>
        </w:rPr>
        <w:t xml:space="preserve"> </w:t>
      </w:r>
      <w:r w:rsidRPr="00A210E9">
        <w:rPr>
          <w:rFonts w:eastAsia="Calibri" w:hint="cs"/>
          <w:b/>
          <w:bCs/>
          <w:rtl/>
        </w:rPr>
        <w:t>אגף הרישוי שילם עבור השירות על פי ההסכם משנת 2022 עם חברה ב' 12.05 ש"ח לטיפול בבקשה אחת (לא כולל מע"ם) ועל פי ההסכם משנת 2025 עם חברה ג' - 49 ש"ח (לא כולל מע"ם). לשם השוואה, העיריות שבדק משרד מבקר המדינה משלמות 200 - 300 ש"ח על עבודה דומה במהותה. תמחור נמוך מ</w:t>
      </w:r>
      <w:r w:rsidRPr="00A210E9">
        <w:rPr>
          <w:rFonts w:eastAsia="Calibri"/>
          <w:b/>
          <w:bCs/>
          <w:rtl/>
        </w:rPr>
        <w:t xml:space="preserve">עורר חשש לפגיעה באיכות השירות הרפואי </w:t>
      </w:r>
      <w:r w:rsidRPr="00A210E9">
        <w:rPr>
          <w:rFonts w:eastAsia="Calibri" w:hint="cs"/>
          <w:b/>
          <w:bCs/>
          <w:rtl/>
        </w:rPr>
        <w:t>הנדרש</w:t>
      </w:r>
      <w:r w:rsidRPr="00A210E9">
        <w:rPr>
          <w:rFonts w:eastAsia="Calibri"/>
          <w:b/>
          <w:bCs/>
          <w:rtl/>
        </w:rPr>
        <w:t xml:space="preserve"> </w:t>
      </w:r>
      <w:r w:rsidRPr="00A210E9">
        <w:rPr>
          <w:rFonts w:eastAsia="Calibri" w:hint="cs"/>
          <w:b/>
          <w:bCs/>
          <w:rtl/>
        </w:rPr>
        <w:t>לאגף הרישוי לצורך בחינת זכאות לתג חניה</w:t>
      </w:r>
      <w:r w:rsidRPr="00A210E9">
        <w:rPr>
          <w:rFonts w:eastAsia="Calibri"/>
          <w:b/>
          <w:bCs/>
          <w:rtl/>
        </w:rPr>
        <w:t xml:space="preserve">. </w:t>
      </w:r>
      <w:r w:rsidRPr="00A210E9">
        <w:rPr>
          <w:rFonts w:eastAsia="Calibri" w:hint="cs"/>
          <w:b/>
          <w:bCs/>
          <w:rtl/>
        </w:rPr>
        <w:t xml:space="preserve">נוסף על כך, </w:t>
      </w:r>
      <w:r w:rsidRPr="00A210E9">
        <w:rPr>
          <w:rFonts w:eastAsia="Calibri"/>
          <w:b/>
          <w:bCs/>
          <w:rtl/>
        </w:rPr>
        <w:t xml:space="preserve">תמחור נמוך עלול להרתיע רופאים מנוסים מלקחת חלק בבדיקת הבקשות, </w:t>
      </w:r>
      <w:r w:rsidRPr="00A210E9">
        <w:rPr>
          <w:rFonts w:eastAsia="Calibri" w:hint="cs"/>
          <w:b/>
          <w:bCs/>
          <w:rtl/>
        </w:rPr>
        <w:t xml:space="preserve">וליצור </w:t>
      </w:r>
      <w:r w:rsidRPr="00A210E9">
        <w:rPr>
          <w:rFonts w:eastAsia="Calibri"/>
          <w:b/>
          <w:bCs/>
          <w:rtl/>
        </w:rPr>
        <w:t xml:space="preserve">תמריץ כלכלי להעדפת כמות על פני איכות, דבר העלול לפגוע במידת ההעמקה, בזהירות וביסודיות </w:t>
      </w:r>
      <w:r w:rsidRPr="00A210E9">
        <w:rPr>
          <w:rFonts w:eastAsia="Calibri" w:hint="cs"/>
          <w:b/>
          <w:bCs/>
          <w:rtl/>
        </w:rPr>
        <w:t xml:space="preserve">של </w:t>
      </w:r>
      <w:r w:rsidRPr="00A210E9">
        <w:rPr>
          <w:rFonts w:eastAsia="Calibri"/>
          <w:b/>
          <w:bCs/>
          <w:rtl/>
        </w:rPr>
        <w:t>ההערכה הרפואית, ולהוביל לשחיקה בתנאי ההעסקה ובמוטיבציה.</w:t>
      </w:r>
      <w:r w:rsidRPr="00A210E9">
        <w:rPr>
          <w:rFonts w:eastAsia="Calibri" w:hint="cs"/>
          <w:b/>
          <w:bCs/>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bookmarkStart w:id="150" w:name="_Hlk223945638"/>
      <w:r w:rsidRPr="00A210E9">
        <w:rPr>
          <w:rFonts w:eastAsia="Calibri" w:hint="cs"/>
          <w:b/>
          <w:bCs/>
          <w:rtl/>
        </w:rPr>
        <w:t xml:space="preserve">הנתונים הלא סבירים על מספר הבקשות שטופלו בידי רופאי אגף הרישוי שטיפלו במרבית הבקשות, זמני הטיפול הקצרים מאוד והתגמול הנמוך המשולם לרופאי אגף הרישוי, מעלים את החשש כי ההסכם לא תמרץ את הרופאים לבדוק באופן מעמיק את הבקשות, אלא רק להספיק לטפל בכמה שיותר בקשות.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 xml:space="preserve">משרד התחבורה ואגף החשכ"ל גם לא בחנו את הבעייתיות של סוגיית התמחור הנמוך שעלתה מהנתונים. כאמור, חברה ב' חזרה וזכתה במכרזים שבהם הציעה מחירים נמוכים, ולא זו אף זו - משרד התחבורה ואגף החשכ"ל אישרו פעם אחר פעם התקשרויות עם החברה בפטור ממכרז. אף שתלונות שהוגשו בנוגע למשך זמן טיפול קצר </w:t>
      </w:r>
      <w:r w:rsidRPr="00A210E9">
        <w:rPr>
          <w:rFonts w:eastAsia="Calibri" w:hint="eastAsia"/>
          <w:b/>
          <w:bCs/>
          <w:rtl/>
        </w:rPr>
        <w:t>ביותר</w:t>
      </w:r>
      <w:r w:rsidRPr="00A210E9">
        <w:rPr>
          <w:rFonts w:eastAsia="Calibri" w:hint="cs"/>
          <w:b/>
          <w:bCs/>
          <w:rtl/>
        </w:rPr>
        <w:t xml:space="preserve"> היו אמורות לעורר חשד על פגיעה באיכות הטיפול, </w:t>
      </w:r>
      <w:r w:rsidRPr="00A210E9">
        <w:rPr>
          <w:rFonts w:eastAsia="Calibri" w:hint="eastAsia"/>
          <w:b/>
          <w:bCs/>
          <w:rtl/>
        </w:rPr>
        <w:t>נעשה</w:t>
      </w:r>
      <w:r w:rsidRPr="00A210E9">
        <w:rPr>
          <w:rFonts w:eastAsia="Calibri"/>
          <w:b/>
          <w:bCs/>
          <w:rtl/>
        </w:rPr>
        <w:t xml:space="preserve"> מהלך טכני </w:t>
      </w:r>
      <w:r w:rsidRPr="00A210E9">
        <w:rPr>
          <w:rFonts w:eastAsia="Calibri" w:hint="cs"/>
          <w:b/>
          <w:bCs/>
          <w:rtl/>
        </w:rPr>
        <w:t xml:space="preserve">(השהייה במערכת הרפואית שהאריכה לכאורה את זמן הטיפול) והנושא לא טופל מהיסוד.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eastAsia"/>
          <w:rtl/>
        </w:rPr>
        <w:t>משרד</w:t>
      </w:r>
      <w:r w:rsidRPr="00A210E9">
        <w:rPr>
          <w:rFonts w:eastAsia="Calibri"/>
          <w:rtl/>
        </w:rPr>
        <w:t xml:space="preserve"> התחבורה מסר בתשובתו כי אחד הלקחים המרכזיים </w:t>
      </w:r>
      <w:r w:rsidRPr="00A210E9">
        <w:rPr>
          <w:rFonts w:eastAsia="Calibri" w:hint="cs"/>
          <w:rtl/>
        </w:rPr>
        <w:t>שהוא הפיק ויישם בעקבות ההתקשרות</w:t>
      </w:r>
      <w:r w:rsidRPr="00A210E9">
        <w:rPr>
          <w:rFonts w:eastAsia="Calibri"/>
          <w:rtl/>
        </w:rPr>
        <w:t xml:space="preserve"> עם חברה ב' הוא שינוי מהותי בתמחור</w:t>
      </w:r>
      <w:r w:rsidRPr="00A210E9">
        <w:rPr>
          <w:rFonts w:eastAsia="Calibri" w:hint="cs"/>
          <w:rtl/>
        </w:rPr>
        <w:t xml:space="preserve"> של הבדיקות,</w:t>
      </w:r>
      <w:r w:rsidRPr="00A210E9">
        <w:rPr>
          <w:rFonts w:eastAsia="Calibri"/>
          <w:rtl/>
        </w:rPr>
        <w:t xml:space="preserve"> וכי </w:t>
      </w:r>
      <w:r w:rsidRPr="00A210E9">
        <w:rPr>
          <w:rFonts w:eastAsia="Calibri" w:hint="cs"/>
          <w:rtl/>
        </w:rPr>
        <w:t>במסגרת ה</w:t>
      </w:r>
      <w:r w:rsidRPr="00A210E9">
        <w:rPr>
          <w:rFonts w:eastAsia="Calibri"/>
          <w:rtl/>
        </w:rPr>
        <w:t xml:space="preserve">התקשרות </w:t>
      </w:r>
      <w:r w:rsidRPr="00A210E9">
        <w:rPr>
          <w:rFonts w:eastAsia="Calibri" w:hint="eastAsia"/>
          <w:rtl/>
        </w:rPr>
        <w:t>עם</w:t>
      </w:r>
      <w:r w:rsidRPr="00A210E9">
        <w:rPr>
          <w:rFonts w:eastAsia="Calibri"/>
          <w:rtl/>
        </w:rPr>
        <w:t xml:space="preserve"> </w:t>
      </w:r>
      <w:r w:rsidRPr="00A210E9">
        <w:rPr>
          <w:rFonts w:eastAsia="Calibri" w:hint="eastAsia"/>
          <w:rtl/>
        </w:rPr>
        <w:t>חברה</w:t>
      </w:r>
      <w:r w:rsidRPr="00A210E9">
        <w:rPr>
          <w:rFonts w:eastAsia="Calibri"/>
          <w:rtl/>
        </w:rPr>
        <w:t xml:space="preserve"> </w:t>
      </w:r>
      <w:r w:rsidRPr="00A210E9">
        <w:rPr>
          <w:rFonts w:eastAsia="Calibri" w:hint="eastAsia"/>
          <w:rtl/>
        </w:rPr>
        <w:t>ג</w:t>
      </w:r>
      <w:r w:rsidRPr="00A210E9">
        <w:rPr>
          <w:rFonts w:eastAsia="Calibri"/>
          <w:rtl/>
        </w:rPr>
        <w:t xml:space="preserve">' </w:t>
      </w:r>
      <w:r w:rsidRPr="00A210E9">
        <w:rPr>
          <w:rFonts w:eastAsia="Calibri" w:hint="cs"/>
          <w:rtl/>
        </w:rPr>
        <w:t xml:space="preserve">הוא העלה את </w:t>
      </w:r>
      <w:r w:rsidRPr="00A210E9">
        <w:rPr>
          <w:rFonts w:eastAsia="Calibri"/>
          <w:rtl/>
        </w:rPr>
        <w:t>עלות</w:t>
      </w:r>
      <w:r w:rsidRPr="00A210E9">
        <w:rPr>
          <w:rFonts w:eastAsia="Calibri" w:hint="cs"/>
          <w:rtl/>
        </w:rPr>
        <w:t>ה של</w:t>
      </w:r>
      <w:r w:rsidRPr="00A210E9">
        <w:rPr>
          <w:rFonts w:eastAsia="Calibri"/>
          <w:rtl/>
        </w:rPr>
        <w:t xml:space="preserve"> בדיקת בקשה באופן המשקף תמחור ריאלי יותר, שמאפשר העסקת היקף </w:t>
      </w:r>
      <w:r w:rsidRPr="00A210E9">
        <w:rPr>
          <w:rFonts w:eastAsia="Calibri" w:hint="cs"/>
          <w:rtl/>
        </w:rPr>
        <w:t xml:space="preserve">מתאים של </w:t>
      </w:r>
      <w:r w:rsidRPr="00A210E9">
        <w:rPr>
          <w:rFonts w:eastAsia="Calibri"/>
          <w:rtl/>
        </w:rPr>
        <w:t xml:space="preserve">רופאים ושירות מקצועי </w:t>
      </w:r>
      <w:r w:rsidRPr="00A210E9">
        <w:rPr>
          <w:rFonts w:eastAsia="Calibri" w:hint="cs"/>
          <w:rtl/>
        </w:rPr>
        <w:t>ו</w:t>
      </w:r>
      <w:r w:rsidRPr="00A210E9">
        <w:rPr>
          <w:rFonts w:eastAsia="Calibri"/>
          <w:rtl/>
        </w:rPr>
        <w:t>מעמיק יותר.</w:t>
      </w:r>
      <w:r w:rsidRPr="00A210E9">
        <w:rPr>
          <w:rFonts w:eastAsia="Calibri" w:hint="cs"/>
          <w:rtl/>
        </w:rPr>
        <w:t xml:space="preserve"> </w:t>
      </w:r>
    </w:p>
    <w:bookmarkEnd w:id="150"/>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על משרד התחבורה לבדוק את איכות השירות הניתן במסגרת ההתקשרות עם חברה ג', תוך בחינת זמני הטיפול בבקשות ומספר הבקשות המטופלות בידי כל רופא בפרק זמן נתון, ולבדוק אם התעריף שנקבע בהתקשרות הוא זה שיוצר תמריצים שליליים, כפי שהיה בעבר. בהתאם לכך, יש להפיק לקחים לקראת עריכת המכרז הבא כדי להשיא את איכות השירות. על אגף החשכ"ל, באמצעות החשבים במשרדי הממשלה, לוודא את תקינותן של ההתקשרויות בכלל ואת סבירות ההצעות המוגשות בהליכים התחרותיים בפרט.</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משרד התחבורה כתב בתשובתו כי כיום הדוחות ולוחות המחוונים הם תפעוליים בלבד, </w:t>
      </w:r>
      <w:r w:rsidRPr="00A210E9">
        <w:rPr>
          <w:rFonts w:eastAsia="Calibri"/>
          <w:rtl/>
        </w:rPr>
        <w:t xml:space="preserve">אינם </w:t>
      </w:r>
      <w:r w:rsidRPr="00A210E9">
        <w:rPr>
          <w:rFonts w:eastAsia="Calibri" w:hint="cs"/>
          <w:rtl/>
        </w:rPr>
        <w:t>מאפשרים מתן</w:t>
      </w:r>
      <w:r w:rsidRPr="00A210E9">
        <w:rPr>
          <w:rFonts w:eastAsia="Calibri"/>
          <w:rtl/>
        </w:rPr>
        <w:t xml:space="preserve"> התראות בזמן אמת ו</w:t>
      </w:r>
      <w:r w:rsidRPr="00A210E9">
        <w:rPr>
          <w:rFonts w:eastAsia="Calibri" w:hint="cs"/>
          <w:rtl/>
        </w:rPr>
        <w:t xml:space="preserve">אף </w:t>
      </w:r>
      <w:r w:rsidRPr="00A210E9">
        <w:rPr>
          <w:rFonts w:eastAsia="Calibri"/>
          <w:rtl/>
        </w:rPr>
        <w:t>אינם מאפשרים חסימה</w:t>
      </w:r>
      <w:r w:rsidRPr="00A210E9">
        <w:rPr>
          <w:rFonts w:eastAsia="Calibri" w:hint="cs"/>
          <w:rtl/>
        </w:rPr>
        <w:t xml:space="preserve"> </w:t>
      </w:r>
      <w:r w:rsidRPr="00A210E9">
        <w:rPr>
          <w:rFonts w:eastAsia="Calibri"/>
          <w:rtl/>
        </w:rPr>
        <w:t>או הפסקה אוטומטית של העבודה במערכת בעת זיהוי חריגות</w:t>
      </w:r>
      <w:r w:rsidRPr="00A210E9">
        <w:rPr>
          <w:rFonts w:eastAsia="Calibri" w:hint="cs"/>
          <w:rtl/>
        </w:rPr>
        <w:t>, ולנוכח זאת</w:t>
      </w:r>
      <w:r w:rsidRPr="00A210E9">
        <w:rPr>
          <w:rFonts w:eastAsia="Calibri"/>
          <w:rtl/>
        </w:rPr>
        <w:t xml:space="preserve"> אופיינו ופותחו דוחות ולוחות מחוונים לצורך מעקב ובקרה </w:t>
      </w:r>
      <w:r w:rsidRPr="00A210E9">
        <w:rPr>
          <w:rFonts w:eastAsia="Calibri" w:hint="cs"/>
          <w:rtl/>
        </w:rPr>
        <w:t>בעניין</w:t>
      </w:r>
      <w:r w:rsidRPr="00A210E9">
        <w:rPr>
          <w:rFonts w:eastAsia="Calibri"/>
          <w:rtl/>
        </w:rPr>
        <w:t xml:space="preserve"> </w:t>
      </w:r>
      <w:r w:rsidRPr="00A210E9">
        <w:rPr>
          <w:rFonts w:eastAsia="Calibri" w:hint="cs"/>
          <w:rtl/>
        </w:rPr>
        <w:t xml:space="preserve">זמני טיפול </w:t>
      </w:r>
      <w:r w:rsidRPr="00A210E9">
        <w:rPr>
          <w:rFonts w:eastAsia="Calibri"/>
          <w:rtl/>
        </w:rPr>
        <w:t xml:space="preserve">חריגים. </w:t>
      </w:r>
      <w:r w:rsidRPr="00A210E9">
        <w:rPr>
          <w:rFonts w:eastAsia="Calibri" w:hint="cs"/>
          <w:rtl/>
        </w:rPr>
        <w:t xml:space="preserve">המשרד ציין כי </w:t>
      </w:r>
      <w:r w:rsidRPr="00A210E9">
        <w:rPr>
          <w:rFonts w:eastAsia="Calibri"/>
          <w:rtl/>
        </w:rPr>
        <w:t xml:space="preserve">נכון להיום לא </w:t>
      </w:r>
      <w:r w:rsidRPr="00A210E9">
        <w:rPr>
          <w:rFonts w:eastAsia="Calibri" w:hint="cs"/>
          <w:rtl/>
        </w:rPr>
        <w:t>מתבצעת</w:t>
      </w:r>
      <w:r w:rsidRPr="00A210E9">
        <w:rPr>
          <w:rFonts w:eastAsia="Calibri"/>
          <w:rtl/>
        </w:rPr>
        <w:t xml:space="preserve"> השהיה</w:t>
      </w:r>
      <w:r w:rsidRPr="00A210E9">
        <w:rPr>
          <w:rFonts w:eastAsia="Calibri" w:hint="cs"/>
          <w:rtl/>
        </w:rPr>
        <w:t xml:space="preserve"> </w:t>
      </w:r>
      <w:r w:rsidRPr="00A210E9">
        <w:rPr>
          <w:rFonts w:eastAsia="Calibri"/>
          <w:rtl/>
        </w:rPr>
        <w:t xml:space="preserve">או חסימה </w:t>
      </w:r>
      <w:r w:rsidRPr="00A210E9">
        <w:rPr>
          <w:rFonts w:eastAsia="Calibri" w:hint="cs"/>
          <w:rtl/>
        </w:rPr>
        <w:t>של טיפול בבקשות</w:t>
      </w:r>
      <w:r w:rsidRPr="00A210E9">
        <w:rPr>
          <w:rFonts w:eastAsia="Calibri"/>
          <w:rtl/>
        </w:rPr>
        <w:t xml:space="preserve"> </w:t>
      </w:r>
      <w:r w:rsidRPr="00A210E9">
        <w:rPr>
          <w:rFonts w:eastAsia="Calibri" w:hint="cs"/>
          <w:rtl/>
        </w:rPr>
        <w:t xml:space="preserve">אם </w:t>
      </w:r>
      <w:r w:rsidRPr="00A210E9">
        <w:rPr>
          <w:rFonts w:eastAsia="Calibri"/>
          <w:rtl/>
        </w:rPr>
        <w:t xml:space="preserve">זמני </w:t>
      </w:r>
      <w:r w:rsidRPr="00A210E9">
        <w:rPr>
          <w:rFonts w:eastAsia="Calibri" w:hint="cs"/>
          <w:rtl/>
        </w:rPr>
        <w:t>ה</w:t>
      </w:r>
      <w:r w:rsidRPr="00A210E9">
        <w:rPr>
          <w:rFonts w:eastAsia="Calibri"/>
          <w:rtl/>
        </w:rPr>
        <w:t xml:space="preserve">טיפול </w:t>
      </w:r>
      <w:r w:rsidRPr="00A210E9">
        <w:rPr>
          <w:rFonts w:eastAsia="Calibri" w:hint="cs"/>
          <w:rtl/>
        </w:rPr>
        <w:t xml:space="preserve">בהן </w:t>
      </w:r>
      <w:r w:rsidRPr="00A210E9">
        <w:rPr>
          <w:rFonts w:eastAsia="Calibri"/>
          <w:rtl/>
        </w:rPr>
        <w:t>חריגים</w:t>
      </w:r>
      <w:r w:rsidRPr="00A210E9">
        <w:rPr>
          <w:rFonts w:eastAsia="Calibri" w:hint="cs"/>
          <w:rtl/>
        </w:rPr>
        <w:t>, וכי ב</w:t>
      </w:r>
      <w:r w:rsidRPr="00A210E9">
        <w:rPr>
          <w:rFonts w:eastAsia="Calibri"/>
          <w:rtl/>
        </w:rPr>
        <w:t>מערכת העתידית יתווספו מנגנונים להתראות וחסימות בזמן אמת בזיהוי</w:t>
      </w:r>
      <w:r w:rsidRPr="00A210E9">
        <w:rPr>
          <w:rFonts w:eastAsia="Calibri" w:hint="cs"/>
          <w:rtl/>
        </w:rPr>
        <w:t xml:space="preserve"> </w:t>
      </w:r>
      <w:r w:rsidRPr="00A210E9">
        <w:rPr>
          <w:rFonts w:eastAsia="Calibri"/>
          <w:rtl/>
        </w:rPr>
        <w:t>חריגות ובהתאם לדרישות אגף הרישוי</w:t>
      </w:r>
      <w:r w:rsidRPr="00A210E9">
        <w:rPr>
          <w:rFonts w:eastAsia="Calibri" w:hint="cs"/>
          <w:rtl/>
        </w:rPr>
        <w:t xml:space="preserve">. </w:t>
      </w:r>
    </w:p>
    <w:p w:rsidR="00A210E9" w:rsidRPr="00A210E9" w:rsidP="00A210E9">
      <w:pPr>
        <w:spacing w:line="269" w:lineRule="auto"/>
        <w:rPr>
          <w:rFonts w:eastAsia="Calibri"/>
          <w:rtl/>
        </w:rPr>
      </w:pPr>
      <w:r w:rsidRPr="00A210E9">
        <w:rPr>
          <w:rFonts w:eastAsia="Calibri" w:hint="cs"/>
          <w:rtl/>
        </w:rPr>
        <w:t xml:space="preserve">בתשובתה מסרה חברה ג' כי </w:t>
      </w:r>
      <w:r w:rsidRPr="00A210E9">
        <w:rPr>
          <w:rFonts w:eastAsia="Calibri"/>
          <w:rtl/>
        </w:rPr>
        <w:t>מאז כניסת</w:t>
      </w:r>
      <w:r w:rsidRPr="00A210E9">
        <w:rPr>
          <w:rFonts w:eastAsia="Calibri" w:hint="cs"/>
          <w:rtl/>
        </w:rPr>
        <w:t>ה</w:t>
      </w:r>
      <w:r w:rsidRPr="00A210E9">
        <w:rPr>
          <w:rFonts w:eastAsia="Calibri"/>
          <w:rtl/>
        </w:rPr>
        <w:t xml:space="preserve"> לפעילות, העבודה מתבצעת בשיתוף פעולה הדוק עם</w:t>
      </w:r>
      <w:r w:rsidRPr="00A210E9">
        <w:rPr>
          <w:rFonts w:eastAsia="Calibri" w:hint="cs"/>
          <w:rtl/>
        </w:rPr>
        <w:t xml:space="preserve"> </w:t>
      </w:r>
      <w:r w:rsidRPr="00A210E9">
        <w:rPr>
          <w:rFonts w:eastAsia="Calibri"/>
          <w:rtl/>
        </w:rPr>
        <w:t xml:space="preserve">משרד התחבורה, תוך יישום שינויים ותיקונים מהותיים בתהליכי העבודה. </w:t>
      </w:r>
    </w:p>
    <w:p w:rsidR="00A210E9" w:rsidRPr="00A210E9" w:rsidP="00A210E9">
      <w:pPr>
        <w:spacing w:line="269" w:lineRule="auto"/>
        <w:rPr>
          <w:rFonts w:eastAsia="Calibri"/>
          <w:b/>
          <w:bCs/>
          <w:rtl/>
        </w:rPr>
      </w:pPr>
    </w:p>
    <w:p w:rsidR="00A210E9" w:rsidRPr="00A210E9" w:rsidP="00A210E9">
      <w:pPr>
        <w:keepNext/>
        <w:keepLines/>
        <w:spacing w:line="269" w:lineRule="auto"/>
        <w:outlineLvl w:val="4"/>
        <w:rPr>
          <w:rFonts w:eastAsia="Times New Roman"/>
          <w:bCs/>
          <w:spacing w:val="40"/>
          <w:rtl/>
        </w:rPr>
      </w:pPr>
      <w:r w:rsidRPr="00A210E9">
        <w:rPr>
          <w:rFonts w:eastAsia="Times New Roman" w:hint="cs"/>
          <w:bCs/>
          <w:spacing w:val="40"/>
          <w:rtl/>
        </w:rPr>
        <w:t>נימוקים ושיקול דעת בהחלטות של רופאי אגף הרישוי</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rtl/>
        </w:rPr>
        <w:t>רופא</w:t>
      </w:r>
      <w:r w:rsidRPr="00A210E9">
        <w:rPr>
          <w:rFonts w:eastAsia="Calibri" w:hint="cs"/>
          <w:rtl/>
        </w:rPr>
        <w:t>י אגף הרישוי</w:t>
      </w:r>
      <w:r w:rsidRPr="00A210E9">
        <w:rPr>
          <w:rFonts w:eastAsia="Calibri"/>
          <w:rtl/>
        </w:rPr>
        <w:t xml:space="preserve"> </w:t>
      </w:r>
      <w:r w:rsidRPr="00A210E9">
        <w:rPr>
          <w:rFonts w:eastAsia="Calibri" w:hint="cs"/>
          <w:rtl/>
        </w:rPr>
        <w:t>בוחנים מ</w:t>
      </w:r>
      <w:r w:rsidRPr="00A210E9">
        <w:rPr>
          <w:rFonts w:eastAsia="Calibri"/>
          <w:rtl/>
        </w:rPr>
        <w:t>הבחינה הרפואית</w:t>
      </w:r>
      <w:r w:rsidRPr="00A210E9">
        <w:rPr>
          <w:rFonts w:eastAsia="Calibri" w:hint="cs"/>
          <w:rtl/>
        </w:rPr>
        <w:t xml:space="preserve"> את הבקשה לתג חניה </w:t>
      </w:r>
      <w:r w:rsidRPr="00A210E9">
        <w:rPr>
          <w:rFonts w:eastAsia="Calibri"/>
          <w:rtl/>
        </w:rPr>
        <w:t>ללא נוכחות המבקש וללא בדיקה קלינית או תפקודית</w:t>
      </w:r>
      <w:r w:rsidRPr="00A210E9">
        <w:rPr>
          <w:rFonts w:eastAsia="Calibri" w:hint="cs"/>
          <w:rtl/>
        </w:rPr>
        <w:t>, אלא על</w:t>
      </w:r>
      <w:r w:rsidRPr="00A210E9">
        <w:rPr>
          <w:rFonts w:eastAsia="Calibri"/>
          <w:rtl/>
        </w:rPr>
        <w:t xml:space="preserve"> סמך מסמכים רפואיים בלבד שנמסרים על ידי המבקש או מייצגו</w:t>
      </w:r>
      <w:r>
        <w:rPr>
          <w:rFonts w:eastAsia="Calibri"/>
          <w:vertAlign w:val="superscript"/>
          <w:rtl/>
        </w:rPr>
        <w:footnoteReference w:id="178"/>
      </w:r>
      <w:r w:rsidRPr="00A210E9">
        <w:rPr>
          <w:rFonts w:eastAsia="Calibri" w:hint="cs"/>
          <w:rtl/>
        </w:rPr>
        <w:t>.</w:t>
      </w:r>
      <w:r w:rsidRPr="00A210E9">
        <w:rPr>
          <w:rFonts w:eastAsia="Calibri"/>
          <w:rtl/>
        </w:rPr>
        <w:t xml:space="preserve"> </w:t>
      </w:r>
      <w:r w:rsidRPr="00A210E9">
        <w:rPr>
          <w:rFonts w:eastAsia="Calibri" w:hint="cs"/>
          <w:rtl/>
        </w:rPr>
        <w:t xml:space="preserve">במסגרת הבקשה לתג </w:t>
      </w:r>
      <w:r w:rsidRPr="00A210E9">
        <w:rPr>
          <w:rFonts w:eastAsia="Calibri"/>
          <w:rtl/>
        </w:rPr>
        <w:t>נדרש</w:t>
      </w:r>
      <w:r w:rsidRPr="00A210E9">
        <w:rPr>
          <w:rFonts w:eastAsia="Calibri" w:hint="cs"/>
          <w:rtl/>
        </w:rPr>
        <w:t xml:space="preserve"> המגיש לצרף את המסמכים האלה: </w:t>
      </w:r>
      <w:r w:rsidRPr="00A210E9">
        <w:rPr>
          <w:rFonts w:eastAsia="Calibri"/>
          <w:rtl/>
        </w:rPr>
        <w:t>סיכום רפואי עדכני חתום דיגיטלית מקופת חולים</w:t>
      </w:r>
      <w:r w:rsidRPr="00A210E9">
        <w:rPr>
          <w:rFonts w:eastAsia="Calibri" w:hint="cs"/>
          <w:rtl/>
        </w:rPr>
        <w:t xml:space="preserve">; </w:t>
      </w:r>
      <w:r w:rsidRPr="00A210E9">
        <w:rPr>
          <w:rFonts w:eastAsia="Calibri"/>
          <w:rtl/>
        </w:rPr>
        <w:t>חוות דעת ממומחים רלוונטיים, לפי סוג הנכות (</w:t>
      </w:r>
      <w:r w:rsidRPr="00A210E9">
        <w:rPr>
          <w:rFonts w:eastAsia="Calibri" w:hint="cs"/>
          <w:rtl/>
        </w:rPr>
        <w:t>כמו</w:t>
      </w:r>
      <w:r w:rsidRPr="00A210E9">
        <w:rPr>
          <w:rFonts w:eastAsia="Calibri"/>
          <w:rtl/>
        </w:rPr>
        <w:t xml:space="preserve"> אורתופד, נוירולוג, פסיכיאטר </w:t>
      </w:r>
      <w:r w:rsidRPr="00A210E9">
        <w:rPr>
          <w:rFonts w:eastAsia="Calibri" w:hint="cs"/>
          <w:rtl/>
        </w:rPr>
        <w:t>ו</w:t>
      </w:r>
      <w:r w:rsidRPr="00A210E9">
        <w:rPr>
          <w:rFonts w:eastAsia="Calibri"/>
          <w:rtl/>
        </w:rPr>
        <w:t>אונקולוג)</w:t>
      </w:r>
      <w:r w:rsidRPr="00A210E9">
        <w:rPr>
          <w:rFonts w:eastAsia="Calibri" w:hint="cs"/>
          <w:rtl/>
        </w:rPr>
        <w:t xml:space="preserve">; </w:t>
      </w:r>
      <w:r w:rsidRPr="00A210E9">
        <w:rPr>
          <w:rFonts w:eastAsia="Calibri"/>
          <w:rtl/>
        </w:rPr>
        <w:t>בדיקות עזר לפי הצורך (</w:t>
      </w:r>
      <w:r w:rsidRPr="00A210E9">
        <w:rPr>
          <w:rFonts w:eastAsia="Calibri" w:hint="cs"/>
          <w:rtl/>
        </w:rPr>
        <w:t xml:space="preserve">כמו </w:t>
      </w:r>
      <w:r w:rsidRPr="00A210E9">
        <w:rPr>
          <w:rFonts w:eastAsia="Calibri"/>
        </w:rPr>
        <w:t>CT</w:t>
      </w:r>
      <w:r w:rsidRPr="00A210E9">
        <w:rPr>
          <w:rFonts w:eastAsia="Calibri" w:hint="cs"/>
          <w:rtl/>
        </w:rPr>
        <w:t xml:space="preserve">, </w:t>
      </w:r>
      <w:r w:rsidRPr="00A210E9">
        <w:rPr>
          <w:rFonts w:eastAsia="Calibri"/>
        </w:rPr>
        <w:t>EMG</w:t>
      </w:r>
      <w:r w:rsidRPr="00A210E9">
        <w:rPr>
          <w:rFonts w:eastAsia="Calibri" w:hint="cs"/>
          <w:rtl/>
        </w:rPr>
        <w:t xml:space="preserve"> ו-</w:t>
      </w:r>
      <w:r w:rsidRPr="00A210E9">
        <w:rPr>
          <w:rFonts w:eastAsia="Calibri"/>
        </w:rPr>
        <w:t>MRI</w:t>
      </w:r>
      <w:r w:rsidRPr="00A210E9">
        <w:rPr>
          <w:rFonts w:eastAsia="Calibri" w:hint="cs"/>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על פי ההתקשרויות שנחתמו עם חברה ב'</w:t>
      </w:r>
      <w:r>
        <w:rPr>
          <w:rFonts w:eastAsia="Calibri"/>
          <w:vertAlign w:val="superscript"/>
          <w:rtl/>
        </w:rPr>
        <w:footnoteReference w:id="179"/>
      </w:r>
      <w:r w:rsidRPr="00A210E9">
        <w:rPr>
          <w:rFonts w:eastAsia="Calibri" w:hint="cs"/>
          <w:rtl/>
        </w:rPr>
        <w:t xml:space="preserve">, </w:t>
      </w:r>
      <w:r w:rsidRPr="00A210E9">
        <w:rPr>
          <w:rFonts w:eastAsia="Calibri"/>
          <w:rtl/>
        </w:rPr>
        <w:t>בסיום</w:t>
      </w:r>
      <w:r w:rsidRPr="00A210E9">
        <w:rPr>
          <w:rFonts w:eastAsia="Calibri" w:hint="cs"/>
          <w:rtl/>
        </w:rPr>
        <w:t xml:space="preserve"> </w:t>
      </w:r>
      <w:r w:rsidRPr="00A210E9">
        <w:rPr>
          <w:rFonts w:eastAsia="Calibri"/>
          <w:rtl/>
        </w:rPr>
        <w:t>בדיק</w:t>
      </w:r>
      <w:r w:rsidRPr="00A210E9">
        <w:rPr>
          <w:rFonts w:eastAsia="Calibri" w:hint="cs"/>
          <w:rtl/>
        </w:rPr>
        <w:t>ת הבקשה לתג</w:t>
      </w:r>
      <w:r w:rsidRPr="00A210E9">
        <w:rPr>
          <w:rFonts w:eastAsia="Calibri"/>
          <w:rtl/>
        </w:rPr>
        <w:t xml:space="preserve"> </w:t>
      </w:r>
      <w:r w:rsidRPr="00A210E9">
        <w:rPr>
          <w:rFonts w:eastAsia="Calibri" w:hint="cs"/>
          <w:rtl/>
        </w:rPr>
        <w:t xml:space="preserve">צריכה להינתן </w:t>
      </w:r>
      <w:r w:rsidRPr="00A210E9">
        <w:rPr>
          <w:rFonts w:eastAsia="Calibri"/>
          <w:rtl/>
        </w:rPr>
        <w:t xml:space="preserve">החלטה של רופא </w:t>
      </w:r>
      <w:r w:rsidRPr="00A210E9">
        <w:rPr>
          <w:rFonts w:eastAsia="Calibri"/>
        </w:rPr>
        <w:t>-</w:t>
      </w:r>
      <w:r w:rsidRPr="00A210E9">
        <w:rPr>
          <w:rFonts w:eastAsia="Calibri"/>
          <w:rtl/>
        </w:rPr>
        <w:t xml:space="preserve"> "מאושר" או "נדחה"</w:t>
      </w:r>
      <w:r w:rsidRPr="00A210E9">
        <w:rPr>
          <w:rFonts w:eastAsia="Calibri" w:hint="cs"/>
          <w:rtl/>
        </w:rPr>
        <w:t xml:space="preserve"> לצד</w:t>
      </w:r>
      <w:r w:rsidRPr="00A210E9">
        <w:rPr>
          <w:rFonts w:eastAsia="Calibri"/>
          <w:rtl/>
        </w:rPr>
        <w:t xml:space="preserve"> נימוק</w:t>
      </w:r>
      <w:r w:rsidRPr="00A210E9">
        <w:rPr>
          <w:rFonts w:eastAsia="Calibri" w:hint="cs"/>
          <w:rtl/>
        </w:rPr>
        <w:t>י</w:t>
      </w:r>
      <w:r w:rsidRPr="00A210E9">
        <w:rPr>
          <w:rFonts w:eastAsia="Calibri"/>
          <w:rtl/>
        </w:rPr>
        <w:t xml:space="preserve"> </w:t>
      </w:r>
      <w:r w:rsidRPr="00A210E9">
        <w:rPr>
          <w:rFonts w:eastAsia="Calibri" w:hint="cs"/>
          <w:rtl/>
        </w:rPr>
        <w:t>ה</w:t>
      </w:r>
      <w:r w:rsidRPr="00A210E9">
        <w:rPr>
          <w:rFonts w:eastAsia="Calibri"/>
          <w:rtl/>
        </w:rPr>
        <w:t>החלטה</w:t>
      </w:r>
      <w:r w:rsidRPr="00A210E9">
        <w:rPr>
          <w:rFonts w:eastAsia="Calibri" w:hint="cs"/>
          <w:rtl/>
        </w:rPr>
        <w:t>. משנת 2022 הרופא אף נדרש למלא</w:t>
      </w:r>
      <w:r w:rsidRPr="00A210E9">
        <w:rPr>
          <w:rFonts w:eastAsia="Calibri"/>
          <w:rtl/>
        </w:rPr>
        <w:t xml:space="preserve"> את המענה הקבוע תוך ציון מפורש </w:t>
      </w:r>
      <w:r w:rsidRPr="00A210E9">
        <w:rPr>
          <w:rFonts w:eastAsia="Calibri" w:hint="cs"/>
          <w:rtl/>
        </w:rPr>
        <w:t xml:space="preserve">של </w:t>
      </w:r>
      <w:r w:rsidRPr="00A210E9">
        <w:rPr>
          <w:rFonts w:eastAsia="Calibri"/>
          <w:rtl/>
        </w:rPr>
        <w:t xml:space="preserve">עילת הדחיה </w:t>
      </w:r>
      <w:r w:rsidRPr="00A210E9">
        <w:rPr>
          <w:rFonts w:eastAsia="Calibri" w:hint="cs"/>
          <w:rtl/>
        </w:rPr>
        <w:t xml:space="preserve">ושל </w:t>
      </w:r>
      <w:r w:rsidRPr="00A210E9">
        <w:rPr>
          <w:rFonts w:eastAsia="Calibri"/>
          <w:rtl/>
        </w:rPr>
        <w:t>לפחות</w:t>
      </w:r>
      <w:r w:rsidRPr="00A210E9">
        <w:rPr>
          <w:rFonts w:eastAsia="Calibri" w:hint="cs"/>
          <w:rtl/>
        </w:rPr>
        <w:t xml:space="preserve"> </w:t>
      </w:r>
      <w:r w:rsidRPr="00A210E9">
        <w:rPr>
          <w:rFonts w:eastAsia="Calibri"/>
          <w:rtl/>
        </w:rPr>
        <w:t xml:space="preserve">אחד </w:t>
      </w:r>
      <w:r w:rsidRPr="00A210E9">
        <w:rPr>
          <w:rFonts w:eastAsia="Calibri" w:hint="cs"/>
          <w:rtl/>
        </w:rPr>
        <w:t>מ</w:t>
      </w:r>
      <w:r w:rsidRPr="00A210E9">
        <w:rPr>
          <w:rFonts w:eastAsia="Calibri"/>
          <w:rtl/>
        </w:rPr>
        <w:t xml:space="preserve">המסמכים </w:t>
      </w:r>
      <w:r w:rsidRPr="00A210E9">
        <w:rPr>
          <w:rFonts w:eastAsia="Calibri" w:hint="cs"/>
          <w:rtl/>
        </w:rPr>
        <w:t>ש</w:t>
      </w:r>
      <w:r w:rsidRPr="00A210E9">
        <w:rPr>
          <w:rFonts w:eastAsia="Calibri"/>
          <w:rtl/>
        </w:rPr>
        <w:t>עליהם ביסס את החלטתו</w:t>
      </w:r>
      <w:r w:rsidRPr="00A210E9">
        <w:rPr>
          <w:rFonts w:eastAsia="Calibri" w:hint="cs"/>
          <w:rtl/>
        </w:rPr>
        <w:t xml:space="preserve">. </w:t>
      </w:r>
      <w:r w:rsidRPr="00A210E9">
        <w:rPr>
          <w:rFonts w:eastAsia="Calibri" w:hint="eastAsia"/>
          <w:rtl/>
        </w:rPr>
        <w:t>במערכת</w:t>
      </w:r>
      <w:r w:rsidRPr="00A210E9">
        <w:rPr>
          <w:rFonts w:eastAsia="Calibri"/>
          <w:rtl/>
        </w:rPr>
        <w:t xml:space="preserve"> הרפואית </w:t>
      </w:r>
      <w:r w:rsidRPr="00A210E9">
        <w:rPr>
          <w:rFonts w:eastAsia="Calibri" w:hint="eastAsia"/>
          <w:rtl/>
        </w:rPr>
        <w:t>קיימת</w:t>
      </w:r>
      <w:r w:rsidRPr="00A210E9">
        <w:rPr>
          <w:rFonts w:eastAsia="Calibri"/>
          <w:rtl/>
        </w:rPr>
        <w:t xml:space="preserve"> </w:t>
      </w:r>
      <w:r w:rsidRPr="00A210E9">
        <w:rPr>
          <w:rFonts w:eastAsia="Calibri" w:hint="eastAsia"/>
          <w:rtl/>
        </w:rPr>
        <w:t>רובריק</w:t>
      </w:r>
      <w:r w:rsidRPr="00A210E9">
        <w:rPr>
          <w:rFonts w:eastAsia="Calibri" w:hint="cs"/>
          <w:rtl/>
        </w:rPr>
        <w:t>ה שבה יש לציין את ה</w:t>
      </w:r>
      <w:r w:rsidRPr="00A210E9">
        <w:rPr>
          <w:rFonts w:eastAsia="Calibri" w:hint="eastAsia"/>
          <w:rtl/>
        </w:rPr>
        <w:t>תחום</w:t>
      </w:r>
      <w:r w:rsidRPr="00A210E9">
        <w:rPr>
          <w:rFonts w:eastAsia="Calibri"/>
          <w:rtl/>
        </w:rPr>
        <w:t xml:space="preserve"> </w:t>
      </w:r>
      <w:r w:rsidRPr="00A210E9">
        <w:rPr>
          <w:rFonts w:eastAsia="Calibri" w:hint="eastAsia"/>
          <w:rtl/>
        </w:rPr>
        <w:t>הרפוא</w:t>
      </w:r>
      <w:r w:rsidRPr="00A210E9">
        <w:rPr>
          <w:rFonts w:eastAsia="Calibri" w:hint="cs"/>
          <w:rtl/>
        </w:rPr>
        <w:t>י</w:t>
      </w:r>
      <w:r w:rsidRPr="00A210E9">
        <w:rPr>
          <w:rFonts w:eastAsia="Calibri"/>
          <w:rtl/>
        </w:rPr>
        <w:t xml:space="preserve"> </w:t>
      </w:r>
      <w:r w:rsidRPr="00A210E9">
        <w:rPr>
          <w:rFonts w:eastAsia="Calibri" w:hint="eastAsia"/>
          <w:rtl/>
        </w:rPr>
        <w:t>הרלוונטי</w:t>
      </w:r>
      <w:r w:rsidRPr="00A210E9">
        <w:rPr>
          <w:rFonts w:eastAsia="Calibri" w:hint="cs"/>
          <w:rtl/>
        </w:rPr>
        <w:t xml:space="preserve"> למוגבלות</w:t>
      </w:r>
      <w:r w:rsidRPr="00A210E9">
        <w:rPr>
          <w:rFonts w:eastAsia="Calibri"/>
          <w:rtl/>
        </w:rPr>
        <w:t xml:space="preserve">, </w:t>
      </w:r>
      <w:r w:rsidRPr="00A210E9">
        <w:rPr>
          <w:rFonts w:eastAsia="Calibri" w:hint="eastAsia"/>
          <w:rtl/>
        </w:rPr>
        <w:t>קרי</w:t>
      </w:r>
      <w:r w:rsidRPr="00A210E9">
        <w:rPr>
          <w:rFonts w:eastAsia="Calibri"/>
          <w:rtl/>
        </w:rPr>
        <w:t xml:space="preserve"> הסיווג הרפואי של המגבלה</w:t>
      </w:r>
      <w:r w:rsidRPr="00A210E9">
        <w:rPr>
          <w:rFonts w:eastAsia="Calibri" w:hint="cs"/>
          <w:rtl/>
        </w:rPr>
        <w:t>,</w:t>
      </w:r>
      <w:r w:rsidRPr="00A210E9">
        <w:rPr>
          <w:rFonts w:eastAsia="Calibri"/>
          <w:rtl/>
        </w:rPr>
        <w:t xml:space="preserve"> </w:t>
      </w:r>
      <w:r w:rsidRPr="00A210E9">
        <w:rPr>
          <w:rFonts w:eastAsia="Calibri" w:hint="eastAsia"/>
          <w:rtl/>
        </w:rPr>
        <w:t>וכן</w:t>
      </w:r>
      <w:r w:rsidRPr="00A210E9">
        <w:rPr>
          <w:rFonts w:eastAsia="Calibri"/>
          <w:rtl/>
        </w:rPr>
        <w:t xml:space="preserve"> </w:t>
      </w:r>
      <w:r w:rsidRPr="00A210E9">
        <w:rPr>
          <w:rFonts w:eastAsia="Calibri" w:hint="eastAsia"/>
          <w:rtl/>
        </w:rPr>
        <w:t>מקום</w:t>
      </w:r>
      <w:r w:rsidRPr="00A210E9">
        <w:rPr>
          <w:rFonts w:eastAsia="Calibri"/>
          <w:rtl/>
        </w:rPr>
        <w:t xml:space="preserve"> </w:t>
      </w:r>
      <w:r w:rsidRPr="00A210E9">
        <w:rPr>
          <w:rFonts w:eastAsia="Calibri" w:hint="eastAsia"/>
          <w:rtl/>
        </w:rPr>
        <w:t>להזנת</w:t>
      </w:r>
      <w:r w:rsidRPr="00A210E9">
        <w:rPr>
          <w:rFonts w:eastAsia="Calibri"/>
          <w:rtl/>
        </w:rPr>
        <w:t xml:space="preserve"> </w:t>
      </w:r>
      <w:r w:rsidRPr="00A210E9">
        <w:rPr>
          <w:rFonts w:eastAsia="Calibri" w:hint="eastAsia"/>
          <w:rtl/>
        </w:rPr>
        <w:t>מלל</w:t>
      </w:r>
      <w:r w:rsidRPr="00A210E9">
        <w:rPr>
          <w:rFonts w:eastAsia="Calibri"/>
          <w:rtl/>
        </w:rPr>
        <w:t xml:space="preserve"> </w:t>
      </w:r>
      <w:r w:rsidRPr="00A210E9">
        <w:rPr>
          <w:rFonts w:eastAsia="Calibri" w:hint="eastAsia"/>
          <w:rtl/>
        </w:rPr>
        <w:t>חופשי</w:t>
      </w:r>
      <w:r w:rsidRPr="00A210E9">
        <w:rPr>
          <w:rFonts w:eastAsia="Calibri" w:hint="cs"/>
          <w:rtl/>
        </w:rPr>
        <w:t xml:space="preserve"> בנוגע למצבו הרפואי של הפונה ושדה של הערות, אשר לא היו שדות חובה</w:t>
      </w:r>
      <w:r>
        <w:rPr>
          <w:rFonts w:eastAsia="Calibri"/>
          <w:vertAlign w:val="superscript"/>
          <w:rtl/>
        </w:rPr>
        <w:footnoteReference w:id="180"/>
      </w:r>
      <w:r w:rsidRPr="00A210E9">
        <w:rPr>
          <w:rFonts w:eastAsia="Calibri"/>
          <w:rtl/>
        </w:rPr>
        <w:t>.</w:t>
      </w:r>
      <w:r w:rsidRPr="00A210E9">
        <w:rPr>
          <w:rFonts w:eastAsia="Calibri" w:hint="cs"/>
          <w:rtl/>
        </w:rPr>
        <w:t xml:space="preserve"> לא הוגדר במערכת שדה ייעודי להנמקות במקרים שבהם הבקשה אושרה. כאמור לעיל, בפרק "הקריטריונים לאישור תג חניה לאדם עם מוגבלות", הסיווג כלל ערכים כגון אורטופדיה, אונקולוגיה ונוירולוגיה. במשך השנים כלל לא סווגו חלק גדול מהבקשות על פי קטגוריה רפואית או שסווגו בקטגוריית "אחר". בתנאי המכרז עם חברה ב' נקבע באופן מפורש כי מתן מענה על בקשה לתג חניה בלי לציין את ההנמקות להחלטה ומהי חוות הדעת המקצועית שעליה התבססה ההחלטה תגרור קנס. </w:t>
      </w:r>
      <w:r w:rsidRPr="00A210E9">
        <w:rPr>
          <w:rFonts w:eastAsia="Calibri"/>
          <w:rtl/>
        </w:rPr>
        <w:t xml:space="preserve">במקרים שבהם אושרה הבקשה הרופא </w:t>
      </w:r>
      <w:r w:rsidRPr="00A210E9">
        <w:rPr>
          <w:rFonts w:eastAsia="Calibri" w:hint="cs"/>
          <w:rtl/>
        </w:rPr>
        <w:t>מסמן</w:t>
      </w:r>
      <w:r w:rsidRPr="00A210E9">
        <w:rPr>
          <w:rFonts w:eastAsia="Calibri"/>
          <w:rtl/>
        </w:rPr>
        <w:t xml:space="preserve"> </w:t>
      </w:r>
      <w:r w:rsidRPr="00A210E9">
        <w:rPr>
          <w:rFonts w:eastAsia="Calibri" w:hint="cs"/>
          <w:rtl/>
        </w:rPr>
        <w:t>גם סוג התג ו</w:t>
      </w:r>
      <w:r w:rsidRPr="00A210E9">
        <w:rPr>
          <w:rFonts w:eastAsia="Calibri"/>
          <w:rtl/>
        </w:rPr>
        <w:t xml:space="preserve">את תוקף התג המאושר </w:t>
      </w:r>
      <w:r w:rsidRPr="00A210E9">
        <w:rPr>
          <w:rFonts w:eastAsia="Calibri" w:hint="cs"/>
          <w:rtl/>
        </w:rPr>
        <w:t>(</w:t>
      </w:r>
      <w:r w:rsidRPr="00A210E9">
        <w:rPr>
          <w:rFonts w:eastAsia="Calibri"/>
          <w:rtl/>
        </w:rPr>
        <w:t xml:space="preserve">שנה, שנתיים, </w:t>
      </w:r>
      <w:r w:rsidRPr="00A210E9">
        <w:rPr>
          <w:rFonts w:eastAsia="Calibri" w:hint="cs"/>
          <w:rtl/>
        </w:rPr>
        <w:t>שלוש</w:t>
      </w:r>
      <w:r w:rsidRPr="00A210E9">
        <w:rPr>
          <w:rFonts w:eastAsia="Calibri"/>
          <w:rtl/>
        </w:rPr>
        <w:t xml:space="preserve"> שנים</w:t>
      </w:r>
      <w:r w:rsidRPr="00A210E9">
        <w:rPr>
          <w:rFonts w:eastAsia="Calibri" w:hint="cs"/>
          <w:rtl/>
        </w:rPr>
        <w:t xml:space="preserve"> </w:t>
      </w:r>
      <w:r w:rsidRPr="00A210E9">
        <w:rPr>
          <w:rFonts w:eastAsia="Calibri"/>
          <w:rtl/>
        </w:rPr>
        <w:t>או לצמיתות</w:t>
      </w:r>
      <w:r w:rsidRPr="00A210E9">
        <w:rPr>
          <w:rFonts w:eastAsia="Calibri" w:hint="cs"/>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Pr>
      </w:pPr>
      <w:r w:rsidRPr="00A210E9">
        <w:rPr>
          <w:rFonts w:eastAsia="Calibri" w:hint="cs"/>
          <w:rtl/>
        </w:rPr>
        <w:t xml:space="preserve">במשך השנים טיפלה נציבות תלונות הציבור במשרד מבקר המדינה במגוון תלונות על אגף הרישוי ומהן עלה כי בקשות לתגי חניה נדחו אף על פי שחוות הדעת הרפואית במסמכים שהוגשו על ידי הפונים הייתה חד-משמעית בנוגע למגבלת הניידות שממנה סבלו. </w:t>
      </w:r>
      <w:r w:rsidRPr="00A210E9">
        <w:rPr>
          <w:rFonts w:eastAsia="Calibri"/>
          <w:rtl/>
        </w:rPr>
        <w:t>ככלל, הנציבות אינ</w:t>
      </w:r>
      <w:r w:rsidRPr="00A210E9">
        <w:rPr>
          <w:rFonts w:eastAsia="Calibri" w:hint="cs"/>
          <w:rtl/>
        </w:rPr>
        <w:t>ה</w:t>
      </w:r>
      <w:r w:rsidRPr="00A210E9">
        <w:rPr>
          <w:rFonts w:eastAsia="Calibri"/>
          <w:rtl/>
        </w:rPr>
        <w:t xml:space="preserve"> מתערבת בהחלטת</w:t>
      </w:r>
      <w:r w:rsidRPr="00A210E9">
        <w:rPr>
          <w:rFonts w:eastAsia="Calibri" w:hint="cs"/>
          <w:rtl/>
        </w:rPr>
        <w:t xml:space="preserve"> </w:t>
      </w:r>
      <w:r w:rsidRPr="00A210E9">
        <w:rPr>
          <w:rFonts w:eastAsia="Calibri"/>
          <w:rtl/>
        </w:rPr>
        <w:t>הרופא המוסמך של רשות הרישוי. עם זאת, במקרים שבהם</w:t>
      </w:r>
      <w:r w:rsidRPr="00A210E9">
        <w:rPr>
          <w:rFonts w:eastAsia="Calibri" w:hint="cs"/>
          <w:rtl/>
        </w:rPr>
        <w:t xml:space="preserve"> </w:t>
      </w:r>
      <w:r w:rsidRPr="00A210E9">
        <w:rPr>
          <w:rFonts w:eastAsia="Calibri"/>
          <w:rtl/>
        </w:rPr>
        <w:t>עלה כי חלה בוודאות טעות בהחלטה</w:t>
      </w:r>
      <w:r w:rsidRPr="00A210E9">
        <w:rPr>
          <w:rFonts w:eastAsia="Calibri" w:hint="cs"/>
          <w:rtl/>
        </w:rPr>
        <w:t xml:space="preserve"> של אגף הרישוי</w:t>
      </w:r>
      <w:r w:rsidRPr="00A210E9">
        <w:rPr>
          <w:rFonts w:eastAsia="Calibri"/>
          <w:rtl/>
        </w:rPr>
        <w:t>, פנתה הנציבות למשרד</w:t>
      </w:r>
      <w:r w:rsidRPr="00A210E9">
        <w:rPr>
          <w:rFonts w:eastAsia="Calibri" w:hint="cs"/>
          <w:rtl/>
        </w:rPr>
        <w:t xml:space="preserve"> </w:t>
      </w:r>
      <w:r w:rsidRPr="00A210E9">
        <w:rPr>
          <w:rFonts w:eastAsia="Calibri"/>
          <w:rtl/>
        </w:rPr>
        <w:t>התחבורה וביקשה לשקול בשנית את ההחלטה.</w:t>
      </w:r>
      <w:r w:rsidRPr="00A210E9">
        <w:rPr>
          <w:rFonts w:eastAsia="Calibri" w:hint="cs"/>
          <w:rtl/>
        </w:rPr>
        <w:t xml:space="preserve"> בעקבות התלונות ביקשה הנציבות ממשרד התחבורה לתת את דעתו על הנושא ולהנחות את הגורמים המקצועיים, ובייחוד את רופאי אגף הרישוי, לבחון את כל המסמכים הרפואיים ולהתייחס בנימוקיהם לכל הבעיות הרפואיות הרלוונטיות המשתקפות ממסמכים אלו</w:t>
      </w:r>
      <w:r>
        <w:rPr>
          <w:rFonts w:eastAsia="Calibri"/>
          <w:vertAlign w:val="superscript"/>
          <w:rtl/>
        </w:rPr>
        <w:footnoteReference w:id="181"/>
      </w:r>
      <w:r w:rsidRPr="00A210E9">
        <w:rPr>
          <w:rFonts w:eastAsia="Calibri" w:hint="cs"/>
          <w:rtl/>
        </w:rPr>
        <w:t xml:space="preserve">. </w:t>
      </w:r>
    </w:p>
    <w:p w:rsidR="00A210E9" w:rsidRPr="00A210E9" w:rsidP="00A210E9">
      <w:pPr>
        <w:keepNext/>
        <w:keepLines/>
        <w:spacing w:line="269" w:lineRule="auto"/>
        <w:ind w:left="-567"/>
        <w:rPr>
          <w:rFonts w:eastAsia="Calibri"/>
          <w:szCs w:val="20"/>
        </w:rPr>
      </w:pPr>
    </w:p>
    <w:p w:rsidR="00A210E9" w:rsidRPr="00A210E9" w:rsidP="00A210E9">
      <w:pPr>
        <w:spacing w:line="269" w:lineRule="auto"/>
        <w:rPr>
          <w:rFonts w:eastAsia="Calibri"/>
          <w:rtl/>
        </w:rPr>
      </w:pPr>
      <w:r w:rsidRPr="00A210E9">
        <w:rPr>
          <w:rFonts w:eastAsia="Calibri" w:hint="cs"/>
          <w:rtl/>
        </w:rPr>
        <w:t xml:space="preserve">כך, בשנת 2020 טיפלה נציבות תלונות הציבור במשרד מבקר המדינה ב-202 תלונות על היחידה לטיפול במוגבלי ניידות ובשנת 2021 ב-325 תלונות. </w:t>
      </w:r>
      <w:r w:rsidRPr="00A210E9">
        <w:rPr>
          <w:rFonts w:eastAsia="Calibri"/>
          <w:rtl/>
        </w:rPr>
        <w:t xml:space="preserve">התלונות </w:t>
      </w:r>
      <w:r w:rsidRPr="00A210E9">
        <w:rPr>
          <w:rFonts w:eastAsia="Calibri" w:hint="cs"/>
          <w:rtl/>
        </w:rPr>
        <w:t>בשנת 2021 כללו בין היתר נושאים כמו</w:t>
      </w:r>
      <w:r w:rsidRPr="00A210E9">
        <w:rPr>
          <w:rFonts w:eastAsia="Calibri"/>
          <w:rtl/>
        </w:rPr>
        <w:t xml:space="preserve"> דחיית בקשות לקבלת תג</w:t>
      </w:r>
      <w:r w:rsidRPr="00A210E9">
        <w:rPr>
          <w:rFonts w:eastAsia="Calibri" w:hint="cs"/>
          <w:rtl/>
        </w:rPr>
        <w:t xml:space="preserve"> חניה</w:t>
      </w:r>
      <w:r w:rsidRPr="00A210E9">
        <w:rPr>
          <w:rFonts w:eastAsia="Calibri"/>
          <w:rtl/>
        </w:rPr>
        <w:t>, אי-נימוק ההחלטה על דחיה כאמור או נימוק חלקי</w:t>
      </w:r>
      <w:r w:rsidRPr="00A210E9">
        <w:rPr>
          <w:rFonts w:eastAsia="Calibri" w:hint="cs"/>
          <w:rtl/>
        </w:rPr>
        <w:t xml:space="preserve"> </w:t>
      </w:r>
      <w:r w:rsidRPr="00A210E9">
        <w:rPr>
          <w:rFonts w:eastAsia="Calibri"/>
          <w:rtl/>
        </w:rPr>
        <w:t>או שגוי. למשל</w:t>
      </w:r>
      <w:r w:rsidRPr="00A210E9">
        <w:rPr>
          <w:rFonts w:eastAsia="Calibri" w:hint="cs"/>
          <w:rtl/>
        </w:rPr>
        <w:t>,</w:t>
      </w:r>
      <w:r w:rsidRPr="00A210E9">
        <w:rPr>
          <w:rFonts w:eastAsia="Calibri"/>
          <w:rtl/>
        </w:rPr>
        <w:t xml:space="preserve"> קשיש סיעודי הסובל מקיהיון </w:t>
      </w:r>
      <w:r w:rsidRPr="00A210E9">
        <w:rPr>
          <w:rFonts w:eastAsia="Calibri" w:hint="cs"/>
          <w:rtl/>
        </w:rPr>
        <w:t>(</w:t>
      </w:r>
      <w:r w:rsidRPr="00A210E9">
        <w:rPr>
          <w:rFonts w:eastAsia="Calibri"/>
          <w:rtl/>
        </w:rPr>
        <w:t>דמנציה</w:t>
      </w:r>
      <w:r w:rsidRPr="00A210E9">
        <w:rPr>
          <w:rFonts w:eastAsia="Calibri" w:hint="cs"/>
          <w:rtl/>
        </w:rPr>
        <w:t xml:space="preserve">) </w:t>
      </w:r>
      <w:r w:rsidRPr="00A210E9">
        <w:rPr>
          <w:rFonts w:eastAsia="Calibri"/>
          <w:rtl/>
        </w:rPr>
        <w:t>ומרותק</w:t>
      </w:r>
      <w:r w:rsidRPr="00A210E9">
        <w:rPr>
          <w:rFonts w:eastAsia="Calibri" w:hint="cs"/>
          <w:rtl/>
        </w:rPr>
        <w:t xml:space="preserve"> </w:t>
      </w:r>
      <w:r w:rsidRPr="00A210E9">
        <w:rPr>
          <w:rFonts w:eastAsia="Calibri"/>
          <w:rtl/>
        </w:rPr>
        <w:t>לכיסא גלגלים שמשרד התחבורה דחה את בקשתו לקבלת תג</w:t>
      </w:r>
      <w:r w:rsidRPr="00A210E9">
        <w:rPr>
          <w:rFonts w:eastAsia="Calibri" w:hint="cs"/>
          <w:rtl/>
        </w:rPr>
        <w:t xml:space="preserve"> </w:t>
      </w:r>
      <w:r w:rsidRPr="00A210E9">
        <w:rPr>
          <w:rFonts w:eastAsia="Calibri"/>
          <w:rtl/>
        </w:rPr>
        <w:t>כיסא גלגלים. בעקבות התערבות</w:t>
      </w:r>
      <w:r w:rsidRPr="00A210E9">
        <w:rPr>
          <w:rFonts w:eastAsia="Calibri" w:hint="cs"/>
          <w:rtl/>
        </w:rPr>
        <w:t xml:space="preserve"> </w:t>
      </w:r>
      <w:r w:rsidRPr="00A210E9">
        <w:rPr>
          <w:rFonts w:eastAsia="Calibri"/>
          <w:rtl/>
        </w:rPr>
        <w:t xml:space="preserve">הנציבות אושר לו תג </w:t>
      </w:r>
      <w:r w:rsidRPr="00A210E9">
        <w:rPr>
          <w:rFonts w:eastAsia="Calibri" w:hint="cs"/>
          <w:rtl/>
        </w:rPr>
        <w:t>כיסא גלגלים</w:t>
      </w:r>
      <w:r>
        <w:rPr>
          <w:rFonts w:eastAsia="Calibri"/>
          <w:vertAlign w:val="superscript"/>
          <w:rtl/>
        </w:rPr>
        <w:footnoteReference w:id="182"/>
      </w:r>
      <w:r w:rsidRPr="00A210E9">
        <w:rPr>
          <w:rFonts w:eastAsia="Calibri"/>
          <w:rtl/>
        </w:rPr>
        <w:t xml:space="preserve"> לצמיתות. בתלונה אחרת</w:t>
      </w:r>
      <w:r w:rsidRPr="00A210E9">
        <w:rPr>
          <w:rFonts w:eastAsia="Calibri" w:hint="cs"/>
          <w:rtl/>
        </w:rPr>
        <w:t xml:space="preserve"> </w:t>
      </w:r>
      <w:r w:rsidRPr="00A210E9">
        <w:rPr>
          <w:rFonts w:eastAsia="Calibri"/>
          <w:rtl/>
        </w:rPr>
        <w:t xml:space="preserve">הלינה המתלוננת על שמשרד התחבורה אישר לה תג </w:t>
      </w:r>
      <w:r w:rsidRPr="00A210E9">
        <w:rPr>
          <w:rFonts w:eastAsia="Calibri" w:hint="cs"/>
          <w:rtl/>
        </w:rPr>
        <w:t xml:space="preserve">חניה </w:t>
      </w:r>
      <w:r w:rsidRPr="00A210E9">
        <w:rPr>
          <w:rFonts w:eastAsia="Calibri"/>
          <w:rtl/>
        </w:rPr>
        <w:t>לשנה בלבד. זאת</w:t>
      </w:r>
      <w:r w:rsidRPr="00A210E9">
        <w:rPr>
          <w:rFonts w:eastAsia="Calibri" w:hint="cs"/>
          <w:rtl/>
        </w:rPr>
        <w:t>,</w:t>
      </w:r>
      <w:r w:rsidRPr="00A210E9">
        <w:rPr>
          <w:rFonts w:eastAsia="Calibri"/>
          <w:rtl/>
        </w:rPr>
        <w:t xml:space="preserve"> אף שהיא המציאה אישורים שלפיהם הביטוח הלאומי הכיר </w:t>
      </w:r>
      <w:r w:rsidRPr="00A210E9">
        <w:rPr>
          <w:rFonts w:eastAsia="Calibri" w:hint="cs"/>
          <w:rtl/>
        </w:rPr>
        <w:t xml:space="preserve">בה בנכות כללית </w:t>
      </w:r>
      <w:r w:rsidRPr="00A210E9">
        <w:rPr>
          <w:rFonts w:eastAsia="Calibri"/>
          <w:rtl/>
        </w:rPr>
        <w:t>בשיעור של 100% לצמיתות</w:t>
      </w:r>
      <w:r w:rsidRPr="00A210E9">
        <w:rPr>
          <w:rFonts w:eastAsia="Calibri" w:hint="cs"/>
          <w:rtl/>
        </w:rPr>
        <w:t xml:space="preserve"> </w:t>
      </w:r>
      <w:r w:rsidRPr="00A210E9">
        <w:rPr>
          <w:rFonts w:eastAsia="Calibri"/>
          <w:rtl/>
        </w:rPr>
        <w:t>וכמוגבלת בניידות בשיעור של 80%, ומשרד הבריאות הכיר בה</w:t>
      </w:r>
      <w:r w:rsidRPr="00A210E9">
        <w:rPr>
          <w:rFonts w:eastAsia="Calibri" w:hint="cs"/>
          <w:rtl/>
        </w:rPr>
        <w:t xml:space="preserve"> </w:t>
      </w:r>
      <w:r w:rsidRPr="00A210E9">
        <w:rPr>
          <w:rFonts w:eastAsia="Calibri"/>
          <w:rtl/>
        </w:rPr>
        <w:t>כזקוקה לכיסא גלגלים לצורך התני</w:t>
      </w:r>
      <w:r w:rsidRPr="00A210E9">
        <w:rPr>
          <w:rFonts w:eastAsia="Calibri" w:hint="cs"/>
          <w:rtl/>
        </w:rPr>
        <w:t>י</w:t>
      </w:r>
      <w:r w:rsidRPr="00A210E9">
        <w:rPr>
          <w:rFonts w:eastAsia="Calibri"/>
          <w:rtl/>
        </w:rPr>
        <w:t xml:space="preserve">דותה. </w:t>
      </w:r>
      <w:r w:rsidRPr="00A210E9">
        <w:rPr>
          <w:rFonts w:eastAsia="Calibri" w:hint="cs"/>
          <w:rtl/>
        </w:rPr>
        <w:t xml:space="preserve">גם במקרה זה, </w:t>
      </w:r>
      <w:r w:rsidRPr="00A210E9">
        <w:rPr>
          <w:rFonts w:eastAsia="Calibri"/>
          <w:rtl/>
        </w:rPr>
        <w:t>בעקבות התערבות</w:t>
      </w:r>
      <w:r w:rsidRPr="00A210E9">
        <w:rPr>
          <w:rFonts w:eastAsia="Calibri" w:hint="cs"/>
          <w:rtl/>
        </w:rPr>
        <w:t xml:space="preserve"> </w:t>
      </w:r>
      <w:r w:rsidRPr="00A210E9">
        <w:rPr>
          <w:rFonts w:eastAsia="Calibri"/>
          <w:rtl/>
        </w:rPr>
        <w:t>הנציבות</w:t>
      </w:r>
      <w:r w:rsidRPr="00A210E9">
        <w:rPr>
          <w:rFonts w:eastAsia="Calibri" w:hint="cs"/>
          <w:rtl/>
        </w:rPr>
        <w:t>,</w:t>
      </w:r>
      <w:r w:rsidRPr="00A210E9">
        <w:rPr>
          <w:rFonts w:eastAsia="Calibri"/>
          <w:rtl/>
        </w:rPr>
        <w:t xml:space="preserve"> החליט אגף הרישוי לאשר לה תג</w:t>
      </w:r>
      <w:r w:rsidRPr="00A210E9">
        <w:rPr>
          <w:rFonts w:eastAsia="Calibri" w:hint="cs"/>
          <w:rtl/>
        </w:rPr>
        <w:t xml:space="preserve"> חניה</w:t>
      </w:r>
      <w:r w:rsidRPr="00A210E9">
        <w:rPr>
          <w:rFonts w:eastAsia="Calibri"/>
          <w:rtl/>
        </w:rPr>
        <w:t xml:space="preserve"> לצמיתות.</w:t>
      </w:r>
      <w:r w:rsidRPr="00A210E9">
        <w:rPr>
          <w:rFonts w:eastAsia="Calibri" w:hint="cs"/>
          <w:rtl/>
        </w:rPr>
        <w:t xml:space="preserve"> מתחילת 2025 עד אוגוסט 2025 טיפלה נציבות תלונות הציבור ב-350 תלונות לפחות בנושא התג. יש לציין כי כיום הנציבות מנחה את הפונים שסבורים כי נפלה שגיאה בהחלטת אגף הרישוי, להגיש בקשת השגה על פי הנוהל מ-2025, הקובע כי בקשה זו תיבחן על ידי רופא אחר.</w:t>
      </w:r>
    </w:p>
    <w:p w:rsidR="00A210E9" w:rsidRPr="0029344A" w:rsidP="00A210E9">
      <w:pPr>
        <w:keepNext/>
        <w:keepLines/>
        <w:spacing w:line="269" w:lineRule="auto"/>
        <w:ind w:left="-567"/>
        <w:rPr>
          <w:rFonts w:eastAsia="Calibri"/>
          <w:szCs w:val="20"/>
          <w:rtl/>
        </w:rPr>
      </w:pPr>
      <w:r w:rsidRPr="00A210E9">
        <w:rPr>
          <w:rFonts w:eastAsia="Calibri" w:hint="cs"/>
          <w:szCs w:val="20"/>
          <w:rtl/>
        </w:rPr>
        <w:t xml:space="preserve"> </w:t>
      </w:r>
    </w:p>
    <w:p w:rsidR="00A210E9" w:rsidRPr="00A210E9" w:rsidP="00A210E9">
      <w:pPr>
        <w:spacing w:line="269" w:lineRule="auto"/>
        <w:rPr>
          <w:rFonts w:eastAsia="Calibri"/>
          <w:rtl/>
        </w:rPr>
      </w:pPr>
      <w:r w:rsidRPr="00A210E9">
        <w:rPr>
          <w:rFonts w:eastAsia="Calibri" w:hint="cs"/>
          <w:rtl/>
        </w:rPr>
        <w:t>גם</w:t>
      </w:r>
      <w:r w:rsidRPr="00A210E9">
        <w:rPr>
          <w:rFonts w:eastAsia="Calibri"/>
          <w:rtl/>
        </w:rPr>
        <w:t xml:space="preserve"> במשרד התחבורה </w:t>
      </w:r>
      <w:r w:rsidRPr="00A210E9">
        <w:rPr>
          <w:rFonts w:eastAsia="Calibri" w:hint="cs"/>
          <w:rtl/>
        </w:rPr>
        <w:t xml:space="preserve">ובנציבות שוויון זכויות התקבלו </w:t>
      </w:r>
      <w:r w:rsidRPr="00A210E9">
        <w:rPr>
          <w:rFonts w:eastAsia="Calibri"/>
          <w:rtl/>
        </w:rPr>
        <w:t xml:space="preserve">לאורך השנים טענות </w:t>
      </w:r>
      <w:r w:rsidRPr="00A210E9">
        <w:rPr>
          <w:rFonts w:eastAsia="Calibri" w:hint="cs"/>
          <w:rtl/>
        </w:rPr>
        <w:t xml:space="preserve">על </w:t>
      </w:r>
      <w:r w:rsidRPr="00A210E9">
        <w:rPr>
          <w:rFonts w:eastAsia="Calibri"/>
          <w:rtl/>
        </w:rPr>
        <w:t>התרשלות הרופאים בקריאת המסמכים הרפואיים שהוצגו להם</w:t>
      </w:r>
      <w:r w:rsidRPr="00A210E9">
        <w:rPr>
          <w:rFonts w:eastAsia="Calibri" w:hint="cs"/>
          <w:rtl/>
        </w:rPr>
        <w:t>, להלן הפרטים:</w:t>
      </w:r>
    </w:p>
    <w:p w:rsidR="00A210E9" w:rsidRPr="0029344A" w:rsidP="00A210E9">
      <w:pPr>
        <w:keepNext/>
        <w:keepLines/>
        <w:spacing w:line="269" w:lineRule="auto"/>
        <w:ind w:left="-567"/>
        <w:rPr>
          <w:rFonts w:eastAsia="Calibri"/>
          <w:szCs w:val="20"/>
          <w:rtl/>
        </w:rPr>
      </w:pPr>
    </w:p>
    <w:p w:rsidR="00A210E9" w:rsidRPr="00A210E9" w:rsidP="00A210E9">
      <w:pPr>
        <w:numPr>
          <w:ilvl w:val="0"/>
          <w:numId w:val="18"/>
        </w:numPr>
        <w:spacing w:line="269" w:lineRule="auto"/>
        <w:contextualSpacing/>
        <w:rPr>
          <w:rFonts w:eastAsia="Calibri"/>
        </w:rPr>
      </w:pPr>
      <w:r w:rsidRPr="00A210E9">
        <w:rPr>
          <w:rFonts w:eastAsia="Calibri" w:hint="cs"/>
          <w:rtl/>
        </w:rPr>
        <w:t xml:space="preserve">בשנת 2020 כתב אגף בכיר ביקורת פנימית במשרד התחבורה למנכ"ל משרד התחבורה כי </w:t>
      </w:r>
      <w:r w:rsidR="00245E55">
        <w:rPr>
          <w:rFonts w:eastAsia="Calibri"/>
          <w:rtl/>
        </w:rPr>
        <w:br/>
      </w:r>
      <w:r w:rsidRPr="00A210E9">
        <w:rPr>
          <w:rFonts w:eastAsia="Calibri" w:hint="cs"/>
          <w:rtl/>
        </w:rPr>
        <w:t xml:space="preserve">כ-30% </w:t>
      </w:r>
      <w:r w:rsidRPr="00A210E9">
        <w:rPr>
          <w:rFonts w:eastAsia="Calibri"/>
          <w:rtl/>
        </w:rPr>
        <w:t xml:space="preserve">מהתלונות שטופלו </w:t>
      </w:r>
      <w:r w:rsidRPr="00A210E9">
        <w:rPr>
          <w:rFonts w:eastAsia="Calibri" w:hint="cs"/>
          <w:rtl/>
        </w:rPr>
        <w:t xml:space="preserve">במשרד התחבורה בשנת 2019 </w:t>
      </w:r>
      <w:r w:rsidRPr="00A210E9">
        <w:rPr>
          <w:rFonts w:eastAsia="Calibri"/>
          <w:rtl/>
        </w:rPr>
        <w:t>עסקו בטיפול</w:t>
      </w:r>
      <w:r w:rsidRPr="00A210E9">
        <w:rPr>
          <w:rFonts w:eastAsia="Calibri" w:hint="cs"/>
          <w:rtl/>
        </w:rPr>
        <w:t xml:space="preserve"> </w:t>
      </w:r>
      <w:r w:rsidRPr="00A210E9">
        <w:rPr>
          <w:rFonts w:eastAsia="Calibri"/>
          <w:rtl/>
        </w:rPr>
        <w:t>בבקשות לתגי חניה.</w:t>
      </w:r>
      <w:r w:rsidRPr="00A210E9">
        <w:rPr>
          <w:rFonts w:eastAsia="Calibri" w:hint="cs"/>
          <w:rtl/>
        </w:rPr>
        <w:t xml:space="preserve"> הוא ציין במכתב כי </w:t>
      </w:r>
      <w:r w:rsidRPr="00A210E9">
        <w:rPr>
          <w:rFonts w:eastAsia="Calibri"/>
          <w:rtl/>
        </w:rPr>
        <w:t>נושאים שפתרונם אינו כרוך בפעולות בין-משרדיות או ארוכות טווח</w:t>
      </w:r>
      <w:r w:rsidRPr="00A210E9">
        <w:rPr>
          <w:rFonts w:eastAsia="Calibri" w:hint="cs"/>
          <w:rtl/>
        </w:rPr>
        <w:t>,</w:t>
      </w:r>
      <w:r w:rsidRPr="00A210E9">
        <w:rPr>
          <w:rFonts w:eastAsia="Calibri"/>
          <w:rtl/>
        </w:rPr>
        <w:t xml:space="preserve"> שהטיפול בהם נתון בידי המשרד, כגון צמצום מקרים של קבלת</w:t>
      </w:r>
      <w:r w:rsidRPr="00A210E9">
        <w:rPr>
          <w:rFonts w:eastAsia="Calibri" w:hint="cs"/>
          <w:rtl/>
        </w:rPr>
        <w:t xml:space="preserve"> </w:t>
      </w:r>
      <w:r w:rsidRPr="00A210E9">
        <w:rPr>
          <w:rFonts w:eastAsia="Calibri"/>
          <w:rtl/>
        </w:rPr>
        <w:t>החלטות שאינן תואמות את המידע העולה מהמסמכים רפואיים ששלח מבקש התג ושיפור המענה</w:t>
      </w:r>
      <w:r w:rsidRPr="00A210E9">
        <w:rPr>
          <w:rFonts w:eastAsia="Calibri" w:hint="cs"/>
          <w:rtl/>
        </w:rPr>
        <w:t xml:space="preserve"> </w:t>
      </w:r>
      <w:r w:rsidRPr="00A210E9">
        <w:rPr>
          <w:rFonts w:eastAsia="Calibri"/>
          <w:rtl/>
        </w:rPr>
        <w:t xml:space="preserve">לפונים בטופס מקוון "פניה בנושא תג חניה </w:t>
      </w:r>
      <w:r w:rsidRPr="00A210E9">
        <w:rPr>
          <w:rFonts w:eastAsia="Calibri" w:hint="cs"/>
          <w:rtl/>
        </w:rPr>
        <w:t>לנכה</w:t>
      </w:r>
      <w:r w:rsidRPr="00A210E9">
        <w:rPr>
          <w:rFonts w:eastAsia="Calibri"/>
          <w:rtl/>
        </w:rPr>
        <w:t xml:space="preserve">" </w:t>
      </w:r>
      <w:r w:rsidRPr="00A210E9">
        <w:rPr>
          <w:rFonts w:eastAsia="Calibri" w:hint="cs"/>
          <w:rtl/>
        </w:rPr>
        <w:t>(</w:t>
      </w:r>
      <w:r w:rsidRPr="00A210E9">
        <w:rPr>
          <w:rFonts w:eastAsia="Calibri"/>
          <w:rtl/>
        </w:rPr>
        <w:t>בעניין מצב הטיפול בבקשתם או נסיבות דחייתה</w:t>
      </w:r>
      <w:r w:rsidRPr="00A210E9">
        <w:rPr>
          <w:rFonts w:eastAsia="Calibri" w:hint="cs"/>
          <w:rtl/>
        </w:rPr>
        <w:t>) -</w:t>
      </w:r>
      <w:r w:rsidRPr="00A210E9">
        <w:rPr>
          <w:rFonts w:eastAsia="Calibri"/>
          <w:rtl/>
        </w:rPr>
        <w:t xml:space="preserve"> טרם טופלו.</w:t>
      </w:r>
    </w:p>
    <w:p w:rsidR="00A210E9" w:rsidRPr="0029344A" w:rsidP="00A210E9">
      <w:pPr>
        <w:keepNext/>
        <w:keepLines/>
        <w:spacing w:line="269" w:lineRule="auto"/>
        <w:ind w:left="-567"/>
        <w:rPr>
          <w:rFonts w:eastAsia="Calibri"/>
          <w:sz w:val="18"/>
          <w:szCs w:val="18"/>
        </w:rPr>
      </w:pPr>
    </w:p>
    <w:p w:rsidR="00A210E9" w:rsidRPr="00A210E9" w:rsidP="00A210E9">
      <w:pPr>
        <w:numPr>
          <w:ilvl w:val="0"/>
          <w:numId w:val="18"/>
        </w:numPr>
        <w:spacing w:line="269" w:lineRule="auto"/>
        <w:contextualSpacing/>
        <w:rPr>
          <w:rFonts w:eastAsia="Calibri"/>
          <w:rtl/>
        </w:rPr>
      </w:pPr>
      <w:r w:rsidRPr="00A210E9">
        <w:rPr>
          <w:rFonts w:eastAsia="Calibri" w:hint="cs"/>
          <w:rtl/>
        </w:rPr>
        <w:t>בשנת 2021 כתב האגף למנכ"ל כי תלונות רבות התקבלו מאזרחים שפנו כמה פעמים בבקשה לקבל תג חניה, ונענו בתשובות סותרות לגבי חומרת מצבם הרפואי וזכאותם לתג חניה, וזאת אף על פי שבכל הפעמים שלחו מסמכים רפואיים זהים.</w:t>
      </w:r>
    </w:p>
    <w:p w:rsidR="00A210E9" w:rsidRPr="0029344A" w:rsidP="00A210E9">
      <w:pPr>
        <w:keepNext/>
        <w:keepLines/>
        <w:spacing w:line="269" w:lineRule="auto"/>
        <w:ind w:left="-567"/>
        <w:rPr>
          <w:rFonts w:eastAsia="Calibri"/>
          <w:sz w:val="18"/>
          <w:szCs w:val="18"/>
          <w:rtl/>
        </w:rPr>
      </w:pPr>
    </w:p>
    <w:p w:rsidR="00A210E9" w:rsidRPr="00A210E9" w:rsidP="00A210E9">
      <w:pPr>
        <w:numPr>
          <w:ilvl w:val="0"/>
          <w:numId w:val="18"/>
        </w:numPr>
        <w:spacing w:line="269" w:lineRule="auto"/>
        <w:contextualSpacing/>
        <w:rPr>
          <w:rFonts w:eastAsia="Calibri"/>
        </w:rPr>
      </w:pPr>
      <w:r w:rsidRPr="00A210E9">
        <w:rPr>
          <w:rFonts w:eastAsia="Calibri" w:hint="cs"/>
          <w:rtl/>
        </w:rPr>
        <w:t>נציבות שוויון זכויות מטפלת אף היא מפעם לפעם בתלונות של אנשים עם מוגבלות בנושא תגי חניה, אולם רוב התלונות הללו מסווגות על ידה כבקשות למידע, ולפיכך הפונים מקבלים הכוונה למידע בלבד, ללא בירור התלונה עצמה, ועל כן לא ניתן לדעת אם התלונות נמצאו מוצדקות. עם זאת, ניתן ללמוד מתלונות מסוג זה כי התשובות שפונים מקבלים על בקשותיהם אינן מאפשרות להבין מה נדרש מהם לעשות. להלן כמה דוגמאות מהשנים 2023 - 2024:</w:t>
      </w:r>
    </w:p>
    <w:p w:rsidR="00A210E9" w:rsidRPr="00A210E9" w:rsidP="00A210E9">
      <w:pPr>
        <w:keepNext/>
        <w:keepLines/>
        <w:spacing w:line="269" w:lineRule="auto"/>
        <w:ind w:left="-567"/>
        <w:rPr>
          <w:rFonts w:eastAsia="Calibri"/>
          <w:szCs w:val="20"/>
        </w:rPr>
      </w:pPr>
    </w:p>
    <w:p w:rsidR="00A210E9" w:rsidRPr="00A210E9" w:rsidP="00A210E9">
      <w:pPr>
        <w:numPr>
          <w:ilvl w:val="1"/>
          <w:numId w:val="18"/>
        </w:numPr>
        <w:spacing w:line="269" w:lineRule="auto"/>
        <w:contextualSpacing/>
        <w:rPr>
          <w:rFonts w:eastAsia="Calibri"/>
        </w:rPr>
      </w:pPr>
      <w:r w:rsidRPr="00A210E9">
        <w:rPr>
          <w:rFonts w:eastAsia="Calibri" w:hint="cs"/>
          <w:rtl/>
        </w:rPr>
        <w:t>"</w:t>
      </w:r>
      <w:r w:rsidRPr="00A210E9">
        <w:rPr>
          <w:rFonts w:eastAsia="Calibri"/>
          <w:rtl/>
        </w:rPr>
        <w:t>הבן שלי מאובחן על הרצף האוטיסטי עם 100% נכות.</w:t>
      </w:r>
      <w:r w:rsidRPr="00A210E9">
        <w:rPr>
          <w:rFonts w:eastAsia="Calibri" w:hint="cs"/>
          <w:rtl/>
        </w:rPr>
        <w:t xml:space="preserve"> </w:t>
      </w:r>
      <w:r w:rsidRPr="00A210E9">
        <w:rPr>
          <w:rFonts w:eastAsia="Calibri"/>
          <w:rtl/>
        </w:rPr>
        <w:t xml:space="preserve">באתר משרד התחבורה הגשתי בקשה לתו </w:t>
      </w:r>
      <w:r w:rsidRPr="00A210E9">
        <w:rPr>
          <w:rFonts w:eastAsia="Calibri" w:hint="cs"/>
          <w:rtl/>
        </w:rPr>
        <w:t>[חניה]</w:t>
      </w:r>
      <w:r w:rsidRPr="00A210E9">
        <w:rPr>
          <w:rFonts w:eastAsia="Calibri"/>
          <w:rtl/>
        </w:rPr>
        <w:t xml:space="preserve"> לרכב.</w:t>
      </w:r>
      <w:r w:rsidRPr="00A210E9">
        <w:rPr>
          <w:rFonts w:eastAsia="Calibri" w:hint="cs"/>
          <w:rtl/>
        </w:rPr>
        <w:t xml:space="preserve"> </w:t>
      </w:r>
      <w:r w:rsidRPr="00A210E9">
        <w:rPr>
          <w:rFonts w:eastAsia="Calibri"/>
          <w:rtl/>
        </w:rPr>
        <w:t>לתמוך בבקשתי צירפתי להם את המכתב מהביטוח הלאומי שמעיד על ק</w:t>
      </w:r>
      <w:r w:rsidRPr="00A210E9">
        <w:rPr>
          <w:rFonts w:eastAsia="Calibri" w:hint="cs"/>
          <w:rtl/>
        </w:rPr>
        <w:t>בי</w:t>
      </w:r>
      <w:r w:rsidRPr="00A210E9">
        <w:rPr>
          <w:rFonts w:eastAsia="Calibri"/>
          <w:rtl/>
        </w:rPr>
        <w:t>עת הנכות לילד ברמה של 100%.</w:t>
      </w:r>
      <w:r w:rsidRPr="00A210E9">
        <w:rPr>
          <w:rFonts w:eastAsia="Calibri" w:hint="cs"/>
          <w:rtl/>
        </w:rPr>
        <w:t xml:space="preserve"> </w:t>
      </w:r>
      <w:r w:rsidRPr="00A210E9">
        <w:rPr>
          <w:rFonts w:eastAsia="Calibri"/>
          <w:rtl/>
        </w:rPr>
        <w:t>קיבלתי ממשרד התחבורה הודעה שבקשתי נקלטה ומבקשים להשלים מסמכים רפואיים.</w:t>
      </w:r>
      <w:r w:rsidRPr="00A210E9">
        <w:rPr>
          <w:rFonts w:eastAsia="Calibri" w:hint="cs"/>
          <w:rtl/>
        </w:rPr>
        <w:t xml:space="preserve"> </w:t>
      </w:r>
      <w:r w:rsidRPr="00A210E9">
        <w:rPr>
          <w:rFonts w:eastAsia="Calibri"/>
          <w:rtl/>
        </w:rPr>
        <w:t xml:space="preserve">לא ברור לי מה עלי להמציא בפניהם? הבריאות של הילד שלי תקינה והזכאות לתו </w:t>
      </w:r>
      <w:r w:rsidRPr="00A210E9">
        <w:rPr>
          <w:rFonts w:eastAsia="Calibri" w:hint="cs"/>
          <w:rtl/>
        </w:rPr>
        <w:t>[חניה]</w:t>
      </w:r>
      <w:r w:rsidRPr="00A210E9">
        <w:rPr>
          <w:rFonts w:eastAsia="Calibri"/>
          <w:rtl/>
        </w:rPr>
        <w:t xml:space="preserve"> היא לשם חניה מהירה במקומות מיועדים לכך ולא להעסיקו בנסיעה מיותרת ברכב בחיפוש אחר חניה.</w:t>
      </w:r>
      <w:r w:rsidRPr="00A210E9">
        <w:rPr>
          <w:rFonts w:eastAsia="Calibri" w:hint="cs"/>
          <w:rtl/>
        </w:rPr>
        <w:t xml:space="preserve"> </w:t>
      </w:r>
      <w:r w:rsidRPr="00A210E9">
        <w:rPr>
          <w:rFonts w:eastAsia="Calibri"/>
          <w:rtl/>
        </w:rPr>
        <w:t>אוטיזם הוא לא לקות חולפת, כך שלא ברור לי על מה צריכים להעיד מסמכים רפואיים שאגף הרישוי במשרד התחבורה ביקש שאמציא להם?</w:t>
      </w:r>
      <w:r w:rsidRPr="00A210E9">
        <w:rPr>
          <w:rFonts w:eastAsia="Calibri" w:hint="cs"/>
          <w:rtl/>
        </w:rPr>
        <w:t xml:space="preserve">" </w:t>
      </w:r>
    </w:p>
    <w:p w:rsidR="00A210E9" w:rsidRPr="00A210E9" w:rsidP="00A210E9">
      <w:pPr>
        <w:keepNext/>
        <w:keepLines/>
        <w:spacing w:line="269" w:lineRule="auto"/>
        <w:ind w:left="-567"/>
        <w:rPr>
          <w:rFonts w:eastAsia="Calibri"/>
          <w:szCs w:val="20"/>
        </w:rPr>
      </w:pPr>
    </w:p>
    <w:p w:rsidR="00A210E9" w:rsidRPr="00A210E9" w:rsidP="00A210E9">
      <w:pPr>
        <w:numPr>
          <w:ilvl w:val="1"/>
          <w:numId w:val="18"/>
        </w:numPr>
        <w:spacing w:line="269" w:lineRule="auto"/>
        <w:contextualSpacing/>
        <w:rPr>
          <w:rFonts w:eastAsia="Calibri"/>
        </w:rPr>
      </w:pPr>
      <w:r w:rsidRPr="00A210E9">
        <w:rPr>
          <w:rFonts w:eastAsia="Calibri" w:hint="cs"/>
          <w:rtl/>
        </w:rPr>
        <w:t>"</w:t>
      </w:r>
      <w:r w:rsidRPr="00A210E9">
        <w:rPr>
          <w:rFonts w:eastAsia="Calibri"/>
          <w:rtl/>
        </w:rPr>
        <w:t xml:space="preserve">היה לי תג </w:t>
      </w:r>
      <w:r w:rsidRPr="00A210E9">
        <w:rPr>
          <w:rFonts w:eastAsia="Calibri" w:hint="cs"/>
          <w:rtl/>
        </w:rPr>
        <w:t>[חניה]</w:t>
      </w:r>
      <w:r w:rsidRPr="00A210E9">
        <w:rPr>
          <w:rFonts w:eastAsia="Calibri"/>
          <w:rtl/>
        </w:rPr>
        <w:t xml:space="preserve"> במשך 3 שנים בשל נכות רפואית לצמיתות מהביטוח הלאומי בשיעור 80%. הגשתי בקשה לחידוש התג ואני נדחית ללא כל סיבה הגיונית ומוצדקת. התשובה שאני מקבלת שוב ושוב מורכבת משני משפטים שנדמה כאילו נשלחים ע"י רובוט אוטומטי. צירפתי לבקשות</w:t>
      </w:r>
      <w:r w:rsidRPr="00A210E9">
        <w:rPr>
          <w:rFonts w:eastAsia="Calibri" w:hint="cs"/>
          <w:rtl/>
        </w:rPr>
        <w:t>י</w:t>
      </w:r>
      <w:r w:rsidRPr="00A210E9">
        <w:rPr>
          <w:rFonts w:eastAsia="Calibri"/>
          <w:rtl/>
        </w:rPr>
        <w:t xml:space="preserve">י החוזרות עוד ועוד מסמכים רפואיים שמעידים על כך שלא זו בלבד שמצבי הרפואי לא הוטב, אלא אף החמיר. גם הרופאים המומחים כותבים שוב ושוב שאינם מבינים מדוע לא מאושר לי התג לאחר שבמשך </w:t>
      </w:r>
      <w:r w:rsidRPr="00A210E9">
        <w:rPr>
          <w:rFonts w:eastAsia="Calibri" w:hint="cs"/>
          <w:rtl/>
        </w:rPr>
        <w:t>שלוש</w:t>
      </w:r>
      <w:r w:rsidRPr="00A210E9">
        <w:rPr>
          <w:rFonts w:eastAsia="Calibri"/>
          <w:rtl/>
        </w:rPr>
        <w:t xml:space="preserve"> שנים כן אושר. לא נראה שמישהו באמת קורא את המכתבים והמסמכים. הגשתי גם ערעור מעורך דין שגם עליו ענו עם אותם שני משפטים חוזרים. הכ</w:t>
      </w:r>
      <w:r w:rsidRPr="00A210E9">
        <w:rPr>
          <w:rFonts w:eastAsia="Calibri" w:hint="cs"/>
          <w:rtl/>
        </w:rPr>
        <w:t>ו</w:t>
      </w:r>
      <w:r w:rsidRPr="00A210E9">
        <w:rPr>
          <w:rFonts w:eastAsia="Calibri"/>
          <w:rtl/>
        </w:rPr>
        <w:t>ל תמוה, מוזר, מקומם ואני נמצאת בתחושה שנעשה לי עוול גדול</w:t>
      </w:r>
      <w:r w:rsidRPr="00A210E9">
        <w:rPr>
          <w:rFonts w:eastAsia="Calibri" w:hint="cs"/>
          <w:rtl/>
        </w:rPr>
        <w:t xml:space="preserve">". </w:t>
      </w:r>
    </w:p>
    <w:p w:rsidR="00A210E9" w:rsidRPr="00A210E9" w:rsidP="00A210E9">
      <w:pPr>
        <w:keepNext/>
        <w:keepLines/>
        <w:spacing w:line="269" w:lineRule="auto"/>
        <w:ind w:left="-567"/>
        <w:rPr>
          <w:rFonts w:eastAsia="Calibri"/>
          <w:szCs w:val="20"/>
        </w:rPr>
      </w:pPr>
    </w:p>
    <w:p w:rsidR="00A210E9" w:rsidRPr="00A210E9" w:rsidP="00A210E9">
      <w:pPr>
        <w:numPr>
          <w:ilvl w:val="1"/>
          <w:numId w:val="18"/>
        </w:numPr>
        <w:spacing w:line="269" w:lineRule="auto"/>
        <w:contextualSpacing/>
        <w:rPr>
          <w:rFonts w:eastAsia="Calibri"/>
        </w:rPr>
      </w:pPr>
      <w:r w:rsidRPr="00A210E9">
        <w:rPr>
          <w:rFonts w:eastAsia="Calibri"/>
          <w:rtl/>
        </w:rPr>
        <w:t>"אני עם שבר בקרסול,</w:t>
      </w:r>
      <w:r w:rsidRPr="00A210E9">
        <w:rPr>
          <w:rFonts w:eastAsia="Calibri" w:hint="cs"/>
          <w:rtl/>
        </w:rPr>
        <w:t xml:space="preserve"> </w:t>
      </w:r>
      <w:r w:rsidRPr="00A210E9">
        <w:rPr>
          <w:rFonts w:eastAsia="Calibri"/>
          <w:rtl/>
        </w:rPr>
        <w:t>מגובסת על כיסא גלגלים לפני ניתוח..</w:t>
      </w:r>
      <w:r w:rsidRPr="00A210E9">
        <w:rPr>
          <w:rFonts w:eastAsia="Calibri" w:hint="cs"/>
          <w:rtl/>
        </w:rPr>
        <w:t xml:space="preserve">. </w:t>
      </w:r>
      <w:r w:rsidRPr="00A210E9">
        <w:rPr>
          <w:rFonts w:eastAsia="Calibri"/>
          <w:rtl/>
        </w:rPr>
        <w:t>בעקבות נפילה ברחוב.</w:t>
      </w:r>
      <w:r w:rsidRPr="00A210E9">
        <w:rPr>
          <w:rFonts w:eastAsia="Calibri" w:hint="cs"/>
          <w:rtl/>
        </w:rPr>
        <w:t xml:space="preserve"> </w:t>
      </w:r>
      <w:r w:rsidRPr="00A210E9">
        <w:rPr>
          <w:rFonts w:eastAsia="Calibri"/>
          <w:rtl/>
        </w:rPr>
        <w:t xml:space="preserve">פניתי למשרד הרישוי לקבלת תו </w:t>
      </w:r>
      <w:r w:rsidRPr="00A210E9">
        <w:rPr>
          <w:rFonts w:eastAsia="Calibri" w:hint="cs"/>
          <w:rtl/>
        </w:rPr>
        <w:t>[חניה]</w:t>
      </w:r>
      <w:r w:rsidRPr="00A210E9">
        <w:rPr>
          <w:rFonts w:eastAsia="Calibri"/>
          <w:rtl/>
        </w:rPr>
        <w:t xml:space="preserve"> זמני שיקל עליי להגיע עם הרכב לחניות מונגשות של אנשים עם מוגבלות אך דחו את פנייתי בטענה אטומה שלא מצאו שהנסיעה בדרכים מחמירה את מצבי"</w:t>
      </w:r>
      <w:r w:rsidRPr="00A210E9">
        <w:rPr>
          <w:rFonts w:eastAsia="Calibri" w:hint="cs"/>
          <w:rtl/>
        </w:rPr>
        <w:t>.</w:t>
      </w:r>
    </w:p>
    <w:p w:rsidR="00A210E9" w:rsidRPr="00A210E9" w:rsidP="00A210E9">
      <w:pPr>
        <w:spacing w:line="269" w:lineRule="auto"/>
        <w:rPr>
          <w:rFonts w:eastAsia="Calibri"/>
          <w:rtl/>
        </w:rPr>
      </w:pPr>
      <w:r w:rsidRPr="00A210E9">
        <w:rPr>
          <w:rFonts w:eastAsia="Calibri" w:hint="cs"/>
          <w:rtl/>
        </w:rPr>
        <w:t xml:space="preserve">אגף בכיר </w:t>
      </w:r>
      <w:r w:rsidRPr="00A210E9">
        <w:rPr>
          <w:rFonts w:eastAsia="Calibri"/>
          <w:rtl/>
        </w:rPr>
        <w:t>ביקורת פני</w:t>
      </w:r>
      <w:r w:rsidRPr="00A210E9">
        <w:rPr>
          <w:rFonts w:eastAsia="Calibri" w:hint="cs"/>
          <w:rtl/>
        </w:rPr>
        <w:t>מית</w:t>
      </w:r>
      <w:r w:rsidRPr="00A210E9">
        <w:rPr>
          <w:rFonts w:eastAsia="Calibri"/>
          <w:rtl/>
        </w:rPr>
        <w:t xml:space="preserve"> </w:t>
      </w:r>
      <w:r w:rsidRPr="00A210E9">
        <w:rPr>
          <w:rFonts w:eastAsia="Calibri" w:hint="cs"/>
          <w:rtl/>
        </w:rPr>
        <w:t>במשרד התחבורה העיר בשנת 2018, ב</w:t>
      </w:r>
      <w:r w:rsidRPr="00A210E9">
        <w:rPr>
          <w:rFonts w:eastAsia="Calibri"/>
          <w:rtl/>
        </w:rPr>
        <w:t xml:space="preserve">דוח </w:t>
      </w:r>
      <w:r w:rsidRPr="00A210E9">
        <w:rPr>
          <w:rFonts w:eastAsia="Calibri" w:hint="cs"/>
          <w:rtl/>
        </w:rPr>
        <w:t>ה</w:t>
      </w:r>
      <w:r w:rsidRPr="00A210E9">
        <w:rPr>
          <w:rFonts w:eastAsia="Calibri"/>
          <w:rtl/>
        </w:rPr>
        <w:t xml:space="preserve">ביקורת "מערכת תגי חניה </w:t>
      </w:r>
      <w:r w:rsidRPr="00A210E9">
        <w:rPr>
          <w:rFonts w:eastAsia="Calibri" w:hint="cs"/>
          <w:rtl/>
        </w:rPr>
        <w:t>לנכים</w:t>
      </w:r>
      <w:r w:rsidRPr="00A210E9">
        <w:rPr>
          <w:rFonts w:eastAsia="Calibri"/>
          <w:rtl/>
        </w:rPr>
        <w:t>, יישום והפעלה"</w:t>
      </w:r>
      <w:r w:rsidRPr="00A210E9">
        <w:rPr>
          <w:rFonts w:eastAsia="Calibri" w:hint="cs"/>
          <w:rtl/>
        </w:rPr>
        <w:t xml:space="preserve">, כי קיים </w:t>
      </w:r>
      <w:r w:rsidRPr="00A210E9">
        <w:rPr>
          <w:rFonts w:eastAsia="Calibri"/>
          <w:rtl/>
        </w:rPr>
        <w:t>מרחב פרשנות אישית של הרופא</w:t>
      </w:r>
      <w:r w:rsidRPr="00A210E9">
        <w:rPr>
          <w:rFonts w:eastAsia="Calibri" w:hint="cs"/>
          <w:rtl/>
        </w:rPr>
        <w:t xml:space="preserve"> </w:t>
      </w:r>
      <w:r w:rsidRPr="00A210E9">
        <w:rPr>
          <w:rFonts w:eastAsia="Calibri"/>
          <w:rtl/>
        </w:rPr>
        <w:t>בעת בדיקת</w:t>
      </w:r>
      <w:r w:rsidRPr="00A210E9">
        <w:rPr>
          <w:rFonts w:eastAsia="Calibri" w:hint="cs"/>
          <w:rtl/>
        </w:rPr>
        <w:t xml:space="preserve"> </w:t>
      </w:r>
      <w:r w:rsidRPr="00A210E9">
        <w:rPr>
          <w:rFonts w:eastAsia="Calibri"/>
          <w:rtl/>
        </w:rPr>
        <w:t>הבקשות</w:t>
      </w:r>
      <w:r w:rsidRPr="00A210E9">
        <w:rPr>
          <w:rFonts w:eastAsia="Calibri" w:hint="cs"/>
          <w:rtl/>
        </w:rPr>
        <w:t>, ו</w:t>
      </w:r>
      <w:r w:rsidRPr="00A210E9">
        <w:rPr>
          <w:rFonts w:eastAsia="Calibri"/>
          <w:rtl/>
        </w:rPr>
        <w:t>השלמת החקיקה לקביעת קריטריונים</w:t>
      </w:r>
      <w:r w:rsidRPr="00A210E9">
        <w:rPr>
          <w:rFonts w:eastAsia="Calibri" w:hint="cs"/>
          <w:rtl/>
        </w:rPr>
        <w:t xml:space="preserve"> </w:t>
      </w:r>
      <w:r w:rsidRPr="00A210E9">
        <w:rPr>
          <w:rFonts w:eastAsia="Calibri"/>
          <w:rtl/>
        </w:rPr>
        <w:t xml:space="preserve">לתגי חניה </w:t>
      </w:r>
      <w:r w:rsidRPr="00A210E9">
        <w:rPr>
          <w:rFonts w:eastAsia="Calibri" w:hint="cs"/>
          <w:rtl/>
        </w:rPr>
        <w:t xml:space="preserve">עשויה לצמצם אותו </w:t>
      </w:r>
      <w:r w:rsidRPr="00A210E9">
        <w:rPr>
          <w:rFonts w:eastAsia="Calibri"/>
          <w:rtl/>
        </w:rPr>
        <w:t>ו</w:t>
      </w:r>
      <w:r w:rsidRPr="00A210E9">
        <w:rPr>
          <w:rFonts w:eastAsia="Calibri" w:hint="cs"/>
          <w:rtl/>
        </w:rPr>
        <w:t>ל</w:t>
      </w:r>
      <w:r w:rsidRPr="00A210E9">
        <w:rPr>
          <w:rFonts w:eastAsia="Calibri"/>
          <w:rtl/>
        </w:rPr>
        <w:t>אפשר מתן הנמקות ראויות, מבוססות וברורות</w:t>
      </w:r>
      <w:r w:rsidRPr="00A210E9">
        <w:rPr>
          <w:rFonts w:eastAsia="Calibri" w:hint="cs"/>
          <w:rtl/>
        </w:rPr>
        <w:t xml:space="preserve">. בדוח הביקורת הפנימית צוין כי </w:t>
      </w:r>
      <w:r w:rsidRPr="00A210E9">
        <w:rPr>
          <w:rFonts w:eastAsia="Calibri"/>
          <w:rtl/>
        </w:rPr>
        <w:t xml:space="preserve">לא נקבעו אמות מידה ברורות ומוסכמות שינחו את רופאי </w:t>
      </w:r>
      <w:r w:rsidRPr="00A210E9">
        <w:rPr>
          <w:rFonts w:eastAsia="Calibri" w:hint="cs"/>
          <w:rtl/>
        </w:rPr>
        <w:t>חברה ב'</w:t>
      </w:r>
      <w:r w:rsidRPr="00A210E9">
        <w:rPr>
          <w:rFonts w:eastAsia="Calibri"/>
          <w:rtl/>
        </w:rPr>
        <w:t xml:space="preserve"> בהחלטתם לאשר בקשה לתג חניה או לדחייתה, ולפיכך בקשה שתידחה</w:t>
      </w:r>
      <w:r w:rsidRPr="00A210E9">
        <w:rPr>
          <w:rFonts w:eastAsia="Calibri" w:hint="cs"/>
          <w:rtl/>
        </w:rPr>
        <w:t xml:space="preserve"> על ידי</w:t>
      </w:r>
      <w:r w:rsidRPr="00A210E9">
        <w:rPr>
          <w:rFonts w:eastAsia="Calibri"/>
          <w:rtl/>
        </w:rPr>
        <w:t xml:space="preserve"> רופא אחד עשויה לקבל אישור </w:t>
      </w:r>
      <w:r w:rsidRPr="00A210E9">
        <w:rPr>
          <w:rFonts w:eastAsia="Calibri" w:hint="cs"/>
          <w:rtl/>
        </w:rPr>
        <w:t>מ</w:t>
      </w:r>
      <w:r w:rsidRPr="00A210E9">
        <w:rPr>
          <w:rFonts w:eastAsia="Calibri"/>
          <w:rtl/>
        </w:rPr>
        <w:t>רופא אחר.</w:t>
      </w:r>
      <w:r w:rsidRPr="00A210E9">
        <w:rPr>
          <w:rFonts w:eastAsia="Calibri" w:hint="cs"/>
          <w:rtl/>
        </w:rPr>
        <w:t xml:space="preserve"> נוסף על כך, </w:t>
      </w:r>
      <w:r w:rsidRPr="00A210E9">
        <w:rPr>
          <w:rFonts w:eastAsia="Calibri"/>
          <w:rtl/>
        </w:rPr>
        <w:t xml:space="preserve">בדוח סיכום ההתקשרות </w:t>
      </w:r>
      <w:r w:rsidRPr="00A210E9">
        <w:rPr>
          <w:rFonts w:eastAsia="Calibri" w:hint="cs"/>
          <w:rtl/>
        </w:rPr>
        <w:t>של משרד התחבורה עם חברה ב'</w:t>
      </w:r>
      <w:r w:rsidRPr="00A210E9">
        <w:rPr>
          <w:rFonts w:eastAsia="Calibri"/>
          <w:rtl/>
        </w:rPr>
        <w:t xml:space="preserve"> מ</w:t>
      </w:r>
      <w:r w:rsidRPr="00A210E9">
        <w:rPr>
          <w:rFonts w:eastAsia="Calibri" w:hint="cs"/>
          <w:rtl/>
        </w:rPr>
        <w:t>אוקטובר 2018</w:t>
      </w:r>
      <w:r w:rsidRPr="00A210E9">
        <w:rPr>
          <w:rFonts w:eastAsia="Calibri"/>
          <w:rtl/>
        </w:rPr>
        <w:t xml:space="preserve"> ציין</w:t>
      </w:r>
      <w:r w:rsidRPr="00A210E9">
        <w:rPr>
          <w:rFonts w:eastAsia="Calibri" w:hint="cs"/>
          <w:rtl/>
        </w:rPr>
        <w:t xml:space="preserve"> נציג</w:t>
      </w:r>
      <w:r w:rsidRPr="00A210E9">
        <w:rPr>
          <w:rFonts w:eastAsia="Calibri"/>
          <w:rtl/>
        </w:rPr>
        <w:t xml:space="preserve"> אגף </w:t>
      </w:r>
      <w:r w:rsidRPr="00A210E9">
        <w:rPr>
          <w:rFonts w:eastAsia="Calibri" w:hint="cs"/>
          <w:rtl/>
        </w:rPr>
        <w:t xml:space="preserve">הרכש, נכסים ולוגיסטיקה של משרד התחבורה כי </w:t>
      </w:r>
      <w:r w:rsidRPr="00A210E9">
        <w:rPr>
          <w:rFonts w:eastAsia="Calibri"/>
          <w:rtl/>
        </w:rPr>
        <w:t>החלטות הרופאים לעיתים אינ</w:t>
      </w:r>
      <w:r w:rsidRPr="00A210E9">
        <w:rPr>
          <w:rFonts w:eastAsia="Calibri" w:hint="cs"/>
          <w:rtl/>
        </w:rPr>
        <w:t>ן</w:t>
      </w:r>
      <w:r w:rsidRPr="00A210E9">
        <w:rPr>
          <w:rFonts w:eastAsia="Calibri"/>
          <w:rtl/>
        </w:rPr>
        <w:t xml:space="preserve"> משקפ</w:t>
      </w:r>
      <w:r w:rsidRPr="00A210E9">
        <w:rPr>
          <w:rFonts w:eastAsia="Calibri" w:hint="cs"/>
          <w:rtl/>
        </w:rPr>
        <w:t xml:space="preserve">ות </w:t>
      </w:r>
      <w:r w:rsidRPr="00A210E9">
        <w:rPr>
          <w:rFonts w:eastAsia="Calibri"/>
          <w:rtl/>
        </w:rPr>
        <w:t>את המצב האמיתי של מבקש</w:t>
      </w:r>
      <w:r w:rsidRPr="00A210E9">
        <w:rPr>
          <w:rFonts w:eastAsia="Calibri" w:hint="cs"/>
          <w:rtl/>
        </w:rPr>
        <w:t xml:space="preserve"> </w:t>
      </w:r>
      <w:r w:rsidRPr="00A210E9">
        <w:rPr>
          <w:rFonts w:eastAsia="Calibri"/>
          <w:rtl/>
        </w:rPr>
        <w:t>התג</w:t>
      </w:r>
      <w:r w:rsidRPr="00A210E9">
        <w:rPr>
          <w:rFonts w:eastAsia="Calibri" w:hint="cs"/>
          <w:rtl/>
        </w:rPr>
        <w:t>, וכי</w:t>
      </w:r>
      <w:r w:rsidRPr="00A210E9">
        <w:rPr>
          <w:rFonts w:eastAsia="Calibri"/>
          <w:rtl/>
        </w:rPr>
        <w:t xml:space="preserve"> כנראה </w:t>
      </w:r>
      <w:r w:rsidRPr="00A210E9">
        <w:rPr>
          <w:rFonts w:eastAsia="Calibri" w:hint="cs"/>
          <w:rtl/>
        </w:rPr>
        <w:t xml:space="preserve">הם </w:t>
      </w:r>
      <w:r w:rsidRPr="00A210E9">
        <w:rPr>
          <w:rFonts w:eastAsia="Calibri"/>
          <w:rtl/>
        </w:rPr>
        <w:t>אינם מעיינים במסמכים הרפואיים המצורפים לבקש</w:t>
      </w:r>
      <w:r w:rsidRPr="00A210E9">
        <w:rPr>
          <w:rFonts w:eastAsia="Calibri" w:hint="cs"/>
          <w:rtl/>
        </w:rPr>
        <w:t>ה</w:t>
      </w:r>
      <w:r w:rsidRPr="00A210E9">
        <w:rPr>
          <w:rFonts w:eastAsia="Calibri"/>
          <w:rtl/>
        </w:rPr>
        <w:t xml:space="preserve"> </w:t>
      </w:r>
      <w:r w:rsidRPr="00A210E9">
        <w:rPr>
          <w:rFonts w:eastAsia="Calibri" w:hint="cs"/>
          <w:rtl/>
        </w:rPr>
        <w:t xml:space="preserve">לקבלת </w:t>
      </w:r>
      <w:r w:rsidRPr="00A210E9">
        <w:rPr>
          <w:rFonts w:eastAsia="Calibri"/>
          <w:rtl/>
        </w:rPr>
        <w:t>תג</w:t>
      </w:r>
      <w:r w:rsidRPr="00A210E9">
        <w:rPr>
          <w:rFonts w:eastAsia="Calibri" w:hint="cs"/>
          <w:rtl/>
        </w:rPr>
        <w:t xml:space="preserve">. בדוא"ל מאגף בכיר ביקורת פנימית במשרד התחבורה שהופנה ליועמ"שית משרד התחבורה בשנת 2023 צוין כי </w:t>
      </w:r>
      <w:r w:rsidRPr="00A210E9">
        <w:rPr>
          <w:rFonts w:eastAsia="Calibri"/>
          <w:rtl/>
        </w:rPr>
        <w:t xml:space="preserve">הדרישה לציון המסמך </w:t>
      </w:r>
      <w:r w:rsidRPr="00A210E9">
        <w:rPr>
          <w:rFonts w:eastAsia="Calibri" w:hint="cs"/>
          <w:rtl/>
        </w:rPr>
        <w:t>ש</w:t>
      </w:r>
      <w:r w:rsidRPr="00A210E9">
        <w:rPr>
          <w:rFonts w:eastAsia="Calibri"/>
          <w:rtl/>
        </w:rPr>
        <w:t>עליו מתבססת החלטה לדחיית בקשה לתג חניה, בתנאי המכרז, נועדה לצמצם מקרים</w:t>
      </w:r>
      <w:r w:rsidRPr="00A210E9">
        <w:rPr>
          <w:rFonts w:eastAsia="Calibri" w:hint="cs"/>
          <w:rtl/>
        </w:rPr>
        <w:t xml:space="preserve"> כגון אלה שתוארו בדוח סיכום ההתקשרות</w:t>
      </w:r>
      <w:r w:rsidRPr="00A210E9">
        <w:rPr>
          <w:rFonts w:eastAsia="Calibri"/>
          <w:rtl/>
        </w:rPr>
        <w:t>, אך זו אינה מיושמ</w:t>
      </w:r>
      <w:r w:rsidRPr="00A210E9">
        <w:rPr>
          <w:rFonts w:eastAsia="Calibri" w:hint="cs"/>
          <w:rtl/>
        </w:rPr>
        <w:t xml:space="preserve">ת ואינה נאכפת. עוד צוין כי אגף בכיר </w:t>
      </w:r>
      <w:r w:rsidRPr="00A210E9">
        <w:rPr>
          <w:rFonts w:eastAsia="Calibri"/>
          <w:rtl/>
        </w:rPr>
        <w:t>ביקורת</w:t>
      </w:r>
      <w:r w:rsidRPr="00A210E9">
        <w:rPr>
          <w:rFonts w:eastAsia="Calibri" w:hint="cs"/>
          <w:rtl/>
        </w:rPr>
        <w:t xml:space="preserve"> פנימית</w:t>
      </w:r>
      <w:r w:rsidRPr="00A210E9">
        <w:rPr>
          <w:rFonts w:eastAsia="Calibri"/>
          <w:rtl/>
        </w:rPr>
        <w:t xml:space="preserve"> פנ</w:t>
      </w:r>
      <w:r w:rsidRPr="00A210E9">
        <w:rPr>
          <w:rFonts w:eastAsia="Calibri" w:hint="cs"/>
          <w:rtl/>
        </w:rPr>
        <w:t>ה</w:t>
      </w:r>
      <w:r w:rsidRPr="00A210E9">
        <w:rPr>
          <w:rFonts w:eastAsia="Calibri"/>
          <w:rtl/>
        </w:rPr>
        <w:t xml:space="preserve"> </w:t>
      </w:r>
      <w:r w:rsidRPr="00A210E9">
        <w:rPr>
          <w:rFonts w:eastAsia="Calibri" w:hint="cs"/>
          <w:rtl/>
        </w:rPr>
        <w:t xml:space="preserve">כמה </w:t>
      </w:r>
      <w:r w:rsidRPr="00A210E9">
        <w:rPr>
          <w:rFonts w:eastAsia="Calibri"/>
          <w:rtl/>
        </w:rPr>
        <w:t xml:space="preserve">פעמים לאגף הרישוי בעניין זה, </w:t>
      </w:r>
      <w:r w:rsidRPr="00A210E9">
        <w:rPr>
          <w:rFonts w:eastAsia="Calibri" w:hint="cs"/>
          <w:rtl/>
        </w:rPr>
        <w:t>ו</w:t>
      </w:r>
      <w:r w:rsidRPr="00A210E9">
        <w:rPr>
          <w:rFonts w:eastAsia="Calibri"/>
          <w:rtl/>
        </w:rPr>
        <w:t>ב</w:t>
      </w:r>
      <w:r w:rsidRPr="00A210E9">
        <w:rPr>
          <w:rFonts w:eastAsia="Calibri" w:hint="cs"/>
          <w:rtl/>
        </w:rPr>
        <w:t xml:space="preserve">ספטמבר 2022 </w:t>
      </w:r>
      <w:r w:rsidRPr="00A210E9">
        <w:rPr>
          <w:rFonts w:eastAsia="Calibri"/>
          <w:rtl/>
        </w:rPr>
        <w:t xml:space="preserve">נמסר </w:t>
      </w:r>
      <w:r w:rsidRPr="00A210E9">
        <w:rPr>
          <w:rFonts w:eastAsia="Calibri" w:hint="cs"/>
          <w:rtl/>
        </w:rPr>
        <w:t>לו</w:t>
      </w:r>
      <w:r w:rsidRPr="00A210E9">
        <w:rPr>
          <w:rFonts w:eastAsia="Calibri"/>
          <w:rtl/>
        </w:rPr>
        <w:t xml:space="preserve"> כי הנושא ייבחן מול הלשכה המשפטית, </w:t>
      </w:r>
      <w:r w:rsidRPr="00A210E9">
        <w:rPr>
          <w:rFonts w:eastAsia="Calibri" w:hint="cs"/>
          <w:rtl/>
        </w:rPr>
        <w:t xml:space="preserve">אולם בהמשך </w:t>
      </w:r>
      <w:r w:rsidRPr="00A210E9">
        <w:rPr>
          <w:rFonts w:eastAsia="Calibri"/>
          <w:rtl/>
        </w:rPr>
        <w:t xml:space="preserve">לא הועבר אליה כל עדכון נוסף </w:t>
      </w:r>
      <w:r w:rsidRPr="00A210E9">
        <w:rPr>
          <w:rFonts w:eastAsia="Calibri" w:hint="cs"/>
          <w:rtl/>
        </w:rPr>
        <w:t>בנושא.</w:t>
      </w:r>
      <w:r w:rsidRPr="00A210E9">
        <w:rPr>
          <w:rFonts w:eastAsia="Calibri"/>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גם הבדיקה החשבונאית 2025 העלתה ממצאים בנוגע לליקויים בהנמקות שנתנו רופאי חברה ב'. </w:t>
      </w:r>
      <w:r w:rsidRPr="00A210E9">
        <w:rPr>
          <w:rFonts w:eastAsia="Calibri"/>
          <w:rtl/>
        </w:rPr>
        <w:t xml:space="preserve">מדגימות </w:t>
      </w:r>
      <w:r w:rsidRPr="00A210E9">
        <w:rPr>
          <w:rFonts w:eastAsia="Calibri" w:hint="cs"/>
          <w:rtl/>
        </w:rPr>
        <w:t xml:space="preserve">שנבדקו </w:t>
      </w:r>
      <w:r w:rsidRPr="00A210E9">
        <w:rPr>
          <w:rFonts w:eastAsia="Calibri"/>
          <w:rtl/>
        </w:rPr>
        <w:t>עלה כי מרבית החלטות הרופאים לא נומקו כנדרש</w:t>
      </w:r>
      <w:r w:rsidRPr="00A210E9">
        <w:rPr>
          <w:rFonts w:eastAsia="Calibri" w:hint="cs"/>
          <w:rtl/>
        </w:rPr>
        <w:t>. מתוך דגימה של 60 החלטות של רופאים נמצא כי ב-40 מתוך 41 החלטות לאשר את הבקשה (98%) לא ניתן נימוק מילולי או פירוט התחום הרפואי; ב-9 מתוך 16 החלטות לדחות הבקשה (56%) לא ניתן נימוק מילולי ובחלקן גם לא צוין התחום הרפואי; ב-3 החלטות שבהן נדרשה השלמת מסמכים ניתנו נימוקים מילוליים. עוד נמצא כי הנימוקים המילוליים עצמם לא עמדו בדרישת המכרז, משום שהם לא כללו ציון מפורש של אחד מהמסמכים שעליהם הרופא ביסס את החלטתו לדחות את הבקשות.</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כאמור לעיל, בפרק "הגשת ערעור או בקשה חוזרת", נמצאו מקרים רבים שבהם אושרו תגים לאחר דחייתן של בקשות חוזרות רבות, בחלק מהמקרים אף על סמך אותם מסמכים. גם תופעה זו מצביעה על ליקויים בשיקול הדעת או בזמן המושקע בעיון המסמכים לפני קבלת החלטה של רופאי אגף הרישוי.</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בביקורת הנוכחית עלה כי גם בהתקשרות עם חברה ג' שהחלה ביוני 2025 נמצאו ליקויים בנוגע להנמקת ההחלטות</w:t>
      </w:r>
      <w:r>
        <w:rPr>
          <w:rFonts w:eastAsia="Calibri"/>
          <w:vertAlign w:val="superscript"/>
          <w:rtl/>
        </w:rPr>
        <w:footnoteReference w:id="183"/>
      </w:r>
      <w:r w:rsidRPr="00A210E9">
        <w:rPr>
          <w:rFonts w:eastAsia="Calibri"/>
          <w:rtl/>
        </w:rPr>
        <w:t xml:space="preserve">, וזאת </w:t>
      </w:r>
      <w:r w:rsidRPr="00A210E9">
        <w:rPr>
          <w:rFonts w:eastAsia="Calibri" w:hint="cs"/>
          <w:rtl/>
        </w:rPr>
        <w:t>אף על פי</w:t>
      </w:r>
      <w:r w:rsidRPr="00A210E9">
        <w:rPr>
          <w:rFonts w:eastAsia="Calibri"/>
          <w:rtl/>
        </w:rPr>
        <w:t xml:space="preserve"> </w:t>
      </w:r>
      <w:r w:rsidRPr="00A210E9">
        <w:rPr>
          <w:rFonts w:eastAsia="Calibri" w:hint="cs"/>
          <w:rtl/>
        </w:rPr>
        <w:t>שהיא נדרשה</w:t>
      </w:r>
      <w:r w:rsidRPr="00A210E9">
        <w:rPr>
          <w:rFonts w:eastAsia="Calibri"/>
          <w:rtl/>
        </w:rPr>
        <w:t xml:space="preserve"> </w:t>
      </w:r>
      <w:r w:rsidRPr="00A210E9">
        <w:rPr>
          <w:rFonts w:eastAsia="Calibri" w:hint="eastAsia"/>
          <w:rtl/>
        </w:rPr>
        <w:t>על</w:t>
      </w:r>
      <w:r w:rsidRPr="00A210E9">
        <w:rPr>
          <w:rFonts w:eastAsia="Calibri"/>
          <w:rtl/>
        </w:rPr>
        <w:t xml:space="preserve"> פי תנאי ההתקשרות </w:t>
      </w:r>
      <w:r w:rsidRPr="00A210E9">
        <w:rPr>
          <w:rFonts w:eastAsia="Calibri" w:hint="eastAsia"/>
          <w:rtl/>
        </w:rPr>
        <w:t>לציין</w:t>
      </w:r>
      <w:r w:rsidRPr="00A210E9">
        <w:rPr>
          <w:rFonts w:eastAsia="Calibri"/>
          <w:rtl/>
        </w:rPr>
        <w:t xml:space="preserve"> </w:t>
      </w:r>
      <w:r w:rsidRPr="00A210E9">
        <w:rPr>
          <w:rFonts w:eastAsia="Calibri" w:hint="eastAsia"/>
          <w:rtl/>
        </w:rPr>
        <w:t>בכל</w:t>
      </w:r>
      <w:r w:rsidRPr="00A210E9">
        <w:rPr>
          <w:rFonts w:eastAsia="Calibri"/>
          <w:rtl/>
        </w:rPr>
        <w:t xml:space="preserve"> </w:t>
      </w:r>
      <w:r w:rsidRPr="00A210E9">
        <w:rPr>
          <w:rFonts w:eastAsia="Calibri" w:hint="eastAsia"/>
          <w:rtl/>
        </w:rPr>
        <w:t>אחת</w:t>
      </w:r>
      <w:r w:rsidRPr="00A210E9">
        <w:rPr>
          <w:rFonts w:eastAsia="Calibri"/>
          <w:rtl/>
        </w:rPr>
        <w:t xml:space="preserve"> </w:t>
      </w:r>
      <w:r w:rsidRPr="00A210E9">
        <w:rPr>
          <w:rFonts w:eastAsia="Calibri" w:hint="eastAsia"/>
          <w:rtl/>
        </w:rPr>
        <w:t>מהחלטותי</w:t>
      </w:r>
      <w:r w:rsidRPr="00A210E9">
        <w:rPr>
          <w:rFonts w:eastAsia="Calibri" w:hint="cs"/>
          <w:rtl/>
        </w:rPr>
        <w:t>ה</w:t>
      </w:r>
      <w:r w:rsidRPr="00A210E9">
        <w:rPr>
          <w:rFonts w:eastAsia="Calibri"/>
          <w:rtl/>
        </w:rPr>
        <w:t xml:space="preserve"> </w:t>
      </w:r>
      <w:r w:rsidRPr="00A210E9">
        <w:rPr>
          <w:rFonts w:eastAsia="Calibri" w:hint="eastAsia"/>
          <w:rtl/>
        </w:rPr>
        <w:t>את</w:t>
      </w:r>
      <w:r w:rsidRPr="00A210E9">
        <w:rPr>
          <w:rFonts w:eastAsia="Calibri"/>
          <w:rtl/>
        </w:rPr>
        <w:t xml:space="preserve"> </w:t>
      </w:r>
      <w:r w:rsidRPr="00A210E9">
        <w:rPr>
          <w:rFonts w:eastAsia="Calibri" w:hint="eastAsia"/>
          <w:rtl/>
        </w:rPr>
        <w:t>עילת</w:t>
      </w:r>
      <w:r w:rsidRPr="00A210E9">
        <w:rPr>
          <w:rFonts w:eastAsia="Calibri"/>
          <w:rtl/>
        </w:rPr>
        <w:t xml:space="preserve"> </w:t>
      </w:r>
      <w:r w:rsidRPr="00A210E9">
        <w:rPr>
          <w:rFonts w:eastAsia="Calibri" w:hint="eastAsia"/>
          <w:rtl/>
        </w:rPr>
        <w:t>דחי</w:t>
      </w:r>
      <w:r w:rsidRPr="00A210E9">
        <w:rPr>
          <w:rFonts w:eastAsia="Calibri" w:hint="cs"/>
          <w:rtl/>
        </w:rPr>
        <w:t>ית הבקשה</w:t>
      </w:r>
      <w:r w:rsidRPr="00A210E9">
        <w:rPr>
          <w:rFonts w:eastAsia="Calibri"/>
          <w:rtl/>
        </w:rPr>
        <w:t xml:space="preserve"> </w:t>
      </w:r>
      <w:r w:rsidRPr="00A210E9">
        <w:rPr>
          <w:rFonts w:eastAsia="Calibri" w:hint="eastAsia"/>
          <w:rtl/>
        </w:rPr>
        <w:t>או</w:t>
      </w:r>
      <w:r w:rsidRPr="00A210E9">
        <w:rPr>
          <w:rFonts w:eastAsia="Calibri"/>
          <w:rtl/>
        </w:rPr>
        <w:t xml:space="preserve"> </w:t>
      </w:r>
      <w:r w:rsidRPr="00A210E9">
        <w:rPr>
          <w:rFonts w:eastAsia="Calibri" w:hint="eastAsia"/>
          <w:rtl/>
        </w:rPr>
        <w:t>אישור</w:t>
      </w:r>
      <w:r w:rsidRPr="00A210E9">
        <w:rPr>
          <w:rFonts w:eastAsia="Calibri" w:hint="cs"/>
          <w:rtl/>
        </w:rPr>
        <w:t>ה ואת</w:t>
      </w:r>
      <w:r w:rsidRPr="00A210E9">
        <w:rPr>
          <w:rFonts w:eastAsia="Calibri"/>
          <w:rtl/>
        </w:rPr>
        <w:t xml:space="preserve"> </w:t>
      </w:r>
      <w:r w:rsidRPr="00A210E9">
        <w:rPr>
          <w:rFonts w:eastAsia="Calibri" w:hint="eastAsia"/>
          <w:rtl/>
        </w:rPr>
        <w:t>הקטגוריה</w:t>
      </w:r>
      <w:r w:rsidRPr="00A210E9">
        <w:rPr>
          <w:rFonts w:eastAsia="Calibri"/>
          <w:rtl/>
        </w:rPr>
        <w:t xml:space="preserve"> </w:t>
      </w:r>
      <w:r w:rsidRPr="00A210E9">
        <w:rPr>
          <w:rFonts w:eastAsia="Calibri" w:hint="eastAsia"/>
          <w:rtl/>
        </w:rPr>
        <w:t>הרל</w:t>
      </w:r>
      <w:r w:rsidRPr="00A210E9">
        <w:rPr>
          <w:rFonts w:eastAsia="Calibri" w:hint="cs"/>
          <w:rtl/>
        </w:rPr>
        <w:t>וו</w:t>
      </w:r>
      <w:r w:rsidRPr="00A210E9">
        <w:rPr>
          <w:rFonts w:eastAsia="Calibri" w:hint="eastAsia"/>
          <w:rtl/>
        </w:rPr>
        <w:t>נטית</w:t>
      </w:r>
      <w:r w:rsidRPr="00A210E9">
        <w:rPr>
          <w:rFonts w:eastAsia="Calibri"/>
          <w:rtl/>
        </w:rPr>
        <w:t xml:space="preserve"> </w:t>
      </w:r>
      <w:r w:rsidRPr="00A210E9">
        <w:rPr>
          <w:rFonts w:eastAsia="Calibri" w:hint="eastAsia"/>
          <w:rtl/>
        </w:rPr>
        <w:t>בספר</w:t>
      </w:r>
      <w:r w:rsidRPr="00A210E9">
        <w:rPr>
          <w:rFonts w:eastAsia="Calibri"/>
          <w:rtl/>
        </w:rPr>
        <w:t xml:space="preserve"> </w:t>
      </w:r>
      <w:r w:rsidRPr="00A210E9">
        <w:rPr>
          <w:rFonts w:eastAsia="Calibri" w:hint="eastAsia"/>
          <w:rtl/>
        </w:rPr>
        <w:t>הביטוח</w:t>
      </w:r>
      <w:r w:rsidRPr="00A210E9">
        <w:rPr>
          <w:rFonts w:eastAsia="Calibri"/>
          <w:rtl/>
        </w:rPr>
        <w:t xml:space="preserve"> </w:t>
      </w:r>
      <w:r w:rsidRPr="00A210E9">
        <w:rPr>
          <w:rFonts w:eastAsia="Calibri" w:hint="eastAsia"/>
          <w:rtl/>
        </w:rPr>
        <w:t>הלאומי</w:t>
      </w:r>
      <w:r>
        <w:rPr>
          <w:rFonts w:eastAsia="Calibri"/>
          <w:vertAlign w:val="superscript"/>
          <w:rtl/>
        </w:rPr>
        <w:footnoteReference w:id="184"/>
      </w:r>
      <w:r w:rsidRPr="00A210E9">
        <w:rPr>
          <w:rFonts w:eastAsia="Calibri"/>
          <w:rtl/>
        </w:rPr>
        <w:t xml:space="preserve"> ותוך ציון מפורש</w:t>
      </w:r>
      <w:r w:rsidRPr="00A210E9">
        <w:rPr>
          <w:rFonts w:eastAsia="Calibri" w:hint="cs"/>
          <w:rtl/>
        </w:rPr>
        <w:t xml:space="preserve"> של הנימוקים להחלטה ושל </w:t>
      </w:r>
      <w:r w:rsidRPr="00A210E9">
        <w:rPr>
          <w:rFonts w:eastAsia="Calibri"/>
          <w:rtl/>
        </w:rPr>
        <w:t xml:space="preserve">לפחות אחד </w:t>
      </w:r>
      <w:r w:rsidRPr="00A210E9">
        <w:rPr>
          <w:rFonts w:eastAsia="Calibri" w:hint="cs"/>
          <w:rtl/>
        </w:rPr>
        <w:t>מ</w:t>
      </w:r>
      <w:r w:rsidRPr="00A210E9">
        <w:rPr>
          <w:rFonts w:eastAsia="Calibri"/>
          <w:rtl/>
        </w:rPr>
        <w:t xml:space="preserve">המסמכים </w:t>
      </w:r>
      <w:r w:rsidRPr="00A210E9">
        <w:rPr>
          <w:rFonts w:eastAsia="Calibri" w:hint="cs"/>
          <w:rtl/>
        </w:rPr>
        <w:t>ש</w:t>
      </w:r>
      <w:r w:rsidRPr="00A210E9">
        <w:rPr>
          <w:rFonts w:eastAsia="Calibri"/>
          <w:rtl/>
        </w:rPr>
        <w:t xml:space="preserve">עליהם ביסס </w:t>
      </w:r>
      <w:r w:rsidRPr="00A210E9">
        <w:rPr>
          <w:rFonts w:eastAsia="Calibri" w:hint="cs"/>
          <w:rtl/>
        </w:rPr>
        <w:t xml:space="preserve">הרופא </w:t>
      </w:r>
      <w:r w:rsidRPr="00A210E9">
        <w:rPr>
          <w:rFonts w:eastAsia="Calibri"/>
          <w:rtl/>
        </w:rPr>
        <w:t>את החלטתו</w:t>
      </w:r>
      <w:r w:rsidRPr="00A210E9">
        <w:rPr>
          <w:rFonts w:eastAsia="Calibri" w:hint="cs"/>
          <w:rtl/>
        </w:rPr>
        <w:t>.</w:t>
      </w:r>
      <w:r w:rsidRPr="00A210E9">
        <w:rPr>
          <w:rFonts w:eastAsia="Calibri"/>
          <w:rtl/>
        </w:rPr>
        <w:t xml:space="preserve"> </w:t>
      </w:r>
      <w:r w:rsidRPr="00A210E9">
        <w:rPr>
          <w:rFonts w:eastAsia="Calibri" w:hint="cs"/>
          <w:rtl/>
        </w:rPr>
        <w:t>בין היתר, עלה כי הרופאים מילאו חלק משדות ההנמקה להחלטה בטקסטים לא ברורים ולעיתים לא קריאים</w:t>
      </w:r>
      <w:r>
        <w:rPr>
          <w:rFonts w:eastAsia="Calibri"/>
          <w:vertAlign w:val="superscript"/>
          <w:rtl/>
        </w:rPr>
        <w:footnoteReference w:id="185"/>
      </w:r>
      <w:r w:rsidRPr="00A210E9">
        <w:rPr>
          <w:rFonts w:eastAsia="Calibri" w:hint="cs"/>
          <w:rtl/>
        </w:rPr>
        <w:t xml:space="preserve">; </w:t>
      </w:r>
      <w:r w:rsidRPr="00A210E9">
        <w:rPr>
          <w:rFonts w:eastAsia="Calibri"/>
          <w:rtl/>
        </w:rPr>
        <w:t>כ</w:t>
      </w:r>
      <w:r w:rsidRPr="00A210E9">
        <w:rPr>
          <w:rFonts w:eastAsia="Calibri" w:hint="cs"/>
          <w:rtl/>
        </w:rPr>
        <w:t>-</w:t>
      </w:r>
      <w:r w:rsidRPr="00A210E9">
        <w:rPr>
          <w:rFonts w:eastAsia="Calibri"/>
          <w:rtl/>
        </w:rPr>
        <w:t xml:space="preserve">2,370 בקשות נדחו ולא סומנו להשלמת מסמכים </w:t>
      </w:r>
      <w:r w:rsidRPr="00A210E9">
        <w:rPr>
          <w:rFonts w:eastAsia="Calibri" w:hint="cs"/>
          <w:rtl/>
        </w:rPr>
        <w:t xml:space="preserve">אף </w:t>
      </w:r>
      <w:r w:rsidRPr="00A210E9">
        <w:rPr>
          <w:rFonts w:eastAsia="Calibri"/>
          <w:rtl/>
        </w:rPr>
        <w:t>שבנימוקי</w:t>
      </w:r>
      <w:r w:rsidRPr="00A210E9">
        <w:rPr>
          <w:rFonts w:eastAsia="Calibri" w:hint="cs"/>
          <w:rtl/>
        </w:rPr>
        <w:t xml:space="preserve"> </w:t>
      </w:r>
      <w:r w:rsidRPr="00A210E9">
        <w:rPr>
          <w:rFonts w:eastAsia="Calibri"/>
          <w:rtl/>
        </w:rPr>
        <w:t>הדחיה צוין כי חסרים מסמכים</w:t>
      </w:r>
      <w:r w:rsidRPr="00A210E9">
        <w:rPr>
          <w:rFonts w:eastAsia="Calibri"/>
          <w:vertAlign w:val="superscript"/>
          <w:rtl/>
        </w:rPr>
        <w:t xml:space="preserve"> </w:t>
      </w:r>
      <w:r>
        <w:rPr>
          <w:rFonts w:eastAsia="Calibri"/>
          <w:vertAlign w:val="superscript"/>
          <w:rtl/>
        </w:rPr>
        <w:footnoteReference w:id="186"/>
      </w:r>
      <w:r w:rsidRPr="00A210E9">
        <w:rPr>
          <w:rFonts w:eastAsia="Calibri" w:hint="cs"/>
          <w:rtl/>
        </w:rPr>
        <w:t xml:space="preserve">; </w:t>
      </w:r>
      <w:r w:rsidRPr="00A210E9">
        <w:rPr>
          <w:rFonts w:eastAsia="Calibri"/>
          <w:rtl/>
        </w:rPr>
        <w:t xml:space="preserve">הרופאים </w:t>
      </w:r>
      <w:r w:rsidRPr="00A210E9">
        <w:rPr>
          <w:rFonts w:eastAsia="Calibri" w:hint="cs"/>
          <w:rtl/>
        </w:rPr>
        <w:t>שיתפו</w:t>
      </w:r>
      <w:r w:rsidRPr="00A210E9">
        <w:rPr>
          <w:rFonts w:eastAsia="Calibri"/>
          <w:rtl/>
        </w:rPr>
        <w:t xml:space="preserve"> ביניהם נוסחים כלליים לשדות טקסט חופשי בשדות נימוקי ההחלטה, </w:t>
      </w:r>
      <w:r w:rsidRPr="00A210E9">
        <w:rPr>
          <w:rFonts w:eastAsia="Calibri" w:hint="cs"/>
          <w:rtl/>
        </w:rPr>
        <w:t xml:space="preserve">כך שנוסחים אלה </w:t>
      </w:r>
      <w:r w:rsidRPr="00A210E9">
        <w:rPr>
          <w:rFonts w:eastAsia="Calibri"/>
          <w:rtl/>
        </w:rPr>
        <w:t>לא</w:t>
      </w:r>
      <w:r w:rsidRPr="00A210E9">
        <w:rPr>
          <w:rFonts w:eastAsia="Calibri" w:hint="cs"/>
          <w:rtl/>
        </w:rPr>
        <w:t xml:space="preserve"> </w:t>
      </w:r>
      <w:r w:rsidRPr="00A210E9">
        <w:rPr>
          <w:rFonts w:eastAsia="Calibri"/>
          <w:rtl/>
        </w:rPr>
        <w:t xml:space="preserve">תמיד </w:t>
      </w:r>
      <w:r w:rsidRPr="00A210E9">
        <w:rPr>
          <w:rFonts w:eastAsia="Calibri" w:hint="cs"/>
          <w:rtl/>
        </w:rPr>
        <w:t>התאימו</w:t>
      </w:r>
      <w:r w:rsidRPr="00A210E9">
        <w:rPr>
          <w:rFonts w:eastAsia="Calibri"/>
          <w:rtl/>
        </w:rPr>
        <w:t xml:space="preserve"> למקרה הפרטני.</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חברה ב' כתבה בתשובתה כי היעדר קריטריונים ברורים, אחידים ומחייבים לבחינת הזכאות לתגי החניה ההכרעה בעניינן של בבקשות התבססה במידה רבה על שיקול דעתו המקצועי של הרופא הבודק, ולכן לא ניתן היה להבטיח קוהורנטיות ועקביות בקבלת ההחלטות ולא ניתן היה לבחון את סבירותן באופן אובייקטיבי. זאת, נוסף על הקושי שנבע מכך שלמנהלי החברה לא הייתה גישה למערכת שבה עבדו הרופאים.</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b/>
          <w:bCs/>
          <w:rtl/>
        </w:rPr>
        <w:t xml:space="preserve">הביקורת העלתה כי </w:t>
      </w:r>
      <w:bookmarkStart w:id="151" w:name="_Hlk223947231"/>
      <w:r w:rsidRPr="00A210E9">
        <w:rPr>
          <w:rFonts w:eastAsia="Calibri" w:hint="cs"/>
          <w:b/>
          <w:bCs/>
          <w:rtl/>
        </w:rPr>
        <w:t>אף שבהתקשרויות בין משרד התחבורה לחברה ב' נקבעה הדרישה שהרופאים ינמקו את החלטתם בעניין הבקשות, ואף נקבעה הדרישה שאם הם החליטו לדחות את הבקשה הם יציינו על אילו מסמכים הם ביססו את החלטתם, במערכת הרפואית לא היה שדה ייעודי לצורך הזנת הנימוק, ולאורך השנים חלק מ</w:t>
      </w:r>
      <w:r w:rsidRPr="00A210E9">
        <w:rPr>
          <w:rFonts w:eastAsia="Calibri" w:hint="eastAsia"/>
          <w:b/>
          <w:bCs/>
          <w:rtl/>
        </w:rPr>
        <w:t>החלטות</w:t>
      </w:r>
      <w:r w:rsidRPr="00A210E9">
        <w:rPr>
          <w:rFonts w:eastAsia="Calibri"/>
          <w:b/>
          <w:bCs/>
          <w:rtl/>
        </w:rPr>
        <w:t xml:space="preserve"> </w:t>
      </w:r>
      <w:r w:rsidRPr="00A210E9">
        <w:rPr>
          <w:rFonts w:eastAsia="Calibri" w:hint="eastAsia"/>
          <w:b/>
          <w:bCs/>
          <w:rtl/>
        </w:rPr>
        <w:t>הרופאים</w:t>
      </w:r>
      <w:r w:rsidRPr="00A210E9">
        <w:rPr>
          <w:rFonts w:eastAsia="Calibri"/>
          <w:b/>
          <w:bCs/>
          <w:rtl/>
        </w:rPr>
        <w:t xml:space="preserve"> </w:t>
      </w:r>
      <w:r w:rsidRPr="00A210E9">
        <w:rPr>
          <w:rFonts w:eastAsia="Calibri" w:hint="cs"/>
          <w:b/>
          <w:bCs/>
          <w:rtl/>
        </w:rPr>
        <w:t>לא היו</w:t>
      </w:r>
      <w:r w:rsidRPr="00A210E9">
        <w:rPr>
          <w:rFonts w:eastAsia="Calibri"/>
          <w:b/>
          <w:bCs/>
          <w:rtl/>
        </w:rPr>
        <w:t xml:space="preserve"> </w:t>
      </w:r>
      <w:r w:rsidRPr="00A210E9">
        <w:rPr>
          <w:rFonts w:eastAsia="Calibri" w:hint="eastAsia"/>
          <w:b/>
          <w:bCs/>
          <w:rtl/>
        </w:rPr>
        <w:t>מנומקות</w:t>
      </w:r>
      <w:r w:rsidRPr="00A210E9">
        <w:rPr>
          <w:rFonts w:eastAsia="Calibri"/>
          <w:b/>
          <w:bCs/>
          <w:rtl/>
        </w:rPr>
        <w:t xml:space="preserve"> כנדרש</w:t>
      </w:r>
      <w:r w:rsidRPr="00A210E9">
        <w:rPr>
          <w:rFonts w:eastAsia="Calibri" w:hint="cs"/>
          <w:b/>
          <w:bCs/>
          <w:rtl/>
        </w:rPr>
        <w:t>, ובחלק מהן לא צוין המסמך הרפואי שעל בסיסו התקבלה ההחלטה</w:t>
      </w:r>
      <w:r w:rsidRPr="00A210E9">
        <w:rPr>
          <w:rFonts w:eastAsia="Calibri"/>
          <w:b/>
          <w:bCs/>
          <w:rtl/>
        </w:rPr>
        <w:t>.</w:t>
      </w:r>
      <w:r w:rsidRPr="00A210E9">
        <w:rPr>
          <w:rFonts w:eastAsia="Calibri" w:hint="cs"/>
          <w:b/>
          <w:bCs/>
          <w:rtl/>
        </w:rPr>
        <w:t xml:space="preserve"> </w:t>
      </w:r>
      <w:bookmarkEnd w:id="151"/>
      <w:r w:rsidRPr="00A210E9">
        <w:rPr>
          <w:rFonts w:eastAsia="Calibri" w:hint="cs"/>
          <w:b/>
          <w:bCs/>
          <w:rtl/>
        </w:rPr>
        <w:t xml:space="preserve">יתרה מכך, כפי שכבר צוין, חלק גדול מהבקשות לא סווגו על פי קטגוריות רפואיות או שסווגו בקטגוריית "אחר". לאורך השנים התקבלו עדויות ותלונות רבות בהקשר של היעדר נימוקים, אי-ציון אילו מסמכים נדרשים להשלמה וטעויות בשיקול דעת הרופאים. </w:t>
      </w:r>
      <w:bookmarkStart w:id="152" w:name="_Hlk223949992"/>
      <w:r w:rsidRPr="00A210E9">
        <w:rPr>
          <w:rFonts w:eastAsia="Calibri" w:hint="cs"/>
          <w:b/>
          <w:bCs/>
          <w:rtl/>
        </w:rPr>
        <w:t xml:space="preserve">עם תחילת עבודתה של חברה ג' נמצא כי התופעה של היעדר נימוק מספיק ממשיכה להתקיים. </w:t>
      </w:r>
      <w:bookmarkEnd w:id="152"/>
      <w:r w:rsidRPr="00A210E9">
        <w:rPr>
          <w:rFonts w:eastAsia="Calibri" w:hint="cs"/>
          <w:b/>
          <w:bCs/>
          <w:rtl/>
        </w:rPr>
        <w:t xml:space="preserve">היעדר הנמקה מספיקה של החלטות פוגם באמינות איכות הטיפול בבקשות ובשקיפות ההחלטות הרפואיות וביכולת הבקרה עליהן. הדבר עלול לגרום לכך שיהיו פגמים מהותיים בהחלטה, בין השאר משום שאין דרך לוודא שאומנם הייתה התייחסות מתאימה לכל העובדות והמסמכים הרפואיים הרלוונטיים.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משרד מבקר המדינה ממליץ למשרד התחבורה להטמיע במערכת הרפואית את המתכונת המתאימה להנמקות ואת המידע שהן אמורות לכלול, כך שהרופאים יהיו מחויבים למלא את ההנמקות באופן הנדרש. על משרד התחבורה לבצע בקרה הדוקה על הספק שנותן את שירותי הייעוץ הרפואי, ולוודא כי ההחלטות שניתנות לציבור הפונים מנומקות היטב מהבחינה הרפואית וכוללות את כל הנדרש על פי תנאי ההתקשרות.</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bookmarkStart w:id="153" w:name="_Hlk233116434"/>
      <w:r w:rsidRPr="00A210E9">
        <w:rPr>
          <w:rFonts w:eastAsia="Calibri" w:hint="eastAsia"/>
          <w:rtl/>
        </w:rPr>
        <w:t>בתשובתו</w:t>
      </w:r>
      <w:r w:rsidRPr="00A210E9">
        <w:rPr>
          <w:rFonts w:eastAsia="Calibri"/>
          <w:rtl/>
        </w:rPr>
        <w:t xml:space="preserve"> מסר משרד התחבורה כי המערכת הרפואית שודרגה </w:t>
      </w:r>
      <w:r w:rsidRPr="00A210E9">
        <w:rPr>
          <w:rFonts w:eastAsia="Calibri" w:hint="cs"/>
          <w:rtl/>
        </w:rPr>
        <w:t>באופן</w:t>
      </w:r>
      <w:r w:rsidRPr="00A210E9">
        <w:rPr>
          <w:rFonts w:eastAsia="Calibri"/>
          <w:rtl/>
        </w:rPr>
        <w:t xml:space="preserve"> שכיום היא מחייבת הנמקה מובנית של ההחלטה, תוך פירוט </w:t>
      </w:r>
      <w:r w:rsidRPr="00A210E9">
        <w:rPr>
          <w:rFonts w:eastAsia="Calibri" w:hint="cs"/>
          <w:rtl/>
        </w:rPr>
        <w:t xml:space="preserve">של </w:t>
      </w:r>
      <w:r w:rsidRPr="00A210E9">
        <w:rPr>
          <w:rFonts w:eastAsia="Calibri"/>
          <w:rtl/>
        </w:rPr>
        <w:t xml:space="preserve">המסמך שעליו הסתמך הרופא, סוג המחלה, חומרתה, המגבלה בניידות </w:t>
      </w:r>
      <w:r w:rsidRPr="00A210E9">
        <w:rPr>
          <w:rFonts w:eastAsia="Calibri" w:hint="cs"/>
          <w:rtl/>
        </w:rPr>
        <w:t>ושיעורי</w:t>
      </w:r>
      <w:r w:rsidRPr="00A210E9">
        <w:rPr>
          <w:rFonts w:eastAsia="Calibri"/>
          <w:rtl/>
        </w:rPr>
        <w:t xml:space="preserve"> הנכות. </w:t>
      </w:r>
      <w:r w:rsidRPr="00A210E9">
        <w:rPr>
          <w:rFonts w:eastAsia="Calibri" w:hint="eastAsia"/>
          <w:rtl/>
        </w:rPr>
        <w:t>עוד</w:t>
      </w:r>
      <w:r w:rsidRPr="00A210E9">
        <w:rPr>
          <w:rFonts w:eastAsia="Calibri"/>
          <w:rtl/>
        </w:rPr>
        <w:t xml:space="preserve"> </w:t>
      </w:r>
      <w:r w:rsidRPr="00A210E9">
        <w:rPr>
          <w:rFonts w:eastAsia="Calibri" w:hint="cs"/>
          <w:rtl/>
        </w:rPr>
        <w:t>מסר</w:t>
      </w:r>
      <w:r w:rsidRPr="00A210E9">
        <w:rPr>
          <w:rFonts w:eastAsia="Calibri"/>
          <w:rtl/>
        </w:rPr>
        <w:t xml:space="preserve"> כי מדובר בשינוי מהותי </w:t>
      </w:r>
      <w:r w:rsidRPr="00A210E9">
        <w:rPr>
          <w:rFonts w:eastAsia="Calibri" w:hint="cs"/>
          <w:rtl/>
        </w:rPr>
        <w:t>שנועד להגביר את</w:t>
      </w:r>
      <w:r w:rsidRPr="00A210E9">
        <w:rPr>
          <w:rFonts w:eastAsia="Calibri"/>
          <w:rtl/>
        </w:rPr>
        <w:t xml:space="preserve"> השקיפות, האחידות ו</w:t>
      </w:r>
      <w:r w:rsidRPr="00A210E9">
        <w:rPr>
          <w:rFonts w:eastAsia="Calibri" w:hint="cs"/>
          <w:rtl/>
        </w:rPr>
        <w:t xml:space="preserve">יכולת </w:t>
      </w:r>
      <w:r w:rsidRPr="00A210E9">
        <w:rPr>
          <w:rFonts w:eastAsia="Calibri"/>
          <w:rtl/>
        </w:rPr>
        <w:t>הבקרה</w:t>
      </w:r>
      <w:r w:rsidRPr="00A210E9">
        <w:rPr>
          <w:rFonts w:eastAsia="Calibri" w:hint="cs"/>
          <w:rtl/>
        </w:rPr>
        <w:t xml:space="preserve"> על תהליך קבלת ההחלטות,</w:t>
      </w:r>
      <w:r w:rsidRPr="00A210E9">
        <w:rPr>
          <w:rFonts w:eastAsia="Calibri"/>
          <w:rtl/>
        </w:rPr>
        <w:t xml:space="preserve"> וכי החל </w:t>
      </w:r>
      <w:r w:rsidRPr="00A210E9">
        <w:rPr>
          <w:rFonts w:eastAsia="Calibri" w:hint="cs"/>
          <w:rtl/>
        </w:rPr>
        <w:t>מ</w:t>
      </w:r>
      <w:r w:rsidRPr="00A210E9">
        <w:rPr>
          <w:rFonts w:eastAsia="Calibri"/>
          <w:rtl/>
        </w:rPr>
        <w:t xml:space="preserve">יוני 2025 </w:t>
      </w:r>
      <w:r w:rsidRPr="00A210E9">
        <w:rPr>
          <w:rFonts w:eastAsia="Calibri" w:hint="cs"/>
          <w:rtl/>
        </w:rPr>
        <w:t>ב</w:t>
      </w:r>
      <w:r w:rsidRPr="00A210E9">
        <w:rPr>
          <w:rFonts w:eastAsia="Calibri"/>
          <w:rtl/>
        </w:rPr>
        <w:t xml:space="preserve">מכתבים הנשלחים לאזרחים </w:t>
      </w:r>
      <w:r w:rsidRPr="00A210E9">
        <w:rPr>
          <w:rFonts w:eastAsia="Calibri" w:hint="cs"/>
          <w:rtl/>
        </w:rPr>
        <w:t>מפורטות</w:t>
      </w:r>
      <w:r w:rsidRPr="00A210E9">
        <w:rPr>
          <w:rFonts w:eastAsia="Calibri"/>
          <w:rtl/>
        </w:rPr>
        <w:t xml:space="preserve"> סיבת הדחייה או הדרישה להשלמת מסמכים, לרבות התייחסות למסמכים שעליהם הסתמך הרופא, לסוג המחלה ולבחינת </w:t>
      </w:r>
      <w:r w:rsidRPr="00A210E9">
        <w:rPr>
          <w:rFonts w:eastAsia="Calibri" w:hint="cs"/>
          <w:rtl/>
        </w:rPr>
        <w:t>ה</w:t>
      </w:r>
      <w:r w:rsidRPr="00A210E9">
        <w:rPr>
          <w:rFonts w:eastAsia="Calibri"/>
          <w:rtl/>
        </w:rPr>
        <w:t xml:space="preserve">עמידה בתנאי החוק. המשרד </w:t>
      </w:r>
      <w:r w:rsidRPr="00A210E9">
        <w:rPr>
          <w:rFonts w:eastAsia="Calibri" w:hint="eastAsia"/>
          <w:rtl/>
        </w:rPr>
        <w:t>הוסיף</w:t>
      </w:r>
      <w:r w:rsidRPr="00A210E9">
        <w:rPr>
          <w:rFonts w:eastAsia="Calibri"/>
          <w:rtl/>
        </w:rPr>
        <w:t xml:space="preserve"> כי חטיבת השירות </w:t>
      </w:r>
      <w:r w:rsidRPr="00A210E9">
        <w:rPr>
          <w:rFonts w:eastAsia="Calibri" w:hint="cs"/>
          <w:rtl/>
        </w:rPr>
        <w:t xml:space="preserve">עושה בקרה </w:t>
      </w:r>
      <w:r w:rsidRPr="00A210E9">
        <w:rPr>
          <w:rFonts w:eastAsia="Calibri"/>
          <w:rtl/>
        </w:rPr>
        <w:t xml:space="preserve">על </w:t>
      </w:r>
      <w:r w:rsidRPr="00A210E9">
        <w:rPr>
          <w:rFonts w:eastAsia="Calibri" w:hint="cs"/>
          <w:rtl/>
        </w:rPr>
        <w:t>ה</w:t>
      </w:r>
      <w:r w:rsidRPr="00A210E9">
        <w:rPr>
          <w:rFonts w:eastAsia="Calibri"/>
          <w:rtl/>
        </w:rPr>
        <w:t>נוסח ו</w:t>
      </w:r>
      <w:r w:rsidRPr="00A210E9">
        <w:rPr>
          <w:rFonts w:eastAsia="Calibri" w:hint="cs"/>
          <w:rtl/>
        </w:rPr>
        <w:t>ה</w:t>
      </w:r>
      <w:r w:rsidRPr="00A210E9">
        <w:rPr>
          <w:rFonts w:eastAsia="Calibri"/>
          <w:rtl/>
        </w:rPr>
        <w:t>מבנה</w:t>
      </w:r>
      <w:r w:rsidRPr="00A210E9">
        <w:rPr>
          <w:rFonts w:eastAsia="Calibri" w:hint="cs"/>
          <w:rtl/>
        </w:rPr>
        <w:t xml:space="preserve"> של</w:t>
      </w:r>
      <w:r w:rsidRPr="00A210E9">
        <w:rPr>
          <w:rFonts w:eastAsia="Calibri"/>
          <w:rtl/>
        </w:rPr>
        <w:t xml:space="preserve"> תשובות הרופאים</w:t>
      </w:r>
      <w:bookmarkEnd w:id="153"/>
      <w:r w:rsidRPr="00A210E9">
        <w:rPr>
          <w:rFonts w:eastAsia="Calibri" w:hint="cs"/>
          <w:rtl/>
        </w:rPr>
        <w:t>.</w:t>
      </w:r>
      <w:r w:rsidRPr="00A210E9">
        <w:rPr>
          <w:rFonts w:eastAsia="Calibri"/>
          <w:rtl/>
        </w:rPr>
        <w:t xml:space="preserve"> </w:t>
      </w:r>
    </w:p>
    <w:p w:rsidR="00A210E9" w:rsidRPr="00A210E9" w:rsidP="00A210E9">
      <w:pPr>
        <w:spacing w:line="269" w:lineRule="auto"/>
        <w:rPr>
          <w:rFonts w:eastAsia="Calibri"/>
          <w:rtl/>
        </w:rPr>
      </w:pPr>
    </w:p>
    <w:p w:rsidR="00A210E9" w:rsidRPr="00A210E9" w:rsidP="00A210E9">
      <w:pPr>
        <w:keepNext/>
        <w:keepLines/>
        <w:spacing w:line="269" w:lineRule="auto"/>
        <w:outlineLvl w:val="3"/>
        <w:rPr>
          <w:rFonts w:eastAsia="Times New Roman"/>
          <w:bCs/>
          <w:szCs w:val="26"/>
          <w:rtl/>
        </w:rPr>
      </w:pPr>
      <w:bookmarkStart w:id="154" w:name="_Hlk219977844"/>
      <w:bookmarkEnd w:id="129"/>
      <w:bookmarkEnd w:id="139"/>
      <w:r w:rsidRPr="00A210E9">
        <w:rPr>
          <w:rFonts w:eastAsia="Times New Roman" w:hint="cs"/>
          <w:bCs/>
          <w:szCs w:val="26"/>
          <w:rtl/>
        </w:rPr>
        <w:t>בקרות משרד התחבורה</w:t>
      </w:r>
    </w:p>
    <w:p w:rsidR="00A210E9" w:rsidRPr="00A210E9" w:rsidP="00A210E9">
      <w:pPr>
        <w:rPr>
          <w:rFonts w:eastAsia="Calibri"/>
          <w:rtl/>
        </w:rPr>
      </w:pPr>
    </w:p>
    <w:bookmarkEnd w:id="154"/>
    <w:p w:rsidR="00A210E9" w:rsidRPr="00A210E9" w:rsidP="00A210E9">
      <w:pPr>
        <w:keepNext/>
        <w:keepLines/>
        <w:spacing w:line="269" w:lineRule="auto"/>
        <w:outlineLvl w:val="4"/>
        <w:rPr>
          <w:rFonts w:eastAsia="Times New Roman"/>
          <w:bCs/>
          <w:spacing w:val="40"/>
          <w:rtl/>
        </w:rPr>
      </w:pPr>
      <w:r w:rsidRPr="00A210E9">
        <w:rPr>
          <w:rFonts w:eastAsia="Times New Roman" w:hint="cs"/>
          <w:bCs/>
          <w:spacing w:val="40"/>
          <w:rtl/>
        </w:rPr>
        <w:t>בקרות על תהליך הנפקת התגים והבחינה הרפואית</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rtl/>
        </w:rPr>
        <w:t>באגף הרישוי אין נוהל המסדיר את הבקרות על תהליך הנפקת תג חניה</w:t>
      </w:r>
      <w:r w:rsidRPr="00A210E9">
        <w:rPr>
          <w:rFonts w:eastAsia="Calibri" w:hint="cs"/>
          <w:rtl/>
        </w:rPr>
        <w:t>,</w:t>
      </w:r>
      <w:r w:rsidRPr="00A210E9">
        <w:rPr>
          <w:rFonts w:eastAsia="Calibri"/>
          <w:rtl/>
        </w:rPr>
        <w:t xml:space="preserve"> ובכלל זה </w:t>
      </w:r>
      <w:r w:rsidRPr="00A210E9">
        <w:rPr>
          <w:rFonts w:eastAsia="Calibri" w:hint="cs"/>
          <w:rtl/>
        </w:rPr>
        <w:t xml:space="preserve">בקרה מקצועית </w:t>
      </w:r>
      <w:r w:rsidRPr="00A210E9">
        <w:rPr>
          <w:rFonts w:eastAsia="Calibri"/>
          <w:rtl/>
        </w:rPr>
        <w:t xml:space="preserve">על הבחינה הרפואית של </w:t>
      </w:r>
      <w:r w:rsidRPr="00A210E9">
        <w:rPr>
          <w:rFonts w:eastAsia="Calibri" w:hint="cs"/>
          <w:rtl/>
        </w:rPr>
        <w:t xml:space="preserve">הבקשות. בפועל, מחלקת עדכון ובקרה באגף הרישוי מבצעת מדי פעם בקרות ידניות אקראיות על בקשות. בביקורת נמצא כי הבקרות הללו מעלות ממצאים רבים, ברובם טכניים, אך גם ממצאים שמצביעים על ליקויים מהותיים אפשריים בעבודת רופאי אגף הרישוי.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למרות זאת, בשנת 2018, כאשר מנהל אגף הרישוי נדרש להתייחס למידת שביעות הרצון מחברה ב', לצורך אישור התקשרות עימה בפטור ממכרז, הוא ציין בנוגע לטעויות של רופאים לגבי הסיווג הרפואי של הבקשות</w:t>
      </w:r>
      <w:r>
        <w:rPr>
          <w:rFonts w:eastAsia="Calibri"/>
          <w:vertAlign w:val="superscript"/>
          <w:rtl/>
        </w:rPr>
        <w:footnoteReference w:id="187"/>
      </w:r>
      <w:r w:rsidRPr="00A210E9">
        <w:rPr>
          <w:rFonts w:eastAsia="Calibri" w:hint="cs"/>
          <w:rtl/>
        </w:rPr>
        <w:t xml:space="preserve"> כי הטעויות "אירעו לא אחת, מרביתן בחזקת טעות סופר, ואחדות מהן אפילו נוגעות לעתים לחוסר תשומת לב של הרופאים ללשון הבקשה עד תום". הוא הוסיף כי "היקף הטעויות הללו עמד על עשרות בודדות (בהגזמה)". בשנת 2021 התייחס שוב מנהל אגף הרישוי לנושא, במסגרת תכתובת פנימית במשרד התחבורה, וציין כי "</w:t>
      </w:r>
      <w:r w:rsidRPr="00A210E9">
        <w:rPr>
          <w:rFonts w:eastAsia="Calibri"/>
          <w:rtl/>
        </w:rPr>
        <w:t xml:space="preserve">אם אדם מחליט </w:t>
      </w:r>
      <w:r w:rsidRPr="00A210E9">
        <w:rPr>
          <w:rFonts w:eastAsia="Calibri" w:hint="cs"/>
          <w:rtl/>
        </w:rPr>
        <w:t>'</w:t>
      </w:r>
      <w:r w:rsidRPr="00A210E9">
        <w:rPr>
          <w:rFonts w:eastAsia="Calibri"/>
          <w:rtl/>
        </w:rPr>
        <w:t>לרמות</w:t>
      </w:r>
      <w:r w:rsidRPr="00A210E9">
        <w:rPr>
          <w:rFonts w:eastAsia="Calibri" w:hint="cs"/>
          <w:rtl/>
        </w:rPr>
        <w:t>'</w:t>
      </w:r>
      <w:r w:rsidRPr="00A210E9">
        <w:rPr>
          <w:rFonts w:eastAsia="Calibri"/>
          <w:rtl/>
        </w:rPr>
        <w:t xml:space="preserve"> את המערכת והוא מקבל תג</w:t>
      </w:r>
      <w:r w:rsidRPr="00A210E9">
        <w:rPr>
          <w:rFonts w:eastAsia="Calibri" w:hint="cs"/>
          <w:rtl/>
        </w:rPr>
        <w:t xml:space="preserve"> [חניה] שלא בצדק, אין לנו שום דרך לדעת זאת". כאמור, בפועל הוגשו לגופים השונים תלונות רבות הקשורות לשיקול דעת והנמקה מצד הרופאים, והבעייתיות שעלתה מהן נדונה לא פעם, אך לבסוף הנושא לא טופל. יתרה מכך, מאחר שהבקרה על הבקשות לא נעשתה באופן סדור, לא ניתן היה לדעת את היקפן.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rtl/>
        </w:rPr>
        <w:t>ב</w:t>
      </w:r>
      <w:r w:rsidRPr="00A210E9">
        <w:rPr>
          <w:rFonts w:eastAsia="Calibri" w:hint="cs"/>
          <w:rtl/>
        </w:rPr>
        <w:t xml:space="preserve">שנת </w:t>
      </w:r>
      <w:r w:rsidRPr="00A210E9">
        <w:rPr>
          <w:rFonts w:eastAsia="Calibri"/>
          <w:rtl/>
        </w:rPr>
        <w:t>2022</w:t>
      </w:r>
      <w:r w:rsidRPr="00A210E9">
        <w:rPr>
          <w:rFonts w:eastAsia="Calibri" w:hint="cs"/>
          <w:rtl/>
        </w:rPr>
        <w:t xml:space="preserve"> נקבע מנגנון שעל פיו יתקיים מפגש בין אגף הרישוי וחברה ב'</w:t>
      </w:r>
      <w:r w:rsidRPr="00A210E9">
        <w:rPr>
          <w:rFonts w:eastAsia="Calibri"/>
          <w:rtl/>
        </w:rPr>
        <w:t xml:space="preserve"> אחת ל</w:t>
      </w:r>
      <w:r w:rsidRPr="00A210E9">
        <w:rPr>
          <w:rFonts w:eastAsia="Calibri" w:hint="cs"/>
          <w:rtl/>
        </w:rPr>
        <w:t>שישה</w:t>
      </w:r>
      <w:r w:rsidRPr="00A210E9">
        <w:rPr>
          <w:rFonts w:eastAsia="Calibri"/>
          <w:rtl/>
        </w:rPr>
        <w:t xml:space="preserve"> חודשים</w:t>
      </w:r>
      <w:r w:rsidRPr="00A210E9">
        <w:rPr>
          <w:rFonts w:eastAsia="Calibri" w:hint="cs"/>
          <w:rtl/>
        </w:rPr>
        <w:t>, וזאת לפי ה</w:t>
      </w:r>
      <w:r w:rsidRPr="00A210E9">
        <w:rPr>
          <w:rFonts w:eastAsia="Calibri"/>
          <w:rtl/>
        </w:rPr>
        <w:t xml:space="preserve">התקשרות </w:t>
      </w:r>
      <w:r w:rsidRPr="00A210E9">
        <w:rPr>
          <w:rFonts w:eastAsia="Calibri" w:hint="cs"/>
          <w:rtl/>
        </w:rPr>
        <w:t>על פי מכרז 53.20. במפגשים אלה נדרשה</w:t>
      </w:r>
      <w:r w:rsidRPr="00A210E9">
        <w:rPr>
          <w:rFonts w:eastAsia="Calibri"/>
          <w:rtl/>
        </w:rPr>
        <w:t xml:space="preserve"> נוכחות של כל הרופאים </w:t>
      </w:r>
      <w:r w:rsidRPr="00A210E9">
        <w:rPr>
          <w:rFonts w:eastAsia="Calibri" w:hint="cs"/>
          <w:rtl/>
        </w:rPr>
        <w:t>ו</w:t>
      </w:r>
      <w:r w:rsidRPr="00A210E9">
        <w:rPr>
          <w:rFonts w:eastAsia="Calibri"/>
          <w:rtl/>
        </w:rPr>
        <w:t xml:space="preserve">מנהל הפרויקט המועסקים מטעם </w:t>
      </w:r>
      <w:r w:rsidRPr="00A210E9">
        <w:rPr>
          <w:rFonts w:eastAsia="Calibri" w:hint="cs"/>
          <w:rtl/>
        </w:rPr>
        <w:t xml:space="preserve">החברה. החברה נדרשה להציג במפגשים אלה את נתוני הביצוע ואת הלקחים שנלמדו, הנוגעים לתקופה הנדונה. אולם אגף בכיר </w:t>
      </w:r>
      <w:r w:rsidRPr="00A210E9">
        <w:rPr>
          <w:rFonts w:eastAsia="Calibri"/>
          <w:rtl/>
        </w:rPr>
        <w:t xml:space="preserve">ביקורת פנימית </w:t>
      </w:r>
      <w:r w:rsidRPr="00A210E9">
        <w:rPr>
          <w:rFonts w:eastAsia="Calibri" w:hint="cs"/>
          <w:rtl/>
        </w:rPr>
        <w:t>ב</w:t>
      </w:r>
      <w:r w:rsidRPr="00A210E9">
        <w:rPr>
          <w:rFonts w:eastAsia="Calibri"/>
          <w:rtl/>
        </w:rPr>
        <w:t>משרד התחבורה מצא ב</w:t>
      </w:r>
      <w:r w:rsidRPr="00A210E9">
        <w:rPr>
          <w:rFonts w:eastAsia="Calibri" w:hint="cs"/>
          <w:rtl/>
        </w:rPr>
        <w:t xml:space="preserve">שנת </w:t>
      </w:r>
      <w:r w:rsidRPr="00A210E9">
        <w:rPr>
          <w:rFonts w:eastAsia="Calibri"/>
          <w:rtl/>
        </w:rPr>
        <w:t xml:space="preserve">2023 כי אגף הרישוי </w:t>
      </w:r>
      <w:r w:rsidRPr="00A210E9">
        <w:rPr>
          <w:rFonts w:eastAsia="Calibri" w:hint="cs"/>
          <w:rtl/>
        </w:rPr>
        <w:t xml:space="preserve">כלל </w:t>
      </w:r>
      <w:r w:rsidRPr="00A210E9">
        <w:rPr>
          <w:rFonts w:eastAsia="Calibri"/>
          <w:rtl/>
        </w:rPr>
        <w:t xml:space="preserve">לא </w:t>
      </w:r>
      <w:r w:rsidRPr="00A210E9">
        <w:rPr>
          <w:rFonts w:eastAsia="Calibri" w:hint="cs"/>
          <w:rtl/>
        </w:rPr>
        <w:t>קיים</w:t>
      </w:r>
      <w:r w:rsidRPr="00A210E9">
        <w:rPr>
          <w:rFonts w:eastAsia="Calibri"/>
          <w:rtl/>
        </w:rPr>
        <w:t xml:space="preserve"> מפגשים</w:t>
      </w:r>
      <w:r w:rsidRPr="00A210E9">
        <w:rPr>
          <w:rFonts w:eastAsia="Calibri" w:hint="cs"/>
          <w:rtl/>
        </w:rPr>
        <w:t xml:space="preserve"> עם חברה ב'. אילו אגף הרישוי היה מקפיד על קיום המפגשים, הוא יכול היה להעלות במסגרתם תלונות שהופנו לגבי החברה ונושאים שהועלו במסגרת הבקרות החלקיות של אגף הרישוי.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בשנת 2022 כתב סמנכ"ל בכיר תנועה במשרד התחבורה למנכ"לית המשרד כי הרופאים הפועלים מטעם חברה ב' לא קיבלו הסמכה פורמלית מרשות הרישוי, ופעילותם נעשית במסגרת התקשרות חוזית מול החברה. הוא הוסיף כי קיים קושי משפטי בקיום בדיקת הזכאות לתג באופן זה, שכן על פניו מדובר בהפרטת שיקול הדעת השלטוני. הסמנכ"ל ציין כי המינהל מצוי בתהליכים לקליטת רופא אגף שייתן מענה רפואי ויפקח על עבודת חברה ב'.</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בביקורת משרד מבקר המדינה נמצא כי אגף הרישוי אכן פרסם בינואר 2023, באמצעות נציבות שירות המדינה, מכרז לרופא בדרגה 7 - 9 בדירוג רופאים שחלק מתחומי אחריותו היו אמורים להיות "</w:t>
      </w:r>
      <w:r w:rsidRPr="00A210E9">
        <w:rPr>
          <w:rFonts w:eastAsia="Calibri"/>
          <w:rtl/>
        </w:rPr>
        <w:t xml:space="preserve">מתן אישור ובקרה על הליך הוצאת תג </w:t>
      </w:r>
      <w:r w:rsidRPr="00A210E9">
        <w:rPr>
          <w:rFonts w:eastAsia="Calibri" w:hint="cs"/>
          <w:rtl/>
        </w:rPr>
        <w:t>חניה</w:t>
      </w:r>
      <w:r w:rsidRPr="00A210E9">
        <w:rPr>
          <w:rFonts w:eastAsia="Calibri"/>
          <w:rtl/>
        </w:rPr>
        <w:t xml:space="preserve"> וקביעת קריטריונים אחידים בתהליך</w:t>
      </w:r>
      <w:r w:rsidRPr="00A210E9">
        <w:rPr>
          <w:rFonts w:eastAsia="Calibri" w:hint="cs"/>
          <w:rtl/>
        </w:rPr>
        <w:t xml:space="preserve">". מנהל אגף הון אנושי במשרד התחבורה כתב לצוות הביקורת הפנימית של משרד התחבורה במאי 2023 כי </w:t>
      </w:r>
      <w:r w:rsidRPr="00A210E9">
        <w:rPr>
          <w:rFonts w:eastAsia="Calibri"/>
          <w:rtl/>
        </w:rPr>
        <w:t>המכרז פורסם פעמיים ולא עלו בו מועמדויות</w:t>
      </w:r>
      <w:r w:rsidRPr="00A210E9">
        <w:rPr>
          <w:rFonts w:eastAsia="Calibri" w:hint="cs"/>
          <w:rtl/>
        </w:rPr>
        <w:t>, כנראה</w:t>
      </w:r>
      <w:r w:rsidRPr="00A210E9">
        <w:rPr>
          <w:rFonts w:eastAsia="Calibri"/>
          <w:rtl/>
        </w:rPr>
        <w:t xml:space="preserve"> בגלל רמת המשרה </w:t>
      </w:r>
      <w:r w:rsidRPr="00A210E9">
        <w:rPr>
          <w:rFonts w:eastAsia="Calibri" w:hint="cs"/>
          <w:rtl/>
        </w:rPr>
        <w:t xml:space="preserve">שהוגדרה בו. מנהל האגף ציין כי הוא </w:t>
      </w:r>
      <w:r w:rsidRPr="00A210E9">
        <w:rPr>
          <w:rFonts w:eastAsia="Calibri"/>
          <w:rtl/>
        </w:rPr>
        <w:t xml:space="preserve">שוקל לפנות לנציבות </w:t>
      </w:r>
      <w:r w:rsidRPr="00A210E9">
        <w:rPr>
          <w:rFonts w:eastAsia="Calibri" w:hint="cs"/>
          <w:rtl/>
        </w:rPr>
        <w:t xml:space="preserve">שירות המדינה </w:t>
      </w:r>
      <w:r w:rsidRPr="00A210E9">
        <w:rPr>
          <w:rFonts w:eastAsia="Calibri"/>
          <w:rtl/>
        </w:rPr>
        <w:t>כדי לבחון את שדרוג רמת המשרה</w:t>
      </w:r>
      <w:r w:rsidRPr="00A210E9">
        <w:rPr>
          <w:rFonts w:eastAsia="Calibri" w:hint="cs"/>
          <w:rtl/>
        </w:rPr>
        <w:t xml:space="preserve"> כדי</w:t>
      </w:r>
      <w:r w:rsidRPr="00A210E9">
        <w:rPr>
          <w:rFonts w:eastAsia="Calibri"/>
          <w:rtl/>
        </w:rPr>
        <w:t xml:space="preserve"> שתהיה אטרקטיבית מבחינת השכר</w:t>
      </w:r>
      <w:r w:rsidRPr="00A210E9">
        <w:rPr>
          <w:rFonts w:eastAsia="Calibri" w:hint="cs"/>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eastAsia"/>
          <w:rtl/>
        </w:rPr>
        <w:t>משרד</w:t>
      </w:r>
      <w:r w:rsidRPr="00A210E9">
        <w:rPr>
          <w:rFonts w:eastAsia="Calibri"/>
          <w:rtl/>
        </w:rPr>
        <w:t xml:space="preserve"> התחבורה כתב בתשובתו כי </w:t>
      </w:r>
      <w:r w:rsidRPr="00A210E9">
        <w:rPr>
          <w:rFonts w:eastAsia="Calibri" w:hint="cs"/>
          <w:rtl/>
        </w:rPr>
        <w:t>ב</w:t>
      </w:r>
      <w:r w:rsidRPr="00A210E9">
        <w:rPr>
          <w:rFonts w:eastAsia="Calibri"/>
          <w:rtl/>
        </w:rPr>
        <w:t xml:space="preserve">שנת 2023 </w:t>
      </w:r>
      <w:r w:rsidRPr="00A210E9">
        <w:rPr>
          <w:rFonts w:eastAsia="Calibri" w:hint="eastAsia"/>
          <w:rtl/>
        </w:rPr>
        <w:t>הוא</w:t>
      </w:r>
      <w:r w:rsidRPr="00A210E9">
        <w:rPr>
          <w:rFonts w:eastAsia="Calibri"/>
          <w:rtl/>
        </w:rPr>
        <w:t xml:space="preserve"> פרסם </w:t>
      </w:r>
      <w:r w:rsidRPr="00A210E9">
        <w:rPr>
          <w:rFonts w:eastAsia="Calibri" w:hint="cs"/>
          <w:rtl/>
        </w:rPr>
        <w:t>שלושה</w:t>
      </w:r>
      <w:r w:rsidRPr="00A210E9">
        <w:rPr>
          <w:rFonts w:eastAsia="Calibri"/>
          <w:rtl/>
        </w:rPr>
        <w:t xml:space="preserve"> מ</w:t>
      </w:r>
      <w:r w:rsidRPr="00A210E9">
        <w:rPr>
          <w:rFonts w:eastAsia="Calibri" w:hint="eastAsia"/>
          <w:rtl/>
        </w:rPr>
        <w:t>כרזים</w:t>
      </w:r>
      <w:r w:rsidRPr="00A210E9">
        <w:rPr>
          <w:rFonts w:eastAsia="Calibri"/>
          <w:rtl/>
        </w:rPr>
        <w:t xml:space="preserve"> לקליטת רופא משרדי לצורך טיוב מערך הבקרה, </w:t>
      </w:r>
      <w:r w:rsidRPr="00A210E9">
        <w:rPr>
          <w:rFonts w:eastAsia="Calibri" w:hint="eastAsia"/>
          <w:rtl/>
        </w:rPr>
        <w:t>אך</w:t>
      </w:r>
      <w:r w:rsidRPr="00A210E9">
        <w:rPr>
          <w:rFonts w:eastAsia="Calibri"/>
          <w:rtl/>
        </w:rPr>
        <w:t xml:space="preserve"> ניסיונות אלה נכשלו מאחר </w:t>
      </w:r>
      <w:r w:rsidRPr="00A210E9">
        <w:rPr>
          <w:rFonts w:eastAsia="Calibri" w:hint="cs"/>
          <w:rtl/>
        </w:rPr>
        <w:t xml:space="preserve">שלא הוגשו </w:t>
      </w:r>
      <w:r w:rsidRPr="00A210E9">
        <w:rPr>
          <w:rFonts w:eastAsia="Calibri"/>
          <w:rtl/>
        </w:rPr>
        <w:t xml:space="preserve">הצעות (למעט הצעה אחת </w:t>
      </w:r>
      <w:r w:rsidRPr="00A210E9">
        <w:rPr>
          <w:rFonts w:eastAsia="Calibri" w:hint="cs"/>
          <w:rtl/>
        </w:rPr>
        <w:t xml:space="preserve">שהוגשה </w:t>
      </w:r>
      <w:r w:rsidRPr="00A210E9">
        <w:rPr>
          <w:rFonts w:eastAsia="Calibri"/>
          <w:rtl/>
        </w:rPr>
        <w:t xml:space="preserve">במכרז האחרון </w:t>
      </w:r>
      <w:r w:rsidRPr="00A210E9">
        <w:rPr>
          <w:rFonts w:eastAsia="Calibri" w:hint="cs"/>
          <w:rtl/>
        </w:rPr>
        <w:t>ו</w:t>
      </w:r>
      <w:r w:rsidRPr="00A210E9">
        <w:rPr>
          <w:rFonts w:eastAsia="Calibri"/>
          <w:rtl/>
        </w:rPr>
        <w:t xml:space="preserve">הוסרה בהמשך), זאת גם לאחר ששודרגה המשרה ונעשו פעולות אקטיביות מול ההסתדרות הרפואית </w:t>
      </w:r>
      <w:r w:rsidRPr="00A210E9">
        <w:rPr>
          <w:rFonts w:eastAsia="Calibri" w:hint="cs"/>
          <w:rtl/>
        </w:rPr>
        <w:t>כדי</w:t>
      </w:r>
      <w:r w:rsidRPr="00A210E9">
        <w:rPr>
          <w:rFonts w:eastAsia="Calibri"/>
          <w:rtl/>
        </w:rPr>
        <w:t xml:space="preserve"> ל</w:t>
      </w:r>
      <w:r w:rsidRPr="00A210E9">
        <w:rPr>
          <w:rFonts w:eastAsia="Calibri" w:hint="cs"/>
          <w:rtl/>
        </w:rPr>
        <w:t>הגביר את האטרקטיביות</w:t>
      </w:r>
      <w:r w:rsidRPr="00A210E9">
        <w:rPr>
          <w:rFonts w:eastAsia="Calibri"/>
          <w:rtl/>
        </w:rPr>
        <w:t xml:space="preserve"> </w:t>
      </w:r>
      <w:r w:rsidRPr="00A210E9">
        <w:rPr>
          <w:rFonts w:eastAsia="Calibri" w:hint="cs"/>
          <w:rtl/>
        </w:rPr>
        <w:t xml:space="preserve">של המשרה ולעודד </w:t>
      </w:r>
      <w:r w:rsidRPr="00A210E9">
        <w:rPr>
          <w:rFonts w:eastAsia="Calibri"/>
          <w:rtl/>
        </w:rPr>
        <w:t xml:space="preserve">מציעים פוטנציאליים. </w:t>
      </w:r>
      <w:r w:rsidRPr="00A210E9">
        <w:rPr>
          <w:rFonts w:eastAsia="Calibri" w:hint="eastAsia"/>
          <w:rtl/>
        </w:rPr>
        <w:t>המשרד</w:t>
      </w:r>
      <w:r w:rsidRPr="00A210E9">
        <w:rPr>
          <w:rFonts w:eastAsia="Calibri"/>
          <w:rtl/>
        </w:rPr>
        <w:t xml:space="preserve"> הוסיף כי גם </w:t>
      </w:r>
      <w:r w:rsidRPr="00A210E9">
        <w:rPr>
          <w:rFonts w:eastAsia="Calibri" w:hint="cs"/>
          <w:rtl/>
        </w:rPr>
        <w:t>שני</w:t>
      </w:r>
      <w:r w:rsidRPr="00A210E9">
        <w:rPr>
          <w:rFonts w:eastAsia="Calibri"/>
          <w:rtl/>
        </w:rPr>
        <w:t xml:space="preserve"> סבבי ניסיונות שבוצעו בהמשך לגיוס רופאים לצורכי בקרה על </w:t>
      </w:r>
      <w:r w:rsidRPr="00A210E9">
        <w:rPr>
          <w:rFonts w:eastAsia="Calibri" w:hint="eastAsia"/>
          <w:rtl/>
        </w:rPr>
        <w:t>חברה</w:t>
      </w:r>
      <w:r w:rsidRPr="00A210E9">
        <w:rPr>
          <w:rFonts w:eastAsia="Calibri"/>
          <w:rtl/>
        </w:rPr>
        <w:t xml:space="preserve"> </w:t>
      </w:r>
      <w:r w:rsidRPr="00A210E9">
        <w:rPr>
          <w:rFonts w:eastAsia="Calibri" w:hint="eastAsia"/>
          <w:rtl/>
        </w:rPr>
        <w:t>ג</w:t>
      </w:r>
      <w:r w:rsidRPr="00A210E9">
        <w:rPr>
          <w:rFonts w:eastAsia="Calibri"/>
          <w:rtl/>
        </w:rPr>
        <w:t xml:space="preserve">' </w:t>
      </w:r>
      <w:r w:rsidRPr="00A210E9">
        <w:rPr>
          <w:rFonts w:eastAsia="Calibri" w:hint="cs"/>
          <w:rtl/>
        </w:rPr>
        <w:t xml:space="preserve">שבוצעו, </w:t>
      </w:r>
      <w:r w:rsidRPr="00A210E9">
        <w:rPr>
          <w:rFonts w:eastAsia="Calibri"/>
          <w:rtl/>
        </w:rPr>
        <w:t>הסתיימו בהגשת הצעה בודדת שלא עמדה בתנאי הסף.</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בבדיקה החקירתית 2023 צוין כי </w:t>
      </w:r>
      <w:r w:rsidRPr="00A210E9">
        <w:rPr>
          <w:rFonts w:eastAsia="Calibri"/>
          <w:rtl/>
        </w:rPr>
        <w:t xml:space="preserve">ההחלטה לאשר </w:t>
      </w:r>
      <w:r w:rsidRPr="00A210E9">
        <w:rPr>
          <w:rFonts w:eastAsia="Calibri" w:hint="cs"/>
          <w:rtl/>
        </w:rPr>
        <w:t>זכאות ל</w:t>
      </w:r>
      <w:r w:rsidRPr="00A210E9">
        <w:rPr>
          <w:rFonts w:eastAsia="Calibri"/>
          <w:rtl/>
        </w:rPr>
        <w:t>תג חניה</w:t>
      </w:r>
      <w:r w:rsidRPr="00A210E9">
        <w:rPr>
          <w:rFonts w:eastAsia="Calibri" w:hint="cs"/>
          <w:rtl/>
        </w:rPr>
        <w:t xml:space="preserve"> על ידי רופאי אגף הרישוי</w:t>
      </w:r>
      <w:r w:rsidRPr="00A210E9">
        <w:rPr>
          <w:rFonts w:eastAsia="Calibri"/>
          <w:rtl/>
        </w:rPr>
        <w:t xml:space="preserve"> מתבססת בעיקרה על שיקול </w:t>
      </w:r>
      <w:r w:rsidRPr="00A210E9">
        <w:rPr>
          <w:rFonts w:eastAsia="Calibri" w:hint="cs"/>
          <w:rtl/>
        </w:rPr>
        <w:t>ה</w:t>
      </w:r>
      <w:r w:rsidRPr="00A210E9">
        <w:rPr>
          <w:rFonts w:eastAsia="Calibri"/>
          <w:rtl/>
        </w:rPr>
        <w:t>דעת</w:t>
      </w:r>
      <w:r w:rsidRPr="00A210E9">
        <w:rPr>
          <w:rFonts w:eastAsia="Calibri" w:hint="cs"/>
          <w:rtl/>
        </w:rPr>
        <w:t xml:space="preserve"> </w:t>
      </w:r>
      <w:r w:rsidRPr="00A210E9">
        <w:rPr>
          <w:rFonts w:eastAsia="Calibri"/>
          <w:rtl/>
        </w:rPr>
        <w:t>המקצועי של רופאים המועסקים על ידי חברה חיצונית</w:t>
      </w:r>
      <w:r w:rsidRPr="00A210E9">
        <w:rPr>
          <w:rFonts w:eastAsia="Calibri" w:hint="cs"/>
          <w:rtl/>
        </w:rPr>
        <w:t>. עוד צוין כי</w:t>
      </w:r>
      <w:r w:rsidRPr="00A210E9">
        <w:rPr>
          <w:rFonts w:eastAsia="Calibri"/>
          <w:rtl/>
        </w:rPr>
        <w:t xml:space="preserve"> העברת האחריות שהוקנתה בחוק </w:t>
      </w:r>
      <w:r w:rsidRPr="00A210E9">
        <w:rPr>
          <w:rFonts w:eastAsia="Calibri" w:hint="cs"/>
          <w:rtl/>
        </w:rPr>
        <w:t xml:space="preserve">למשרד התחבורה </w:t>
      </w:r>
      <w:r w:rsidRPr="00A210E9">
        <w:rPr>
          <w:rFonts w:eastAsia="Calibri"/>
          <w:rtl/>
        </w:rPr>
        <w:t>ל</w:t>
      </w:r>
      <w:r w:rsidRPr="00A210E9">
        <w:rPr>
          <w:rFonts w:eastAsia="Calibri" w:hint="cs"/>
          <w:rtl/>
        </w:rPr>
        <w:t xml:space="preserve">ידי </w:t>
      </w:r>
      <w:r w:rsidRPr="00A210E9">
        <w:rPr>
          <w:rFonts w:eastAsia="Calibri"/>
          <w:rtl/>
        </w:rPr>
        <w:t>חברה חיצונית באופן בלעדי</w:t>
      </w:r>
      <w:r w:rsidRPr="00A210E9">
        <w:rPr>
          <w:rFonts w:eastAsia="Calibri" w:hint="cs"/>
          <w:rtl/>
        </w:rPr>
        <w:t>,</w:t>
      </w:r>
      <w:r w:rsidRPr="00A210E9">
        <w:rPr>
          <w:rFonts w:eastAsia="Calibri"/>
          <w:rtl/>
        </w:rPr>
        <w:t xml:space="preserve"> בלי</w:t>
      </w:r>
      <w:r w:rsidRPr="00A210E9">
        <w:rPr>
          <w:rFonts w:eastAsia="Calibri" w:hint="cs"/>
          <w:rtl/>
        </w:rPr>
        <w:t xml:space="preserve"> </w:t>
      </w:r>
      <w:r w:rsidRPr="00A210E9">
        <w:rPr>
          <w:rFonts w:eastAsia="Calibri"/>
          <w:rtl/>
        </w:rPr>
        <w:t xml:space="preserve">שרופא מטעם </w:t>
      </w:r>
      <w:r w:rsidRPr="00A210E9">
        <w:rPr>
          <w:rFonts w:eastAsia="Calibri" w:hint="cs"/>
          <w:rtl/>
        </w:rPr>
        <w:t>משרד התחבורה</w:t>
      </w:r>
      <w:r w:rsidRPr="00A210E9">
        <w:rPr>
          <w:rFonts w:eastAsia="Calibri"/>
          <w:rtl/>
        </w:rPr>
        <w:t xml:space="preserve"> יבדוק את</w:t>
      </w:r>
      <w:r w:rsidRPr="00A210E9">
        <w:rPr>
          <w:rFonts w:eastAsia="Calibri" w:hint="cs"/>
          <w:rtl/>
        </w:rPr>
        <w:t xml:space="preserve"> ההחלטות</w:t>
      </w:r>
      <w:r w:rsidRPr="00A210E9">
        <w:rPr>
          <w:rFonts w:eastAsia="Calibri"/>
          <w:rtl/>
        </w:rPr>
        <w:t xml:space="preserve">, הותירה את </w:t>
      </w:r>
      <w:r w:rsidRPr="00A210E9">
        <w:rPr>
          <w:rFonts w:eastAsia="Calibri" w:hint="cs"/>
          <w:rtl/>
        </w:rPr>
        <w:t>המשרד</w:t>
      </w:r>
      <w:r w:rsidRPr="00A210E9">
        <w:rPr>
          <w:rFonts w:eastAsia="Calibri"/>
          <w:rtl/>
        </w:rPr>
        <w:t xml:space="preserve"> ללא בקרות</w:t>
      </w:r>
      <w:r w:rsidRPr="00A210E9">
        <w:rPr>
          <w:rFonts w:eastAsia="Calibri" w:hint="cs"/>
          <w:rtl/>
        </w:rPr>
        <w:t xml:space="preserve"> </w:t>
      </w:r>
      <w:r w:rsidRPr="00A210E9">
        <w:rPr>
          <w:rFonts w:eastAsia="Calibri"/>
          <w:rtl/>
        </w:rPr>
        <w:t>מקצועיות על תהליך אישור תג חניה</w:t>
      </w:r>
      <w:r w:rsidRPr="00A210E9">
        <w:rPr>
          <w:rFonts w:eastAsia="Calibri" w:hint="cs"/>
          <w:rtl/>
        </w:rPr>
        <w:t>,</w:t>
      </w:r>
      <w:r w:rsidRPr="00A210E9">
        <w:rPr>
          <w:rFonts w:eastAsia="Calibri"/>
          <w:rtl/>
        </w:rPr>
        <w:t xml:space="preserve"> </w:t>
      </w:r>
      <w:r w:rsidRPr="00A210E9">
        <w:rPr>
          <w:rFonts w:eastAsia="Calibri" w:hint="cs"/>
          <w:rtl/>
        </w:rPr>
        <w:t>ו</w:t>
      </w:r>
      <w:r w:rsidRPr="00A210E9">
        <w:rPr>
          <w:rFonts w:eastAsia="Calibri"/>
          <w:rtl/>
        </w:rPr>
        <w:t>משמעות</w:t>
      </w:r>
      <w:r w:rsidRPr="00A210E9">
        <w:rPr>
          <w:rFonts w:eastAsia="Calibri" w:hint="cs"/>
          <w:rtl/>
        </w:rPr>
        <w:t>ה</w:t>
      </w:r>
      <w:r w:rsidRPr="00A210E9">
        <w:rPr>
          <w:rFonts w:eastAsia="Calibri"/>
          <w:rtl/>
        </w:rPr>
        <w:t xml:space="preserve"> הכספית </w:t>
      </w:r>
      <w:r w:rsidRPr="00A210E9">
        <w:rPr>
          <w:rFonts w:eastAsia="Calibri" w:hint="cs"/>
          <w:rtl/>
        </w:rPr>
        <w:t xml:space="preserve">של אחריות זו </w:t>
      </w:r>
      <w:r w:rsidRPr="00A210E9">
        <w:rPr>
          <w:rFonts w:eastAsia="Calibri"/>
          <w:rtl/>
        </w:rPr>
        <w:t>מוערכת במאות מיליוני</w:t>
      </w:r>
      <w:r w:rsidRPr="00A210E9">
        <w:rPr>
          <w:rFonts w:eastAsia="Calibri" w:hint="cs"/>
          <w:rtl/>
        </w:rPr>
        <w:t xml:space="preserve"> שקלים.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בינואר 2024 ציין אגף בכיר ביקורת פנימית במשרד התחבורה בסקר סיכונים 2023 כי לא קיים גורם אחר באגף הרישוי המפקח על עבודת הרופאים, וכי </w:t>
      </w:r>
      <w:r w:rsidRPr="00A210E9">
        <w:rPr>
          <w:rFonts w:eastAsia="Calibri"/>
          <w:rtl/>
        </w:rPr>
        <w:t xml:space="preserve">אגף הרישוי אינו </w:t>
      </w:r>
      <w:r w:rsidRPr="00A210E9">
        <w:rPr>
          <w:rFonts w:eastAsia="Calibri" w:hint="cs"/>
          <w:rtl/>
        </w:rPr>
        <w:t>מבצע</w:t>
      </w:r>
      <w:r w:rsidRPr="00A210E9">
        <w:rPr>
          <w:rFonts w:eastAsia="Calibri"/>
          <w:rtl/>
        </w:rPr>
        <w:t xml:space="preserve"> בקרות,</w:t>
      </w:r>
      <w:r w:rsidRPr="00A210E9">
        <w:rPr>
          <w:rFonts w:eastAsia="Calibri" w:hint="cs"/>
          <w:rtl/>
        </w:rPr>
        <w:t xml:space="preserve"> </w:t>
      </w:r>
      <w:r w:rsidRPr="00A210E9">
        <w:rPr>
          <w:rFonts w:eastAsia="Calibri"/>
          <w:rtl/>
        </w:rPr>
        <w:t>ולו מדגמיות, על עבודת</w:t>
      </w:r>
      <w:r w:rsidRPr="00A210E9">
        <w:rPr>
          <w:rFonts w:eastAsia="Calibri" w:hint="cs"/>
          <w:rtl/>
        </w:rPr>
        <w:t xml:space="preserve"> </w:t>
      </w:r>
      <w:r w:rsidRPr="00A210E9">
        <w:rPr>
          <w:rFonts w:eastAsia="Calibri"/>
          <w:rtl/>
        </w:rPr>
        <w:t>הרופאים המועסקים</w:t>
      </w:r>
      <w:r w:rsidRPr="00A210E9">
        <w:rPr>
          <w:rFonts w:eastAsia="Calibri" w:hint="cs"/>
          <w:rtl/>
        </w:rPr>
        <w:t xml:space="preserve"> על ידי</w:t>
      </w:r>
      <w:r w:rsidRPr="00A210E9">
        <w:rPr>
          <w:rFonts w:eastAsia="Calibri"/>
          <w:rtl/>
        </w:rPr>
        <w:t xml:space="preserve"> </w:t>
      </w:r>
      <w:r w:rsidRPr="00A210E9">
        <w:rPr>
          <w:rFonts w:eastAsia="Calibri" w:hint="cs"/>
          <w:rtl/>
        </w:rPr>
        <w:t>חברה ב'</w:t>
      </w:r>
      <w:r w:rsidRPr="00A210E9">
        <w:rPr>
          <w:rFonts w:eastAsia="Calibri"/>
          <w:rtl/>
        </w:rPr>
        <w:t xml:space="preserve"> ועל </w:t>
      </w:r>
      <w:r w:rsidRPr="00A210E9">
        <w:rPr>
          <w:rFonts w:eastAsia="Calibri" w:hint="cs"/>
          <w:rtl/>
        </w:rPr>
        <w:t xml:space="preserve">החלטותיהם. עוד צוין כי </w:t>
      </w:r>
      <w:r w:rsidRPr="00A210E9">
        <w:rPr>
          <w:rFonts w:eastAsia="Calibri"/>
          <w:rtl/>
        </w:rPr>
        <w:t>היעדר פיקוח מונע את</w:t>
      </w:r>
      <w:r w:rsidRPr="00A210E9">
        <w:rPr>
          <w:rFonts w:eastAsia="Calibri" w:hint="cs"/>
          <w:rtl/>
        </w:rPr>
        <w:t xml:space="preserve"> </w:t>
      </w:r>
      <w:r w:rsidRPr="00A210E9">
        <w:rPr>
          <w:rFonts w:eastAsia="Calibri"/>
          <w:rtl/>
        </w:rPr>
        <w:t>אלמנט ההרתעה ומאפשר</w:t>
      </w:r>
      <w:r w:rsidRPr="00A210E9">
        <w:rPr>
          <w:rFonts w:eastAsia="Calibri" w:hint="cs"/>
          <w:rtl/>
        </w:rPr>
        <w:t xml:space="preserve"> </w:t>
      </w:r>
      <w:r w:rsidRPr="00A210E9">
        <w:rPr>
          <w:rFonts w:eastAsia="Calibri"/>
          <w:rtl/>
        </w:rPr>
        <w:t>התרשלות בביצוע העבודה</w:t>
      </w:r>
      <w:r w:rsidRPr="00A210E9">
        <w:rPr>
          <w:rFonts w:eastAsia="Calibri" w:hint="cs"/>
          <w:rtl/>
        </w:rPr>
        <w:t xml:space="preserve"> </w:t>
      </w:r>
      <w:r w:rsidRPr="00A210E9">
        <w:rPr>
          <w:rFonts w:eastAsia="Calibri"/>
          <w:rtl/>
        </w:rPr>
        <w:t>בידיעה ש</w:t>
      </w:r>
      <w:r w:rsidRPr="00A210E9">
        <w:rPr>
          <w:rFonts w:eastAsia="Calibri" w:hint="cs"/>
          <w:rtl/>
        </w:rPr>
        <w:t xml:space="preserve">הרשלנות </w:t>
      </w:r>
      <w:r w:rsidRPr="00A210E9">
        <w:rPr>
          <w:rFonts w:eastAsia="Calibri"/>
          <w:rtl/>
        </w:rPr>
        <w:t>לא תאותר ולא</w:t>
      </w:r>
      <w:r w:rsidRPr="00A210E9">
        <w:rPr>
          <w:rFonts w:eastAsia="Calibri" w:hint="cs"/>
          <w:rtl/>
        </w:rPr>
        <w:t xml:space="preserve"> </w:t>
      </w:r>
      <w:r w:rsidRPr="00A210E9">
        <w:rPr>
          <w:rFonts w:eastAsia="Calibri"/>
          <w:rtl/>
        </w:rPr>
        <w:t>תיאכף.</w:t>
      </w:r>
      <w:r w:rsidRPr="00A210E9">
        <w:rPr>
          <w:rFonts w:eastAsia="Calibri" w:hint="cs"/>
          <w:rtl/>
        </w:rPr>
        <w:t xml:space="preserve"> בספטמבר 2024 הציג האגף את תוצאות בחינת תיקון הליקויים שנמצאו בדוח הביקורת הפנימית משנת 2018. הוצג כי כ-82% מהליקויים שנמצאו בדוח האמור טרם תוקנו. צוין כי הליקויים העיקריים שטרם תוקנו הם בין היתר היעדר פיקוח ובקרה על הרופאים בודקי הבקשות לתגי חניה, המועסקים על ידי הספק, והיעדר בקרות על הטיפול בבקשות המתקבלות באופן שאינו מקוון ומוזנות באופן ידני על ידי המשרד.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szCs w:val="20"/>
          <w:rtl/>
        </w:rPr>
      </w:pPr>
      <w:r w:rsidRPr="00A210E9">
        <w:rPr>
          <w:rFonts w:eastAsia="Calibri" w:hint="cs"/>
          <w:rtl/>
        </w:rPr>
        <w:t>נוסף על כך, בדצמבר 2024, במסגרת דיוני ועדה לקביעת קריטריונים לזכאות לתגי חניה, ציין ראש מינהל התנועה של משרד התחבורה כי לא קיימת</w:t>
      </w:r>
      <w:r w:rsidRPr="00A210E9">
        <w:rPr>
          <w:rFonts w:eastAsia="Calibri"/>
          <w:rtl/>
        </w:rPr>
        <w:t xml:space="preserve"> בקרה של המשרד על </w:t>
      </w:r>
      <w:r w:rsidRPr="00A210E9">
        <w:rPr>
          <w:rFonts w:eastAsia="Calibri" w:hint="cs"/>
          <w:rtl/>
        </w:rPr>
        <w:t xml:space="preserve">תהליך בדיקת המסמכים הרפואיים על ידי הרופאים ועל תהליך הנפקת התגים במשרד התחבורה. באותו חודש הוצגו לשרת התחבורה תוצרי הוועדה, וצוין כי </w:t>
      </w:r>
      <w:r w:rsidRPr="00A210E9">
        <w:rPr>
          <w:rFonts w:eastAsia="Calibri"/>
          <w:rtl/>
        </w:rPr>
        <w:t>בקרה מובנית בתוך התהליך</w:t>
      </w:r>
      <w:r w:rsidRPr="00A210E9">
        <w:rPr>
          <w:rFonts w:eastAsia="Calibri" w:hint="cs"/>
          <w:rtl/>
        </w:rPr>
        <w:t xml:space="preserve"> מתוכננת במסגרת פיתוח מערכת רפואית חדשה.</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sz w:val="24"/>
          <w:rtl/>
        </w:rPr>
      </w:pPr>
      <w:r w:rsidRPr="00A210E9">
        <w:rPr>
          <w:rFonts w:eastAsia="Calibri"/>
          <w:sz w:val="24"/>
          <w:rtl/>
        </w:rPr>
        <w:t xml:space="preserve">במסגרת בקרה על תהליכי העבודה של </w:t>
      </w:r>
      <w:r w:rsidRPr="00A210E9">
        <w:rPr>
          <w:rFonts w:eastAsia="Calibri" w:hint="cs"/>
          <w:sz w:val="24"/>
          <w:rtl/>
        </w:rPr>
        <w:t>רופאי חברה ג' שעימה התקשר משרד התחבורה בסוף מאי 2025</w:t>
      </w:r>
      <w:r w:rsidRPr="00A210E9">
        <w:rPr>
          <w:rFonts w:eastAsia="Calibri"/>
          <w:sz w:val="24"/>
          <w:rtl/>
        </w:rPr>
        <w:t xml:space="preserve">, </w:t>
      </w:r>
      <w:r w:rsidRPr="00A210E9">
        <w:rPr>
          <w:rFonts w:eastAsia="Calibri" w:hint="cs"/>
          <w:sz w:val="24"/>
          <w:rtl/>
        </w:rPr>
        <w:t xml:space="preserve">בחנה חשבות משרד התחבורה את </w:t>
      </w:r>
      <w:r w:rsidRPr="00A210E9">
        <w:rPr>
          <w:rFonts w:eastAsia="Calibri"/>
          <w:sz w:val="24"/>
          <w:rtl/>
        </w:rPr>
        <w:t>עמידתם של הרופאים בתנאי ה</w:t>
      </w:r>
      <w:r w:rsidRPr="00A210E9">
        <w:rPr>
          <w:rFonts w:eastAsia="Calibri" w:hint="cs"/>
          <w:sz w:val="24"/>
          <w:rtl/>
        </w:rPr>
        <w:t>ת</w:t>
      </w:r>
      <w:r w:rsidRPr="00A210E9">
        <w:rPr>
          <w:rFonts w:eastAsia="Calibri"/>
          <w:sz w:val="24"/>
          <w:rtl/>
        </w:rPr>
        <w:t>הליך ובנ</w:t>
      </w:r>
      <w:r w:rsidRPr="00A210E9">
        <w:rPr>
          <w:rFonts w:eastAsia="Calibri" w:hint="cs"/>
          <w:sz w:val="24"/>
          <w:rtl/>
        </w:rPr>
        <w:t>ו</w:t>
      </w:r>
      <w:r w:rsidRPr="00A210E9">
        <w:rPr>
          <w:rFonts w:eastAsia="Calibri"/>
          <w:sz w:val="24"/>
          <w:rtl/>
        </w:rPr>
        <w:t>הלי העבודה הקבועים במערכת הרפואית של משרד התחבורה</w:t>
      </w:r>
      <w:r w:rsidRPr="00A210E9">
        <w:rPr>
          <w:rFonts w:eastAsia="Calibri" w:hint="cs"/>
          <w:sz w:val="24"/>
          <w:rtl/>
        </w:rPr>
        <w:t xml:space="preserve"> בנוגע</w:t>
      </w:r>
      <w:r w:rsidRPr="00A210E9">
        <w:rPr>
          <w:rFonts w:eastAsia="Calibri"/>
          <w:sz w:val="24"/>
          <w:rtl/>
        </w:rPr>
        <w:t xml:space="preserve"> לאישור</w:t>
      </w:r>
      <w:r w:rsidRPr="00A210E9">
        <w:rPr>
          <w:rFonts w:eastAsia="Calibri" w:hint="cs"/>
          <w:sz w:val="24"/>
          <w:rtl/>
        </w:rPr>
        <w:t xml:space="preserve"> בקשה לקבל תג חניה</w:t>
      </w:r>
      <w:r w:rsidRPr="00A210E9">
        <w:rPr>
          <w:rFonts w:eastAsia="Calibri"/>
          <w:sz w:val="24"/>
          <w:rtl/>
        </w:rPr>
        <w:t xml:space="preserve">, </w:t>
      </w:r>
      <w:r w:rsidRPr="00A210E9">
        <w:rPr>
          <w:rFonts w:eastAsia="Calibri" w:hint="cs"/>
          <w:sz w:val="24"/>
          <w:rtl/>
        </w:rPr>
        <w:t>ל</w:t>
      </w:r>
      <w:r w:rsidRPr="00A210E9">
        <w:rPr>
          <w:rFonts w:eastAsia="Calibri"/>
          <w:sz w:val="24"/>
          <w:rtl/>
        </w:rPr>
        <w:t>דחיית</w:t>
      </w:r>
      <w:r w:rsidRPr="00A210E9">
        <w:rPr>
          <w:rFonts w:eastAsia="Calibri" w:hint="cs"/>
          <w:sz w:val="24"/>
          <w:rtl/>
        </w:rPr>
        <w:t>ה של</w:t>
      </w:r>
      <w:r w:rsidRPr="00A210E9">
        <w:rPr>
          <w:rFonts w:eastAsia="Calibri"/>
          <w:sz w:val="24"/>
          <w:rtl/>
        </w:rPr>
        <w:t xml:space="preserve"> בקש</w:t>
      </w:r>
      <w:r w:rsidRPr="00A210E9">
        <w:rPr>
          <w:rFonts w:eastAsia="Calibri" w:hint="cs"/>
          <w:sz w:val="24"/>
          <w:rtl/>
        </w:rPr>
        <w:t>ה</w:t>
      </w:r>
      <w:r w:rsidRPr="00A210E9">
        <w:rPr>
          <w:rFonts w:eastAsia="Calibri"/>
          <w:sz w:val="24"/>
          <w:rtl/>
        </w:rPr>
        <w:t xml:space="preserve"> ו</w:t>
      </w:r>
      <w:r w:rsidRPr="00A210E9">
        <w:rPr>
          <w:rFonts w:eastAsia="Calibri" w:hint="cs"/>
          <w:sz w:val="24"/>
          <w:rtl/>
        </w:rPr>
        <w:t>ל</w:t>
      </w:r>
      <w:r w:rsidRPr="00A210E9">
        <w:rPr>
          <w:rFonts w:eastAsia="Calibri"/>
          <w:sz w:val="24"/>
          <w:rtl/>
        </w:rPr>
        <w:t>השלמת</w:t>
      </w:r>
      <w:r w:rsidRPr="00A210E9">
        <w:rPr>
          <w:rFonts w:eastAsia="Calibri" w:hint="cs"/>
          <w:sz w:val="24"/>
          <w:rtl/>
        </w:rPr>
        <w:t xml:space="preserve"> </w:t>
      </w:r>
      <w:r w:rsidRPr="00A210E9">
        <w:rPr>
          <w:rFonts w:eastAsia="Calibri"/>
          <w:sz w:val="24"/>
          <w:rtl/>
        </w:rPr>
        <w:t>מסמכים</w:t>
      </w:r>
      <w:r w:rsidRPr="00A210E9">
        <w:rPr>
          <w:rFonts w:eastAsia="Calibri" w:hint="cs"/>
          <w:sz w:val="24"/>
          <w:rtl/>
        </w:rPr>
        <w:t>.</w:t>
      </w:r>
      <w:r w:rsidRPr="00A210E9">
        <w:rPr>
          <w:rFonts w:eastAsia="Calibri"/>
          <w:sz w:val="24"/>
          <w:rtl/>
        </w:rPr>
        <w:t xml:space="preserve"> הבקרה</w:t>
      </w:r>
      <w:r w:rsidRPr="00A210E9">
        <w:rPr>
          <w:rFonts w:eastAsia="Calibri" w:hint="cs"/>
          <w:sz w:val="24"/>
          <w:rtl/>
        </w:rPr>
        <w:t xml:space="preserve"> העלתה</w:t>
      </w:r>
      <w:r w:rsidRPr="00A210E9">
        <w:rPr>
          <w:rFonts w:eastAsia="Calibri"/>
          <w:sz w:val="24"/>
          <w:rtl/>
        </w:rPr>
        <w:t xml:space="preserve"> </w:t>
      </w:r>
      <w:r w:rsidRPr="00A210E9">
        <w:rPr>
          <w:rFonts w:eastAsia="Calibri" w:hint="cs"/>
          <w:sz w:val="24"/>
          <w:rtl/>
        </w:rPr>
        <w:t xml:space="preserve">ממצאים רבים אולם היא </w:t>
      </w:r>
      <w:r w:rsidRPr="00A210E9">
        <w:rPr>
          <w:rFonts w:eastAsia="Calibri"/>
          <w:sz w:val="24"/>
          <w:rtl/>
        </w:rPr>
        <w:t xml:space="preserve">בוצעה על </w:t>
      </w:r>
      <w:r w:rsidRPr="00A210E9">
        <w:rPr>
          <w:rFonts w:eastAsia="Calibri" w:hint="cs"/>
          <w:sz w:val="24"/>
          <w:rtl/>
        </w:rPr>
        <w:t xml:space="preserve">תקופה ממוקדת מ-29.5.25 עד 29.7.25, והיא אינה מוגדרת כבקרה שוטפת. </w:t>
      </w:r>
    </w:p>
    <w:p w:rsidR="00A210E9" w:rsidRPr="00A210E9" w:rsidP="00A210E9">
      <w:pPr>
        <w:spacing w:line="269" w:lineRule="auto"/>
        <w:rPr>
          <w:rFonts w:eastAsia="Calibri"/>
          <w:b/>
          <w:bCs/>
          <w:rtl/>
        </w:rPr>
      </w:pPr>
      <w:r w:rsidRPr="00A210E9">
        <w:rPr>
          <w:rFonts w:eastAsia="Calibri" w:hint="cs"/>
          <w:b/>
          <w:bCs/>
          <w:rtl/>
        </w:rPr>
        <w:t xml:space="preserve">הביקורת של משרד מבקר המדינה העלתה כי </w:t>
      </w:r>
      <w:bookmarkStart w:id="155" w:name="_Hlk223950287"/>
      <w:r w:rsidRPr="00A210E9">
        <w:rPr>
          <w:rFonts w:eastAsia="Calibri" w:hint="cs"/>
          <w:b/>
          <w:bCs/>
          <w:rtl/>
        </w:rPr>
        <w:t>נכון למועד סיום הביקורת אין באגף הרישוי בקרות מוסדרות ומובנות על תהליך הנפקת תגי חניה, ובפרט על עבודת רופאי אגף הרישוי. בפועל, מבוצעות בקרות ידניות ואקראיות שהן טכניות במהותן</w:t>
      </w:r>
      <w:bookmarkEnd w:id="155"/>
      <w:r w:rsidRPr="00A210E9">
        <w:rPr>
          <w:rFonts w:eastAsia="Calibri" w:hint="cs"/>
          <w:b/>
          <w:bCs/>
          <w:rtl/>
        </w:rPr>
        <w:t xml:space="preserve">, וכלל אין בקרה מקצועית על ההחלטות הרפואיות. אף שבקרות אלה מעלות ממצאים רבים שחלקם מהותיים, וגם לאחר שהוגשו תלונות רבות על טעויות של רופאי חברה ב' משנת 2018, ואולי אף מוקדם יותר, ואף שנמתחה ביקורת בעניין על ידי אגף בכיר ביקורת פנימית של משרד התחבורה בשנת 2018, לא טיפל המשרד בנושא. גם כשכבר נקבע מנגנון במסגרת ההתקשרות עם חברה ב' בשנת 2022 שעל פיו רופאים ומנהל הפרויקט מחברה ב' ייפגשו מדי חודש עם אגף הרישוי, הוא לא יושם, ואגף הרישוי לא ניצל את המנגנון כדי לטייב את עבודת רופאי החברה. </w:t>
      </w:r>
      <w:bookmarkStart w:id="156" w:name="_Hlk223950368"/>
      <w:r w:rsidRPr="00A210E9">
        <w:rPr>
          <w:rFonts w:eastAsia="Calibri" w:hint="cs"/>
          <w:b/>
          <w:bCs/>
          <w:rtl/>
        </w:rPr>
        <w:t xml:space="preserve">רק בשנת 2023 החל משרד התחבורה לפרסם מכרזים לאיוש משרת רופא אגף שתחום האחריות המרכזי שלו יהיה בקרה על רופאי אגף הרישוי, אולם בחלקם לא הוגשו מועמדויות ובחלק אחר המועמדים לא עמדו בתנאי הסף. </w:t>
      </w:r>
      <w:bookmarkEnd w:id="156"/>
      <w:r w:rsidRPr="00A210E9">
        <w:rPr>
          <w:rFonts w:eastAsia="Calibri" w:hint="cs"/>
          <w:b/>
          <w:bCs/>
          <w:rtl/>
        </w:rPr>
        <w:t xml:space="preserve">יצוין כי במסגרת פיתוח מערכת רפואית חדשה מתכנן משרד התחבורה לשלב בקרה מובנית על התהליך.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sz w:val="24"/>
          <w:rtl/>
        </w:rPr>
        <w:t xml:space="preserve">בדיון שהתקיים במשרד התחבורה באוקטובר 2025 הוחלט כי משרד התחבורה יבצע בקרות בנושאים האלה: (א) אגף הרישוי יבחן את עמידת הרופאים בתנאי התהליך לפני אישור על תחילת עבודתם, ויינקטו אמצעים חוזיים מתאימים במקרה שהספק אינו עומד בתנאי המכרז; </w:t>
      </w:r>
      <w:r w:rsidR="00245E55">
        <w:rPr>
          <w:rFonts w:eastAsia="Calibri"/>
          <w:rtl/>
        </w:rPr>
        <w:br/>
      </w:r>
      <w:r w:rsidRPr="00A210E9">
        <w:rPr>
          <w:rFonts w:eastAsia="Calibri" w:hint="cs"/>
          <w:sz w:val="24"/>
          <w:rtl/>
        </w:rPr>
        <w:t xml:space="preserve">(ב) החשבות תבצע בקרה חודשית באמצעות משרד רו"ח חיצוני על החלטות הרופאים (הבקרה תבוצע באופן רנדומלי - כל החלטה 15 תיבדק); (ג) אגף הרישוי יתאם ישיבות חודשיות עם חברה ג' לצורך בדיקת החלטות סותרות של הרופאים שעלו בבקרה החודשית (לדוגמה, אישור תג עבור מבקש שנקבע לו אחוז נכות רפואית נמוך מ-60%).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על משרד התחבורה לוודא שיתקיימו בקרות מלאות, שוטפות ומובנות, הן על עבודת רופאי אגף הרישוי והן על כלל הרכיבים של תהליך הנפקת תגי חניה ועמידת ספקי השירות בתנאי המכרזים, ולעגן אותן בנוהל מחייב. מומלץ כי עם גיבוש המלצות הצוות הבין-משרדי 2025 ישקול משרד התחבורה שוב את הצורך להעסיק רופא מטעם אגף הרישוי שיבצע בקרה על ההחלטות הרפואיות של רופאי אגף הרישוי. כמו כן, על משרד התחבורה להתאים את מערכת המידע שבה מנוהלות הבקשות לתג באופן שיוטמע בה מנגנון בקרה ממוחשב.</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rtl/>
        </w:rPr>
        <w:t xml:space="preserve">משרד </w:t>
      </w:r>
      <w:r w:rsidRPr="00A210E9">
        <w:rPr>
          <w:rFonts w:eastAsia="Calibri" w:hint="cs"/>
          <w:rtl/>
        </w:rPr>
        <w:t xml:space="preserve">התחבורה כתב בתשובתו כי הוא </w:t>
      </w:r>
      <w:r w:rsidRPr="00A210E9">
        <w:rPr>
          <w:rFonts w:eastAsia="Calibri"/>
          <w:rtl/>
        </w:rPr>
        <w:t>מקבל את הצורך בבקרות מובנות ושוטפות</w:t>
      </w:r>
      <w:r w:rsidRPr="00A210E9">
        <w:rPr>
          <w:rFonts w:eastAsia="Calibri" w:hint="cs"/>
          <w:rtl/>
        </w:rPr>
        <w:t xml:space="preserve"> על תהליכי קבלת ההחלטות של הרופאים באגף הרישוי, וכי </w:t>
      </w:r>
      <w:r w:rsidRPr="00A210E9">
        <w:rPr>
          <w:rFonts w:eastAsia="Calibri"/>
          <w:rtl/>
        </w:rPr>
        <w:t xml:space="preserve">בהליך הנוכחי החשבות </w:t>
      </w:r>
      <w:r w:rsidRPr="00A210E9">
        <w:rPr>
          <w:rFonts w:eastAsia="Calibri" w:hint="cs"/>
          <w:rtl/>
        </w:rPr>
        <w:t>בשיתוף</w:t>
      </w:r>
      <w:r w:rsidRPr="00A210E9">
        <w:rPr>
          <w:rFonts w:eastAsia="Calibri"/>
          <w:rtl/>
        </w:rPr>
        <w:t xml:space="preserve"> עם הלשכה המשפטית לא אישרו את היציאה לדרך לפני</w:t>
      </w:r>
      <w:r w:rsidRPr="00A210E9">
        <w:rPr>
          <w:rFonts w:eastAsia="Calibri" w:hint="cs"/>
          <w:rtl/>
        </w:rPr>
        <w:t xml:space="preserve"> </w:t>
      </w:r>
      <w:r w:rsidRPr="00A210E9">
        <w:rPr>
          <w:rFonts w:eastAsia="Calibri"/>
          <w:rtl/>
        </w:rPr>
        <w:t xml:space="preserve">שהובטח נתיב </w:t>
      </w:r>
      <w:r w:rsidRPr="00A210E9">
        <w:rPr>
          <w:rFonts w:eastAsia="Calibri" w:hint="cs"/>
          <w:rtl/>
        </w:rPr>
        <w:t xml:space="preserve">המאפשר </w:t>
      </w:r>
      <w:r w:rsidRPr="00A210E9">
        <w:rPr>
          <w:rFonts w:eastAsia="Calibri"/>
          <w:rtl/>
        </w:rPr>
        <w:t xml:space="preserve">בקרה על החלטות הרופאים. </w:t>
      </w:r>
      <w:r w:rsidRPr="00A210E9">
        <w:rPr>
          <w:rFonts w:eastAsia="Calibri" w:hint="cs"/>
          <w:rtl/>
        </w:rPr>
        <w:t xml:space="preserve">המשרד הוסיף כי </w:t>
      </w:r>
      <w:r w:rsidRPr="00A210E9">
        <w:rPr>
          <w:rFonts w:eastAsia="Calibri"/>
          <w:rtl/>
        </w:rPr>
        <w:t xml:space="preserve">החשבות ויועצים מטעמה פעלו </w:t>
      </w:r>
      <w:r w:rsidRPr="00A210E9">
        <w:rPr>
          <w:rFonts w:eastAsia="Calibri" w:hint="cs"/>
          <w:rtl/>
        </w:rPr>
        <w:t>בשיתוף</w:t>
      </w:r>
      <w:r w:rsidRPr="00A210E9">
        <w:rPr>
          <w:rFonts w:eastAsia="Calibri"/>
          <w:rtl/>
        </w:rPr>
        <w:t xml:space="preserve"> עם אגף</w:t>
      </w:r>
      <w:r w:rsidRPr="00A210E9">
        <w:rPr>
          <w:rFonts w:eastAsia="Calibri" w:hint="cs"/>
          <w:rtl/>
        </w:rPr>
        <w:t xml:space="preserve"> </w:t>
      </w:r>
      <w:r w:rsidRPr="00A210E9">
        <w:rPr>
          <w:rFonts w:eastAsia="Calibri"/>
          <w:rtl/>
        </w:rPr>
        <w:t>מערכות מידע ואגף הרישוי לאפיון דוחות הבקרה, קיימו בקרה בפועל עד להטמעתם</w:t>
      </w:r>
      <w:r w:rsidRPr="00A210E9">
        <w:rPr>
          <w:rFonts w:eastAsia="Calibri" w:hint="cs"/>
          <w:rtl/>
        </w:rPr>
        <w:t xml:space="preserve"> </w:t>
      </w:r>
      <w:r w:rsidRPr="00A210E9">
        <w:rPr>
          <w:rFonts w:eastAsia="Calibri"/>
          <w:rtl/>
        </w:rPr>
        <w:t xml:space="preserve">והנחו גם את החברה הזוכה כיצד </w:t>
      </w:r>
      <w:r w:rsidRPr="00A210E9">
        <w:rPr>
          <w:rFonts w:eastAsia="Calibri" w:hint="cs"/>
          <w:rtl/>
        </w:rPr>
        <w:t>להכין</w:t>
      </w:r>
      <w:r w:rsidRPr="00A210E9">
        <w:rPr>
          <w:rFonts w:eastAsia="Calibri" w:hint="cs"/>
        </w:rPr>
        <w:t xml:space="preserve"> </w:t>
      </w:r>
      <w:r w:rsidRPr="00A210E9">
        <w:rPr>
          <w:rFonts w:eastAsia="Calibri"/>
          <w:rtl/>
        </w:rPr>
        <w:t>דוחות אלה</w:t>
      </w:r>
      <w:r w:rsidRPr="00A210E9">
        <w:rPr>
          <w:rFonts w:eastAsia="Calibri" w:hint="cs"/>
          <w:rtl/>
        </w:rPr>
        <w:t xml:space="preserve">. </w:t>
      </w:r>
      <w:r w:rsidRPr="00A210E9">
        <w:rPr>
          <w:rFonts w:eastAsia="Calibri" w:hint="eastAsia"/>
          <w:rtl/>
        </w:rPr>
        <w:t>עוד</w:t>
      </w:r>
      <w:r w:rsidRPr="00A210E9">
        <w:rPr>
          <w:rFonts w:eastAsia="Calibri"/>
          <w:rtl/>
        </w:rPr>
        <w:t xml:space="preserve"> </w:t>
      </w:r>
      <w:r w:rsidRPr="00A210E9">
        <w:rPr>
          <w:rFonts w:eastAsia="Calibri" w:hint="eastAsia"/>
          <w:rtl/>
        </w:rPr>
        <w:t>כתב</w:t>
      </w:r>
      <w:r w:rsidRPr="00A210E9">
        <w:rPr>
          <w:rFonts w:eastAsia="Calibri"/>
          <w:rtl/>
        </w:rPr>
        <w:t xml:space="preserve"> </w:t>
      </w:r>
      <w:r w:rsidRPr="00A210E9">
        <w:rPr>
          <w:rFonts w:eastAsia="Calibri" w:hint="eastAsia"/>
          <w:rtl/>
        </w:rPr>
        <w:t>משרד</w:t>
      </w:r>
      <w:r w:rsidRPr="00A210E9">
        <w:rPr>
          <w:rFonts w:eastAsia="Calibri"/>
          <w:rtl/>
        </w:rPr>
        <w:t xml:space="preserve"> </w:t>
      </w:r>
      <w:r w:rsidRPr="00A210E9">
        <w:rPr>
          <w:rFonts w:eastAsia="Calibri" w:hint="eastAsia"/>
          <w:rtl/>
        </w:rPr>
        <w:t>התחבורה</w:t>
      </w:r>
      <w:r w:rsidRPr="00A210E9">
        <w:rPr>
          <w:rFonts w:eastAsia="Calibri"/>
          <w:rtl/>
        </w:rPr>
        <w:t xml:space="preserve"> </w:t>
      </w:r>
      <w:r w:rsidRPr="00A210E9">
        <w:rPr>
          <w:rFonts w:eastAsia="Calibri" w:hint="eastAsia"/>
          <w:rtl/>
        </w:rPr>
        <w:t>כי</w:t>
      </w:r>
      <w:r w:rsidRPr="00A210E9">
        <w:rPr>
          <w:rFonts w:eastAsia="Calibri"/>
          <w:rtl/>
        </w:rPr>
        <w:t xml:space="preserve"> </w:t>
      </w:r>
      <w:r w:rsidRPr="00A210E9">
        <w:rPr>
          <w:rFonts w:eastAsia="Calibri" w:hint="eastAsia"/>
          <w:rtl/>
        </w:rPr>
        <w:t>החל</w:t>
      </w:r>
      <w:r w:rsidRPr="00A210E9">
        <w:rPr>
          <w:rFonts w:eastAsia="Calibri"/>
          <w:rtl/>
        </w:rPr>
        <w:t xml:space="preserve"> </w:t>
      </w:r>
      <w:r w:rsidRPr="00A210E9">
        <w:rPr>
          <w:rFonts w:eastAsia="Calibri" w:hint="cs"/>
          <w:rtl/>
        </w:rPr>
        <w:t>מ</w:t>
      </w:r>
      <w:r w:rsidRPr="00A210E9">
        <w:rPr>
          <w:rFonts w:eastAsia="Calibri" w:hint="eastAsia"/>
          <w:rtl/>
        </w:rPr>
        <w:t>מרץ</w:t>
      </w:r>
      <w:r w:rsidRPr="00A210E9">
        <w:rPr>
          <w:rFonts w:eastAsia="Calibri"/>
          <w:rtl/>
        </w:rPr>
        <w:t xml:space="preserve"> 2026 המערכת </w:t>
      </w:r>
      <w:r w:rsidRPr="00A210E9">
        <w:rPr>
          <w:rFonts w:eastAsia="Calibri" w:hint="eastAsia"/>
          <w:rtl/>
        </w:rPr>
        <w:t>מאפשרת</w:t>
      </w:r>
      <w:r w:rsidRPr="00A210E9">
        <w:rPr>
          <w:rFonts w:eastAsia="Calibri"/>
          <w:rtl/>
        </w:rPr>
        <w:t xml:space="preserve"> </w:t>
      </w:r>
      <w:r w:rsidRPr="00A210E9">
        <w:rPr>
          <w:rFonts w:eastAsia="Calibri" w:hint="eastAsia"/>
          <w:rtl/>
        </w:rPr>
        <w:t>לגורם</w:t>
      </w:r>
      <w:r w:rsidRPr="00A210E9">
        <w:rPr>
          <w:rFonts w:eastAsia="Calibri"/>
          <w:rtl/>
        </w:rPr>
        <w:t xml:space="preserve"> </w:t>
      </w:r>
      <w:r w:rsidRPr="00A210E9">
        <w:rPr>
          <w:rFonts w:eastAsia="Calibri" w:hint="eastAsia"/>
          <w:rtl/>
        </w:rPr>
        <w:t>שהוסמך</w:t>
      </w:r>
      <w:r w:rsidRPr="00A210E9">
        <w:rPr>
          <w:rFonts w:eastAsia="Calibri"/>
          <w:rtl/>
        </w:rPr>
        <w:t xml:space="preserve"> </w:t>
      </w:r>
      <w:r w:rsidRPr="00A210E9">
        <w:rPr>
          <w:rFonts w:eastAsia="Calibri" w:hint="eastAsia"/>
          <w:rtl/>
        </w:rPr>
        <w:t>על</w:t>
      </w:r>
      <w:r w:rsidRPr="00A210E9">
        <w:rPr>
          <w:rFonts w:eastAsia="Calibri"/>
          <w:rtl/>
        </w:rPr>
        <w:t xml:space="preserve"> </w:t>
      </w:r>
      <w:r w:rsidRPr="00A210E9">
        <w:rPr>
          <w:rFonts w:eastAsia="Calibri" w:hint="eastAsia"/>
          <w:rtl/>
        </w:rPr>
        <w:t>ידי</w:t>
      </w:r>
      <w:r w:rsidRPr="00A210E9">
        <w:rPr>
          <w:rFonts w:eastAsia="Calibri"/>
          <w:rtl/>
        </w:rPr>
        <w:t xml:space="preserve"> אגף הרישוי לבצע בקרה על עבודת הרופאים בהתאם לנהלים, ואם החלטת הרופאים אינה תקינה מ</w:t>
      </w:r>
      <w:r w:rsidRPr="00A210E9">
        <w:rPr>
          <w:rFonts w:eastAsia="Calibri" w:hint="cs"/>
          <w:rtl/>
        </w:rPr>
        <w:t>ה</w:t>
      </w:r>
      <w:r w:rsidRPr="00A210E9">
        <w:rPr>
          <w:rFonts w:eastAsia="Calibri"/>
          <w:rtl/>
        </w:rPr>
        <w:t xml:space="preserve">בחינה </w:t>
      </w:r>
      <w:r w:rsidRPr="00A210E9">
        <w:rPr>
          <w:rFonts w:eastAsia="Calibri" w:hint="cs"/>
          <w:rtl/>
        </w:rPr>
        <w:t>ה</w:t>
      </w:r>
      <w:r w:rsidRPr="00A210E9">
        <w:rPr>
          <w:rFonts w:eastAsia="Calibri"/>
          <w:rtl/>
        </w:rPr>
        <w:t>מ</w:t>
      </w:r>
      <w:r w:rsidRPr="00A210E9">
        <w:rPr>
          <w:rFonts w:eastAsia="Calibri" w:hint="cs"/>
          <w:rtl/>
        </w:rPr>
        <w:t>י</w:t>
      </w:r>
      <w:r w:rsidRPr="00A210E9">
        <w:rPr>
          <w:rFonts w:eastAsia="Calibri"/>
          <w:rtl/>
        </w:rPr>
        <w:t xml:space="preserve">נהלתית - תוחזר הבקשה לרופא לבדיקה חוזרת </w:t>
      </w:r>
      <w:r w:rsidRPr="00A210E9">
        <w:rPr>
          <w:rFonts w:eastAsia="Calibri" w:hint="cs"/>
          <w:rtl/>
        </w:rPr>
        <w:t>בצירוף</w:t>
      </w:r>
      <w:r w:rsidRPr="00A210E9">
        <w:rPr>
          <w:rFonts w:eastAsia="Calibri"/>
          <w:rtl/>
        </w:rPr>
        <w:t xml:space="preserve"> פירוט </w:t>
      </w:r>
      <w:r w:rsidRPr="00A210E9">
        <w:rPr>
          <w:rFonts w:eastAsia="Calibri" w:hint="cs"/>
          <w:rtl/>
        </w:rPr>
        <w:t xml:space="preserve">של </w:t>
      </w:r>
      <w:r w:rsidRPr="00A210E9">
        <w:rPr>
          <w:rFonts w:eastAsia="Calibri"/>
          <w:rtl/>
        </w:rPr>
        <w:t xml:space="preserve">הסיבה להחזרה. על הרופא לעדכן את החלטתו בהתאם לממצאים. המערכת מבצעת רישום ומעקב </w:t>
      </w:r>
      <w:r w:rsidRPr="00A210E9">
        <w:rPr>
          <w:rFonts w:eastAsia="Calibri" w:hint="cs"/>
          <w:rtl/>
        </w:rPr>
        <w:t>בעניין</w:t>
      </w:r>
      <w:r w:rsidRPr="00A210E9">
        <w:rPr>
          <w:rFonts w:eastAsia="Calibri"/>
          <w:rtl/>
        </w:rPr>
        <w:t xml:space="preserve"> הבדיקה לרבות דוחות. כמו כן המשרד ציין כי </w:t>
      </w:r>
      <w:r w:rsidRPr="00A210E9">
        <w:rPr>
          <w:rFonts w:eastAsia="Calibri" w:hint="eastAsia"/>
          <w:rtl/>
        </w:rPr>
        <w:t>חשבות</w:t>
      </w:r>
      <w:r w:rsidRPr="00A210E9">
        <w:rPr>
          <w:rFonts w:eastAsia="Calibri"/>
          <w:rtl/>
        </w:rPr>
        <w:t xml:space="preserve"> המשרד ואגף הרישוי</w:t>
      </w:r>
      <w:r w:rsidRPr="00A210E9">
        <w:rPr>
          <w:rFonts w:eastAsia="Calibri" w:hint="cs"/>
          <w:rtl/>
        </w:rPr>
        <w:t xml:space="preserve"> אפיינו</w:t>
      </w:r>
      <w:r w:rsidRPr="00A210E9">
        <w:rPr>
          <w:rFonts w:eastAsia="Calibri"/>
          <w:rtl/>
        </w:rPr>
        <w:t xml:space="preserve"> בקרות חיצוניות.</w:t>
      </w:r>
      <w:r w:rsidRPr="00A210E9">
        <w:rPr>
          <w:rFonts w:eastAsia="Calibri" w:hint="cs"/>
          <w:rtl/>
        </w:rPr>
        <w:t xml:space="preserve"> </w:t>
      </w:r>
      <w:r w:rsidRPr="00A210E9">
        <w:rPr>
          <w:rFonts w:eastAsia="Calibri" w:hint="eastAsia"/>
          <w:rtl/>
        </w:rPr>
        <w:t>המשרד</w:t>
      </w:r>
      <w:r w:rsidRPr="00A210E9">
        <w:rPr>
          <w:rFonts w:eastAsia="Calibri"/>
          <w:rtl/>
        </w:rPr>
        <w:t xml:space="preserve"> הוסיף כי המערכת </w:t>
      </w:r>
      <w:r w:rsidRPr="00A210E9">
        <w:rPr>
          <w:rFonts w:eastAsia="Calibri" w:hint="cs"/>
          <w:rtl/>
        </w:rPr>
        <w:t xml:space="preserve">הנוכחית </w:t>
      </w:r>
      <w:r w:rsidRPr="00A210E9">
        <w:rPr>
          <w:rFonts w:eastAsia="Calibri"/>
          <w:rtl/>
        </w:rPr>
        <w:t xml:space="preserve">אינה מנתחת </w:t>
      </w:r>
      <w:r w:rsidRPr="00A210E9">
        <w:rPr>
          <w:rFonts w:eastAsia="Calibri" w:hint="cs"/>
          <w:rtl/>
        </w:rPr>
        <w:t>אם</w:t>
      </w:r>
      <w:r w:rsidRPr="00A210E9">
        <w:rPr>
          <w:rFonts w:eastAsia="Calibri"/>
          <w:rtl/>
        </w:rPr>
        <w:t xml:space="preserve"> נימוקי </w:t>
      </w:r>
      <w:r w:rsidRPr="00A210E9">
        <w:rPr>
          <w:rFonts w:eastAsia="Calibri" w:hint="cs"/>
          <w:rtl/>
        </w:rPr>
        <w:t>החלטת הרופא עומדים</w:t>
      </w:r>
      <w:r w:rsidRPr="00A210E9">
        <w:rPr>
          <w:rFonts w:eastAsia="Calibri"/>
          <w:rtl/>
        </w:rPr>
        <w:t xml:space="preserve"> בדרישות האגף</w:t>
      </w:r>
      <w:r w:rsidRPr="00A210E9">
        <w:rPr>
          <w:rFonts w:eastAsia="Calibri" w:hint="cs"/>
          <w:rtl/>
        </w:rPr>
        <w:t>,</w:t>
      </w:r>
      <w:r w:rsidRPr="00A210E9">
        <w:rPr>
          <w:rFonts w:eastAsia="Calibri"/>
          <w:rtl/>
        </w:rPr>
        <w:t xml:space="preserve"> וכי </w:t>
      </w:r>
      <w:r w:rsidRPr="00A210E9">
        <w:rPr>
          <w:rFonts w:eastAsia="Calibri" w:hint="cs"/>
          <w:rtl/>
        </w:rPr>
        <w:t>כדי להבטיח שנימוקים עומדים בדרישות מבוצעות בקרות</w:t>
      </w:r>
      <w:r w:rsidRPr="00A210E9">
        <w:rPr>
          <w:rFonts w:eastAsia="Calibri"/>
          <w:rtl/>
        </w:rPr>
        <w:t xml:space="preserve"> באופן ידני.</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eastAsia"/>
          <w:rtl/>
        </w:rPr>
        <w:t>אגף</w:t>
      </w:r>
      <w:r w:rsidRPr="00A210E9">
        <w:rPr>
          <w:rFonts w:eastAsia="Calibri"/>
          <w:rtl/>
        </w:rPr>
        <w:t xml:space="preserve"> </w:t>
      </w:r>
      <w:r w:rsidRPr="00A210E9">
        <w:rPr>
          <w:rFonts w:eastAsia="Calibri" w:hint="eastAsia"/>
          <w:rtl/>
        </w:rPr>
        <w:t>החשכ</w:t>
      </w:r>
      <w:r w:rsidRPr="00A210E9">
        <w:rPr>
          <w:rFonts w:eastAsia="Calibri"/>
          <w:rtl/>
        </w:rPr>
        <w:t xml:space="preserve">"ל כתב בתשובתו מ-17.5.26 </w:t>
      </w:r>
      <w:r w:rsidRPr="00A210E9">
        <w:rPr>
          <w:rFonts w:eastAsia="Calibri" w:hint="eastAsia"/>
          <w:rtl/>
        </w:rPr>
        <w:t>כי</w:t>
      </w:r>
      <w:r w:rsidRPr="00A210E9">
        <w:rPr>
          <w:rFonts w:eastAsia="Calibri"/>
          <w:rtl/>
        </w:rPr>
        <w:t xml:space="preserve"> </w:t>
      </w:r>
      <w:r w:rsidRPr="00A210E9">
        <w:rPr>
          <w:rFonts w:eastAsia="Calibri" w:hint="cs"/>
          <w:rtl/>
        </w:rPr>
        <w:t xml:space="preserve">במסגרת </w:t>
      </w:r>
      <w:r w:rsidRPr="00A210E9">
        <w:rPr>
          <w:rFonts w:eastAsia="Calibri"/>
          <w:rtl/>
        </w:rPr>
        <w:t xml:space="preserve">עבודת </w:t>
      </w:r>
      <w:r w:rsidRPr="00A210E9">
        <w:rPr>
          <w:rFonts w:eastAsia="Calibri" w:hint="cs"/>
          <w:rtl/>
        </w:rPr>
        <w:t>ה</w:t>
      </w:r>
      <w:r w:rsidRPr="00A210E9">
        <w:rPr>
          <w:rFonts w:eastAsia="Calibri"/>
          <w:rtl/>
        </w:rPr>
        <w:t xml:space="preserve">צוות </w:t>
      </w:r>
      <w:r w:rsidRPr="00A210E9">
        <w:rPr>
          <w:rFonts w:eastAsia="Calibri" w:hint="cs"/>
          <w:rtl/>
        </w:rPr>
        <w:t>ה</w:t>
      </w:r>
      <w:r w:rsidRPr="00A210E9">
        <w:rPr>
          <w:rFonts w:eastAsia="Calibri"/>
          <w:rtl/>
        </w:rPr>
        <w:t xml:space="preserve">בין-משרדי 2025 </w:t>
      </w:r>
      <w:r w:rsidRPr="00A210E9">
        <w:rPr>
          <w:rFonts w:eastAsia="Calibri" w:hint="cs"/>
          <w:rtl/>
        </w:rPr>
        <w:t>נבחנים</w:t>
      </w:r>
      <w:r w:rsidRPr="00A210E9">
        <w:rPr>
          <w:rFonts w:eastAsia="Calibri"/>
          <w:rtl/>
        </w:rPr>
        <w:t xml:space="preserve"> כלים </w:t>
      </w:r>
      <w:r w:rsidRPr="00A210E9">
        <w:rPr>
          <w:rFonts w:eastAsia="Calibri" w:hint="cs"/>
          <w:rtl/>
        </w:rPr>
        <w:t>לשיפור</w:t>
      </w:r>
      <w:r w:rsidRPr="00A210E9">
        <w:rPr>
          <w:rFonts w:eastAsia="Calibri"/>
          <w:rtl/>
        </w:rPr>
        <w:t xml:space="preserve"> הבקרה על הליך הנפקת התגים ו</w:t>
      </w:r>
      <w:r w:rsidRPr="00A210E9">
        <w:rPr>
          <w:rFonts w:eastAsia="Calibri" w:hint="cs"/>
          <w:rtl/>
        </w:rPr>
        <w:t>על</w:t>
      </w:r>
      <w:r w:rsidRPr="00A210E9">
        <w:rPr>
          <w:rFonts w:eastAsia="Calibri" w:hint="cs"/>
        </w:rPr>
        <w:t xml:space="preserve"> </w:t>
      </w:r>
      <w:r w:rsidRPr="00A210E9">
        <w:rPr>
          <w:rFonts w:eastAsia="Calibri"/>
          <w:rtl/>
        </w:rPr>
        <w:t xml:space="preserve">השימוש בהם, </w:t>
      </w:r>
      <w:r w:rsidRPr="00A210E9">
        <w:rPr>
          <w:rFonts w:eastAsia="Calibri" w:hint="cs"/>
          <w:rtl/>
        </w:rPr>
        <w:t>המאפשרים, בין היתר, לשפר את</w:t>
      </w:r>
      <w:r w:rsidRPr="00A210E9">
        <w:rPr>
          <w:rFonts w:eastAsia="Calibri"/>
          <w:rtl/>
        </w:rPr>
        <w:t xml:space="preserve"> ממשקי המידע בין הגופים, </w:t>
      </w:r>
      <w:r w:rsidRPr="00A210E9">
        <w:rPr>
          <w:rFonts w:eastAsia="Calibri" w:hint="cs"/>
          <w:rtl/>
        </w:rPr>
        <w:t>לצמצם</w:t>
      </w:r>
      <w:r w:rsidRPr="00A210E9">
        <w:rPr>
          <w:rFonts w:eastAsia="Calibri"/>
          <w:rtl/>
        </w:rPr>
        <w:t xml:space="preserve"> הסתמכות על מסמכים שלא אומתו, </w:t>
      </w:r>
      <w:r w:rsidRPr="00A210E9">
        <w:rPr>
          <w:rFonts w:eastAsia="Calibri" w:hint="cs"/>
          <w:rtl/>
        </w:rPr>
        <w:t>להגביר את</w:t>
      </w:r>
      <w:r w:rsidRPr="00A210E9">
        <w:rPr>
          <w:rFonts w:eastAsia="Calibri"/>
          <w:rtl/>
        </w:rPr>
        <w:t xml:space="preserve"> יכולת ההצלבה בין מקורות מידע, </w:t>
      </w:r>
      <w:r w:rsidRPr="00A210E9">
        <w:rPr>
          <w:rFonts w:eastAsia="Calibri" w:hint="cs"/>
          <w:rtl/>
        </w:rPr>
        <w:t>ולבחון דרכים</w:t>
      </w:r>
      <w:r w:rsidRPr="00A210E9">
        <w:rPr>
          <w:rFonts w:eastAsia="Calibri"/>
          <w:rtl/>
        </w:rPr>
        <w:t xml:space="preserve"> למניעת שימוש לרעה בתג. </w:t>
      </w:r>
      <w:r w:rsidRPr="00A210E9">
        <w:rPr>
          <w:rFonts w:eastAsia="Calibri" w:hint="eastAsia"/>
          <w:rtl/>
        </w:rPr>
        <w:t>החשכ</w:t>
      </w:r>
      <w:r w:rsidRPr="00A210E9">
        <w:rPr>
          <w:rFonts w:eastAsia="Calibri"/>
          <w:rtl/>
        </w:rPr>
        <w:t xml:space="preserve">"ל הוסיף כי כלים מסוג זה נבחנים בכפוף להיבטים המשפטיים הנדרשים, לרבות </w:t>
      </w:r>
      <w:r w:rsidRPr="00A210E9">
        <w:rPr>
          <w:rFonts w:eastAsia="Calibri" w:hint="cs"/>
          <w:rtl/>
        </w:rPr>
        <w:t>היבטים הנוגעים ל</w:t>
      </w:r>
      <w:r w:rsidRPr="00A210E9">
        <w:rPr>
          <w:rFonts w:eastAsia="Calibri"/>
          <w:rtl/>
        </w:rPr>
        <w:t xml:space="preserve">הגנת הפרטיות, </w:t>
      </w:r>
      <w:r w:rsidRPr="00A210E9">
        <w:rPr>
          <w:rFonts w:eastAsia="Calibri" w:hint="cs"/>
          <w:rtl/>
        </w:rPr>
        <w:t>ל</w:t>
      </w:r>
      <w:r w:rsidRPr="00A210E9">
        <w:rPr>
          <w:rFonts w:eastAsia="Calibri"/>
          <w:rtl/>
        </w:rPr>
        <w:t xml:space="preserve">סודיות רפואית, </w:t>
      </w:r>
      <w:r w:rsidRPr="00A210E9">
        <w:rPr>
          <w:rFonts w:eastAsia="Calibri" w:hint="cs"/>
          <w:rtl/>
        </w:rPr>
        <w:t>ל</w:t>
      </w:r>
      <w:r w:rsidRPr="00A210E9">
        <w:rPr>
          <w:rFonts w:eastAsia="Calibri"/>
          <w:rtl/>
        </w:rPr>
        <w:t xml:space="preserve">אבטחת מידע, </w:t>
      </w:r>
      <w:r w:rsidRPr="00A210E9">
        <w:rPr>
          <w:rFonts w:eastAsia="Calibri" w:hint="cs"/>
          <w:rtl/>
        </w:rPr>
        <w:t>ל</w:t>
      </w:r>
      <w:r w:rsidRPr="00A210E9">
        <w:rPr>
          <w:rFonts w:eastAsia="Calibri"/>
          <w:rtl/>
        </w:rPr>
        <w:t>נגישות השירות לציבור הזכאים ו</w:t>
      </w:r>
      <w:r w:rsidRPr="00A210E9">
        <w:rPr>
          <w:rFonts w:eastAsia="Calibri" w:hint="cs"/>
          <w:rtl/>
        </w:rPr>
        <w:t>ל</w:t>
      </w:r>
      <w:r w:rsidRPr="00A210E9">
        <w:rPr>
          <w:rFonts w:eastAsia="Calibri"/>
          <w:rtl/>
        </w:rPr>
        <w:t>צורך בהסמכה מתאימה לפי דין.</w:t>
      </w:r>
    </w:p>
    <w:p w:rsidR="00A210E9" w:rsidRPr="00A210E9" w:rsidP="00A210E9">
      <w:pPr>
        <w:spacing w:line="269" w:lineRule="auto"/>
        <w:rPr>
          <w:rFonts w:eastAsia="Calibri"/>
          <w:b/>
          <w:bCs/>
          <w:rtl/>
        </w:rPr>
      </w:pPr>
    </w:p>
    <w:p w:rsidR="00A210E9" w:rsidRPr="00A210E9" w:rsidP="00A210E9">
      <w:pPr>
        <w:keepNext/>
        <w:keepLines/>
        <w:spacing w:line="269" w:lineRule="auto"/>
        <w:outlineLvl w:val="4"/>
        <w:rPr>
          <w:rFonts w:eastAsia="Times New Roman"/>
          <w:bCs/>
          <w:spacing w:val="40"/>
          <w:rtl/>
        </w:rPr>
      </w:pPr>
      <w:r w:rsidRPr="00A210E9">
        <w:rPr>
          <w:rFonts w:eastAsia="Times New Roman" w:hint="cs"/>
          <w:bCs/>
          <w:spacing w:val="40"/>
          <w:rtl/>
        </w:rPr>
        <w:t xml:space="preserve">בקרות חשבונאיות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rtl/>
        </w:rPr>
        <w:t>בקרות חשבונאיות הן מנגנונים ונהלים שמטרתם להבטיח כי התשלומים בהתקשרות עבור שירות</w:t>
      </w:r>
      <w:r w:rsidRPr="00A210E9">
        <w:rPr>
          <w:rFonts w:eastAsia="Calibri" w:hint="cs"/>
          <w:rtl/>
        </w:rPr>
        <w:t xml:space="preserve"> </w:t>
      </w:r>
      <w:r w:rsidRPr="00A210E9">
        <w:rPr>
          <w:rFonts w:eastAsia="Calibri"/>
          <w:rtl/>
        </w:rPr>
        <w:t xml:space="preserve">מבוצעים רק </w:t>
      </w:r>
      <w:r w:rsidRPr="00A210E9">
        <w:rPr>
          <w:rFonts w:eastAsia="Calibri" w:hint="cs"/>
          <w:rtl/>
        </w:rPr>
        <w:t>לפי תנאי ההתקשרות</w:t>
      </w:r>
      <w:r w:rsidRPr="00A210E9">
        <w:rPr>
          <w:rFonts w:eastAsia="Calibri"/>
          <w:rtl/>
        </w:rPr>
        <w:t xml:space="preserve">, כנגד שירות שסופק בפועל. חשיבותן עבור התהליך היא בצמצום סיכונים של חיוב יתר, תשלומים כפולים, תשלום עבור שירותים שלא ניתנו </w:t>
      </w:r>
      <w:r w:rsidRPr="00A210E9">
        <w:rPr>
          <w:rFonts w:eastAsia="Calibri" w:hint="cs"/>
          <w:rtl/>
        </w:rPr>
        <w:t>ו</w:t>
      </w:r>
      <w:r w:rsidRPr="00A210E9">
        <w:rPr>
          <w:rFonts w:eastAsia="Calibri"/>
          <w:rtl/>
        </w:rPr>
        <w:t xml:space="preserve">חריגה מתעריפים ומנגנוני התחשבנות שנקבעו מראש. בקרות חשבונאיות מחזקות שקיפות ואמינות, </w:t>
      </w:r>
      <w:r w:rsidRPr="00A210E9">
        <w:rPr>
          <w:rFonts w:eastAsia="Calibri" w:hint="cs"/>
          <w:rtl/>
        </w:rPr>
        <w:t xml:space="preserve">הן </w:t>
      </w:r>
      <w:r w:rsidRPr="00A210E9">
        <w:rPr>
          <w:rFonts w:eastAsia="Calibri"/>
          <w:rtl/>
        </w:rPr>
        <w:t>מאפשרות איתור חריגים בזמן אמת ותיקונם, ו</w:t>
      </w:r>
      <w:r w:rsidRPr="00A210E9">
        <w:rPr>
          <w:rFonts w:eastAsia="Calibri" w:hint="cs"/>
          <w:rtl/>
        </w:rPr>
        <w:t xml:space="preserve">הן </w:t>
      </w:r>
      <w:r w:rsidRPr="00A210E9">
        <w:rPr>
          <w:rFonts w:eastAsia="Calibri"/>
          <w:rtl/>
        </w:rPr>
        <w:t>תומכות בניהול תקין ובשמירה על כספי ציבור.</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במסגרת הבדיקה החשבונאית 2025 נבדק</w:t>
      </w:r>
      <w:r w:rsidRPr="00A210E9">
        <w:rPr>
          <w:rFonts w:eastAsia="Calibri"/>
          <w:rtl/>
        </w:rPr>
        <w:t xml:space="preserve"> תהליך</w:t>
      </w:r>
      <w:r w:rsidRPr="00A210E9">
        <w:rPr>
          <w:rFonts w:eastAsia="Calibri" w:hint="cs"/>
          <w:rtl/>
        </w:rPr>
        <w:t xml:space="preserve"> </w:t>
      </w:r>
      <w:r w:rsidRPr="00A210E9">
        <w:rPr>
          <w:rFonts w:eastAsia="Calibri"/>
          <w:rtl/>
        </w:rPr>
        <w:t xml:space="preserve">אישור החשבונות שהוגשו על ידי </w:t>
      </w:r>
      <w:r w:rsidRPr="00A210E9">
        <w:rPr>
          <w:rFonts w:eastAsia="Calibri" w:hint="cs"/>
          <w:rtl/>
        </w:rPr>
        <w:t>חברה ב'</w:t>
      </w:r>
      <w:r w:rsidRPr="00A210E9">
        <w:rPr>
          <w:rFonts w:eastAsia="Calibri"/>
          <w:rtl/>
        </w:rPr>
        <w:t xml:space="preserve"> בשנים 2021</w:t>
      </w:r>
      <w:r w:rsidRPr="00A210E9">
        <w:rPr>
          <w:rFonts w:eastAsia="Calibri" w:hint="cs"/>
          <w:rtl/>
        </w:rPr>
        <w:t xml:space="preserve"> </w:t>
      </w:r>
      <w:r w:rsidRPr="00A210E9">
        <w:rPr>
          <w:rFonts w:eastAsia="Calibri"/>
          <w:rtl/>
        </w:rPr>
        <w:t>-</w:t>
      </w:r>
      <w:r w:rsidRPr="00A210E9">
        <w:rPr>
          <w:rFonts w:eastAsia="Calibri" w:hint="cs"/>
          <w:rtl/>
        </w:rPr>
        <w:t xml:space="preserve"> </w:t>
      </w:r>
      <w:r w:rsidRPr="00A210E9">
        <w:rPr>
          <w:rFonts w:eastAsia="Calibri"/>
          <w:rtl/>
        </w:rPr>
        <w:t>2024</w:t>
      </w:r>
      <w:r w:rsidRPr="00A210E9">
        <w:rPr>
          <w:rFonts w:eastAsia="Calibri" w:hint="cs"/>
          <w:rtl/>
        </w:rPr>
        <w:t>. תוצרי הבדיקה הוגשו למשרד התחבורה במאי 2025, ומהם עלה כי משרד התחבורה לא</w:t>
      </w:r>
      <w:r w:rsidRPr="00A210E9">
        <w:rPr>
          <w:rFonts w:eastAsia="Calibri"/>
          <w:rtl/>
        </w:rPr>
        <w:t xml:space="preserve"> קיי</w:t>
      </w:r>
      <w:r w:rsidRPr="00A210E9">
        <w:rPr>
          <w:rFonts w:eastAsia="Calibri" w:hint="cs"/>
          <w:rtl/>
        </w:rPr>
        <w:t>ם</w:t>
      </w:r>
      <w:r w:rsidRPr="00A210E9">
        <w:rPr>
          <w:rFonts w:eastAsia="Calibri"/>
          <w:rtl/>
        </w:rPr>
        <w:t xml:space="preserve"> בקרות בסיסיות על קבלת השירותים ועל</w:t>
      </w:r>
      <w:r w:rsidRPr="00A210E9">
        <w:rPr>
          <w:rFonts w:eastAsia="Calibri" w:hint="cs"/>
          <w:rtl/>
        </w:rPr>
        <w:t xml:space="preserve"> </w:t>
      </w:r>
      <w:r w:rsidRPr="00A210E9">
        <w:rPr>
          <w:rFonts w:eastAsia="Calibri"/>
          <w:rtl/>
        </w:rPr>
        <w:t xml:space="preserve">החשבונות שהוגשו על ידי </w:t>
      </w:r>
      <w:r w:rsidRPr="00A210E9">
        <w:rPr>
          <w:rFonts w:eastAsia="Calibri" w:hint="cs"/>
          <w:rtl/>
        </w:rPr>
        <w:t>חברה ב'. להלן עיקרי הממצאים:</w:t>
      </w:r>
    </w:p>
    <w:p w:rsidR="00A210E9" w:rsidRPr="00A210E9" w:rsidP="00A210E9">
      <w:pPr>
        <w:keepNext/>
        <w:keepLines/>
        <w:spacing w:line="269" w:lineRule="auto"/>
        <w:ind w:left="-567"/>
        <w:rPr>
          <w:rFonts w:eastAsia="Calibri"/>
          <w:szCs w:val="20"/>
          <w:rtl/>
        </w:rPr>
      </w:pPr>
    </w:p>
    <w:p w:rsidR="00A210E9" w:rsidRPr="00A210E9" w:rsidP="00A210E9">
      <w:pPr>
        <w:numPr>
          <w:ilvl w:val="0"/>
          <w:numId w:val="20"/>
        </w:numPr>
        <w:spacing w:line="269" w:lineRule="auto"/>
        <w:contextualSpacing/>
        <w:rPr>
          <w:rFonts w:eastAsia="Calibri"/>
        </w:rPr>
      </w:pPr>
      <w:r w:rsidRPr="00A210E9">
        <w:rPr>
          <w:rFonts w:eastAsia="Calibri" w:hint="cs"/>
          <w:rtl/>
        </w:rPr>
        <w:t>משרד התחבורה הפיק עבור החברה את הדוחות ששימשו בסיס לדרישות התשלום שלה. בבדיקה החשבונאית 2025 צוין כי אומנם הגישה של החברה למערכת הרפואית הוגבלה כדי להגן על מידע רפואי רגיש ועל הצורך לשמור על פרטיות הנתונים, אולם היה בכך ויתור בפועל על מנגנון הפיקוח היחיד שעמד לרשות המשרד: "</w:t>
      </w:r>
      <w:r w:rsidRPr="00A210E9">
        <w:rPr>
          <w:rFonts w:eastAsia="Calibri"/>
          <w:rtl/>
        </w:rPr>
        <w:t>כאשר המשרד הוא הן הגורם המדווח והן הגור</w:t>
      </w:r>
      <w:r w:rsidRPr="00A210E9">
        <w:rPr>
          <w:rFonts w:eastAsia="Calibri" w:hint="cs"/>
          <w:rtl/>
        </w:rPr>
        <w:t xml:space="preserve">ם </w:t>
      </w:r>
      <w:r w:rsidRPr="00A210E9">
        <w:rPr>
          <w:rFonts w:eastAsia="Calibri"/>
          <w:rtl/>
        </w:rPr>
        <w:t>המאשר, הוא מוותר על האפשרות לבקר את הנתונים</w:t>
      </w:r>
      <w:r w:rsidRPr="00A210E9">
        <w:rPr>
          <w:rFonts w:eastAsia="Calibri" w:hint="cs"/>
          <w:rtl/>
        </w:rPr>
        <w:t xml:space="preserve"> ומונע כל בקרה אפקטיבית על פעילות הספק ועל דיווחיו הכספיים".</w:t>
      </w:r>
    </w:p>
    <w:p w:rsidR="00A210E9" w:rsidRPr="00A210E9" w:rsidP="00A210E9">
      <w:pPr>
        <w:keepNext/>
        <w:keepLines/>
        <w:spacing w:line="269" w:lineRule="auto"/>
        <w:ind w:left="-567"/>
        <w:rPr>
          <w:rFonts w:eastAsia="Calibri"/>
          <w:szCs w:val="20"/>
        </w:rPr>
      </w:pPr>
    </w:p>
    <w:p w:rsidR="00A210E9" w:rsidRPr="00A210E9" w:rsidP="00A210E9">
      <w:pPr>
        <w:numPr>
          <w:ilvl w:val="0"/>
          <w:numId w:val="20"/>
        </w:numPr>
        <w:spacing w:line="269" w:lineRule="auto"/>
        <w:contextualSpacing/>
        <w:rPr>
          <w:rFonts w:eastAsia="Calibri"/>
        </w:rPr>
      </w:pPr>
      <w:r w:rsidRPr="00A210E9">
        <w:rPr>
          <w:rFonts w:eastAsia="Calibri" w:hint="cs"/>
          <w:rtl/>
        </w:rPr>
        <w:t>בשנת 2021 החלה חברה ב' להגיש דרישת תשלום כפולה בגין כל בקשה חוזרת (אף שחלקן הוגשו מלכתחילה בשל תהליך לא מוסדר של ערעור על הבקשה המקורית). עקב כך, בשנים 2021 - 2024 חויב המשרד ביתר בכ-2.7 מיליון ש"ח בגין חיוב כפול בשל הבקשות החוזרות</w:t>
      </w:r>
      <w:r>
        <w:rPr>
          <w:rFonts w:eastAsia="Calibri"/>
          <w:vertAlign w:val="superscript"/>
          <w:rtl/>
        </w:rPr>
        <w:footnoteReference w:id="188"/>
      </w:r>
      <w:r w:rsidRPr="00A210E9">
        <w:rPr>
          <w:rFonts w:eastAsia="Calibri" w:hint="cs"/>
          <w:rtl/>
        </w:rPr>
        <w:t>. בבדיקה החשבונאית 2025 צוין כי "</w:t>
      </w:r>
      <w:r w:rsidRPr="00A210E9">
        <w:rPr>
          <w:rFonts w:eastAsia="Calibri"/>
          <w:rtl/>
        </w:rPr>
        <w:t>בדיקה ממוחשבת פשוטה של הנתונים הייתה יכולה לגלות שינוי מהותי זה בצורת הגשת</w:t>
      </w:r>
      <w:r w:rsidRPr="00A210E9">
        <w:rPr>
          <w:rFonts w:eastAsia="Calibri" w:hint="cs"/>
          <w:rtl/>
        </w:rPr>
        <w:t xml:space="preserve"> </w:t>
      </w:r>
      <w:r w:rsidRPr="00A210E9">
        <w:rPr>
          <w:rFonts w:eastAsia="Calibri"/>
          <w:rtl/>
        </w:rPr>
        <w:t>החשבוניות. כמו כן, כל בדיקת סבירות בסיסית ביחס לנתוני החשבוניות, הייתה מגלה את</w:t>
      </w:r>
      <w:r w:rsidRPr="00A210E9">
        <w:rPr>
          <w:rFonts w:eastAsia="Calibri" w:hint="cs"/>
          <w:rtl/>
        </w:rPr>
        <w:t xml:space="preserve"> </w:t>
      </w:r>
      <w:r w:rsidRPr="00A210E9">
        <w:rPr>
          <w:rFonts w:eastAsia="Calibri"/>
          <w:rtl/>
        </w:rPr>
        <w:t>החריגה בהיקף הערעורים ואת הגידול המשמעותי בדרישות התשלום</w:t>
      </w:r>
      <w:r w:rsidRPr="00A210E9">
        <w:rPr>
          <w:rFonts w:eastAsia="Calibri" w:hint="cs"/>
          <w:rtl/>
        </w:rPr>
        <w:t>"</w:t>
      </w:r>
      <w:r w:rsidRPr="00A210E9">
        <w:rPr>
          <w:rFonts w:eastAsia="Calibri"/>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Pr>
      </w:pPr>
      <w:r w:rsidRPr="00A210E9">
        <w:rPr>
          <w:rFonts w:eastAsia="Calibri" w:hint="cs"/>
          <w:rtl/>
        </w:rPr>
        <w:t>חברה ב' כתבה בתשובתה כי לגישתה היא זכאית לתשלום עבור כל בקשה, בין שאושרה ובין שנדחתה (לרבות בקשות חוזרות), אך אינה זכאית לתשלום עבור בקשות שבמסגרתן נדרש רופא לספק מידע נוסף לצורך הכרעה בבקשה. החברה הוסיפה כי היא הפיקה חשבוניות מס על בסיס נתוני הפעילות שהעביר אליה משרד התחבורה, שכללו נתונים על בקשות שאושרו, על בקשות שנדחו, על בקשות להשלמת מסמכים, וכן על מספר הבקשות החוזרות. החברה טענה בתשובתה כי היא פעלה בהתאם להנחיות שניתנו לה בלי שידעה כי הבקשות החוזרות כבר נכללות בנתונים המפולחים לפי סוג ההחלטה הרפואית.</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Pr>
      </w:pPr>
      <w:r w:rsidRPr="00A210E9">
        <w:rPr>
          <w:rFonts w:eastAsia="Calibri" w:hint="eastAsia"/>
          <w:rtl/>
        </w:rPr>
        <w:t>אגף</w:t>
      </w:r>
      <w:r w:rsidRPr="00A210E9">
        <w:rPr>
          <w:rFonts w:eastAsia="Calibri"/>
          <w:rtl/>
        </w:rPr>
        <w:t xml:space="preserve"> </w:t>
      </w:r>
      <w:r w:rsidRPr="00A210E9">
        <w:rPr>
          <w:rFonts w:eastAsia="Calibri" w:hint="eastAsia"/>
          <w:rtl/>
        </w:rPr>
        <w:t>החשכ</w:t>
      </w:r>
      <w:r w:rsidRPr="00A210E9">
        <w:rPr>
          <w:rFonts w:eastAsia="Calibri"/>
          <w:rtl/>
        </w:rPr>
        <w:t xml:space="preserve">"ל כתב בתשובתו כי חשב המשרד ומבקרת הכספים שלו פעלו לתיקון הליקוי מיד עם גילוי החריגה - הם שיפרו את הבקרות החשבונאיות, דחו את דרישות התשלום והוציאו לחברה </w:t>
      </w:r>
      <w:r w:rsidRPr="00A210E9">
        <w:rPr>
          <w:rFonts w:eastAsia="Calibri" w:hint="cs"/>
          <w:rtl/>
        </w:rPr>
        <w:t>בשיתוף</w:t>
      </w:r>
      <w:r w:rsidRPr="00A210E9">
        <w:rPr>
          <w:rFonts w:eastAsia="Calibri"/>
          <w:rtl/>
        </w:rPr>
        <w:t xml:space="preserve"> עם הלשכה המשפטית של המשרד דרישה להשבת כספים ששולמו ביתר, תוך עיכוב חשבונות של החברה</w:t>
      </w:r>
      <w:r>
        <w:rPr>
          <w:rFonts w:eastAsia="Calibri"/>
          <w:vertAlign w:val="superscript"/>
          <w:rtl/>
        </w:rPr>
        <w:footnoteReference w:id="189"/>
      </w:r>
      <w:r w:rsidRPr="00A210E9">
        <w:rPr>
          <w:rFonts w:eastAsia="Calibri"/>
          <w:rtl/>
        </w:rPr>
        <w:t xml:space="preserve">. </w:t>
      </w:r>
    </w:p>
    <w:p w:rsidR="00A210E9" w:rsidRPr="00A210E9" w:rsidP="00A210E9">
      <w:pPr>
        <w:keepNext/>
        <w:keepLines/>
        <w:spacing w:line="269" w:lineRule="auto"/>
        <w:ind w:left="-567"/>
        <w:rPr>
          <w:rFonts w:eastAsia="Calibri"/>
          <w:szCs w:val="20"/>
        </w:rPr>
      </w:pPr>
    </w:p>
    <w:p w:rsidR="00A210E9" w:rsidRPr="00A210E9" w:rsidP="00A210E9">
      <w:pPr>
        <w:spacing w:line="269" w:lineRule="auto"/>
        <w:rPr>
          <w:rFonts w:eastAsia="Calibri"/>
          <w:rtl/>
        </w:rPr>
      </w:pPr>
      <w:r w:rsidRPr="00A210E9">
        <w:rPr>
          <w:rFonts w:eastAsia="Calibri" w:hint="cs"/>
          <w:b/>
          <w:bCs/>
          <w:rtl/>
        </w:rPr>
        <w:t xml:space="preserve">בבדיקה החשבונאית 2025 עלה כי </w:t>
      </w:r>
      <w:bookmarkStart w:id="157" w:name="_Hlk223950557"/>
      <w:r w:rsidRPr="00A210E9">
        <w:rPr>
          <w:rFonts w:eastAsia="Calibri" w:hint="cs"/>
          <w:b/>
          <w:bCs/>
          <w:rtl/>
        </w:rPr>
        <w:t>במסגרת ההתקשרות עם חברה ב' לא ביצע משרד התחבורה בקרות חשבונאיות יעילות על דרישות התשלום שהגישה החברה, ובכך לא הבטיח</w:t>
      </w:r>
      <w:r w:rsidRPr="00A210E9">
        <w:rPr>
          <w:rFonts w:eastAsia="Calibri"/>
          <w:b/>
          <w:bCs/>
          <w:rtl/>
        </w:rPr>
        <w:t xml:space="preserve"> כי התשלומים </w:t>
      </w:r>
      <w:r w:rsidRPr="00A210E9">
        <w:rPr>
          <w:rFonts w:eastAsia="Calibri" w:hint="cs"/>
          <w:b/>
          <w:bCs/>
          <w:rtl/>
        </w:rPr>
        <w:t>בגין בחינת בקשות לזכאות לתג חניה</w:t>
      </w:r>
      <w:r w:rsidRPr="00A210E9">
        <w:rPr>
          <w:rFonts w:eastAsia="Calibri"/>
          <w:b/>
          <w:bCs/>
          <w:rtl/>
        </w:rPr>
        <w:t xml:space="preserve"> </w:t>
      </w:r>
      <w:r w:rsidRPr="00A210E9">
        <w:rPr>
          <w:rFonts w:eastAsia="Calibri" w:hint="cs"/>
          <w:b/>
          <w:bCs/>
          <w:rtl/>
        </w:rPr>
        <w:t xml:space="preserve">אכן </w:t>
      </w:r>
      <w:r w:rsidRPr="00A210E9">
        <w:rPr>
          <w:rFonts w:eastAsia="Calibri"/>
          <w:b/>
          <w:bCs/>
          <w:rtl/>
        </w:rPr>
        <w:t xml:space="preserve">מבוצעים </w:t>
      </w:r>
      <w:r w:rsidRPr="00A210E9">
        <w:rPr>
          <w:rFonts w:eastAsia="Calibri" w:hint="cs"/>
          <w:b/>
          <w:bCs/>
          <w:rtl/>
        </w:rPr>
        <w:t>ע</w:t>
      </w:r>
      <w:r w:rsidRPr="00A210E9">
        <w:rPr>
          <w:rFonts w:eastAsia="Calibri"/>
          <w:b/>
          <w:bCs/>
          <w:rtl/>
        </w:rPr>
        <w:t>ל</w:t>
      </w:r>
      <w:r w:rsidRPr="00A210E9">
        <w:rPr>
          <w:rFonts w:eastAsia="Calibri" w:hint="cs"/>
          <w:b/>
          <w:bCs/>
          <w:rtl/>
        </w:rPr>
        <w:t xml:space="preserve"> פי </w:t>
      </w:r>
      <w:r w:rsidRPr="00A210E9">
        <w:rPr>
          <w:rFonts w:eastAsia="Calibri"/>
          <w:b/>
          <w:bCs/>
          <w:rtl/>
        </w:rPr>
        <w:t>תנאי ההתקשרות</w:t>
      </w:r>
      <w:r w:rsidRPr="00A210E9">
        <w:rPr>
          <w:rFonts w:eastAsia="Calibri" w:hint="cs"/>
          <w:b/>
          <w:bCs/>
          <w:rtl/>
        </w:rPr>
        <w:t>. נמצא כי בשל כך, בשנים 2021 - 2024 חויב משרד התחבורה ביתר בכ-2.7 מיליון ש"ח.</w:t>
      </w:r>
    </w:p>
    <w:bookmarkEnd w:id="157"/>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 xml:space="preserve">לצורך קיום בקרה חשבונאית יעילה, על משרד התחבורה להבטיח הפרדה בין יכולת ביצוע הבקרה העצמית של ספק השירות לבין ביצוע הבקרה של המשרד על הספק תוך איזון של הצורך להגן על מידע רפואי רגיש של הפונים אליו. על משרד התחבורה לבצע את כל הבקרות החשבונאיות הנדרשות כדי לוודא כי התשלומים שהספק גובה מהמשרד תואמים את השירות שהספק נתן למשרד, ובכך למנוע חיוב יתר. </w:t>
      </w:r>
    </w:p>
    <w:p w:rsidR="00A210E9" w:rsidRPr="00A210E9" w:rsidP="00A210E9">
      <w:pPr>
        <w:spacing w:line="269" w:lineRule="auto"/>
        <w:rPr>
          <w:rFonts w:eastAsia="Calibri"/>
          <w:b/>
          <w:bCs/>
          <w:rtl/>
        </w:rPr>
      </w:pPr>
    </w:p>
    <w:p w:rsidR="00A210E9" w:rsidRPr="00A210E9" w:rsidP="00A210E9">
      <w:pPr>
        <w:keepNext/>
        <w:keepLines/>
        <w:spacing w:line="269" w:lineRule="auto"/>
        <w:outlineLvl w:val="4"/>
        <w:rPr>
          <w:rFonts w:eastAsia="Times New Roman"/>
          <w:bCs/>
          <w:spacing w:val="40"/>
          <w:rtl/>
        </w:rPr>
      </w:pPr>
      <w:r w:rsidRPr="00A210E9">
        <w:rPr>
          <w:rFonts w:eastAsia="Times New Roman"/>
          <w:bCs/>
          <w:spacing w:val="40"/>
          <w:rtl/>
        </w:rPr>
        <w:t xml:space="preserve">פיצויים מוסכמים על הפרת אמות </w:t>
      </w:r>
      <w:r w:rsidRPr="00A210E9">
        <w:rPr>
          <w:rFonts w:eastAsia="Times New Roman" w:hint="cs"/>
          <w:bCs/>
          <w:spacing w:val="40"/>
          <w:rtl/>
        </w:rPr>
        <w:t>ה</w:t>
      </w:r>
      <w:r w:rsidRPr="00A210E9">
        <w:rPr>
          <w:rFonts w:eastAsia="Times New Roman"/>
          <w:bCs/>
          <w:spacing w:val="40"/>
          <w:rtl/>
        </w:rPr>
        <w:t>מידה לשירות</w:t>
      </w:r>
      <w:r w:rsidRPr="00A210E9">
        <w:rPr>
          <w:rFonts w:eastAsia="Times New Roman" w:hint="cs"/>
          <w:bCs/>
          <w:spacing w:val="40"/>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פיצויים מוסכמים משולמים על ידי ספק השירותים בגין אי-אספקה של השירותים על פי התנאים המפורטים במסמכי המכרז, שעל פיהם נעשית ההתקשרות עם הספק. כך, בהתקשרות שנחתמה בשנת 2014 עם חברה ב' נקבע כי אי-יישום הנחיות אגף הרישוי לפי הקריטריונים שנקבעו על ידו, לרבות ציון הנימוקים לדחיית בקשות, יגרור פיצוי מוסכם בסך 3,000 ש"ח בגין כל מקרה. בהתקשרות שנחתמה בשנת 2022 עם חברה ב' </w:t>
      </w:r>
      <w:r w:rsidRPr="00A210E9">
        <w:rPr>
          <w:rFonts w:eastAsia="Calibri"/>
          <w:rtl/>
        </w:rPr>
        <w:t xml:space="preserve">נקבע כי הספק ישלם למשרד 500 </w:t>
      </w:r>
      <w:r w:rsidRPr="00A210E9">
        <w:rPr>
          <w:rFonts w:eastAsia="Calibri" w:hint="cs"/>
          <w:rtl/>
        </w:rPr>
        <w:t>ש"ח</w:t>
      </w:r>
      <w:r w:rsidRPr="00A210E9">
        <w:rPr>
          <w:rFonts w:eastAsia="Calibri"/>
          <w:rtl/>
        </w:rPr>
        <w:t xml:space="preserve"> במקרה של "מתן מענה לבקשה לתג </w:t>
      </w:r>
      <w:r w:rsidRPr="00A210E9">
        <w:rPr>
          <w:rFonts w:eastAsia="Calibri" w:hint="cs"/>
          <w:rtl/>
        </w:rPr>
        <w:t>חניה</w:t>
      </w:r>
      <w:r w:rsidRPr="00A210E9">
        <w:rPr>
          <w:rFonts w:eastAsia="Calibri"/>
          <w:rtl/>
        </w:rPr>
        <w:t xml:space="preserve"> מבלי לציין את ההנמקות להחלטה תוך ציון חוות הדעת</w:t>
      </w:r>
      <w:r w:rsidRPr="00A210E9">
        <w:rPr>
          <w:rFonts w:eastAsia="Calibri" w:hint="cs"/>
          <w:rtl/>
        </w:rPr>
        <w:t xml:space="preserve"> </w:t>
      </w:r>
      <w:r w:rsidRPr="00A210E9">
        <w:rPr>
          <w:rFonts w:eastAsia="Calibri"/>
          <w:rtl/>
        </w:rPr>
        <w:t xml:space="preserve">המקצועית עליה התבססה ההמלצה". </w:t>
      </w:r>
      <w:r w:rsidRPr="00A210E9">
        <w:rPr>
          <w:rFonts w:eastAsia="Calibri" w:hint="cs"/>
          <w:rtl/>
        </w:rPr>
        <w:t xml:space="preserve">עוד נקבע </w:t>
      </w:r>
      <w:r w:rsidRPr="00A210E9">
        <w:rPr>
          <w:rFonts w:eastAsia="Calibri"/>
          <w:rtl/>
        </w:rPr>
        <w:t xml:space="preserve">כי </w:t>
      </w:r>
      <w:r w:rsidRPr="00A210E9">
        <w:rPr>
          <w:rFonts w:eastAsia="Calibri" w:hint="cs"/>
          <w:rtl/>
        </w:rPr>
        <w:t xml:space="preserve">אם </w:t>
      </w:r>
      <w:r w:rsidRPr="00A210E9">
        <w:rPr>
          <w:rFonts w:eastAsia="Calibri"/>
          <w:rtl/>
        </w:rPr>
        <w:t xml:space="preserve">החליט </w:t>
      </w:r>
      <w:r w:rsidRPr="00A210E9">
        <w:rPr>
          <w:rFonts w:eastAsia="Calibri" w:hint="cs"/>
          <w:rtl/>
        </w:rPr>
        <w:t>ה</w:t>
      </w:r>
      <w:r w:rsidRPr="00A210E9">
        <w:rPr>
          <w:rFonts w:eastAsia="Calibri"/>
          <w:rtl/>
        </w:rPr>
        <w:t xml:space="preserve">רופא לדחות בקשה לתג חניה, </w:t>
      </w:r>
      <w:r w:rsidRPr="00A210E9">
        <w:rPr>
          <w:rFonts w:eastAsia="Calibri" w:hint="cs"/>
          <w:rtl/>
        </w:rPr>
        <w:t xml:space="preserve">הוא </w:t>
      </w:r>
      <w:r w:rsidRPr="00A210E9">
        <w:rPr>
          <w:rFonts w:eastAsia="Calibri"/>
          <w:rtl/>
        </w:rPr>
        <w:t xml:space="preserve">יציין באופן מפורש את עילת הדחיה וכן לפחות אחד </w:t>
      </w:r>
      <w:r w:rsidRPr="00A210E9">
        <w:rPr>
          <w:rFonts w:eastAsia="Calibri" w:hint="cs"/>
          <w:rtl/>
        </w:rPr>
        <w:t>מ</w:t>
      </w:r>
      <w:r w:rsidRPr="00A210E9">
        <w:rPr>
          <w:rFonts w:eastAsia="Calibri"/>
          <w:rtl/>
        </w:rPr>
        <w:t xml:space="preserve">המסמכים </w:t>
      </w:r>
      <w:r w:rsidRPr="00A210E9">
        <w:rPr>
          <w:rFonts w:eastAsia="Calibri" w:hint="cs"/>
          <w:rtl/>
        </w:rPr>
        <w:t>ש</w:t>
      </w:r>
      <w:r w:rsidRPr="00A210E9">
        <w:rPr>
          <w:rFonts w:eastAsia="Calibri"/>
          <w:rtl/>
        </w:rPr>
        <w:t>עליהם ביסס את החלטתו</w:t>
      </w:r>
      <w:r w:rsidRPr="00A210E9">
        <w:rPr>
          <w:rFonts w:eastAsia="Calibri" w:hint="cs"/>
          <w:rtl/>
        </w:rPr>
        <w:t xml:space="preserve">; </w:t>
      </w:r>
      <w:r w:rsidRPr="00A210E9">
        <w:rPr>
          <w:rFonts w:eastAsia="Calibri"/>
          <w:rtl/>
        </w:rPr>
        <w:t>בגין כל מקרה של אי</w:t>
      </w:r>
      <w:r w:rsidRPr="00A210E9">
        <w:rPr>
          <w:rFonts w:eastAsia="Calibri" w:hint="cs"/>
          <w:rtl/>
        </w:rPr>
        <w:t>-</w:t>
      </w:r>
      <w:r w:rsidRPr="00A210E9">
        <w:rPr>
          <w:rFonts w:eastAsia="Calibri"/>
          <w:rtl/>
        </w:rPr>
        <w:t xml:space="preserve">עמידה ברמת השירות האמורה </w:t>
      </w:r>
      <w:r w:rsidRPr="00A210E9">
        <w:rPr>
          <w:rFonts w:eastAsia="Calibri" w:hint="cs"/>
          <w:rtl/>
        </w:rPr>
        <w:t>ב</w:t>
      </w:r>
      <w:r w:rsidRPr="00A210E9">
        <w:rPr>
          <w:rFonts w:eastAsia="Calibri"/>
          <w:rtl/>
        </w:rPr>
        <w:t>מכרז</w:t>
      </w:r>
      <w:r>
        <w:rPr>
          <w:rFonts w:eastAsia="Calibri"/>
          <w:vertAlign w:val="superscript"/>
          <w:rtl/>
        </w:rPr>
        <w:footnoteReference w:id="190"/>
      </w:r>
      <w:r w:rsidRPr="00A210E9">
        <w:rPr>
          <w:rFonts w:eastAsia="Calibri"/>
          <w:rtl/>
        </w:rPr>
        <w:t xml:space="preserve"> ישלם הספק למשרד 50 </w:t>
      </w:r>
      <w:r w:rsidRPr="00A210E9">
        <w:rPr>
          <w:rFonts w:eastAsia="Calibri" w:hint="cs"/>
          <w:rtl/>
        </w:rPr>
        <w:t>ש"ח.</w:t>
      </w:r>
      <w:r w:rsidRPr="00A210E9">
        <w:rPr>
          <w:rFonts w:eastAsia="Calibri"/>
          <w:rtl/>
        </w:rPr>
        <w:t xml:space="preserve"> </w:t>
      </w:r>
      <w:r w:rsidRPr="00A210E9">
        <w:rPr>
          <w:rFonts w:eastAsia="Calibri" w:hint="cs"/>
          <w:rtl/>
        </w:rPr>
        <w:t>אגף הרישוי מסר למשרד מבקר המדינה באוגוסט 2025 כי עד סיום כל ההתקשרויות עם חברה ב' לא הופעל כלפיה פיצוי מוסכם.</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כאמור, בשנת 2021 נקבע בדיון בוועדת המכרזים של משרד התחבורה, שבו אושרה זכייתה של חברה ב' במכרז, כי אגף הרישוי יקפיד</w:t>
      </w:r>
      <w:r w:rsidRPr="00A210E9">
        <w:rPr>
          <w:rFonts w:eastAsia="Calibri"/>
          <w:rtl/>
        </w:rPr>
        <w:t xml:space="preserve"> מהיום הראשון</w:t>
      </w:r>
      <w:r w:rsidRPr="00A210E9">
        <w:rPr>
          <w:rFonts w:eastAsia="Calibri" w:hint="cs"/>
          <w:rtl/>
        </w:rPr>
        <w:t xml:space="preserve"> של ההתקשרות</w:t>
      </w:r>
      <w:r w:rsidRPr="00A210E9">
        <w:rPr>
          <w:rFonts w:eastAsia="Calibri"/>
          <w:rtl/>
        </w:rPr>
        <w:t xml:space="preserve"> על עמיד</w:t>
      </w:r>
      <w:r w:rsidRPr="00A210E9">
        <w:rPr>
          <w:rFonts w:eastAsia="Calibri" w:hint="cs"/>
          <w:rtl/>
        </w:rPr>
        <w:t>ת</w:t>
      </w:r>
      <w:r w:rsidRPr="00A210E9">
        <w:rPr>
          <w:rFonts w:eastAsia="Calibri"/>
          <w:rtl/>
        </w:rPr>
        <w:t xml:space="preserve">ה של </w:t>
      </w:r>
      <w:r w:rsidRPr="00A210E9">
        <w:rPr>
          <w:rFonts w:eastAsia="Calibri" w:hint="cs"/>
          <w:rtl/>
        </w:rPr>
        <w:t>חברה ב'</w:t>
      </w:r>
      <w:r w:rsidRPr="00A210E9">
        <w:rPr>
          <w:rFonts w:eastAsia="Calibri"/>
          <w:rtl/>
        </w:rPr>
        <w:t xml:space="preserve"> במחויבויות</w:t>
      </w:r>
      <w:r w:rsidRPr="00A210E9">
        <w:rPr>
          <w:rFonts w:eastAsia="Calibri" w:hint="cs"/>
          <w:rtl/>
        </w:rPr>
        <w:t>יה. למרות זאת, הביקורת הפנימית של משרד התחבורה משנת 2023 העלתה כי האגף לא הפעיל</w:t>
      </w:r>
      <w:r w:rsidRPr="00A210E9">
        <w:rPr>
          <w:rFonts w:eastAsia="Calibri"/>
          <w:rtl/>
        </w:rPr>
        <w:t xml:space="preserve"> כלפי החברה את מנגנון הפיצויים המוסכמים שנקבע במכרז</w:t>
      </w:r>
      <w:r w:rsidRPr="00A210E9">
        <w:rPr>
          <w:rFonts w:eastAsia="Calibri" w:hint="cs"/>
          <w:rtl/>
        </w:rPr>
        <w:t xml:space="preserve"> 53.20,</w:t>
      </w:r>
      <w:r w:rsidRPr="00A210E9">
        <w:rPr>
          <w:rFonts w:eastAsia="Calibri"/>
          <w:rtl/>
        </w:rPr>
        <w:t xml:space="preserve"> במטרה להבטיח את עמידתה ברמת השירות הנדרשת</w:t>
      </w:r>
      <w:r w:rsidRPr="00A210E9">
        <w:rPr>
          <w:rFonts w:eastAsia="Calibri" w:hint="cs"/>
          <w:rtl/>
        </w:rPr>
        <w:t>. לדוגמה, כאשר רופאי חברה ב'</w:t>
      </w:r>
      <w:r w:rsidRPr="00A210E9">
        <w:rPr>
          <w:rFonts w:eastAsia="Calibri"/>
          <w:rtl/>
        </w:rPr>
        <w:t xml:space="preserve"> </w:t>
      </w:r>
      <w:r w:rsidRPr="00A210E9">
        <w:rPr>
          <w:rFonts w:eastAsia="Calibri" w:hint="cs"/>
          <w:rtl/>
        </w:rPr>
        <w:t xml:space="preserve">לא ציינו איזה </w:t>
      </w:r>
      <w:r w:rsidRPr="00A210E9">
        <w:rPr>
          <w:rFonts w:eastAsia="Calibri"/>
          <w:rtl/>
        </w:rPr>
        <w:t>מסמך שימש בסיס להחלטת</w:t>
      </w:r>
      <w:r w:rsidRPr="00A210E9">
        <w:rPr>
          <w:rFonts w:eastAsia="Calibri" w:hint="cs"/>
          <w:rtl/>
        </w:rPr>
        <w:t>ם</w:t>
      </w:r>
      <w:r w:rsidRPr="00A210E9">
        <w:rPr>
          <w:rFonts w:eastAsia="Calibri"/>
          <w:rtl/>
        </w:rPr>
        <w:t xml:space="preserve"> לדחיית בק</w:t>
      </w:r>
      <w:r w:rsidRPr="00A210E9">
        <w:rPr>
          <w:rFonts w:eastAsia="Calibri" w:hint="cs"/>
          <w:rtl/>
        </w:rPr>
        <w:t>ש</w:t>
      </w:r>
      <w:r w:rsidRPr="00A210E9">
        <w:rPr>
          <w:rFonts w:eastAsia="Calibri"/>
          <w:rtl/>
        </w:rPr>
        <w:t xml:space="preserve">ה לתג חניה, </w:t>
      </w:r>
      <w:r w:rsidRPr="00A210E9">
        <w:rPr>
          <w:rFonts w:eastAsia="Calibri" w:hint="cs"/>
          <w:rtl/>
        </w:rPr>
        <w:t xml:space="preserve">וגם כאשר </w:t>
      </w:r>
      <w:r w:rsidRPr="00A210E9">
        <w:rPr>
          <w:rFonts w:eastAsia="Calibri"/>
          <w:rtl/>
        </w:rPr>
        <w:t>נמצא שה</w:t>
      </w:r>
      <w:r w:rsidRPr="00A210E9">
        <w:rPr>
          <w:rFonts w:eastAsia="Calibri" w:hint="cs"/>
          <w:rtl/>
        </w:rPr>
        <w:t>חברה</w:t>
      </w:r>
      <w:r w:rsidRPr="00A210E9">
        <w:rPr>
          <w:rFonts w:eastAsia="Calibri"/>
          <w:rtl/>
        </w:rPr>
        <w:t xml:space="preserve"> </w:t>
      </w:r>
      <w:r w:rsidRPr="00A210E9">
        <w:rPr>
          <w:rFonts w:eastAsia="Calibri" w:hint="cs"/>
          <w:rtl/>
        </w:rPr>
        <w:t xml:space="preserve">אינה </w:t>
      </w:r>
      <w:r w:rsidRPr="00A210E9">
        <w:rPr>
          <w:rFonts w:eastAsia="Calibri"/>
          <w:rtl/>
        </w:rPr>
        <w:t>מעסיק</w:t>
      </w:r>
      <w:r w:rsidRPr="00A210E9">
        <w:rPr>
          <w:rFonts w:eastAsia="Calibri" w:hint="cs"/>
          <w:rtl/>
        </w:rPr>
        <w:t>ה</w:t>
      </w:r>
      <w:r w:rsidRPr="00A210E9">
        <w:rPr>
          <w:rFonts w:eastAsia="Calibri"/>
          <w:rtl/>
        </w:rPr>
        <w:t xml:space="preserve"> את </w:t>
      </w:r>
      <w:r w:rsidRPr="00A210E9">
        <w:rPr>
          <w:rFonts w:eastAsia="Calibri" w:hint="cs"/>
          <w:rtl/>
        </w:rPr>
        <w:t>מספר</w:t>
      </w:r>
      <w:r w:rsidRPr="00A210E9">
        <w:rPr>
          <w:rFonts w:eastAsia="Calibri"/>
          <w:rtl/>
        </w:rPr>
        <w:t xml:space="preserve"> הרופאים</w:t>
      </w:r>
      <w:r w:rsidRPr="00A210E9">
        <w:rPr>
          <w:rFonts w:eastAsia="Calibri" w:hint="cs"/>
          <w:rtl/>
        </w:rPr>
        <w:t xml:space="preserve"> </w:t>
      </w:r>
      <w:r w:rsidRPr="00A210E9">
        <w:rPr>
          <w:rFonts w:eastAsia="Calibri"/>
          <w:rtl/>
        </w:rPr>
        <w:t>הנדרש</w:t>
      </w:r>
      <w:r w:rsidRPr="00A210E9">
        <w:rPr>
          <w:rFonts w:eastAsia="Calibri" w:hint="cs"/>
          <w:rtl/>
        </w:rPr>
        <w:t xml:space="preserve">, </w:t>
      </w:r>
      <w:r w:rsidRPr="00A210E9">
        <w:rPr>
          <w:rFonts w:eastAsia="Calibri"/>
          <w:rtl/>
        </w:rPr>
        <w:t>בוצע ל</w:t>
      </w:r>
      <w:r w:rsidRPr="00A210E9">
        <w:rPr>
          <w:rFonts w:eastAsia="Calibri" w:hint="cs"/>
          <w:rtl/>
        </w:rPr>
        <w:t xml:space="preserve">חברה רק </w:t>
      </w:r>
      <w:r w:rsidRPr="00A210E9">
        <w:rPr>
          <w:rFonts w:eastAsia="Calibri"/>
          <w:rtl/>
        </w:rPr>
        <w:t>שימוע בו</w:t>
      </w:r>
      <w:r w:rsidRPr="00A210E9">
        <w:rPr>
          <w:rFonts w:eastAsia="Calibri" w:hint="cs"/>
          <w:rtl/>
        </w:rPr>
        <w:t xml:space="preserve"> </w:t>
      </w:r>
      <w:r w:rsidRPr="00A210E9">
        <w:rPr>
          <w:rFonts w:eastAsia="Calibri"/>
          <w:rtl/>
        </w:rPr>
        <w:t>נדרש</w:t>
      </w:r>
      <w:r w:rsidRPr="00A210E9">
        <w:rPr>
          <w:rFonts w:eastAsia="Calibri" w:hint="cs"/>
          <w:rtl/>
        </w:rPr>
        <w:t>ה</w:t>
      </w:r>
      <w:r w:rsidRPr="00A210E9">
        <w:rPr>
          <w:rFonts w:eastAsia="Calibri"/>
          <w:rtl/>
        </w:rPr>
        <w:t xml:space="preserve"> להוסיף רופאים</w:t>
      </w:r>
      <w:r w:rsidRPr="00A210E9">
        <w:rPr>
          <w:rFonts w:eastAsia="Calibri" w:hint="cs"/>
          <w:rtl/>
        </w:rPr>
        <w:t>.</w:t>
      </w:r>
      <w:r w:rsidRPr="00A210E9">
        <w:rPr>
          <w:rFonts w:eastAsia="Calibri"/>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מהתייחסות היועמ"שית של משרד התחבורה לביקורת הפנימית ביוני 2023 עולה כי בסביבות א</w:t>
      </w:r>
      <w:r w:rsidRPr="00A210E9">
        <w:rPr>
          <w:rFonts w:eastAsia="Calibri"/>
          <w:rtl/>
        </w:rPr>
        <w:t>וגוסט-ספטמבר</w:t>
      </w:r>
      <w:r w:rsidRPr="00A210E9">
        <w:rPr>
          <w:rFonts w:eastAsia="Calibri" w:hint="cs"/>
          <w:rtl/>
        </w:rPr>
        <w:t xml:space="preserve"> 2022</w:t>
      </w:r>
      <w:r w:rsidRPr="00A210E9">
        <w:rPr>
          <w:rFonts w:eastAsia="Calibri"/>
          <w:rtl/>
        </w:rPr>
        <w:t xml:space="preserve"> עמד </w:t>
      </w:r>
      <w:r w:rsidRPr="00A210E9">
        <w:rPr>
          <w:rFonts w:eastAsia="Calibri" w:hint="cs"/>
          <w:rtl/>
        </w:rPr>
        <w:t>אגף הרישוי</w:t>
      </w:r>
      <w:r w:rsidRPr="00A210E9">
        <w:rPr>
          <w:rFonts w:eastAsia="Calibri"/>
          <w:rtl/>
        </w:rPr>
        <w:t xml:space="preserve"> לפנות בכתב </w:t>
      </w:r>
      <w:r w:rsidRPr="00A210E9">
        <w:rPr>
          <w:rFonts w:eastAsia="Calibri" w:hint="cs"/>
          <w:rtl/>
        </w:rPr>
        <w:t xml:space="preserve">לחברה ב' </w:t>
      </w:r>
      <w:r w:rsidRPr="00A210E9">
        <w:rPr>
          <w:rFonts w:eastAsia="Calibri"/>
          <w:rtl/>
        </w:rPr>
        <w:t>בשל הפרות</w:t>
      </w:r>
      <w:r w:rsidRPr="00A210E9">
        <w:rPr>
          <w:rFonts w:eastAsia="Calibri" w:hint="cs"/>
          <w:rtl/>
        </w:rPr>
        <w:t xml:space="preserve"> תנאי ההתקשרות</w:t>
      </w:r>
      <w:r w:rsidRPr="00A210E9">
        <w:rPr>
          <w:rFonts w:eastAsia="Calibri"/>
          <w:rtl/>
        </w:rPr>
        <w:t xml:space="preserve">, אולם בסמוך לכך החלה חקירה פלילית בסוגיה של מתן תגי </w:t>
      </w:r>
      <w:r w:rsidRPr="00A210E9">
        <w:rPr>
          <w:rFonts w:eastAsia="Calibri" w:hint="cs"/>
          <w:rtl/>
        </w:rPr>
        <w:t>חניה</w:t>
      </w:r>
      <w:r w:rsidRPr="00A210E9">
        <w:rPr>
          <w:rFonts w:eastAsia="Calibri"/>
          <w:rtl/>
        </w:rPr>
        <w:t xml:space="preserve"> שלא כדין</w:t>
      </w:r>
      <w:r w:rsidRPr="00A210E9">
        <w:rPr>
          <w:rFonts w:eastAsia="Calibri" w:hint="cs"/>
          <w:rtl/>
        </w:rPr>
        <w:t>.</w:t>
      </w:r>
      <w:r w:rsidRPr="00A210E9">
        <w:rPr>
          <w:rFonts w:eastAsia="Calibri"/>
          <w:rtl/>
        </w:rPr>
        <w:t xml:space="preserve"> </w:t>
      </w:r>
      <w:r w:rsidRPr="00A210E9">
        <w:rPr>
          <w:rFonts w:eastAsia="Calibri" w:hint="cs"/>
          <w:rtl/>
        </w:rPr>
        <w:t xml:space="preserve">היועמ"שית ציינה כי </w:t>
      </w:r>
      <w:r w:rsidRPr="00A210E9">
        <w:rPr>
          <w:rFonts w:eastAsia="Calibri"/>
          <w:rtl/>
        </w:rPr>
        <w:t xml:space="preserve">הן אגף הרישוי והן </w:t>
      </w:r>
      <w:r w:rsidRPr="00A210E9">
        <w:rPr>
          <w:rFonts w:eastAsia="Calibri" w:hint="cs"/>
          <w:rtl/>
        </w:rPr>
        <w:t>ה</w:t>
      </w:r>
      <w:r w:rsidRPr="00A210E9">
        <w:rPr>
          <w:rFonts w:eastAsia="Calibri"/>
          <w:rtl/>
        </w:rPr>
        <w:t xml:space="preserve">לשכה </w:t>
      </w:r>
      <w:r w:rsidRPr="00A210E9">
        <w:rPr>
          <w:rFonts w:eastAsia="Calibri" w:hint="cs"/>
          <w:rtl/>
        </w:rPr>
        <w:t>ה</w:t>
      </w:r>
      <w:r w:rsidRPr="00A210E9">
        <w:rPr>
          <w:rFonts w:eastAsia="Calibri"/>
          <w:rtl/>
        </w:rPr>
        <w:t xml:space="preserve">משפטית נתקלו בבעיות רבות בהתנהלות השוטפת של </w:t>
      </w:r>
      <w:r w:rsidRPr="00A210E9">
        <w:rPr>
          <w:rFonts w:eastAsia="Calibri" w:hint="cs"/>
          <w:rtl/>
        </w:rPr>
        <w:t>חברה ב'</w:t>
      </w:r>
      <w:r w:rsidRPr="00A210E9">
        <w:rPr>
          <w:rFonts w:eastAsia="Calibri"/>
          <w:rtl/>
        </w:rPr>
        <w:t>, אל מול הוראות החוזה, ובעיות אלו נמשכו לצד התמשכות החקירה.</w:t>
      </w:r>
      <w:r w:rsidRPr="00A210E9">
        <w:rPr>
          <w:rFonts w:eastAsia="Calibri" w:hint="cs"/>
          <w:rtl/>
        </w:rPr>
        <w:t xml:space="preserve"> כשנה לאחר תחילת החקירה המשטרתית</w:t>
      </w:r>
      <w:r w:rsidRPr="00A210E9">
        <w:rPr>
          <w:rFonts w:eastAsia="Calibri"/>
          <w:rtl/>
        </w:rPr>
        <w:t>, בשיח משותף בין אגף הרישוי והלשכה המשפטית, ולאחר</w:t>
      </w:r>
      <w:r w:rsidRPr="00A210E9">
        <w:rPr>
          <w:rFonts w:eastAsia="Calibri" w:hint="cs"/>
          <w:rtl/>
        </w:rPr>
        <w:t xml:space="preserve"> שנבדק כי </w:t>
      </w:r>
      <w:r w:rsidRPr="00A210E9">
        <w:rPr>
          <w:rFonts w:eastAsia="Calibri"/>
          <w:rtl/>
        </w:rPr>
        <w:t xml:space="preserve">אין מניעה לכך בהיבטי החקירה, </w:t>
      </w:r>
      <w:r w:rsidRPr="00A210E9">
        <w:rPr>
          <w:rFonts w:eastAsia="Calibri" w:hint="cs"/>
          <w:rtl/>
        </w:rPr>
        <w:t>סוכם</w:t>
      </w:r>
      <w:r w:rsidRPr="00A210E9">
        <w:rPr>
          <w:rFonts w:eastAsia="Calibri"/>
          <w:rtl/>
        </w:rPr>
        <w:t xml:space="preserve"> </w:t>
      </w:r>
      <w:r w:rsidRPr="00A210E9">
        <w:rPr>
          <w:rFonts w:eastAsia="Calibri" w:hint="cs"/>
          <w:rtl/>
        </w:rPr>
        <w:t>לפנות</w:t>
      </w:r>
      <w:r w:rsidRPr="00A210E9">
        <w:rPr>
          <w:rFonts w:eastAsia="Calibri"/>
          <w:rtl/>
        </w:rPr>
        <w:t xml:space="preserve"> </w:t>
      </w:r>
      <w:r w:rsidRPr="00A210E9">
        <w:rPr>
          <w:rFonts w:eastAsia="Calibri" w:hint="cs"/>
          <w:rtl/>
        </w:rPr>
        <w:t>לחברה ב'</w:t>
      </w:r>
      <w:r w:rsidRPr="00A210E9">
        <w:rPr>
          <w:rFonts w:eastAsia="Calibri"/>
          <w:rtl/>
        </w:rPr>
        <w:t xml:space="preserve"> במטרה להביא</w:t>
      </w:r>
      <w:r w:rsidRPr="00A210E9">
        <w:rPr>
          <w:rFonts w:eastAsia="Calibri" w:hint="cs"/>
          <w:rtl/>
        </w:rPr>
        <w:t>ה</w:t>
      </w:r>
      <w:r w:rsidRPr="00A210E9">
        <w:rPr>
          <w:rFonts w:eastAsia="Calibri"/>
          <w:rtl/>
        </w:rPr>
        <w:t xml:space="preserve"> לעמידה בהוראות החוזה ולשפר את ממשקי העבודה וההתנהלות בצד המ</w:t>
      </w:r>
      <w:r w:rsidRPr="00A210E9">
        <w:rPr>
          <w:rFonts w:eastAsia="Calibri" w:hint="cs"/>
          <w:rtl/>
        </w:rPr>
        <w:t>י</w:t>
      </w:r>
      <w:r w:rsidRPr="00A210E9">
        <w:rPr>
          <w:rFonts w:eastAsia="Calibri"/>
          <w:rtl/>
        </w:rPr>
        <w:t xml:space="preserve">נהלי והמערכתי. </w:t>
      </w:r>
      <w:r w:rsidRPr="00A210E9">
        <w:rPr>
          <w:rFonts w:eastAsia="Calibri" w:hint="cs"/>
          <w:rtl/>
        </w:rPr>
        <w:t>היועמ"שית ציינה</w:t>
      </w:r>
      <w:r w:rsidRPr="00A210E9">
        <w:rPr>
          <w:rFonts w:eastAsia="Calibri"/>
          <w:rtl/>
        </w:rPr>
        <w:t xml:space="preserve"> כי הקשיים </w:t>
      </w:r>
      <w:r w:rsidRPr="00A210E9">
        <w:rPr>
          <w:rFonts w:eastAsia="Calibri" w:hint="cs"/>
          <w:rtl/>
        </w:rPr>
        <w:t>מול</w:t>
      </w:r>
      <w:r w:rsidRPr="00A210E9">
        <w:rPr>
          <w:rFonts w:eastAsia="Calibri"/>
          <w:rtl/>
        </w:rPr>
        <w:t xml:space="preserve"> </w:t>
      </w:r>
      <w:r w:rsidRPr="00A210E9">
        <w:rPr>
          <w:rFonts w:eastAsia="Calibri" w:hint="cs"/>
          <w:rtl/>
        </w:rPr>
        <w:t>חברה ב' אינם</w:t>
      </w:r>
      <w:r w:rsidRPr="00A210E9">
        <w:rPr>
          <w:rFonts w:eastAsia="Calibri"/>
          <w:rtl/>
        </w:rPr>
        <w:t xml:space="preserve"> רק בעניינים </w:t>
      </w:r>
      <w:r w:rsidRPr="00A210E9">
        <w:rPr>
          <w:rFonts w:eastAsia="Calibri" w:hint="cs"/>
          <w:rtl/>
        </w:rPr>
        <w:t>שלגביהם</w:t>
      </w:r>
      <w:r w:rsidRPr="00A210E9">
        <w:rPr>
          <w:rFonts w:eastAsia="Calibri"/>
          <w:rtl/>
        </w:rPr>
        <w:t xml:space="preserve"> נקבע פיצוי מוסכם</w:t>
      </w:r>
      <w:r w:rsidRPr="00A210E9">
        <w:rPr>
          <w:rFonts w:eastAsia="Calibri" w:hint="cs"/>
          <w:rtl/>
        </w:rPr>
        <w:t>,</w:t>
      </w:r>
      <w:r w:rsidRPr="00A210E9">
        <w:rPr>
          <w:rFonts w:eastAsia="Calibri"/>
          <w:rtl/>
        </w:rPr>
        <w:t xml:space="preserve"> </w:t>
      </w:r>
      <w:r w:rsidRPr="00A210E9">
        <w:rPr>
          <w:rFonts w:eastAsia="Calibri" w:hint="cs"/>
          <w:rtl/>
        </w:rPr>
        <w:t>ו</w:t>
      </w:r>
      <w:r w:rsidRPr="00A210E9">
        <w:rPr>
          <w:rFonts w:eastAsia="Calibri"/>
          <w:rtl/>
        </w:rPr>
        <w:t>המשרד אמור לעמוד על ההוראות בכללותן.</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אגף בכיר ביקורת פנימית במשרד התחבורה העיר שוב בינואר 2024 כי </w:t>
      </w:r>
      <w:r w:rsidRPr="00A210E9">
        <w:rPr>
          <w:rFonts w:eastAsia="Calibri"/>
          <w:rtl/>
        </w:rPr>
        <w:t>המנגנונים להטלת קנסות על</w:t>
      </w:r>
      <w:r w:rsidRPr="00A210E9">
        <w:rPr>
          <w:rFonts w:eastAsia="Calibri" w:hint="cs"/>
          <w:rtl/>
        </w:rPr>
        <w:t xml:space="preserve"> חברה ב'</w:t>
      </w:r>
      <w:r w:rsidRPr="00A210E9">
        <w:rPr>
          <w:rFonts w:eastAsia="Calibri"/>
          <w:rtl/>
        </w:rPr>
        <w:t xml:space="preserve"> אינם מיושמים,</w:t>
      </w:r>
      <w:r w:rsidRPr="00A210E9">
        <w:rPr>
          <w:rFonts w:eastAsia="Calibri" w:hint="cs"/>
          <w:rtl/>
        </w:rPr>
        <w:t xml:space="preserve"> </w:t>
      </w:r>
      <w:r w:rsidRPr="00A210E9">
        <w:rPr>
          <w:rFonts w:eastAsia="Calibri"/>
          <w:rtl/>
        </w:rPr>
        <w:t>וההרתעה שהם היו אמורים</w:t>
      </w:r>
      <w:r w:rsidRPr="00A210E9">
        <w:rPr>
          <w:rFonts w:eastAsia="Calibri" w:hint="cs"/>
          <w:rtl/>
        </w:rPr>
        <w:t xml:space="preserve"> </w:t>
      </w:r>
      <w:r w:rsidRPr="00A210E9">
        <w:rPr>
          <w:rFonts w:eastAsia="Calibri"/>
          <w:rtl/>
        </w:rPr>
        <w:t>לייצר אינה קיימת</w:t>
      </w:r>
      <w:r w:rsidRPr="00A210E9">
        <w:rPr>
          <w:rFonts w:eastAsia="Calibri" w:hint="cs"/>
          <w:rtl/>
        </w:rPr>
        <w:t xml:space="preserve">. בבדיקה החשבונאית 2025 צוין כי </w:t>
      </w:r>
      <w:r w:rsidRPr="00A210E9">
        <w:rPr>
          <w:rFonts w:eastAsia="Calibri"/>
          <w:rtl/>
        </w:rPr>
        <w:t xml:space="preserve">נמצאו </w:t>
      </w:r>
      <w:r w:rsidRPr="00A210E9">
        <w:rPr>
          <w:rFonts w:eastAsia="Calibri" w:hint="cs"/>
          <w:rtl/>
        </w:rPr>
        <w:t xml:space="preserve">יותר מ-360,000 </w:t>
      </w:r>
      <w:r w:rsidRPr="00A210E9">
        <w:rPr>
          <w:rFonts w:eastAsia="Calibri"/>
          <w:rtl/>
        </w:rPr>
        <w:t>מקרים של חריגה מזמני ההחלטה הקבועים במכרז</w:t>
      </w:r>
      <w:r w:rsidRPr="00A210E9">
        <w:rPr>
          <w:rFonts w:eastAsia="Calibri" w:hint="cs"/>
          <w:rtl/>
        </w:rPr>
        <w:t xml:space="preserve"> 53.20</w:t>
      </w:r>
      <w:r w:rsidRPr="00A210E9">
        <w:rPr>
          <w:rFonts w:eastAsia="Calibri"/>
          <w:rtl/>
        </w:rPr>
        <w:t xml:space="preserve">, המזכים את </w:t>
      </w:r>
      <w:r w:rsidRPr="00A210E9">
        <w:rPr>
          <w:rFonts w:eastAsia="Calibri" w:hint="cs"/>
          <w:rtl/>
        </w:rPr>
        <w:t xml:space="preserve">משרד התחבורה </w:t>
      </w:r>
      <w:r w:rsidRPr="00A210E9">
        <w:rPr>
          <w:rFonts w:eastAsia="Calibri"/>
          <w:rtl/>
        </w:rPr>
        <w:t xml:space="preserve">בפיצויים מוסכמים בסך של כ-18 מיליון </w:t>
      </w:r>
      <w:r w:rsidRPr="00A210E9">
        <w:rPr>
          <w:rFonts w:eastAsia="Calibri" w:hint="cs"/>
          <w:rtl/>
        </w:rPr>
        <w:t xml:space="preserve">ש"ח. עוד צוין כי </w:t>
      </w:r>
      <w:r w:rsidRPr="00A210E9">
        <w:rPr>
          <w:rFonts w:eastAsia="Calibri"/>
          <w:rtl/>
        </w:rPr>
        <w:t>מדגימות ש</w:t>
      </w:r>
      <w:r w:rsidRPr="00A210E9">
        <w:rPr>
          <w:rFonts w:eastAsia="Calibri" w:hint="cs"/>
          <w:rtl/>
        </w:rPr>
        <w:t xml:space="preserve">נעשו במסגרת </w:t>
      </w:r>
      <w:r w:rsidRPr="00A210E9">
        <w:rPr>
          <w:rFonts w:eastAsia="Calibri"/>
          <w:rtl/>
        </w:rPr>
        <w:t>הביקורת</w:t>
      </w:r>
      <w:r w:rsidRPr="00A210E9">
        <w:rPr>
          <w:rFonts w:eastAsia="Calibri" w:hint="cs"/>
          <w:rtl/>
        </w:rPr>
        <w:t xml:space="preserve"> הפנימית</w:t>
      </w:r>
      <w:r w:rsidRPr="00A210E9">
        <w:rPr>
          <w:rFonts w:eastAsia="Calibri"/>
          <w:rtl/>
        </w:rPr>
        <w:t xml:space="preserve"> עולה כי </w:t>
      </w:r>
      <w:r w:rsidRPr="00A210E9">
        <w:rPr>
          <w:rFonts w:eastAsia="Calibri" w:hint="cs"/>
          <w:rtl/>
        </w:rPr>
        <w:t>מאחר ש</w:t>
      </w:r>
      <w:r w:rsidRPr="00A210E9">
        <w:rPr>
          <w:rFonts w:eastAsia="Calibri"/>
          <w:rtl/>
        </w:rPr>
        <w:t xml:space="preserve">מרבית החלטות הרופאים לא נומקו כנדרש, המשרד </w:t>
      </w:r>
      <w:r w:rsidRPr="00A210E9">
        <w:rPr>
          <w:rFonts w:eastAsia="Calibri" w:hint="cs"/>
          <w:rtl/>
        </w:rPr>
        <w:t>זכאי ל</w:t>
      </w:r>
      <w:r w:rsidRPr="00A210E9">
        <w:rPr>
          <w:rFonts w:eastAsia="Calibri"/>
          <w:rtl/>
        </w:rPr>
        <w:t xml:space="preserve">פיצויים מוסכמים של מיליוני </w:t>
      </w:r>
      <w:r w:rsidRPr="00A210E9">
        <w:rPr>
          <w:rFonts w:eastAsia="Calibri" w:hint="eastAsia"/>
          <w:rtl/>
        </w:rPr>
        <w:t>שקלים</w:t>
      </w:r>
      <w:r w:rsidRPr="00A210E9">
        <w:rPr>
          <w:rFonts w:eastAsia="Calibri" w:hint="cs"/>
          <w:rtl/>
        </w:rPr>
        <w:t xml:space="preserve"> רבים</w:t>
      </w:r>
      <w:r>
        <w:rPr>
          <w:rFonts w:eastAsia="Calibri"/>
          <w:vertAlign w:val="superscript"/>
          <w:rtl/>
        </w:rPr>
        <w:footnoteReference w:id="191"/>
      </w:r>
      <w:r w:rsidRPr="00A210E9">
        <w:rPr>
          <w:rFonts w:eastAsia="Calibri" w:hint="cs"/>
          <w:rtl/>
        </w:rPr>
        <w:t xml:space="preserve">. עוד צוין בביקורת החשבונאית כי הפיצויים המוסכמים שהמשרד זכאי להם לא נגבו מחברה ב', והמשרד </w:t>
      </w:r>
      <w:r w:rsidRPr="00A210E9">
        <w:rPr>
          <w:rFonts w:eastAsia="Calibri"/>
          <w:rtl/>
        </w:rPr>
        <w:t xml:space="preserve">אף לא העיר </w:t>
      </w:r>
      <w:r w:rsidRPr="00A210E9">
        <w:rPr>
          <w:rFonts w:eastAsia="Calibri" w:hint="cs"/>
          <w:rtl/>
        </w:rPr>
        <w:t>לה</w:t>
      </w:r>
      <w:r w:rsidRPr="00A210E9">
        <w:rPr>
          <w:rFonts w:eastAsia="Calibri"/>
          <w:rtl/>
        </w:rPr>
        <w:t xml:space="preserve"> ש</w:t>
      </w:r>
      <w:r w:rsidRPr="00A210E9">
        <w:rPr>
          <w:rFonts w:eastAsia="Calibri" w:hint="cs"/>
          <w:rtl/>
        </w:rPr>
        <w:t xml:space="preserve">היא </w:t>
      </w:r>
      <w:r w:rsidRPr="00A210E9">
        <w:rPr>
          <w:rFonts w:eastAsia="Calibri"/>
          <w:rtl/>
        </w:rPr>
        <w:t>אינה מספקת</w:t>
      </w:r>
      <w:r w:rsidRPr="00A210E9">
        <w:rPr>
          <w:rFonts w:eastAsia="Calibri" w:hint="cs"/>
          <w:rtl/>
        </w:rPr>
        <w:t xml:space="preserve"> </w:t>
      </w:r>
      <w:r w:rsidRPr="00A210E9">
        <w:rPr>
          <w:rFonts w:eastAsia="Calibri"/>
          <w:rtl/>
        </w:rPr>
        <w:t>את השירות כנדרש.</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eastAsia"/>
          <w:rtl/>
        </w:rPr>
        <w:t>משרד</w:t>
      </w:r>
      <w:r w:rsidRPr="00A210E9">
        <w:rPr>
          <w:rFonts w:eastAsia="Calibri"/>
          <w:rtl/>
        </w:rPr>
        <w:t xml:space="preserve"> התחבורה כתב בתשובתו כי </w:t>
      </w:r>
      <w:r w:rsidRPr="00A210E9">
        <w:rPr>
          <w:rFonts w:eastAsia="Calibri" w:hint="cs"/>
          <w:rtl/>
        </w:rPr>
        <w:t xml:space="preserve">בתקופה שבה התנהלה חקירה משטרתית סמויה הייתה מגבלה ממשית על יכולתו לנקוט צעדי אכיפה גלויים מול חברה ב'. עם הפיכת החקירה לגלויה פעל המשרד לסיום ההתקשרות והחל בבחינת מכלול ההיבטים הכספיים הנוגעים להתקשרות, ובכלל זה בחן סוגיות של פיצויים מוסכמים. </w:t>
      </w:r>
      <w:r w:rsidRPr="00A210E9">
        <w:rPr>
          <w:rFonts w:eastAsia="Calibri"/>
          <w:rtl/>
        </w:rPr>
        <w:t>המשרד פועל למימוש זכויותיו בהתאם להוראות המכרז</w:t>
      </w:r>
      <w:r w:rsidRPr="00A210E9">
        <w:rPr>
          <w:rFonts w:eastAsia="Calibri" w:hint="cs"/>
          <w:rtl/>
        </w:rPr>
        <w:t>,</w:t>
      </w:r>
      <w:r w:rsidRPr="00A210E9">
        <w:rPr>
          <w:rFonts w:eastAsia="Calibri"/>
          <w:rtl/>
        </w:rPr>
        <w:t xml:space="preserve"> </w:t>
      </w:r>
      <w:r w:rsidRPr="00A210E9">
        <w:rPr>
          <w:rFonts w:eastAsia="Calibri" w:hint="cs"/>
          <w:rtl/>
        </w:rPr>
        <w:t>ודרישותיו</w:t>
      </w:r>
      <w:r w:rsidRPr="00A210E9">
        <w:rPr>
          <w:rFonts w:eastAsia="Calibri"/>
          <w:rtl/>
        </w:rPr>
        <w:t xml:space="preserve"> לפיצויים מוסכמים, </w:t>
      </w:r>
      <w:r w:rsidRPr="00A210E9">
        <w:rPr>
          <w:rFonts w:eastAsia="Calibri" w:hint="cs"/>
          <w:rtl/>
        </w:rPr>
        <w:t>ל</w:t>
      </w:r>
      <w:r w:rsidRPr="00A210E9">
        <w:rPr>
          <w:rFonts w:eastAsia="Calibri"/>
          <w:rtl/>
        </w:rPr>
        <w:t>השב</w:t>
      </w:r>
      <w:r w:rsidRPr="00A210E9">
        <w:rPr>
          <w:rFonts w:eastAsia="Calibri" w:hint="cs"/>
          <w:rtl/>
        </w:rPr>
        <w:t xml:space="preserve">ת כספים </w:t>
      </w:r>
      <w:r w:rsidRPr="00A210E9">
        <w:rPr>
          <w:rFonts w:eastAsia="Calibri" w:hint="eastAsia"/>
          <w:rtl/>
        </w:rPr>
        <w:t>ו</w:t>
      </w:r>
      <w:r w:rsidRPr="00A210E9">
        <w:rPr>
          <w:rFonts w:eastAsia="Calibri" w:hint="cs"/>
          <w:rtl/>
        </w:rPr>
        <w:t>ל</w:t>
      </w:r>
      <w:r w:rsidRPr="00A210E9">
        <w:rPr>
          <w:rFonts w:eastAsia="Calibri" w:hint="eastAsia"/>
          <w:rtl/>
        </w:rPr>
        <w:t>מיצוי</w:t>
      </w:r>
      <w:r w:rsidRPr="00A210E9">
        <w:rPr>
          <w:rFonts w:eastAsia="Calibri" w:hint="cs"/>
          <w:rtl/>
        </w:rPr>
        <w:t xml:space="preserve"> </w:t>
      </w:r>
      <w:r w:rsidRPr="00A210E9">
        <w:rPr>
          <w:rFonts w:eastAsia="Calibri"/>
          <w:rtl/>
        </w:rPr>
        <w:t>זכויות</w:t>
      </w:r>
      <w:r w:rsidRPr="00A210E9">
        <w:rPr>
          <w:rFonts w:eastAsia="Calibri" w:hint="cs"/>
          <w:rtl/>
        </w:rPr>
        <w:t>יו</w:t>
      </w:r>
      <w:r w:rsidRPr="00A210E9">
        <w:rPr>
          <w:rFonts w:eastAsia="Calibri"/>
          <w:rtl/>
        </w:rPr>
        <w:t xml:space="preserve"> </w:t>
      </w:r>
      <w:r w:rsidRPr="00A210E9">
        <w:rPr>
          <w:rFonts w:eastAsia="Calibri" w:hint="cs"/>
          <w:rtl/>
        </w:rPr>
        <w:t>נדונות כעת</w:t>
      </w:r>
      <w:r w:rsidRPr="00A210E9">
        <w:rPr>
          <w:rFonts w:eastAsia="Calibri"/>
          <w:rtl/>
        </w:rPr>
        <w:t xml:space="preserve"> מול החברה </w:t>
      </w:r>
      <w:r w:rsidRPr="00A210E9">
        <w:rPr>
          <w:rFonts w:eastAsia="Calibri" w:hint="cs"/>
          <w:rtl/>
        </w:rPr>
        <w:t>בהובלת</w:t>
      </w:r>
      <w:r w:rsidRPr="00A210E9">
        <w:rPr>
          <w:rFonts w:eastAsia="Calibri"/>
          <w:rtl/>
        </w:rPr>
        <w:t xml:space="preserve"> </w:t>
      </w:r>
      <w:r w:rsidRPr="00A210E9">
        <w:rPr>
          <w:rFonts w:eastAsia="Calibri" w:hint="eastAsia"/>
          <w:rtl/>
        </w:rPr>
        <w:t>חשבות</w:t>
      </w:r>
      <w:r w:rsidRPr="00A210E9">
        <w:rPr>
          <w:rFonts w:eastAsia="Calibri"/>
          <w:rtl/>
        </w:rPr>
        <w:t xml:space="preserve"> </w:t>
      </w:r>
      <w:r w:rsidRPr="00A210E9">
        <w:rPr>
          <w:rFonts w:eastAsia="Calibri" w:hint="eastAsia"/>
          <w:rtl/>
        </w:rPr>
        <w:t>המשרד</w:t>
      </w:r>
      <w:r w:rsidRPr="00A210E9">
        <w:rPr>
          <w:rFonts w:eastAsia="Calibri"/>
          <w:rtl/>
        </w:rPr>
        <w:t xml:space="preserve"> </w:t>
      </w:r>
      <w:r w:rsidRPr="00A210E9">
        <w:rPr>
          <w:rFonts w:eastAsia="Calibri" w:hint="eastAsia"/>
          <w:rtl/>
        </w:rPr>
        <w:t>והלשכה</w:t>
      </w:r>
      <w:r w:rsidRPr="00A210E9">
        <w:rPr>
          <w:rFonts w:eastAsia="Calibri"/>
          <w:rtl/>
        </w:rPr>
        <w:t xml:space="preserve"> </w:t>
      </w:r>
      <w:r w:rsidRPr="00A210E9">
        <w:rPr>
          <w:rFonts w:eastAsia="Calibri" w:hint="eastAsia"/>
          <w:rtl/>
        </w:rPr>
        <w:t>המשפטית</w:t>
      </w:r>
      <w:r w:rsidRPr="00A210E9">
        <w:rPr>
          <w:rFonts w:eastAsia="Calibri"/>
          <w:rtl/>
        </w:rPr>
        <w:t xml:space="preserve"> </w:t>
      </w:r>
      <w:r w:rsidRPr="00A210E9">
        <w:rPr>
          <w:rFonts w:eastAsia="Calibri" w:hint="eastAsia"/>
          <w:rtl/>
        </w:rPr>
        <w:t>ו</w:t>
      </w:r>
      <w:r w:rsidRPr="00A210E9">
        <w:rPr>
          <w:rFonts w:eastAsia="Calibri"/>
          <w:rtl/>
        </w:rPr>
        <w:t>בל</w:t>
      </w:r>
      <w:r w:rsidRPr="00A210E9">
        <w:rPr>
          <w:rFonts w:eastAsia="Calibri" w:hint="cs"/>
          <w:rtl/>
        </w:rPr>
        <w:t>י</w:t>
      </w:r>
      <w:r w:rsidRPr="00A210E9">
        <w:rPr>
          <w:rFonts w:eastAsia="Calibri"/>
          <w:rtl/>
        </w:rPr>
        <w:t xml:space="preserve">ווי הפרקליטות. </w:t>
      </w:r>
      <w:r w:rsidRPr="00A210E9">
        <w:rPr>
          <w:rFonts w:eastAsia="Calibri" w:hint="eastAsia"/>
          <w:rtl/>
        </w:rPr>
        <w:t>החשכ</w:t>
      </w:r>
      <w:r w:rsidRPr="00A210E9">
        <w:rPr>
          <w:rFonts w:eastAsia="Calibri"/>
          <w:rtl/>
        </w:rPr>
        <w:t xml:space="preserve">"ל כתב בתשובתו מ-11.5.26 כי </w:t>
      </w:r>
      <w:r w:rsidRPr="00A210E9">
        <w:rPr>
          <w:rFonts w:eastAsia="Calibri" w:hint="cs"/>
          <w:rtl/>
        </w:rPr>
        <w:t>במסגרת דרישת המשרד מחברה ב'</w:t>
      </w:r>
      <w:r w:rsidRPr="00A210E9">
        <w:rPr>
          <w:rFonts w:eastAsia="Calibri"/>
          <w:rtl/>
        </w:rPr>
        <w:t xml:space="preserve"> </w:t>
      </w:r>
      <w:r w:rsidRPr="00A210E9">
        <w:rPr>
          <w:rFonts w:eastAsia="Calibri" w:hint="cs"/>
          <w:rtl/>
        </w:rPr>
        <w:t>להשיב לו</w:t>
      </w:r>
      <w:r w:rsidRPr="00A210E9">
        <w:rPr>
          <w:rFonts w:eastAsia="Calibri"/>
          <w:rtl/>
        </w:rPr>
        <w:t xml:space="preserve"> כספים </w:t>
      </w:r>
      <w:r w:rsidRPr="00A210E9">
        <w:rPr>
          <w:rFonts w:eastAsia="Calibri" w:hint="cs"/>
          <w:rtl/>
        </w:rPr>
        <w:t>ששולמו ביתר הוא דרש ממנה</w:t>
      </w:r>
      <w:r w:rsidRPr="00A210E9">
        <w:rPr>
          <w:rFonts w:eastAsia="Calibri"/>
          <w:rtl/>
        </w:rPr>
        <w:t xml:space="preserve"> פיצויים מוסכמים בגין</w:t>
      </w:r>
      <w:r w:rsidRPr="00A210E9">
        <w:rPr>
          <w:rFonts w:eastAsia="Calibri" w:hint="cs"/>
          <w:rtl/>
        </w:rPr>
        <w:t xml:space="preserve"> </w:t>
      </w:r>
      <w:r w:rsidRPr="00A210E9">
        <w:rPr>
          <w:rFonts w:eastAsia="Calibri"/>
          <w:rtl/>
        </w:rPr>
        <w:t>התקופה שמתחילת המכרז</w:t>
      </w:r>
      <w:r w:rsidRPr="00A210E9">
        <w:rPr>
          <w:rFonts w:eastAsia="Calibri" w:hint="cs"/>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חברה ב' השיבה כי היא </w:t>
      </w:r>
      <w:r w:rsidRPr="00A210E9">
        <w:rPr>
          <w:rFonts w:eastAsia="Calibri"/>
          <w:rtl/>
        </w:rPr>
        <w:t xml:space="preserve">סבורה </w:t>
      </w:r>
      <w:r w:rsidRPr="00A210E9">
        <w:rPr>
          <w:rFonts w:eastAsia="Calibri" w:hint="cs"/>
          <w:rtl/>
        </w:rPr>
        <w:t xml:space="preserve">שבמכלול העובדות והנסיבות הרלוונטיות </w:t>
      </w:r>
      <w:r w:rsidRPr="00A210E9">
        <w:rPr>
          <w:rFonts w:eastAsia="Calibri"/>
          <w:rtl/>
        </w:rPr>
        <w:t>לא התקיימו התנאים המצדיקים השתת</w:t>
      </w:r>
      <w:r w:rsidRPr="00A210E9">
        <w:rPr>
          <w:rFonts w:eastAsia="Calibri" w:hint="cs"/>
          <w:rtl/>
        </w:rPr>
        <w:t xml:space="preserve"> </w:t>
      </w:r>
      <w:r w:rsidRPr="00A210E9">
        <w:rPr>
          <w:rFonts w:eastAsia="Calibri"/>
          <w:rtl/>
        </w:rPr>
        <w:t>פיצויים מוסכמים על החברה בהתאם להוראות הסכם ההתקשרות</w:t>
      </w:r>
      <w:r w:rsidRPr="00A210E9">
        <w:rPr>
          <w:rFonts w:eastAsia="Calibri" w:hint="cs"/>
          <w:rtl/>
        </w:rPr>
        <w:t>,</w:t>
      </w:r>
      <w:r w:rsidRPr="00A210E9">
        <w:rPr>
          <w:rFonts w:eastAsia="Calibri"/>
          <w:rtl/>
        </w:rPr>
        <w:t xml:space="preserve"> </w:t>
      </w:r>
      <w:r w:rsidRPr="00A210E9">
        <w:rPr>
          <w:rFonts w:eastAsia="Calibri" w:hint="cs"/>
          <w:rtl/>
        </w:rPr>
        <w:t>וכי העניין מצוי בבירור מול משרד התחבורה במסגרת שיח בין הצדדים.</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בדוח הבקרות של חשבות משרד התחבורה על ההתקשרות עם חברה ג' עלו הפרות רבות של תנאי ההתקשרות. בדיון של ועדת פשרות משרדית של משרד התחבורה בנושא חברה ג' ב-21.10.25</w:t>
      </w:r>
      <w:r>
        <w:rPr>
          <w:rFonts w:eastAsia="Calibri"/>
          <w:vertAlign w:val="superscript"/>
          <w:rtl/>
        </w:rPr>
        <w:footnoteReference w:id="192"/>
      </w:r>
      <w:r w:rsidRPr="00A210E9">
        <w:rPr>
          <w:rFonts w:eastAsia="Calibri" w:hint="cs"/>
          <w:rtl/>
        </w:rPr>
        <w:t xml:space="preserve"> סוכם כי </w:t>
      </w:r>
      <w:r w:rsidRPr="00A210E9">
        <w:rPr>
          <w:rFonts w:eastAsia="Calibri"/>
          <w:rtl/>
        </w:rPr>
        <w:t xml:space="preserve">במקרים של הפרות או חריגות </w:t>
      </w:r>
      <w:r w:rsidRPr="00A210E9">
        <w:rPr>
          <w:rFonts w:eastAsia="Calibri" w:hint="cs"/>
          <w:rtl/>
        </w:rPr>
        <w:t>יתחיל</w:t>
      </w:r>
      <w:r w:rsidRPr="00A210E9">
        <w:rPr>
          <w:rFonts w:eastAsia="Calibri"/>
          <w:rtl/>
        </w:rPr>
        <w:t xml:space="preserve"> אגף הרישוי </w:t>
      </w:r>
      <w:r w:rsidRPr="00A210E9">
        <w:rPr>
          <w:rFonts w:eastAsia="Calibri" w:hint="cs"/>
          <w:rtl/>
        </w:rPr>
        <w:t>לגבות</w:t>
      </w:r>
      <w:r w:rsidRPr="00A210E9">
        <w:rPr>
          <w:rFonts w:eastAsia="Calibri"/>
          <w:rtl/>
        </w:rPr>
        <w:t xml:space="preserve"> פיצויים מוסכמים ל</w:t>
      </w:r>
      <w:r w:rsidRPr="00A210E9">
        <w:rPr>
          <w:rFonts w:eastAsia="Calibri" w:hint="cs"/>
          <w:rtl/>
        </w:rPr>
        <w:t>פי ה</w:t>
      </w:r>
      <w:r w:rsidRPr="00A210E9">
        <w:rPr>
          <w:rFonts w:eastAsia="Calibri"/>
          <w:rtl/>
        </w:rPr>
        <w:t>הסכם מול הספק.</w:t>
      </w:r>
      <w:r w:rsidRPr="00A210E9">
        <w:rPr>
          <w:rFonts w:eastAsia="Calibri" w:hint="cs"/>
          <w:rtl/>
        </w:rPr>
        <w:t xml:space="preserve"> כמו כן, הוחלט כי יש לבחון</w:t>
      </w:r>
      <w:r w:rsidRPr="00A210E9">
        <w:rPr>
          <w:rFonts w:eastAsia="Calibri"/>
          <w:rtl/>
        </w:rPr>
        <w:t xml:space="preserve"> </w:t>
      </w:r>
      <w:r w:rsidRPr="00A210E9">
        <w:rPr>
          <w:rFonts w:eastAsia="Calibri" w:hint="cs"/>
          <w:rtl/>
        </w:rPr>
        <w:t xml:space="preserve">את </w:t>
      </w:r>
      <w:r w:rsidRPr="00A210E9">
        <w:rPr>
          <w:rFonts w:eastAsia="Calibri"/>
          <w:rtl/>
        </w:rPr>
        <w:t>מודול ההתחשבנות הקיים במערכת הרפואית</w:t>
      </w:r>
      <w:r w:rsidRPr="00A210E9">
        <w:rPr>
          <w:rFonts w:eastAsia="Calibri" w:hint="cs"/>
          <w:rtl/>
        </w:rPr>
        <w:t>,</w:t>
      </w:r>
      <w:r w:rsidRPr="00A210E9">
        <w:rPr>
          <w:rFonts w:eastAsia="Calibri"/>
          <w:rtl/>
        </w:rPr>
        <w:t xml:space="preserve"> ולוודא </w:t>
      </w:r>
      <w:r w:rsidRPr="00A210E9">
        <w:rPr>
          <w:rFonts w:eastAsia="Calibri" w:hint="cs"/>
          <w:rtl/>
        </w:rPr>
        <w:t xml:space="preserve">שהוא </w:t>
      </w:r>
      <w:r w:rsidRPr="00A210E9">
        <w:rPr>
          <w:rFonts w:eastAsia="Calibri"/>
          <w:rtl/>
        </w:rPr>
        <w:t xml:space="preserve">משקף </w:t>
      </w:r>
      <w:r w:rsidRPr="00A210E9">
        <w:rPr>
          <w:rFonts w:eastAsia="Calibri" w:hint="cs"/>
          <w:rtl/>
        </w:rPr>
        <w:t>באופן</w:t>
      </w:r>
      <w:r w:rsidRPr="00A210E9">
        <w:rPr>
          <w:rFonts w:eastAsia="Calibri"/>
          <w:rtl/>
        </w:rPr>
        <w:t xml:space="preserve"> מדויק את היקף השירותים שבוצעו בפועל</w:t>
      </w:r>
      <w:r w:rsidRPr="00A210E9">
        <w:rPr>
          <w:rFonts w:eastAsia="Calibri" w:hint="cs"/>
          <w:rtl/>
        </w:rPr>
        <w:t>, ולשם כך יינתנו לחשבות ולרו"ח מטעמה הרשאות במערכת הרפואית</w:t>
      </w:r>
      <w:r w:rsidRPr="00A210E9">
        <w:rPr>
          <w:rFonts w:eastAsia="Calibri"/>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במכרזים של משרד התחבורה למתן שירות ייעוץ רפואי לאגף הרישוי צוין כי ניתן לגבות מהספק פיצויים מוסכמים אם הספק מפר את הוראות המכרז. למשל, מתן</w:t>
      </w:r>
      <w:r w:rsidRPr="00A210E9">
        <w:rPr>
          <w:rFonts w:eastAsia="Calibri"/>
          <w:b/>
          <w:bCs/>
          <w:rtl/>
        </w:rPr>
        <w:t xml:space="preserve"> מענה </w:t>
      </w:r>
      <w:r w:rsidRPr="00A210E9">
        <w:rPr>
          <w:rFonts w:eastAsia="Calibri" w:hint="cs"/>
          <w:b/>
          <w:bCs/>
          <w:rtl/>
        </w:rPr>
        <w:t>ע</w:t>
      </w:r>
      <w:r w:rsidRPr="00A210E9">
        <w:rPr>
          <w:rFonts w:eastAsia="Calibri"/>
          <w:b/>
          <w:bCs/>
          <w:rtl/>
        </w:rPr>
        <w:t>ל</w:t>
      </w:r>
      <w:r w:rsidRPr="00A210E9">
        <w:rPr>
          <w:rFonts w:eastAsia="Calibri" w:hint="cs"/>
          <w:b/>
          <w:bCs/>
          <w:rtl/>
        </w:rPr>
        <w:t xml:space="preserve"> </w:t>
      </w:r>
      <w:r w:rsidRPr="00A210E9">
        <w:rPr>
          <w:rFonts w:eastAsia="Calibri"/>
          <w:b/>
          <w:bCs/>
          <w:rtl/>
        </w:rPr>
        <w:t xml:space="preserve">בקשה לתג בלי לציין את ההנמקות להחלטה </w:t>
      </w:r>
      <w:r w:rsidRPr="00A210E9">
        <w:rPr>
          <w:rFonts w:eastAsia="Calibri" w:hint="cs"/>
          <w:b/>
          <w:bCs/>
          <w:rtl/>
        </w:rPr>
        <w:t xml:space="preserve">ומהו המסמך הרפואי שעליו </w:t>
      </w:r>
      <w:r w:rsidRPr="00A210E9">
        <w:rPr>
          <w:rFonts w:eastAsia="Calibri"/>
          <w:b/>
          <w:bCs/>
          <w:rtl/>
        </w:rPr>
        <w:t xml:space="preserve">התבססה </w:t>
      </w:r>
      <w:r w:rsidRPr="00A210E9">
        <w:rPr>
          <w:rFonts w:eastAsia="Calibri" w:hint="cs"/>
          <w:b/>
          <w:bCs/>
          <w:rtl/>
        </w:rPr>
        <w:t xml:space="preserve">ההחלטה. </w:t>
      </w:r>
      <w:bookmarkStart w:id="158" w:name="_Hlk223950802"/>
      <w:r w:rsidRPr="00A210E9">
        <w:rPr>
          <w:rFonts w:eastAsia="Calibri" w:hint="cs"/>
          <w:b/>
          <w:bCs/>
          <w:rtl/>
        </w:rPr>
        <w:t xml:space="preserve">אף שהועלו טענות רבות בנוגע לאי-עמידתה של חברה ב' בתנאי המכרז, ואף על פי שבדיון בוועדת מכרזים בשנת 2021, שבו הוכרזה חברה ב' כזוכה במכרז, הועלתה דרישה שאגף הרישוי יקפיד על עמידתה של החברה במחויבויותיה, משרד התחבורה לא הטיל בפועל קנסות על חברה ב' עד סיום כל ההתקשרויות עימה. </w:t>
      </w:r>
      <w:bookmarkEnd w:id="158"/>
      <w:r w:rsidRPr="00A210E9">
        <w:rPr>
          <w:rFonts w:eastAsia="Calibri" w:hint="cs"/>
          <w:b/>
          <w:bCs/>
          <w:rtl/>
        </w:rPr>
        <w:t xml:space="preserve">למרות התרעות של אגף בכיר ביקורת פנימית במשרד התחבורה, ועל אף עמדת היועמ"שית של המשרד מיוני 2023 כי אין מניעה לפנות לחברה ב' ולדרוש שתעמוד בהוראות החוזה עימה, לא פעל משרד התחבורה בנושא זה עד דצמבר 2024. במהלך המחצית השנייה של 2022 ועד סוף 2024 התנהלה אומנם חקירה משטרתית סמויה נגד חברה ב', שבמהלכה משרד התחבורה היה מנוע מלפעול מול החברה, אולם גם בכל השנים שלפני החקירה לא עמד משרד התחבורה על כך שהספק יעמוד בהתחייבויותיו, ובכלל זה לא הטיל עליו קנסות. המשרד החל לפעול לגביית פיצויים מוסכמים מחברה ב' רק לאחר קבלת ממצאי הבדיקה החשבונאית 2025, קרי לאחר סיום ההתקשרות עם החברה.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b/>
          <w:bCs/>
          <w:rtl/>
        </w:rPr>
        <w:t xml:space="preserve">על משרד התחבורה למצות את יישום הליך הבירור המשפטי לבחינת מימוש סעיף הפיצויים על פי הסכם העבר עם חברה ב' וליישם בעתיד את מנגנון הפיצויים המוסכמים שנקבע במכרזים למתן ייעוץ רפואי לאגף הרישוי, ולהפעילו במקרה של הפרת אמות המידה של השירות. כל זאת, כדי להבטיח את איכות הבחינה הרפואית של הבקשות וכן את העמידה בכללי מינהל תקין. </w:t>
      </w:r>
    </w:p>
    <w:p w:rsidR="00A210E9" w:rsidRPr="00A210E9" w:rsidP="00A210E9">
      <w:pPr>
        <w:keepNext/>
        <w:keepLines/>
        <w:spacing w:line="269" w:lineRule="auto"/>
        <w:ind w:left="-567"/>
        <w:rPr>
          <w:rFonts w:eastAsia="Calibri"/>
          <w:szCs w:val="20"/>
          <w:rtl/>
        </w:rPr>
      </w:pPr>
    </w:p>
    <w:p w:rsidR="00A210E9" w:rsidRPr="00A210E9" w:rsidP="00A210E9">
      <w:pPr>
        <w:keepNext/>
        <w:keepLines/>
        <w:spacing w:line="269" w:lineRule="auto"/>
        <w:outlineLvl w:val="3"/>
        <w:rPr>
          <w:rFonts w:eastAsia="Times New Roman"/>
          <w:bCs/>
          <w:szCs w:val="26"/>
          <w:rtl/>
        </w:rPr>
      </w:pPr>
      <w:bookmarkStart w:id="159" w:name="_Hlk213858086"/>
      <w:r w:rsidRPr="00A210E9">
        <w:rPr>
          <w:rFonts w:eastAsia="Times New Roman" w:hint="eastAsia"/>
          <w:bCs/>
          <w:szCs w:val="26"/>
          <w:rtl/>
        </w:rPr>
        <w:t>הונאות</w:t>
      </w:r>
      <w:r w:rsidRPr="00A210E9">
        <w:rPr>
          <w:rFonts w:eastAsia="Times New Roman" w:hint="cs"/>
          <w:bCs/>
          <w:szCs w:val="26"/>
          <w:rtl/>
        </w:rPr>
        <w:t xml:space="preserve"> שהתגלו בתהליך ההנפקה - טיפול והפקת לקחים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rtl/>
        </w:rPr>
        <w:t>אירועי הונאות</w:t>
      </w:r>
      <w:r>
        <w:rPr>
          <w:rFonts w:eastAsia="Calibri"/>
          <w:vertAlign w:val="superscript"/>
          <w:rtl/>
        </w:rPr>
        <w:footnoteReference w:id="193"/>
      </w:r>
      <w:r w:rsidRPr="00A210E9">
        <w:rPr>
          <w:rFonts w:eastAsia="Calibri"/>
          <w:rtl/>
        </w:rPr>
        <w:t xml:space="preserve"> עלולים להסב לכל ארגון נזקים כלכליים ותדמיתיים כבדים. השפעתם</w:t>
      </w:r>
      <w:r w:rsidRPr="00A210E9">
        <w:rPr>
          <w:rFonts w:eastAsia="Calibri" w:hint="cs"/>
          <w:rtl/>
        </w:rPr>
        <w:t xml:space="preserve"> של אירועי הונאות</w:t>
      </w:r>
      <w:r w:rsidRPr="00A210E9">
        <w:rPr>
          <w:rFonts w:eastAsia="Calibri"/>
          <w:rtl/>
        </w:rPr>
        <w:t xml:space="preserve"> על משרדים</w:t>
      </w:r>
      <w:r w:rsidRPr="00A210E9">
        <w:rPr>
          <w:rFonts w:eastAsia="Calibri" w:hint="cs"/>
          <w:rtl/>
        </w:rPr>
        <w:t xml:space="preserve"> </w:t>
      </w:r>
      <w:r w:rsidRPr="00A210E9">
        <w:rPr>
          <w:rFonts w:eastAsia="Calibri"/>
          <w:rtl/>
        </w:rPr>
        <w:t xml:space="preserve">ממשלתיים המחזיקים </w:t>
      </w:r>
      <w:r w:rsidRPr="00A210E9">
        <w:rPr>
          <w:rFonts w:eastAsia="Calibri" w:hint="cs"/>
          <w:rtl/>
        </w:rPr>
        <w:t>ב</w:t>
      </w:r>
      <w:r w:rsidRPr="00A210E9">
        <w:rPr>
          <w:rFonts w:eastAsia="Calibri"/>
          <w:rtl/>
        </w:rPr>
        <w:t xml:space="preserve">סמכויות מינהליות ושיפוטיות ונדרשים </w:t>
      </w:r>
      <w:r w:rsidRPr="00A210E9">
        <w:rPr>
          <w:rFonts w:eastAsia="Calibri" w:hint="cs"/>
          <w:rtl/>
        </w:rPr>
        <w:t>לעשות</w:t>
      </w:r>
      <w:r w:rsidRPr="00A210E9">
        <w:rPr>
          <w:rFonts w:eastAsia="Calibri"/>
          <w:rtl/>
        </w:rPr>
        <w:t xml:space="preserve"> את מלאכתם למען הציבור, ביושר</w:t>
      </w:r>
      <w:r w:rsidRPr="00A210E9">
        <w:rPr>
          <w:rFonts w:eastAsia="Calibri" w:hint="cs"/>
          <w:rtl/>
        </w:rPr>
        <w:t xml:space="preserve"> </w:t>
      </w:r>
      <w:r w:rsidRPr="00A210E9">
        <w:rPr>
          <w:rFonts w:eastAsia="Calibri"/>
          <w:rtl/>
        </w:rPr>
        <w:t>וניקיון</w:t>
      </w:r>
      <w:r w:rsidRPr="00A210E9">
        <w:rPr>
          <w:rFonts w:eastAsia="Calibri" w:hint="cs"/>
          <w:rtl/>
        </w:rPr>
        <w:t xml:space="preserve"> </w:t>
      </w:r>
      <w:r w:rsidRPr="00A210E9">
        <w:rPr>
          <w:rFonts w:eastAsia="Calibri"/>
          <w:rtl/>
        </w:rPr>
        <w:t xml:space="preserve">כפיים, </w:t>
      </w:r>
      <w:r w:rsidRPr="00A210E9">
        <w:rPr>
          <w:rFonts w:eastAsia="Calibri" w:hint="cs"/>
          <w:rtl/>
        </w:rPr>
        <w:t xml:space="preserve">רבה יותר מאשר השפעתם על </w:t>
      </w:r>
      <w:r w:rsidRPr="00A210E9">
        <w:rPr>
          <w:rFonts w:eastAsia="Calibri"/>
          <w:rtl/>
        </w:rPr>
        <w:t>מגזרים האחרים.</w:t>
      </w:r>
      <w:r w:rsidRPr="00A210E9">
        <w:rPr>
          <w:rFonts w:eastAsia="Calibri" w:hint="cs"/>
          <w:rtl/>
        </w:rPr>
        <w:t xml:space="preserve"> </w:t>
      </w:r>
      <w:r w:rsidRPr="00A210E9">
        <w:rPr>
          <w:rFonts w:eastAsia="Calibri"/>
          <w:rtl/>
        </w:rPr>
        <w:t xml:space="preserve">הונאות במשרד ממשלתי עלולות </w:t>
      </w:r>
      <w:r w:rsidRPr="00A210E9">
        <w:rPr>
          <w:rFonts w:eastAsia="Calibri" w:hint="cs"/>
          <w:rtl/>
        </w:rPr>
        <w:t xml:space="preserve">בין היתר </w:t>
      </w:r>
      <w:r w:rsidRPr="00A210E9">
        <w:rPr>
          <w:rFonts w:eastAsia="Calibri"/>
          <w:rtl/>
        </w:rPr>
        <w:t xml:space="preserve">לפגוע באמון הציבור במערכת השלטונית, להביא למעורבות של גורמי פשיעה בתהליכי עבודתו השוטפים </w:t>
      </w:r>
      <w:r w:rsidRPr="00A210E9">
        <w:rPr>
          <w:rFonts w:eastAsia="Calibri" w:hint="cs"/>
          <w:rtl/>
        </w:rPr>
        <w:t>ו</w:t>
      </w:r>
      <w:r w:rsidRPr="00A210E9">
        <w:rPr>
          <w:rFonts w:eastAsia="Calibri"/>
          <w:rtl/>
        </w:rPr>
        <w:t xml:space="preserve">לפגוע באזרחים שהשירות </w:t>
      </w:r>
      <w:r w:rsidRPr="00A210E9">
        <w:rPr>
          <w:rFonts w:eastAsia="Calibri" w:hint="cs"/>
          <w:rtl/>
        </w:rPr>
        <w:t>שהם זכאים לו</w:t>
      </w:r>
      <w:r w:rsidRPr="00A210E9">
        <w:rPr>
          <w:rFonts w:eastAsia="Calibri"/>
          <w:rtl/>
        </w:rPr>
        <w:t xml:space="preserve"> מתעכב</w:t>
      </w:r>
      <w:r w:rsidRPr="00A210E9">
        <w:rPr>
          <w:rFonts w:eastAsia="Calibri" w:hint="cs"/>
          <w:rtl/>
        </w:rPr>
        <w:t xml:space="preserve"> או כלל לא ניתן </w:t>
      </w:r>
      <w:r w:rsidRPr="00A210E9">
        <w:rPr>
          <w:rFonts w:eastAsia="Calibri"/>
          <w:rtl/>
        </w:rPr>
        <w:t xml:space="preserve">נוכח העדפה לא מוצדקת של אזרחים אחרים על פניהם. </w:t>
      </w:r>
    </w:p>
    <w:p w:rsidR="00A210E9" w:rsidRPr="00A210E9" w:rsidP="00A210E9">
      <w:pPr>
        <w:spacing w:line="269" w:lineRule="auto"/>
        <w:rPr>
          <w:rFonts w:eastAsia="Calibri"/>
          <w:rtl/>
        </w:rPr>
      </w:pPr>
      <w:r w:rsidRPr="00A210E9">
        <w:rPr>
          <w:rFonts w:eastAsia="Calibri" w:hint="cs"/>
          <w:rtl/>
        </w:rPr>
        <w:t>כבר בשנת 2008, השנה שבה האחריות לבחינה הרפואית של מבקשי התגים הועברה ממשרד הבריאות למשרד התחבורה, התקיימו דיונים בוועדת הכלכלה ובוועדה לענייני ביקורת המדינה של הכנסת</w:t>
      </w:r>
      <w:r>
        <w:rPr>
          <w:rFonts w:eastAsia="Calibri"/>
          <w:vertAlign w:val="superscript"/>
          <w:rtl/>
        </w:rPr>
        <w:footnoteReference w:id="194"/>
      </w:r>
      <w:r w:rsidRPr="00A210E9">
        <w:rPr>
          <w:rFonts w:eastAsia="Calibri" w:hint="cs"/>
          <w:rtl/>
        </w:rPr>
        <w:t xml:space="preserve"> בנושא זיוף תגי חניה. בדיונים הוצג כי</w:t>
      </w:r>
      <w:r w:rsidRPr="00A210E9">
        <w:rPr>
          <w:rFonts w:eastAsia="Calibri"/>
          <w:rtl/>
        </w:rPr>
        <w:t xml:space="preserve"> בישראל</w:t>
      </w:r>
      <w:r w:rsidRPr="00A210E9">
        <w:rPr>
          <w:rFonts w:eastAsia="Calibri" w:hint="cs"/>
          <w:rtl/>
        </w:rPr>
        <w:t xml:space="preserve"> היו באותה עת</w:t>
      </w:r>
      <w:r w:rsidRPr="00A210E9">
        <w:rPr>
          <w:rFonts w:eastAsia="Calibri"/>
          <w:rtl/>
        </w:rPr>
        <w:t xml:space="preserve"> כ-180,000 תגי חניה מכל הסוגים, כ-50% מהם מזויפים</w:t>
      </w:r>
      <w:r w:rsidRPr="00A210E9">
        <w:rPr>
          <w:rFonts w:eastAsia="Calibri" w:hint="cs"/>
          <w:rtl/>
        </w:rPr>
        <w:t>. נציג משרד התחבורה ציין בדיון כי הוא נערך לשינוי חקיקה שבאמצעותו הוא מתכוון להתמודד בין היתר עם תופעת הזיופים</w:t>
      </w:r>
      <w:r w:rsidRPr="00A210E9">
        <w:rPr>
          <w:rFonts w:eastAsia="Calibri"/>
          <w:rtl/>
        </w:rPr>
        <w:t>.</w:t>
      </w:r>
      <w:r w:rsidRPr="00A210E9">
        <w:rPr>
          <w:rFonts w:eastAsia="Calibri" w:hint="cs"/>
          <w:rtl/>
        </w:rPr>
        <w:t xml:space="preserve"> חקיקה זו לא יצאה לפועל.</w:t>
      </w:r>
      <w:r w:rsidRPr="00A210E9">
        <w:rPr>
          <w:rFonts w:eastAsia="Calibri"/>
          <w:rtl/>
        </w:rPr>
        <w:t xml:space="preserve"> </w:t>
      </w:r>
      <w:r w:rsidRPr="00A210E9">
        <w:rPr>
          <w:rFonts w:eastAsia="Calibri" w:hint="cs"/>
          <w:rtl/>
        </w:rPr>
        <w:t>בשנת 2012, בדיון של ועדת הכלכלה של הכנסת, שוב צוין כי קיימים זיופים של תגי חניה. גם בנוהל 2.2015 צוין כי "</w:t>
      </w:r>
      <w:r w:rsidRPr="00A210E9">
        <w:rPr>
          <w:rFonts w:eastAsia="Calibri"/>
          <w:rtl/>
        </w:rPr>
        <w:t>בשנים האחרונות הלכו ורבו המקרים בהם זויפו תגי החניה</w:t>
      </w:r>
      <w:r w:rsidRPr="00A210E9">
        <w:rPr>
          <w:rFonts w:eastAsia="Calibri" w:hint="cs"/>
          <w:rtl/>
        </w:rPr>
        <w:t>...</w:t>
      </w:r>
      <w:r w:rsidRPr="00A210E9">
        <w:rPr>
          <w:rFonts w:eastAsia="Calibri"/>
          <w:rtl/>
        </w:rPr>
        <w:t xml:space="preserve"> ונעשה בהם שימוש לרעה</w:t>
      </w:r>
      <w:r w:rsidRPr="00A210E9">
        <w:rPr>
          <w:rFonts w:eastAsia="Calibri" w:hint="cs"/>
          <w:rtl/>
        </w:rPr>
        <w:t>"</w:t>
      </w:r>
      <w:r w:rsidRPr="00A210E9">
        <w:rPr>
          <w:rFonts w:eastAsia="Calibri"/>
        </w:rPr>
        <w:t>.</w:t>
      </w:r>
      <w:r w:rsidRPr="00A210E9">
        <w:rPr>
          <w:rFonts w:eastAsia="Calibri" w:hint="cs"/>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מאז</w:t>
      </w:r>
      <w:r w:rsidRPr="00A210E9">
        <w:rPr>
          <w:rFonts w:eastAsia="Calibri"/>
          <w:rtl/>
        </w:rPr>
        <w:t xml:space="preserve"> </w:t>
      </w:r>
      <w:r w:rsidRPr="00A210E9">
        <w:rPr>
          <w:rFonts w:eastAsia="Calibri" w:hint="cs"/>
          <w:rtl/>
        </w:rPr>
        <w:t>ש</w:t>
      </w:r>
      <w:r w:rsidRPr="00A210E9">
        <w:rPr>
          <w:rFonts w:eastAsia="Calibri"/>
          <w:rtl/>
        </w:rPr>
        <w:t xml:space="preserve">התווספה האפשרות להגיש בקשות לתג </w:t>
      </w:r>
      <w:r w:rsidRPr="00A210E9">
        <w:rPr>
          <w:rFonts w:eastAsia="Calibri" w:hint="cs"/>
          <w:rtl/>
        </w:rPr>
        <w:t>חניה</w:t>
      </w:r>
      <w:r w:rsidRPr="00A210E9">
        <w:rPr>
          <w:rFonts w:eastAsia="Calibri"/>
          <w:rtl/>
        </w:rPr>
        <w:t xml:space="preserve"> באופן דיגיטלי,</w:t>
      </w:r>
      <w:r w:rsidRPr="00A210E9">
        <w:rPr>
          <w:rFonts w:eastAsia="Calibri" w:hint="cs"/>
          <w:rtl/>
        </w:rPr>
        <w:t xml:space="preserve"> ובפרט בעקבות השינויים בממשק של הטופס הדיגיטלי בשנת 2021,</w:t>
      </w:r>
      <w:r w:rsidRPr="00A210E9">
        <w:rPr>
          <w:rFonts w:eastAsia="Calibri"/>
          <w:rtl/>
        </w:rPr>
        <w:t xml:space="preserve"> </w:t>
      </w:r>
      <w:r w:rsidRPr="00A210E9">
        <w:rPr>
          <w:rFonts w:eastAsia="Calibri" w:hint="cs"/>
          <w:rtl/>
        </w:rPr>
        <w:t xml:space="preserve">חל </w:t>
      </w:r>
      <w:r w:rsidRPr="00A210E9">
        <w:rPr>
          <w:rFonts w:eastAsia="Calibri"/>
          <w:rtl/>
        </w:rPr>
        <w:t>גידול חד במספר הבקשות</w:t>
      </w:r>
      <w:r w:rsidRPr="00A210E9">
        <w:rPr>
          <w:rFonts w:eastAsia="Calibri" w:hint="cs"/>
          <w:rtl/>
        </w:rPr>
        <w:t xml:space="preserve"> שהוגשו, במספר הבקשות החוזרות על ידי אותו אדם,</w:t>
      </w:r>
      <w:r w:rsidRPr="00A210E9">
        <w:rPr>
          <w:rFonts w:eastAsia="Calibri"/>
          <w:rtl/>
        </w:rPr>
        <w:t xml:space="preserve"> </w:t>
      </w:r>
      <w:r w:rsidRPr="00A210E9">
        <w:rPr>
          <w:rFonts w:eastAsia="Calibri" w:hint="cs"/>
          <w:rtl/>
        </w:rPr>
        <w:t>ובסופו של דבר גם</w:t>
      </w:r>
      <w:r w:rsidRPr="00A210E9">
        <w:rPr>
          <w:rFonts w:eastAsia="Calibri"/>
          <w:rtl/>
        </w:rPr>
        <w:t xml:space="preserve"> במספר התגים שניתנו. על פי הערכת משרד</w:t>
      </w:r>
      <w:r w:rsidRPr="00A210E9">
        <w:rPr>
          <w:rFonts w:eastAsia="Calibri" w:hint="cs"/>
          <w:rtl/>
        </w:rPr>
        <w:t xml:space="preserve"> </w:t>
      </w:r>
      <w:r w:rsidRPr="00A210E9">
        <w:rPr>
          <w:rFonts w:eastAsia="Calibri"/>
          <w:rtl/>
        </w:rPr>
        <w:t>התחבורה</w:t>
      </w:r>
      <w:r w:rsidRPr="00A210E9">
        <w:rPr>
          <w:rFonts w:eastAsia="Calibri" w:hint="cs"/>
          <w:rtl/>
        </w:rPr>
        <w:t xml:space="preserve"> מיוני 2025</w:t>
      </w:r>
      <w:r w:rsidRPr="00A210E9">
        <w:rPr>
          <w:rFonts w:eastAsia="Calibri"/>
          <w:rtl/>
        </w:rPr>
        <w:t xml:space="preserve">, </w:t>
      </w:r>
      <w:r w:rsidRPr="00A210E9">
        <w:rPr>
          <w:rFonts w:eastAsia="Calibri" w:hint="cs"/>
          <w:rtl/>
        </w:rPr>
        <w:t>"חלק בלתי מבוטל מתגי החניה שהונפקו בשנים האחרונות ניתן לאנשים שאינם עומדים בתנאי הזכאות הקבועים בחוק חניה לנכים"</w:t>
      </w:r>
      <w:r w:rsidRPr="00A210E9">
        <w:rPr>
          <w:rFonts w:eastAsia="Calibri"/>
          <w:rtl/>
        </w:rPr>
        <w:t>.</w:t>
      </w:r>
      <w:r w:rsidRPr="00A210E9">
        <w:rPr>
          <w:rFonts w:eastAsia="Calibri" w:hint="cs"/>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rtl/>
        </w:rPr>
        <w:t>במהלך 2022</w:t>
      </w:r>
      <w:r w:rsidRPr="00A210E9">
        <w:rPr>
          <w:rFonts w:eastAsia="Calibri" w:hint="cs"/>
          <w:rtl/>
        </w:rPr>
        <w:t xml:space="preserve"> </w:t>
      </w:r>
      <w:r w:rsidRPr="00A210E9">
        <w:rPr>
          <w:rFonts w:eastAsia="Calibri"/>
          <w:rtl/>
        </w:rPr>
        <w:t xml:space="preserve">יזם משרד התחבורה </w:t>
      </w:r>
      <w:r w:rsidRPr="00A210E9">
        <w:rPr>
          <w:rFonts w:eastAsia="Calibri" w:hint="cs"/>
          <w:rtl/>
        </w:rPr>
        <w:t xml:space="preserve">את הבדיקה החקירתית 2023, באמצעות חברת ביקורת חיצונית, בשל </w:t>
      </w:r>
      <w:r w:rsidRPr="00A210E9">
        <w:rPr>
          <w:rFonts w:eastAsia="Calibri"/>
          <w:rtl/>
        </w:rPr>
        <w:t xml:space="preserve">ליקויים שהתגלו </w:t>
      </w:r>
      <w:r w:rsidRPr="00A210E9">
        <w:rPr>
          <w:rFonts w:eastAsia="Calibri" w:hint="cs"/>
          <w:rtl/>
        </w:rPr>
        <w:t>בנוגע</w:t>
      </w:r>
      <w:r w:rsidRPr="00A210E9">
        <w:rPr>
          <w:rFonts w:eastAsia="Calibri"/>
          <w:rtl/>
        </w:rPr>
        <w:t xml:space="preserve"> לאופן </w:t>
      </w:r>
      <w:r w:rsidRPr="00A210E9">
        <w:rPr>
          <w:rFonts w:eastAsia="Calibri" w:hint="cs"/>
          <w:rtl/>
        </w:rPr>
        <w:t>ה</w:t>
      </w:r>
      <w:r w:rsidRPr="00A210E9">
        <w:rPr>
          <w:rFonts w:eastAsia="Calibri"/>
          <w:rtl/>
        </w:rPr>
        <w:t xml:space="preserve">טיפול בבקשות </w:t>
      </w:r>
      <w:r w:rsidRPr="00A210E9">
        <w:rPr>
          <w:rFonts w:eastAsia="Calibri" w:hint="cs"/>
          <w:rtl/>
        </w:rPr>
        <w:t>ול</w:t>
      </w:r>
      <w:r w:rsidRPr="00A210E9">
        <w:rPr>
          <w:rFonts w:eastAsia="Calibri"/>
          <w:rtl/>
        </w:rPr>
        <w:t>החלטות שניתנו</w:t>
      </w:r>
      <w:r w:rsidRPr="00A210E9">
        <w:rPr>
          <w:rFonts w:eastAsia="Calibri" w:hint="cs"/>
          <w:rtl/>
        </w:rPr>
        <w:t xml:space="preserve"> בהן. הבדיקה העלתה ממצאים רבים המצביעים על התנהלות לקויה של רופאי חברה ב' בתהליך הבחינה הרפואית של בקשות לזכאות לתג.</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סקר סיכונים 2023 נועד לאתר</w:t>
      </w:r>
      <w:r w:rsidRPr="00A210E9">
        <w:rPr>
          <w:rFonts w:eastAsia="Calibri"/>
          <w:rtl/>
        </w:rPr>
        <w:t xml:space="preserve"> סיכונים פוטנציאל</w:t>
      </w:r>
      <w:r w:rsidRPr="00A210E9">
        <w:rPr>
          <w:rFonts w:eastAsia="Calibri" w:hint="cs"/>
          <w:rtl/>
        </w:rPr>
        <w:t>י</w:t>
      </w:r>
      <w:r w:rsidRPr="00A210E9">
        <w:rPr>
          <w:rFonts w:eastAsia="Calibri"/>
          <w:rtl/>
        </w:rPr>
        <w:t>ים למעילות והונאות</w:t>
      </w:r>
      <w:r w:rsidRPr="00A210E9">
        <w:rPr>
          <w:rFonts w:eastAsia="Calibri" w:hint="cs"/>
          <w:rtl/>
        </w:rPr>
        <w:t xml:space="preserve"> במינהל תנועה</w:t>
      </w:r>
      <w:r w:rsidRPr="00A210E9">
        <w:rPr>
          <w:rFonts w:eastAsia="Calibri"/>
          <w:rtl/>
        </w:rPr>
        <w:t xml:space="preserve"> העלולים לפגוע בפעילות המשרד</w:t>
      </w:r>
      <w:r w:rsidRPr="00A210E9">
        <w:rPr>
          <w:rFonts w:eastAsia="Calibri" w:hint="cs"/>
          <w:rtl/>
        </w:rPr>
        <w:t xml:space="preserve"> ולהסב נזק כלכלי למדינה, בין היתר ב</w:t>
      </w:r>
      <w:r w:rsidRPr="00A210E9">
        <w:rPr>
          <w:rFonts w:eastAsia="Calibri"/>
          <w:rtl/>
        </w:rPr>
        <w:t xml:space="preserve">אגף </w:t>
      </w:r>
      <w:r w:rsidRPr="00A210E9">
        <w:rPr>
          <w:rFonts w:eastAsia="Calibri" w:hint="cs"/>
          <w:rtl/>
        </w:rPr>
        <w:t>ה</w:t>
      </w:r>
      <w:r w:rsidRPr="00A210E9">
        <w:rPr>
          <w:rFonts w:eastAsia="Calibri"/>
          <w:rtl/>
        </w:rPr>
        <w:t>רישוי</w:t>
      </w:r>
      <w:r w:rsidRPr="00A210E9">
        <w:rPr>
          <w:rFonts w:eastAsia="Calibri" w:hint="cs"/>
          <w:rtl/>
        </w:rPr>
        <w:t xml:space="preserve"> בתחום של תגי חניה.</w:t>
      </w:r>
      <w:r>
        <w:rPr>
          <w:rFonts w:eastAsia="Calibri"/>
          <w:vertAlign w:val="superscript"/>
          <w:rtl/>
        </w:rPr>
        <w:footnoteReference w:id="195"/>
      </w:r>
      <w:r w:rsidRPr="00A210E9">
        <w:rPr>
          <w:rFonts w:eastAsia="Calibri" w:hint="cs"/>
          <w:rtl/>
        </w:rPr>
        <w:t xml:space="preserve"> בסקר נמצאו ארבעה סיכונים עיקריים בנוגע לתגי החניה והוערכה רמת הסיכון השיורית בכל אחד מהם</w:t>
      </w:r>
      <w:r>
        <w:rPr>
          <w:rFonts w:eastAsia="Calibri"/>
          <w:vertAlign w:val="superscript"/>
          <w:rtl/>
        </w:rPr>
        <w:footnoteReference w:id="196"/>
      </w:r>
      <w:r w:rsidRPr="00A210E9">
        <w:rPr>
          <w:rFonts w:eastAsia="Calibri" w:hint="cs"/>
          <w:rtl/>
        </w:rPr>
        <w:t>. יש 25 רמות סיכון - סיכון גבוה מרמה 12 נחשב רמת סיכון גבוהה. להלן פירוט הסיכונים שדורגו ברמה גבוהה:</w:t>
      </w:r>
    </w:p>
    <w:p w:rsidR="00A210E9" w:rsidRPr="00A210E9" w:rsidP="00A210E9">
      <w:pPr>
        <w:keepNext/>
        <w:keepLines/>
        <w:spacing w:line="269" w:lineRule="auto"/>
        <w:ind w:left="-567"/>
        <w:rPr>
          <w:rFonts w:eastAsia="Calibri"/>
          <w:szCs w:val="20"/>
          <w:rtl/>
        </w:rPr>
      </w:pPr>
    </w:p>
    <w:p w:rsidR="00A210E9" w:rsidRPr="00A210E9" w:rsidP="00A210E9">
      <w:pPr>
        <w:numPr>
          <w:ilvl w:val="0"/>
          <w:numId w:val="19"/>
        </w:numPr>
        <w:spacing w:line="269" w:lineRule="auto"/>
        <w:contextualSpacing/>
        <w:rPr>
          <w:rFonts w:eastAsia="Calibri"/>
        </w:rPr>
      </w:pPr>
      <w:r w:rsidRPr="00A210E9">
        <w:rPr>
          <w:rFonts w:eastAsia="Calibri"/>
          <w:rtl/>
        </w:rPr>
        <w:t xml:space="preserve">התרשלות </w:t>
      </w:r>
      <w:r w:rsidRPr="00A210E9">
        <w:rPr>
          <w:rFonts w:eastAsia="Calibri" w:hint="cs"/>
          <w:rtl/>
        </w:rPr>
        <w:t>ה</w:t>
      </w:r>
      <w:r w:rsidRPr="00A210E9">
        <w:rPr>
          <w:rFonts w:eastAsia="Calibri"/>
          <w:rtl/>
        </w:rPr>
        <w:t>רופאי</w:t>
      </w:r>
      <w:r w:rsidRPr="00A210E9">
        <w:rPr>
          <w:rFonts w:eastAsia="Calibri" w:hint="cs"/>
          <w:rtl/>
        </w:rPr>
        <w:t xml:space="preserve">ם מטעם הזכיין </w:t>
      </w:r>
      <w:r w:rsidRPr="00A210E9">
        <w:rPr>
          <w:rFonts w:eastAsia="Calibri"/>
          <w:rtl/>
        </w:rPr>
        <w:t>נותן שירותי ייעוץ רפואי לאגף</w:t>
      </w:r>
      <w:r w:rsidRPr="00A210E9">
        <w:rPr>
          <w:rFonts w:eastAsia="Calibri" w:hint="cs"/>
          <w:rtl/>
        </w:rPr>
        <w:t xml:space="preserve"> </w:t>
      </w:r>
      <w:r w:rsidRPr="00A210E9">
        <w:rPr>
          <w:rFonts w:eastAsia="Calibri"/>
          <w:rtl/>
        </w:rPr>
        <w:t>הרישוי בבדיקת המידע הרפואי</w:t>
      </w:r>
      <w:r w:rsidRPr="00A210E9">
        <w:rPr>
          <w:rFonts w:eastAsia="Calibri" w:hint="cs"/>
          <w:rtl/>
        </w:rPr>
        <w:t xml:space="preserve"> </w:t>
      </w:r>
      <w:r w:rsidRPr="00A210E9">
        <w:rPr>
          <w:rFonts w:eastAsia="Calibri"/>
          <w:rtl/>
        </w:rPr>
        <w:t>שהוגש להם, במטרה להגדיל את שכרם</w:t>
      </w:r>
      <w:r w:rsidRPr="00A210E9">
        <w:rPr>
          <w:rFonts w:eastAsia="Calibri" w:hint="cs"/>
          <w:rtl/>
        </w:rPr>
        <w:t xml:space="preserve"> הנקבע לפי </w:t>
      </w:r>
      <w:r w:rsidRPr="00A210E9">
        <w:rPr>
          <w:rFonts w:eastAsia="Calibri"/>
          <w:rtl/>
        </w:rPr>
        <w:t>מספר הבקשות הנבדקות על ידם,</w:t>
      </w:r>
      <w:r w:rsidRPr="00A210E9">
        <w:rPr>
          <w:rFonts w:eastAsia="Calibri" w:hint="cs"/>
          <w:rtl/>
        </w:rPr>
        <w:t xml:space="preserve"> </w:t>
      </w:r>
      <w:r w:rsidRPr="00A210E9">
        <w:rPr>
          <w:rFonts w:eastAsia="Calibri"/>
          <w:rtl/>
        </w:rPr>
        <w:t>ו</w:t>
      </w:r>
      <w:r w:rsidRPr="00A210E9">
        <w:rPr>
          <w:rFonts w:eastAsia="Calibri" w:hint="cs"/>
          <w:rtl/>
        </w:rPr>
        <w:t>ב</w:t>
      </w:r>
      <w:r w:rsidRPr="00A210E9">
        <w:rPr>
          <w:rFonts w:eastAsia="Calibri"/>
          <w:rtl/>
        </w:rPr>
        <w:t>אישור או דחי</w:t>
      </w:r>
      <w:r w:rsidRPr="00A210E9">
        <w:rPr>
          <w:rFonts w:eastAsia="Calibri" w:hint="cs"/>
          <w:rtl/>
        </w:rPr>
        <w:t>ה של</w:t>
      </w:r>
      <w:r w:rsidRPr="00A210E9">
        <w:rPr>
          <w:rFonts w:eastAsia="Calibri"/>
          <w:rtl/>
        </w:rPr>
        <w:t xml:space="preserve"> בקשה לתג</w:t>
      </w:r>
      <w:r w:rsidRPr="00A210E9">
        <w:rPr>
          <w:rFonts w:eastAsia="Calibri" w:hint="cs"/>
          <w:rtl/>
        </w:rPr>
        <w:t xml:space="preserve"> </w:t>
      </w:r>
      <w:r w:rsidRPr="00A210E9">
        <w:rPr>
          <w:rFonts w:eastAsia="Calibri"/>
          <w:rtl/>
        </w:rPr>
        <w:t>חניה ללא התייחסות לפרטים האמורים</w:t>
      </w:r>
      <w:r w:rsidRPr="00A210E9">
        <w:rPr>
          <w:rFonts w:eastAsia="Calibri" w:hint="cs"/>
          <w:rtl/>
        </w:rPr>
        <w:t xml:space="preserve"> </w:t>
      </w:r>
      <w:r w:rsidRPr="00A210E9">
        <w:rPr>
          <w:rFonts w:eastAsia="Calibri"/>
          <w:rtl/>
        </w:rPr>
        <w:t xml:space="preserve">במסמכים </w:t>
      </w:r>
      <w:r w:rsidRPr="00A210E9">
        <w:rPr>
          <w:rFonts w:eastAsia="Calibri" w:hint="cs"/>
          <w:rtl/>
        </w:rPr>
        <w:t>שצורפו לבקשה - רמת סיכון 13.5.</w:t>
      </w:r>
    </w:p>
    <w:p w:rsidR="00A210E9" w:rsidRPr="00A210E9" w:rsidP="00A210E9">
      <w:pPr>
        <w:keepNext/>
        <w:keepLines/>
        <w:spacing w:line="269" w:lineRule="auto"/>
        <w:ind w:left="-567"/>
        <w:rPr>
          <w:rFonts w:eastAsia="Calibri"/>
          <w:szCs w:val="20"/>
        </w:rPr>
      </w:pPr>
    </w:p>
    <w:p w:rsidR="00A210E9" w:rsidRPr="00A210E9" w:rsidP="00A210E9">
      <w:pPr>
        <w:numPr>
          <w:ilvl w:val="0"/>
          <w:numId w:val="19"/>
        </w:numPr>
        <w:spacing w:line="269" w:lineRule="auto"/>
        <w:contextualSpacing/>
        <w:rPr>
          <w:rFonts w:eastAsia="Calibri"/>
        </w:rPr>
      </w:pPr>
      <w:r w:rsidRPr="00A210E9">
        <w:rPr>
          <w:rFonts w:eastAsia="Calibri"/>
          <w:rtl/>
        </w:rPr>
        <w:t xml:space="preserve">אישור תג חניה </w:t>
      </w:r>
      <w:r w:rsidRPr="00A210E9">
        <w:rPr>
          <w:rFonts w:eastAsia="Calibri" w:hint="cs"/>
          <w:rtl/>
        </w:rPr>
        <w:t xml:space="preserve">על ידי </w:t>
      </w:r>
      <w:r w:rsidRPr="00A210E9">
        <w:rPr>
          <w:rFonts w:eastAsia="Calibri"/>
          <w:rtl/>
        </w:rPr>
        <w:t xml:space="preserve">רופאי </w:t>
      </w:r>
      <w:r w:rsidRPr="00A210E9">
        <w:rPr>
          <w:rFonts w:eastAsia="Calibri" w:hint="cs"/>
          <w:rtl/>
        </w:rPr>
        <w:t>אגף הרישוי</w:t>
      </w:r>
      <w:r w:rsidRPr="00A210E9">
        <w:rPr>
          <w:rFonts w:eastAsia="Calibri"/>
          <w:rtl/>
        </w:rPr>
        <w:t xml:space="preserve"> למי שאינם</w:t>
      </w:r>
      <w:r w:rsidRPr="00A210E9">
        <w:rPr>
          <w:rFonts w:eastAsia="Calibri" w:hint="cs"/>
          <w:rtl/>
        </w:rPr>
        <w:t xml:space="preserve"> </w:t>
      </w:r>
      <w:r w:rsidRPr="00A210E9">
        <w:rPr>
          <w:rFonts w:eastAsia="Calibri"/>
          <w:rtl/>
        </w:rPr>
        <w:t>זכאים להם, בהסתמך על מסמכים מזויפים</w:t>
      </w:r>
      <w:r w:rsidRPr="00A210E9">
        <w:rPr>
          <w:rFonts w:eastAsia="Calibri" w:hint="cs"/>
          <w:rtl/>
        </w:rPr>
        <w:t xml:space="preserve"> </w:t>
      </w:r>
      <w:r w:rsidRPr="00A210E9">
        <w:rPr>
          <w:rFonts w:eastAsia="Calibri"/>
          <w:rtl/>
        </w:rPr>
        <w:t>שהעב</w:t>
      </w:r>
      <w:r w:rsidRPr="00A210E9">
        <w:rPr>
          <w:rFonts w:eastAsia="Calibri" w:hint="cs"/>
          <w:rtl/>
        </w:rPr>
        <w:t>י</w:t>
      </w:r>
      <w:r w:rsidRPr="00A210E9">
        <w:rPr>
          <w:rFonts w:eastAsia="Calibri"/>
          <w:rtl/>
        </w:rPr>
        <w:t>ר מבקש התג (לדוג</w:t>
      </w:r>
      <w:r w:rsidRPr="00A210E9">
        <w:rPr>
          <w:rFonts w:eastAsia="Calibri" w:hint="cs"/>
          <w:rtl/>
        </w:rPr>
        <w:t>מה,</w:t>
      </w:r>
      <w:r w:rsidRPr="00A210E9">
        <w:rPr>
          <w:rFonts w:eastAsia="Calibri"/>
          <w:rtl/>
        </w:rPr>
        <w:t xml:space="preserve"> מסמכים</w:t>
      </w:r>
      <w:r w:rsidRPr="00A210E9">
        <w:rPr>
          <w:rFonts w:eastAsia="Calibri" w:hint="cs"/>
          <w:rtl/>
        </w:rPr>
        <w:t xml:space="preserve"> </w:t>
      </w:r>
      <w:r w:rsidRPr="00A210E9">
        <w:rPr>
          <w:rFonts w:eastAsia="Calibri"/>
          <w:rtl/>
        </w:rPr>
        <w:t>ואישורים בעלי חתימות מזויפות של רופאים</w:t>
      </w:r>
      <w:r w:rsidRPr="00A210E9">
        <w:rPr>
          <w:rFonts w:eastAsia="Calibri" w:hint="cs"/>
          <w:rtl/>
        </w:rPr>
        <w:t xml:space="preserve"> </w:t>
      </w:r>
      <w:r w:rsidRPr="00A210E9">
        <w:rPr>
          <w:rFonts w:eastAsia="Calibri"/>
          <w:rtl/>
        </w:rPr>
        <w:t>ושל גופים כמו לשכות הבריאות)</w:t>
      </w:r>
      <w:r w:rsidRPr="00A210E9">
        <w:rPr>
          <w:rFonts w:eastAsia="Calibri" w:hint="cs"/>
          <w:rtl/>
        </w:rPr>
        <w:t xml:space="preserve"> - רמת סיכון 13.5.</w:t>
      </w:r>
    </w:p>
    <w:p w:rsidR="00A210E9" w:rsidRPr="00A210E9" w:rsidP="00A210E9">
      <w:pPr>
        <w:spacing w:line="269" w:lineRule="auto"/>
        <w:ind w:left="680"/>
        <w:contextualSpacing/>
        <w:rPr>
          <w:rFonts w:eastAsia="Calibri"/>
        </w:rPr>
      </w:pPr>
    </w:p>
    <w:p w:rsidR="00A210E9" w:rsidRPr="00A210E9" w:rsidP="00A210E9">
      <w:pPr>
        <w:keepNext/>
        <w:keepLines/>
        <w:spacing w:line="269" w:lineRule="auto"/>
        <w:outlineLvl w:val="4"/>
        <w:rPr>
          <w:rFonts w:eastAsia="Times New Roman"/>
          <w:bCs/>
          <w:spacing w:val="40"/>
        </w:rPr>
      </w:pPr>
      <w:r w:rsidRPr="00A210E9">
        <w:rPr>
          <w:rFonts w:eastAsia="Times New Roman" w:hint="cs"/>
          <w:bCs/>
          <w:spacing w:val="40"/>
          <w:rtl/>
        </w:rPr>
        <w:t>חשד להנפקת תגים במרמה בשנים 2021 -2022 על ידי פקידי אגף הרישוי</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נוסף על הסיכונים ברמת סיכון גבוהה שהועלו בסקר סיכונים 2023, מיפתה הביקורת של משרד מבקר המדינה גם סיכון שדורג ברמת סיכון בינונית (9) - האפשרות ש</w:t>
      </w:r>
      <w:r w:rsidRPr="00A210E9">
        <w:rPr>
          <w:rFonts w:eastAsia="Calibri"/>
          <w:rtl/>
        </w:rPr>
        <w:t>פקיד רישוי</w:t>
      </w:r>
      <w:r w:rsidRPr="00A210E9">
        <w:rPr>
          <w:rFonts w:eastAsia="Calibri" w:hint="cs"/>
          <w:rtl/>
        </w:rPr>
        <w:t xml:space="preserve"> בסניף של אגף הרישוי</w:t>
      </w:r>
      <w:r>
        <w:rPr>
          <w:rFonts w:eastAsia="Calibri"/>
          <w:vertAlign w:val="superscript"/>
          <w:rtl/>
        </w:rPr>
        <w:footnoteReference w:id="197"/>
      </w:r>
      <w:r w:rsidRPr="00A210E9">
        <w:rPr>
          <w:rFonts w:eastAsia="Calibri" w:hint="cs"/>
          <w:rtl/>
        </w:rPr>
        <w:t xml:space="preserve"> יאשר תג חניה שלא כדין בגלל </w:t>
      </w:r>
      <w:r w:rsidRPr="00A210E9">
        <w:rPr>
          <w:rFonts w:eastAsia="Calibri"/>
          <w:rtl/>
        </w:rPr>
        <w:t>ניגוד עניינים, קבלת טובות הנאה או לחצים ואיומים המופעלים עליו</w:t>
      </w:r>
      <w:r w:rsidRPr="00A210E9">
        <w:rPr>
          <w:rFonts w:eastAsia="Calibri" w:hint="cs"/>
          <w:rtl/>
        </w:rPr>
        <w:t xml:space="preserve">. סיכון זה נובע מכך שהמערכת מאפשרת לפקידי רישוי להזין החלטה על אישור תג חניה. </w:t>
      </w:r>
    </w:p>
    <w:p w:rsidR="00A210E9" w:rsidRPr="00A210E9" w:rsidP="00A210E9">
      <w:pPr>
        <w:spacing w:line="269" w:lineRule="auto"/>
        <w:rPr>
          <w:rFonts w:eastAsia="Calibri"/>
        </w:rPr>
      </w:pPr>
      <w:r w:rsidRPr="00A210E9">
        <w:rPr>
          <w:rFonts w:eastAsia="Calibri" w:hint="cs"/>
          <w:rtl/>
        </w:rPr>
        <w:t xml:space="preserve">על פי נוהלי אגף הרישוי (נוהל 2.2015 ונוהל 2025), בקשות לקבלת תג חניה אמורות להיות מוגשות ליחידה למוגבלי ניידות. בכל הנוגע לטיפול בתגי חניה פקידים בסניפי אגף הרישוי רשאים לבצע פעולות כמו הנפקת תג חניה פיזי נוסף (לאחר שפעולה זו אושרה) או עדכונים ברכבים המקושרים לתגים קיימים.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במפלג הונאה מחוז חוף של אגף לחקירות ומודיעין במשטרת ישראל התקבלה ב-3.8.22 תלונה של משרד התחבורה על כך שהוגשו לפקידת משרד הרישוי בסניף בצפון הארץ </w:t>
      </w:r>
      <w:r w:rsidRPr="00A210E9">
        <w:rPr>
          <w:rFonts w:eastAsia="Calibri" w:hint="eastAsia"/>
          <w:rtl/>
        </w:rPr>
        <w:t>מאות</w:t>
      </w:r>
      <w:r w:rsidRPr="00A210E9">
        <w:rPr>
          <w:rFonts w:eastAsia="Calibri" w:hint="cs"/>
          <w:rtl/>
        </w:rPr>
        <w:t xml:space="preserve"> אישורים מזויפים לכאורה של משרד הבריאות, ובגינם ניתנו במרמה בסניף, לאנשים המופיעים באישורים המזויפים, פטורים מתשלום אגרת רישוי שנתי וכן תגי חניה לצמיתות. חקירת המשטרה מול משרד הבריאות העלתה ביסוס לכאורה כי אכן האישורים הרפואיים שהוגשו לאותו סניף של משרד הרישוי היו מזויפים, ולא נמצאו במערכות משרד הבריאות מסמכים כלשהם הנוגעים לוועדות רפואיות הקשורות לאנשים ששמם הופיע על האישורים. כמו כן, חקרה המשטרה מעורבים נוספים בפרשה שהיה להם קשר, במישרין או בעקיפין, לתהליך הנפקת תגי החניה, וגם הם מחזיקים בתגים שהושגו במרמה. באפריל 2026 מסרה המשטרה כי תיק החקירה הועבר לעיון פרקליטות המדינה לשם קבלת ההחלטה אם להעמיד לדין את המעורבים בכך.</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מהרשימה שהעבירה המשטרה למשרד התחבורה עולה כי תגי החניה הונפקו בשנים 2021 - 2022. </w:t>
      </w:r>
      <w:r w:rsidRPr="00A210E9">
        <w:rPr>
          <w:rFonts w:eastAsia="Calibri" w:hint="eastAsia"/>
          <w:rtl/>
        </w:rPr>
        <w:t>האנשים</w:t>
      </w:r>
      <w:r w:rsidRPr="00A210E9">
        <w:rPr>
          <w:rFonts w:eastAsia="Calibri"/>
          <w:rtl/>
        </w:rPr>
        <w:t xml:space="preserve"> </w:t>
      </w:r>
      <w:r w:rsidRPr="00A210E9">
        <w:rPr>
          <w:rFonts w:eastAsia="Calibri" w:hint="eastAsia"/>
          <w:rtl/>
        </w:rPr>
        <w:t>שעבורם</w:t>
      </w:r>
      <w:r w:rsidRPr="00A210E9">
        <w:rPr>
          <w:rFonts w:eastAsia="Calibri"/>
          <w:rtl/>
        </w:rPr>
        <w:t xml:space="preserve"> </w:t>
      </w:r>
      <w:r w:rsidRPr="00A210E9">
        <w:rPr>
          <w:rFonts w:eastAsia="Calibri" w:hint="eastAsia"/>
          <w:rtl/>
        </w:rPr>
        <w:t>הונפקו</w:t>
      </w:r>
      <w:r w:rsidRPr="00A210E9">
        <w:rPr>
          <w:rFonts w:eastAsia="Calibri"/>
          <w:rtl/>
        </w:rPr>
        <w:t xml:space="preserve"> </w:t>
      </w:r>
      <w:r w:rsidRPr="00A210E9">
        <w:rPr>
          <w:rFonts w:eastAsia="Calibri" w:hint="eastAsia"/>
          <w:rtl/>
        </w:rPr>
        <w:t>תגים</w:t>
      </w:r>
      <w:r w:rsidRPr="00A210E9">
        <w:rPr>
          <w:rFonts w:eastAsia="Calibri"/>
          <w:rtl/>
        </w:rPr>
        <w:t xml:space="preserve"> </w:t>
      </w:r>
      <w:r w:rsidRPr="00A210E9">
        <w:rPr>
          <w:rFonts w:eastAsia="Calibri" w:hint="eastAsia"/>
          <w:rtl/>
        </w:rPr>
        <w:t>במרמה</w:t>
      </w:r>
      <w:r w:rsidRPr="00A210E9">
        <w:rPr>
          <w:rFonts w:eastAsia="Calibri"/>
          <w:rtl/>
        </w:rPr>
        <w:t xml:space="preserve"> </w:t>
      </w:r>
      <w:r w:rsidRPr="00A210E9">
        <w:rPr>
          <w:rFonts w:eastAsia="Calibri" w:hint="eastAsia"/>
          <w:rtl/>
        </w:rPr>
        <w:t>היו</w:t>
      </w:r>
      <w:r w:rsidRPr="00A210E9">
        <w:rPr>
          <w:rFonts w:eastAsia="Calibri"/>
          <w:rtl/>
        </w:rPr>
        <w:t xml:space="preserve"> </w:t>
      </w:r>
      <w:r w:rsidRPr="00A210E9">
        <w:rPr>
          <w:rFonts w:eastAsia="Calibri" w:hint="eastAsia"/>
          <w:rtl/>
        </w:rPr>
        <w:t>לא</w:t>
      </w:r>
      <w:r w:rsidRPr="00A210E9">
        <w:rPr>
          <w:rFonts w:eastAsia="Calibri"/>
          <w:rtl/>
        </w:rPr>
        <w:t xml:space="preserve"> </w:t>
      </w:r>
      <w:r w:rsidRPr="00A210E9">
        <w:rPr>
          <w:rFonts w:eastAsia="Calibri" w:hint="eastAsia"/>
          <w:rtl/>
        </w:rPr>
        <w:t>רק</w:t>
      </w:r>
      <w:r w:rsidRPr="00A210E9">
        <w:rPr>
          <w:rFonts w:eastAsia="Calibri"/>
          <w:rtl/>
        </w:rPr>
        <w:t xml:space="preserve"> </w:t>
      </w:r>
      <w:r w:rsidRPr="00A210E9">
        <w:rPr>
          <w:rFonts w:eastAsia="Calibri" w:hint="eastAsia"/>
          <w:rtl/>
        </w:rPr>
        <w:t>מצפון</w:t>
      </w:r>
      <w:r w:rsidRPr="00A210E9">
        <w:rPr>
          <w:rFonts w:eastAsia="Calibri"/>
          <w:rtl/>
        </w:rPr>
        <w:t xml:space="preserve"> </w:t>
      </w:r>
      <w:r w:rsidRPr="00A210E9">
        <w:rPr>
          <w:rFonts w:eastAsia="Calibri" w:hint="eastAsia"/>
          <w:rtl/>
        </w:rPr>
        <w:t>הארץ</w:t>
      </w:r>
      <w:r w:rsidRPr="00A210E9">
        <w:rPr>
          <w:rFonts w:eastAsia="Calibri"/>
          <w:rtl/>
        </w:rPr>
        <w:t xml:space="preserve">, </w:t>
      </w:r>
      <w:r w:rsidRPr="00A210E9">
        <w:rPr>
          <w:rFonts w:eastAsia="Calibri" w:hint="eastAsia"/>
          <w:rtl/>
        </w:rPr>
        <w:t>אלא</w:t>
      </w:r>
      <w:r w:rsidRPr="00A210E9">
        <w:rPr>
          <w:rFonts w:eastAsia="Calibri"/>
          <w:rtl/>
        </w:rPr>
        <w:t xml:space="preserve"> </w:t>
      </w:r>
      <w:r w:rsidRPr="00A210E9">
        <w:rPr>
          <w:rFonts w:eastAsia="Calibri" w:hint="eastAsia"/>
          <w:rtl/>
        </w:rPr>
        <w:t>מעשרות</w:t>
      </w:r>
      <w:r w:rsidRPr="00A210E9">
        <w:rPr>
          <w:rFonts w:eastAsia="Calibri"/>
          <w:rtl/>
        </w:rPr>
        <w:t xml:space="preserve"> יישובים המפוזרים </w:t>
      </w:r>
      <w:r w:rsidRPr="00A210E9">
        <w:rPr>
          <w:rFonts w:eastAsia="Calibri" w:hint="eastAsia"/>
          <w:rtl/>
        </w:rPr>
        <w:t>ברחבי</w:t>
      </w:r>
      <w:r w:rsidRPr="00A210E9">
        <w:rPr>
          <w:rFonts w:eastAsia="Calibri"/>
          <w:rtl/>
        </w:rPr>
        <w:t xml:space="preserve"> הארץ. סך </w:t>
      </w:r>
      <w:r w:rsidRPr="00A210E9">
        <w:rPr>
          <w:rFonts w:eastAsia="Calibri" w:hint="eastAsia"/>
          <w:rtl/>
        </w:rPr>
        <w:t>ההנחה</w:t>
      </w:r>
      <w:r w:rsidRPr="00A210E9">
        <w:rPr>
          <w:rFonts w:eastAsia="Calibri"/>
          <w:rtl/>
        </w:rPr>
        <w:t xml:space="preserve"> בגין האגרה המופחתת שקיבלו עמד על כ</w:t>
      </w:r>
      <w:r w:rsidRPr="00A210E9">
        <w:rPr>
          <w:rFonts w:eastAsia="Calibri" w:hint="eastAsia"/>
          <w:rtl/>
        </w:rPr>
        <w:t>מאות</w:t>
      </w:r>
      <w:r w:rsidRPr="00A210E9">
        <w:rPr>
          <w:rFonts w:eastAsia="Calibri"/>
          <w:rtl/>
        </w:rPr>
        <w:t xml:space="preserve"> </w:t>
      </w:r>
      <w:r w:rsidRPr="00A210E9">
        <w:rPr>
          <w:rFonts w:eastAsia="Calibri" w:hint="eastAsia"/>
          <w:rtl/>
        </w:rPr>
        <w:t>אלפי</w:t>
      </w:r>
      <w:r w:rsidRPr="00A210E9">
        <w:rPr>
          <w:rFonts w:eastAsia="Calibri"/>
          <w:rtl/>
        </w:rPr>
        <w:t xml:space="preserve"> ש"ח. סכומי </w:t>
      </w:r>
      <w:r w:rsidRPr="00A210E9">
        <w:rPr>
          <w:rFonts w:eastAsia="Calibri" w:hint="eastAsia"/>
          <w:rtl/>
        </w:rPr>
        <w:t>ההנחה</w:t>
      </w:r>
      <w:r w:rsidRPr="00A210E9">
        <w:rPr>
          <w:rFonts w:eastAsia="Calibri"/>
          <w:rtl/>
        </w:rPr>
        <w:t xml:space="preserve"> </w:t>
      </w:r>
      <w:r w:rsidRPr="00A210E9">
        <w:rPr>
          <w:rFonts w:eastAsia="Calibri" w:hint="eastAsia"/>
          <w:rtl/>
        </w:rPr>
        <w:t>נעו</w:t>
      </w:r>
      <w:r w:rsidRPr="00A210E9">
        <w:rPr>
          <w:rFonts w:eastAsia="Calibri"/>
          <w:rtl/>
        </w:rPr>
        <w:t xml:space="preserve"> </w:t>
      </w:r>
      <w:r w:rsidRPr="00A210E9">
        <w:rPr>
          <w:rFonts w:eastAsia="Calibri" w:hint="eastAsia"/>
          <w:rtl/>
        </w:rPr>
        <w:t>בין</w:t>
      </w:r>
      <w:r w:rsidRPr="00A210E9">
        <w:rPr>
          <w:rFonts w:eastAsia="Calibri"/>
          <w:rtl/>
        </w:rPr>
        <w:t xml:space="preserve"> </w:t>
      </w:r>
      <w:r w:rsidRPr="00A210E9">
        <w:rPr>
          <w:rFonts w:eastAsia="Calibri" w:hint="eastAsia"/>
          <w:rtl/>
        </w:rPr>
        <w:t>מאות</w:t>
      </w:r>
      <w:r w:rsidRPr="00A210E9">
        <w:rPr>
          <w:rFonts w:eastAsia="Calibri"/>
          <w:rtl/>
        </w:rPr>
        <w:t xml:space="preserve"> </w:t>
      </w:r>
      <w:r w:rsidRPr="00A210E9">
        <w:rPr>
          <w:rFonts w:eastAsia="Calibri" w:hint="eastAsia"/>
          <w:rtl/>
        </w:rPr>
        <w:t>שקלים</w:t>
      </w:r>
      <w:r w:rsidRPr="00A210E9">
        <w:rPr>
          <w:rFonts w:eastAsia="Calibri"/>
          <w:rtl/>
        </w:rPr>
        <w:t xml:space="preserve"> </w:t>
      </w:r>
      <w:r w:rsidRPr="00A210E9">
        <w:rPr>
          <w:rFonts w:eastAsia="Calibri" w:hint="eastAsia"/>
          <w:rtl/>
        </w:rPr>
        <w:t>לאלפי</w:t>
      </w:r>
      <w:r w:rsidRPr="00A210E9">
        <w:rPr>
          <w:rFonts w:eastAsia="Calibri"/>
          <w:rtl/>
        </w:rPr>
        <w:t xml:space="preserve"> ש"ח, ואף היו כאלה </w:t>
      </w:r>
      <w:r w:rsidRPr="00A210E9">
        <w:rPr>
          <w:rFonts w:eastAsia="Calibri" w:hint="eastAsia"/>
          <w:rtl/>
        </w:rPr>
        <w:t>שאחרי</w:t>
      </w:r>
      <w:r w:rsidRPr="00A210E9">
        <w:rPr>
          <w:rFonts w:eastAsia="Calibri"/>
          <w:rtl/>
        </w:rPr>
        <w:t xml:space="preserve"> שקיבלו את התג </w:t>
      </w:r>
      <w:r w:rsidRPr="00A210E9">
        <w:rPr>
          <w:rFonts w:eastAsia="Calibri" w:hint="eastAsia"/>
          <w:rtl/>
        </w:rPr>
        <w:t>לא</w:t>
      </w:r>
      <w:r w:rsidRPr="00A210E9">
        <w:rPr>
          <w:rFonts w:eastAsia="Calibri"/>
          <w:rtl/>
        </w:rPr>
        <w:t xml:space="preserve"> </w:t>
      </w:r>
      <w:r w:rsidRPr="00A210E9">
        <w:rPr>
          <w:rFonts w:eastAsia="Calibri" w:hint="eastAsia"/>
          <w:rtl/>
        </w:rPr>
        <w:t>ביקשו</w:t>
      </w:r>
      <w:r w:rsidRPr="00A210E9">
        <w:rPr>
          <w:rFonts w:eastAsia="Calibri"/>
          <w:rtl/>
        </w:rPr>
        <w:t xml:space="preserve"> </w:t>
      </w:r>
      <w:r w:rsidRPr="00A210E9">
        <w:rPr>
          <w:rFonts w:eastAsia="Calibri" w:hint="eastAsia"/>
          <w:rtl/>
        </w:rPr>
        <w:t>החזר</w:t>
      </w:r>
      <w:r w:rsidRPr="00A210E9">
        <w:rPr>
          <w:rFonts w:eastAsia="Calibri"/>
          <w:rtl/>
        </w:rPr>
        <w:t xml:space="preserve"> </w:t>
      </w:r>
      <w:r w:rsidRPr="00A210E9">
        <w:rPr>
          <w:rFonts w:eastAsia="Calibri" w:hint="eastAsia"/>
          <w:rtl/>
        </w:rPr>
        <w:t>בגין</w:t>
      </w:r>
      <w:r w:rsidRPr="00A210E9">
        <w:rPr>
          <w:rFonts w:eastAsia="Calibri"/>
          <w:rtl/>
        </w:rPr>
        <w:t xml:space="preserve"> </w:t>
      </w:r>
      <w:r w:rsidRPr="00A210E9">
        <w:rPr>
          <w:rFonts w:eastAsia="Calibri" w:hint="eastAsia"/>
          <w:rtl/>
        </w:rPr>
        <w:t>האגרה</w:t>
      </w:r>
      <w:r w:rsidRPr="00A210E9">
        <w:rPr>
          <w:rFonts w:eastAsia="Calibri"/>
          <w:rtl/>
        </w:rPr>
        <w:t xml:space="preserve"> </w:t>
      </w:r>
      <w:r w:rsidRPr="00A210E9">
        <w:rPr>
          <w:rFonts w:eastAsia="Calibri" w:hint="eastAsia"/>
          <w:rtl/>
        </w:rPr>
        <w:t>ששילמו</w:t>
      </w:r>
      <w:r w:rsidRPr="00A210E9">
        <w:rPr>
          <w:rFonts w:eastAsia="Calibri"/>
          <w:rtl/>
        </w:rPr>
        <w:t>.</w:t>
      </w:r>
      <w:r w:rsidRPr="00A210E9">
        <w:rPr>
          <w:rFonts w:eastAsia="Calibri" w:hint="cs"/>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 xml:space="preserve">על פי נוהלי אגף הרישוי, בקשות לאישור זכאות לתג חניה אמורות להיות מטופלות ביחידה למוגבלי ניידות באגף הרישוי ולא בסניפי משרד הרישוי. מהאמור עולה כי לפקידי הרישוי בסניפים היו הרשאות לבצע פעולות ידניות בנוגע לתגי חניה, לרבות הזנת החלטה לגבי אישור תג חניה. הרשאה זו אפשרה להם לאשר תגי חניה בלי שהמסמכים המוגשים ייבחנו על ידי רופאי אגף הרישוי וללא מעורבות של היחידה למוגבלי ניידות. נמצא כי המשטרה חקרה תלונה על כך שפרצה זו נוצלה בפועל, ובשנים 2021 - 2022 הונפקו במרמה </w:t>
      </w:r>
      <w:r w:rsidRPr="00A210E9">
        <w:rPr>
          <w:rFonts w:eastAsia="Calibri" w:hint="eastAsia"/>
          <w:b/>
          <w:bCs/>
          <w:rtl/>
        </w:rPr>
        <w:t>מאות</w:t>
      </w:r>
      <w:r w:rsidRPr="00A210E9">
        <w:rPr>
          <w:rFonts w:eastAsia="Calibri" w:hint="cs"/>
          <w:b/>
          <w:bCs/>
          <w:rtl/>
        </w:rPr>
        <w:t xml:space="preserve"> תגים לצמיתות ובגין חלקם ניתנו החזרי אגרה. נכון לאפריל 2026, תיק החקירה הועבר לעיון פרקליטות המדינה לשם קבלת החלטה אם להעמיד לדין את המעורבים בכך. </w:t>
      </w:r>
      <w:r w:rsidRPr="00A210E9">
        <w:rPr>
          <w:rFonts w:eastAsia="Calibri"/>
          <w:b/>
          <w:bCs/>
          <w:rtl/>
        </w:rPr>
        <w:t>סקר לאיתור סיכונים פוטנציאל</w:t>
      </w:r>
      <w:r w:rsidRPr="00A210E9">
        <w:rPr>
          <w:rFonts w:eastAsia="Calibri" w:hint="cs"/>
          <w:b/>
          <w:bCs/>
          <w:rtl/>
        </w:rPr>
        <w:t>י</w:t>
      </w:r>
      <w:r w:rsidRPr="00A210E9">
        <w:rPr>
          <w:rFonts w:eastAsia="Calibri"/>
          <w:b/>
          <w:bCs/>
          <w:rtl/>
        </w:rPr>
        <w:t>ים למעילות והונאות</w:t>
      </w:r>
      <w:r w:rsidRPr="00A210E9">
        <w:rPr>
          <w:rFonts w:eastAsia="Calibri" w:hint="cs"/>
          <w:b/>
          <w:bCs/>
          <w:rtl/>
        </w:rPr>
        <w:t xml:space="preserve"> במינהל תנועה שהגיש אגף בכיר ביקורת פנימית במשרד התחבורה בינואר 2024 עדיין סיווג פרצה זו כגורם שעלול להביא לאישור תגי חניה שלא כדין, ועל פי הסקר בעת הזאת אף לא היו קיימות בקרות לצמצום הסיכון.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eastAsia"/>
          <w:rtl/>
        </w:rPr>
        <w:t>משרד</w:t>
      </w:r>
      <w:r w:rsidRPr="00A210E9">
        <w:rPr>
          <w:rFonts w:eastAsia="Calibri"/>
          <w:rtl/>
        </w:rPr>
        <w:t xml:space="preserve"> התחבורה כתב בתשובת</w:t>
      </w:r>
      <w:r w:rsidRPr="00A210E9">
        <w:rPr>
          <w:rFonts w:eastAsia="Calibri" w:hint="eastAsia"/>
          <w:rtl/>
        </w:rPr>
        <w:t>ו</w:t>
      </w:r>
      <w:r w:rsidRPr="00A210E9">
        <w:rPr>
          <w:rFonts w:eastAsia="Calibri"/>
          <w:rtl/>
        </w:rPr>
        <w:t xml:space="preserve"> כי הוא פעל לביטול תגים שהונפקו במרמה, שלח דרישות לתשלום אגרת רכב מלאה למי שנהנו מהנחות שלא כדין, ופעל לביטול הרשאות לפקידים לביצוע פעולות במערכת. המשרד </w:t>
      </w:r>
      <w:r w:rsidRPr="00A210E9">
        <w:rPr>
          <w:rFonts w:eastAsia="Calibri" w:hint="eastAsia"/>
          <w:rtl/>
        </w:rPr>
        <w:t>ציין</w:t>
      </w:r>
      <w:r w:rsidRPr="00A210E9">
        <w:rPr>
          <w:rFonts w:eastAsia="Calibri"/>
          <w:rtl/>
        </w:rPr>
        <w:t xml:space="preserve"> </w:t>
      </w:r>
      <w:r w:rsidRPr="00A210E9">
        <w:rPr>
          <w:rFonts w:eastAsia="Calibri" w:hint="eastAsia"/>
          <w:rtl/>
        </w:rPr>
        <w:t>עוד</w:t>
      </w:r>
      <w:r w:rsidRPr="00A210E9">
        <w:rPr>
          <w:rFonts w:eastAsia="Calibri"/>
          <w:rtl/>
        </w:rPr>
        <w:t xml:space="preserve"> </w:t>
      </w:r>
      <w:r w:rsidRPr="00A210E9">
        <w:rPr>
          <w:rFonts w:eastAsia="Calibri" w:hint="eastAsia"/>
          <w:rtl/>
        </w:rPr>
        <w:t>כי</w:t>
      </w:r>
      <w:r w:rsidRPr="00A210E9">
        <w:rPr>
          <w:rFonts w:eastAsia="Calibri"/>
          <w:rtl/>
        </w:rPr>
        <w:t xml:space="preserve"> </w:t>
      </w:r>
      <w:r w:rsidRPr="00A210E9">
        <w:rPr>
          <w:rFonts w:eastAsia="Calibri" w:hint="eastAsia"/>
          <w:rtl/>
        </w:rPr>
        <w:t>הוא</w:t>
      </w:r>
      <w:r w:rsidRPr="00A210E9">
        <w:rPr>
          <w:rFonts w:eastAsia="Calibri"/>
          <w:rtl/>
        </w:rPr>
        <w:t xml:space="preserve"> </w:t>
      </w:r>
      <w:r w:rsidRPr="00A210E9">
        <w:rPr>
          <w:rFonts w:eastAsia="Calibri" w:hint="eastAsia"/>
          <w:rtl/>
        </w:rPr>
        <w:t>מקדם</w:t>
      </w:r>
      <w:r w:rsidRPr="00A210E9">
        <w:rPr>
          <w:rFonts w:eastAsia="Calibri"/>
          <w:rtl/>
        </w:rPr>
        <w:t xml:space="preserve"> </w:t>
      </w:r>
      <w:r w:rsidRPr="00A210E9">
        <w:rPr>
          <w:rFonts w:eastAsia="Calibri" w:hint="cs"/>
          <w:rtl/>
        </w:rPr>
        <w:t>שיפור</w:t>
      </w:r>
      <w:r w:rsidRPr="00A210E9">
        <w:rPr>
          <w:rFonts w:eastAsia="Calibri"/>
          <w:rtl/>
        </w:rPr>
        <w:t xml:space="preserve"> נוסף של מנגנוני ההרשאה והבקרה במערכות.</w:t>
      </w:r>
    </w:p>
    <w:p w:rsidR="00A210E9" w:rsidRPr="00A210E9" w:rsidP="00A210E9">
      <w:pPr>
        <w:keepNext/>
        <w:keepLines/>
        <w:spacing w:line="269" w:lineRule="auto"/>
        <w:ind w:left="-567"/>
        <w:rPr>
          <w:rFonts w:eastAsia="Calibri"/>
          <w:szCs w:val="20"/>
        </w:rPr>
      </w:pPr>
    </w:p>
    <w:p w:rsidR="00A210E9" w:rsidRPr="00A210E9" w:rsidP="00A210E9">
      <w:pPr>
        <w:spacing w:line="269" w:lineRule="auto"/>
        <w:rPr>
          <w:rFonts w:eastAsia="Calibri"/>
          <w:b/>
          <w:bCs/>
        </w:rPr>
      </w:pPr>
      <w:r w:rsidRPr="00A210E9">
        <w:rPr>
          <w:rFonts w:eastAsia="Calibri" w:hint="cs"/>
          <w:b/>
          <w:bCs/>
          <w:rtl/>
        </w:rPr>
        <w:t>על אגף הרישוי ועל אגף מערכות מידע במשרד התחבורה למפות את כלל הסיכונים הנוגעים להרשאות במערכות המידע הקשורות לתהליך הנפקת תג חניה ולפעול לצמצומם. בתוך כך, יש לוודא שההרשאות למערכות ניתנות לפי הפעולות הנדרשות מהמשתמשים על פי הנהלים.</w:t>
      </w:r>
    </w:p>
    <w:p w:rsidR="00A210E9" w:rsidRPr="00A210E9" w:rsidP="00A210E9">
      <w:pPr>
        <w:keepNext/>
        <w:keepLines/>
        <w:spacing w:line="269" w:lineRule="auto"/>
        <w:ind w:left="-567"/>
        <w:rPr>
          <w:rFonts w:eastAsia="Calibri"/>
          <w:szCs w:val="20"/>
          <w:rtl/>
        </w:rPr>
      </w:pPr>
    </w:p>
    <w:p w:rsidR="00A210E9" w:rsidRPr="00A210E9" w:rsidP="00A210E9">
      <w:pPr>
        <w:keepNext/>
        <w:keepLines/>
        <w:spacing w:line="269" w:lineRule="auto"/>
        <w:outlineLvl w:val="4"/>
        <w:rPr>
          <w:rFonts w:eastAsia="Times New Roman"/>
          <w:bCs/>
          <w:spacing w:val="40"/>
          <w:rtl/>
        </w:rPr>
      </w:pPr>
      <w:r w:rsidRPr="00A210E9">
        <w:rPr>
          <w:rFonts w:eastAsia="Times New Roman" w:hint="cs"/>
          <w:bCs/>
          <w:spacing w:val="40"/>
          <w:rtl/>
        </w:rPr>
        <w:t>חקירת חשד להונאה באישור והנפקה של אלפי תגי חניה מאז 2021 - תוך שימוש במסמכים רפואיים מזויפים</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rtl/>
        </w:rPr>
        <w:t>במהלך 2022</w:t>
      </w:r>
      <w:r w:rsidRPr="00A210E9">
        <w:rPr>
          <w:rFonts w:eastAsia="Calibri" w:hint="cs"/>
          <w:rtl/>
        </w:rPr>
        <w:t xml:space="preserve"> </w:t>
      </w:r>
      <w:r w:rsidRPr="00A210E9">
        <w:rPr>
          <w:rFonts w:eastAsia="Calibri"/>
          <w:rtl/>
        </w:rPr>
        <w:t xml:space="preserve">יזם משרד התחבורה </w:t>
      </w:r>
      <w:r w:rsidRPr="00A210E9">
        <w:rPr>
          <w:rFonts w:eastAsia="Calibri" w:hint="cs"/>
          <w:rtl/>
        </w:rPr>
        <w:t xml:space="preserve">את הבדיקה החקירתית 2023, באמצעות חברת ביקורת חיצונית, בשל </w:t>
      </w:r>
      <w:r w:rsidRPr="00A210E9">
        <w:rPr>
          <w:rFonts w:eastAsia="Calibri"/>
          <w:rtl/>
        </w:rPr>
        <w:t xml:space="preserve">ליקויים שהתגלו </w:t>
      </w:r>
      <w:r w:rsidRPr="00A210E9">
        <w:rPr>
          <w:rFonts w:eastAsia="Calibri" w:hint="cs"/>
          <w:rtl/>
        </w:rPr>
        <w:t xml:space="preserve">בנוגע </w:t>
      </w:r>
      <w:r w:rsidRPr="00A210E9">
        <w:rPr>
          <w:rFonts w:eastAsia="Calibri"/>
          <w:rtl/>
        </w:rPr>
        <w:t xml:space="preserve">לאופן </w:t>
      </w:r>
      <w:r w:rsidRPr="00A210E9">
        <w:rPr>
          <w:rFonts w:eastAsia="Calibri" w:hint="cs"/>
          <w:rtl/>
        </w:rPr>
        <w:t>ה</w:t>
      </w:r>
      <w:r w:rsidRPr="00A210E9">
        <w:rPr>
          <w:rFonts w:eastAsia="Calibri"/>
          <w:rtl/>
        </w:rPr>
        <w:t>טיפול בבקשות ו</w:t>
      </w:r>
      <w:r w:rsidRPr="00A210E9">
        <w:rPr>
          <w:rFonts w:eastAsia="Calibri" w:hint="cs"/>
          <w:rtl/>
        </w:rPr>
        <w:t>ל</w:t>
      </w:r>
      <w:r w:rsidRPr="00A210E9">
        <w:rPr>
          <w:rFonts w:eastAsia="Calibri"/>
          <w:rtl/>
        </w:rPr>
        <w:t>החלטות שניתנו</w:t>
      </w:r>
      <w:r w:rsidRPr="00A210E9">
        <w:rPr>
          <w:rFonts w:eastAsia="Calibri" w:hint="cs"/>
          <w:rtl/>
        </w:rPr>
        <w:t xml:space="preserve"> בהן.</w:t>
      </w:r>
      <w:r w:rsidRPr="00A210E9">
        <w:rPr>
          <w:rFonts w:eastAsia="Calibri"/>
          <w:rtl/>
        </w:rPr>
        <w:t xml:space="preserve"> </w:t>
      </w:r>
      <w:r w:rsidRPr="00A210E9">
        <w:rPr>
          <w:rFonts w:eastAsia="Calibri" w:hint="cs"/>
          <w:rtl/>
        </w:rPr>
        <w:t xml:space="preserve">בבדיקה נמצא כי </w:t>
      </w:r>
      <w:r w:rsidRPr="00A210E9">
        <w:rPr>
          <w:rFonts w:ascii="David" w:eastAsia="Calibri" w:hAnsi="David" w:hint="cs"/>
          <w:rtl/>
        </w:rPr>
        <w:t xml:space="preserve">חברות המגישות בקשות לתג חניה עבור אנשים אחרים משתמשים באותן כתובות דוא"ל כדי להגיש מספר רב של בקשות. </w:t>
      </w:r>
      <w:r w:rsidRPr="00A210E9">
        <w:rPr>
          <w:rFonts w:ascii="David" w:eastAsia="Calibri" w:hAnsi="David"/>
          <w:rtl/>
        </w:rPr>
        <w:t>בשנים 2021</w:t>
      </w:r>
      <w:r w:rsidRPr="00A210E9">
        <w:rPr>
          <w:rFonts w:ascii="David" w:eastAsia="Calibri" w:hAnsi="David" w:hint="cs"/>
          <w:rtl/>
        </w:rPr>
        <w:t xml:space="preserve"> </w:t>
      </w:r>
      <w:r w:rsidRPr="00A210E9">
        <w:rPr>
          <w:rFonts w:ascii="David" w:eastAsia="Calibri" w:hAnsi="David"/>
          <w:rtl/>
        </w:rPr>
        <w:t>-</w:t>
      </w:r>
      <w:r w:rsidRPr="00A210E9">
        <w:rPr>
          <w:rFonts w:ascii="David" w:eastAsia="Calibri" w:hAnsi="David" w:hint="cs"/>
          <w:rtl/>
        </w:rPr>
        <w:t xml:space="preserve"> </w:t>
      </w:r>
      <w:r w:rsidRPr="00A210E9">
        <w:rPr>
          <w:rFonts w:ascii="David" w:eastAsia="Calibri" w:hAnsi="David"/>
          <w:rtl/>
        </w:rPr>
        <w:t xml:space="preserve">2022 </w:t>
      </w:r>
      <w:r w:rsidRPr="00A210E9">
        <w:rPr>
          <w:rFonts w:ascii="David" w:eastAsia="Calibri" w:hAnsi="David" w:hint="cs"/>
          <w:rtl/>
        </w:rPr>
        <w:t xml:space="preserve">הוגשו </w:t>
      </w:r>
      <w:r w:rsidRPr="00A210E9">
        <w:rPr>
          <w:rFonts w:ascii="David" w:eastAsia="Calibri" w:hAnsi="David"/>
          <w:rtl/>
        </w:rPr>
        <w:t>מ</w:t>
      </w:r>
      <w:r w:rsidRPr="00A210E9">
        <w:rPr>
          <w:rFonts w:ascii="David" w:eastAsia="Calibri" w:hAnsi="David" w:hint="cs"/>
          <w:rtl/>
        </w:rPr>
        <w:t>ממספר מועט של</w:t>
      </w:r>
      <w:r w:rsidRPr="00A210E9">
        <w:rPr>
          <w:rFonts w:ascii="David" w:eastAsia="Calibri" w:hAnsi="David"/>
          <w:rtl/>
        </w:rPr>
        <w:t xml:space="preserve"> כתובות</w:t>
      </w:r>
      <w:r w:rsidRPr="00A210E9">
        <w:rPr>
          <w:rFonts w:ascii="David" w:eastAsia="Calibri" w:hAnsi="David" w:hint="cs"/>
          <w:rtl/>
        </w:rPr>
        <w:t xml:space="preserve"> </w:t>
      </w:r>
      <w:r w:rsidRPr="00A210E9">
        <w:rPr>
          <w:rFonts w:ascii="David" w:eastAsia="Calibri" w:hAnsi="David"/>
          <w:rtl/>
        </w:rPr>
        <w:t xml:space="preserve">דוא"ל </w:t>
      </w:r>
      <w:r w:rsidRPr="00A210E9">
        <w:rPr>
          <w:rFonts w:ascii="David" w:eastAsia="Calibri" w:hAnsi="David" w:hint="cs"/>
          <w:rtl/>
        </w:rPr>
        <w:t xml:space="preserve">אלפי </w:t>
      </w:r>
      <w:r w:rsidRPr="00A210E9">
        <w:rPr>
          <w:rFonts w:ascii="David" w:eastAsia="Calibri" w:hAnsi="David"/>
          <w:rtl/>
        </w:rPr>
        <w:t>בקשות</w:t>
      </w:r>
      <w:r w:rsidRPr="00A210E9">
        <w:rPr>
          <w:rFonts w:ascii="David" w:eastAsia="Calibri" w:hAnsi="David" w:hint="cs"/>
          <w:rtl/>
        </w:rPr>
        <w:t xml:space="preserve"> לתג חניה</w:t>
      </w:r>
      <w:r w:rsidRPr="00A210E9">
        <w:rPr>
          <w:rFonts w:ascii="David" w:eastAsia="Calibri" w:hAnsi="David"/>
          <w:rtl/>
        </w:rPr>
        <w:t>.</w:t>
      </w:r>
      <w:r w:rsidRPr="00A210E9">
        <w:rPr>
          <w:rFonts w:ascii="David" w:eastAsia="Calibri" w:hAnsi="David" w:hint="cs"/>
          <w:rtl/>
        </w:rPr>
        <w:t xml:space="preserve"> נוכח ממצאי בדיקתו צוות הבדיקה העלה חשש כי מדובר בבקשות שמוגשות באמצעים לא כשרים. </w:t>
      </w:r>
      <w:r w:rsidRPr="00A210E9">
        <w:rPr>
          <w:rFonts w:eastAsia="Calibri" w:hint="cs"/>
          <w:rtl/>
        </w:rPr>
        <w:t xml:space="preserve">בביקורת החיצונית הומלץ </w:t>
      </w:r>
      <w:r w:rsidRPr="00A210E9">
        <w:rPr>
          <w:rFonts w:ascii="David" w:eastAsia="Calibri" w:hAnsi="David" w:hint="cs"/>
          <w:rtl/>
        </w:rPr>
        <w:t>לבחון</w:t>
      </w:r>
      <w:r w:rsidRPr="00A210E9">
        <w:rPr>
          <w:rFonts w:eastAsia="Calibri"/>
          <w:rtl/>
        </w:rPr>
        <w:t xml:space="preserve"> </w:t>
      </w:r>
      <w:r w:rsidRPr="00A210E9">
        <w:rPr>
          <w:rFonts w:ascii="David" w:eastAsia="Calibri" w:hAnsi="David" w:hint="cs"/>
          <w:rtl/>
        </w:rPr>
        <w:t>לעומק</w:t>
      </w:r>
      <w:r w:rsidRPr="00A210E9">
        <w:rPr>
          <w:rFonts w:eastAsia="Calibri"/>
          <w:rtl/>
        </w:rPr>
        <w:t xml:space="preserve"> </w:t>
      </w:r>
      <w:r w:rsidRPr="00A210E9">
        <w:rPr>
          <w:rFonts w:ascii="David" w:eastAsia="Calibri" w:hAnsi="David" w:hint="cs"/>
          <w:rtl/>
        </w:rPr>
        <w:t>בקשות</w:t>
      </w:r>
      <w:r w:rsidRPr="00A210E9">
        <w:rPr>
          <w:rFonts w:eastAsia="Calibri"/>
          <w:rtl/>
        </w:rPr>
        <w:t xml:space="preserve"> </w:t>
      </w:r>
      <w:r w:rsidRPr="00A210E9">
        <w:rPr>
          <w:rFonts w:ascii="David" w:eastAsia="Calibri" w:hAnsi="David" w:hint="cs"/>
          <w:rtl/>
        </w:rPr>
        <w:t>שמוגשות</w:t>
      </w:r>
      <w:r w:rsidRPr="00A210E9">
        <w:rPr>
          <w:rFonts w:eastAsia="Calibri"/>
          <w:rtl/>
        </w:rPr>
        <w:t xml:space="preserve"> </w:t>
      </w:r>
      <w:r w:rsidRPr="00A210E9">
        <w:rPr>
          <w:rFonts w:ascii="David" w:eastAsia="Calibri" w:hAnsi="David" w:hint="cs"/>
          <w:rtl/>
        </w:rPr>
        <w:t>במרוכז</w:t>
      </w:r>
      <w:r w:rsidRPr="00A210E9">
        <w:rPr>
          <w:rFonts w:eastAsia="Calibri"/>
          <w:rtl/>
        </w:rPr>
        <w:t xml:space="preserve"> </w:t>
      </w:r>
      <w:r w:rsidRPr="00A210E9">
        <w:rPr>
          <w:rFonts w:ascii="David" w:eastAsia="Calibri" w:hAnsi="David" w:hint="cs"/>
          <w:rtl/>
        </w:rPr>
        <w:t>מחברות</w:t>
      </w:r>
      <w:r w:rsidRPr="00A210E9">
        <w:rPr>
          <w:rFonts w:eastAsia="Calibri"/>
          <w:rtl/>
        </w:rPr>
        <w:t xml:space="preserve"> </w:t>
      </w:r>
      <w:r w:rsidRPr="00A210E9">
        <w:rPr>
          <w:rFonts w:ascii="David" w:eastAsia="Calibri" w:hAnsi="David" w:hint="cs"/>
          <w:rtl/>
        </w:rPr>
        <w:t>ולדרוש</w:t>
      </w:r>
      <w:r w:rsidRPr="00A210E9">
        <w:rPr>
          <w:rFonts w:eastAsia="Calibri"/>
          <w:rtl/>
        </w:rPr>
        <w:t xml:space="preserve"> </w:t>
      </w:r>
      <w:r w:rsidRPr="00A210E9">
        <w:rPr>
          <w:rFonts w:ascii="David" w:eastAsia="Calibri" w:hAnsi="David" w:hint="cs"/>
          <w:rtl/>
        </w:rPr>
        <w:t>לקבל</w:t>
      </w:r>
      <w:r w:rsidRPr="00A210E9">
        <w:rPr>
          <w:rFonts w:eastAsia="Calibri"/>
          <w:rtl/>
        </w:rPr>
        <w:t xml:space="preserve"> </w:t>
      </w:r>
      <w:r w:rsidRPr="00A210E9">
        <w:rPr>
          <w:rFonts w:ascii="David" w:eastAsia="Calibri" w:hAnsi="David" w:hint="cs"/>
          <w:rtl/>
        </w:rPr>
        <w:t>את</w:t>
      </w:r>
      <w:r w:rsidRPr="00A210E9">
        <w:rPr>
          <w:rFonts w:eastAsia="Calibri" w:hint="cs"/>
          <w:rtl/>
        </w:rPr>
        <w:t xml:space="preserve"> </w:t>
      </w:r>
      <w:r w:rsidRPr="00A210E9">
        <w:rPr>
          <w:rFonts w:eastAsia="Calibri"/>
          <w:rtl/>
        </w:rPr>
        <w:t>זהות מגיש הבקשה</w:t>
      </w:r>
      <w:r w:rsidRPr="00A210E9">
        <w:rPr>
          <w:rFonts w:eastAsia="Calibri" w:hint="cs"/>
          <w:rtl/>
        </w:rPr>
        <w:t>;</w:t>
      </w:r>
      <w:r w:rsidRPr="00A210E9">
        <w:rPr>
          <w:rFonts w:eastAsia="Calibri"/>
          <w:rtl/>
        </w:rPr>
        <w:t xml:space="preserve"> </w:t>
      </w:r>
      <w:r w:rsidRPr="00A210E9">
        <w:rPr>
          <w:rFonts w:ascii="David" w:eastAsia="Calibri" w:hAnsi="David" w:hint="cs"/>
          <w:rtl/>
        </w:rPr>
        <w:t>לבחון</w:t>
      </w:r>
      <w:r w:rsidRPr="00A210E9">
        <w:rPr>
          <w:rFonts w:eastAsia="Calibri"/>
          <w:rtl/>
        </w:rPr>
        <w:t xml:space="preserve"> </w:t>
      </w:r>
      <w:r w:rsidRPr="00A210E9">
        <w:rPr>
          <w:rFonts w:eastAsia="Calibri" w:hint="cs"/>
          <w:rtl/>
        </w:rPr>
        <w:t xml:space="preserve">באופן </w:t>
      </w:r>
      <w:r w:rsidRPr="00A210E9">
        <w:rPr>
          <w:rFonts w:ascii="David" w:eastAsia="Calibri" w:hAnsi="David" w:hint="cs"/>
          <w:rtl/>
        </w:rPr>
        <w:t>רטרואקטיבי</w:t>
      </w:r>
      <w:r w:rsidRPr="00A210E9">
        <w:rPr>
          <w:rFonts w:eastAsia="Calibri"/>
          <w:rtl/>
        </w:rPr>
        <w:t xml:space="preserve"> </w:t>
      </w:r>
      <w:r w:rsidRPr="00A210E9">
        <w:rPr>
          <w:rFonts w:ascii="David" w:eastAsia="Calibri" w:hAnsi="David" w:hint="cs"/>
          <w:rtl/>
        </w:rPr>
        <w:t>את</w:t>
      </w:r>
      <w:r w:rsidRPr="00A210E9">
        <w:rPr>
          <w:rFonts w:eastAsia="Calibri"/>
          <w:rtl/>
        </w:rPr>
        <w:t xml:space="preserve"> </w:t>
      </w:r>
      <w:r w:rsidRPr="00A210E9">
        <w:rPr>
          <w:rFonts w:ascii="David" w:eastAsia="Calibri" w:hAnsi="David" w:hint="cs"/>
          <w:rtl/>
        </w:rPr>
        <w:t>כל</w:t>
      </w:r>
      <w:r w:rsidRPr="00A210E9">
        <w:rPr>
          <w:rFonts w:eastAsia="Calibri"/>
          <w:rtl/>
        </w:rPr>
        <w:t xml:space="preserve"> </w:t>
      </w:r>
      <w:r w:rsidRPr="00A210E9">
        <w:rPr>
          <w:rFonts w:ascii="David" w:eastAsia="Calibri" w:hAnsi="David" w:hint="cs"/>
          <w:rtl/>
        </w:rPr>
        <w:t>תגי</w:t>
      </w:r>
      <w:r w:rsidRPr="00A210E9">
        <w:rPr>
          <w:rFonts w:eastAsia="Calibri"/>
          <w:rtl/>
        </w:rPr>
        <w:t xml:space="preserve"> </w:t>
      </w:r>
      <w:r w:rsidRPr="00A210E9">
        <w:rPr>
          <w:rFonts w:ascii="David" w:eastAsia="Calibri" w:hAnsi="David" w:hint="cs"/>
          <w:rtl/>
        </w:rPr>
        <w:t>החניה</w:t>
      </w:r>
      <w:r w:rsidRPr="00A210E9">
        <w:rPr>
          <w:rFonts w:eastAsia="Calibri"/>
          <w:rtl/>
        </w:rPr>
        <w:t xml:space="preserve"> </w:t>
      </w:r>
      <w:r w:rsidRPr="00A210E9">
        <w:rPr>
          <w:rFonts w:ascii="David" w:eastAsia="Calibri" w:hAnsi="David" w:hint="cs"/>
          <w:rtl/>
        </w:rPr>
        <w:t>הקיימים</w:t>
      </w:r>
      <w:r w:rsidRPr="00A210E9">
        <w:rPr>
          <w:rFonts w:eastAsia="Calibri"/>
          <w:rtl/>
        </w:rPr>
        <w:t xml:space="preserve"> </w:t>
      </w:r>
      <w:r w:rsidRPr="00A210E9">
        <w:rPr>
          <w:rFonts w:ascii="David" w:eastAsia="Calibri" w:hAnsi="David" w:hint="cs"/>
          <w:rtl/>
        </w:rPr>
        <w:t>שהוגשו</w:t>
      </w:r>
      <w:r w:rsidRPr="00A210E9">
        <w:rPr>
          <w:rFonts w:eastAsia="Calibri"/>
          <w:rtl/>
        </w:rPr>
        <w:t xml:space="preserve"> </w:t>
      </w:r>
      <w:r w:rsidRPr="00A210E9">
        <w:rPr>
          <w:rFonts w:ascii="David" w:eastAsia="Calibri" w:hAnsi="David" w:hint="cs"/>
          <w:rtl/>
        </w:rPr>
        <w:t>על</w:t>
      </w:r>
      <w:r w:rsidRPr="00A210E9">
        <w:rPr>
          <w:rFonts w:eastAsia="Calibri"/>
          <w:rtl/>
        </w:rPr>
        <w:t xml:space="preserve"> </w:t>
      </w:r>
      <w:r w:rsidRPr="00A210E9">
        <w:rPr>
          <w:rFonts w:ascii="David" w:eastAsia="Calibri" w:hAnsi="David" w:hint="cs"/>
          <w:rtl/>
        </w:rPr>
        <w:t>ידי</w:t>
      </w:r>
      <w:r w:rsidRPr="00A210E9">
        <w:rPr>
          <w:rFonts w:eastAsia="Calibri" w:hint="cs"/>
          <w:rtl/>
        </w:rPr>
        <w:t xml:space="preserve"> </w:t>
      </w:r>
      <w:r w:rsidRPr="00A210E9">
        <w:rPr>
          <w:rFonts w:eastAsia="Calibri"/>
          <w:rtl/>
        </w:rPr>
        <w:t>החברות החשודות ובמידת הצורך לבטלם</w:t>
      </w:r>
      <w:r w:rsidRPr="00A210E9">
        <w:rPr>
          <w:rFonts w:eastAsia="Calibri" w:hint="cs"/>
          <w:rtl/>
        </w:rPr>
        <w:t>;</w:t>
      </w:r>
      <w:r w:rsidRPr="00A210E9">
        <w:rPr>
          <w:rFonts w:eastAsia="Calibri"/>
          <w:rtl/>
        </w:rPr>
        <w:t xml:space="preserve"> </w:t>
      </w:r>
      <w:r w:rsidRPr="00A210E9">
        <w:rPr>
          <w:rFonts w:ascii="David" w:eastAsia="Calibri" w:hAnsi="David" w:hint="cs"/>
          <w:rtl/>
        </w:rPr>
        <w:t>לבחון</w:t>
      </w:r>
      <w:r w:rsidRPr="00A210E9">
        <w:rPr>
          <w:rFonts w:eastAsia="Calibri"/>
          <w:rtl/>
        </w:rPr>
        <w:t xml:space="preserve"> </w:t>
      </w:r>
      <w:r w:rsidRPr="00A210E9">
        <w:rPr>
          <w:rFonts w:ascii="David" w:eastAsia="Calibri" w:hAnsi="David" w:hint="cs"/>
          <w:rtl/>
        </w:rPr>
        <w:t>מדי</w:t>
      </w:r>
      <w:r w:rsidRPr="00A210E9">
        <w:rPr>
          <w:rFonts w:eastAsia="Calibri"/>
          <w:rtl/>
        </w:rPr>
        <w:t xml:space="preserve"> </w:t>
      </w:r>
      <w:r w:rsidRPr="00A210E9">
        <w:rPr>
          <w:rFonts w:ascii="David" w:eastAsia="Calibri" w:hAnsi="David" w:hint="cs"/>
          <w:rtl/>
        </w:rPr>
        <w:t>תקופה</w:t>
      </w:r>
      <w:r w:rsidRPr="00A210E9">
        <w:rPr>
          <w:rFonts w:eastAsia="Calibri"/>
          <w:rtl/>
        </w:rPr>
        <w:t xml:space="preserve"> </w:t>
      </w:r>
      <w:r w:rsidRPr="00A210E9">
        <w:rPr>
          <w:rFonts w:ascii="David" w:eastAsia="Calibri" w:hAnsi="David" w:hint="cs"/>
          <w:rtl/>
        </w:rPr>
        <w:t>את</w:t>
      </w:r>
      <w:r w:rsidRPr="00A210E9">
        <w:rPr>
          <w:rFonts w:eastAsia="Calibri"/>
          <w:rtl/>
        </w:rPr>
        <w:t xml:space="preserve"> </w:t>
      </w:r>
      <w:r w:rsidRPr="00A210E9">
        <w:rPr>
          <w:rFonts w:ascii="David" w:eastAsia="Calibri" w:hAnsi="David" w:hint="cs"/>
          <w:rtl/>
        </w:rPr>
        <w:t>סבירות</w:t>
      </w:r>
      <w:r w:rsidRPr="00A210E9">
        <w:rPr>
          <w:rFonts w:eastAsia="Calibri"/>
          <w:rtl/>
        </w:rPr>
        <w:t xml:space="preserve"> </w:t>
      </w:r>
      <w:r w:rsidRPr="00A210E9">
        <w:rPr>
          <w:rFonts w:ascii="David" w:eastAsia="Calibri" w:hAnsi="David" w:hint="cs"/>
          <w:rtl/>
        </w:rPr>
        <w:t>האישור</w:t>
      </w:r>
      <w:r w:rsidRPr="00A210E9">
        <w:rPr>
          <w:rFonts w:eastAsia="Calibri"/>
          <w:rtl/>
        </w:rPr>
        <w:t xml:space="preserve"> </w:t>
      </w:r>
      <w:r w:rsidRPr="00A210E9">
        <w:rPr>
          <w:rFonts w:ascii="David" w:eastAsia="Calibri" w:hAnsi="David" w:hint="cs"/>
          <w:rtl/>
        </w:rPr>
        <w:t>של</w:t>
      </w:r>
      <w:r w:rsidRPr="00A210E9">
        <w:rPr>
          <w:rFonts w:eastAsia="Calibri"/>
          <w:rtl/>
        </w:rPr>
        <w:t xml:space="preserve"> </w:t>
      </w:r>
      <w:r w:rsidRPr="00A210E9">
        <w:rPr>
          <w:rFonts w:ascii="David" w:eastAsia="Calibri" w:hAnsi="David" w:hint="cs"/>
          <w:rtl/>
        </w:rPr>
        <w:t>הבקשות</w:t>
      </w:r>
      <w:r w:rsidRPr="00A210E9">
        <w:rPr>
          <w:rFonts w:eastAsia="Calibri"/>
          <w:rtl/>
        </w:rPr>
        <w:t xml:space="preserve"> </w:t>
      </w:r>
      <w:r w:rsidRPr="00A210E9">
        <w:rPr>
          <w:rFonts w:ascii="David" w:eastAsia="Calibri" w:hAnsi="David" w:hint="cs"/>
          <w:rtl/>
        </w:rPr>
        <w:t>על</w:t>
      </w:r>
      <w:r w:rsidRPr="00A210E9">
        <w:rPr>
          <w:rFonts w:eastAsia="Calibri"/>
          <w:rtl/>
        </w:rPr>
        <w:t xml:space="preserve"> </w:t>
      </w:r>
      <w:r w:rsidRPr="00A210E9">
        <w:rPr>
          <w:rFonts w:ascii="David" w:eastAsia="Calibri" w:hAnsi="David" w:hint="cs"/>
          <w:rtl/>
        </w:rPr>
        <w:t>ידי</w:t>
      </w:r>
      <w:r w:rsidRPr="00A210E9">
        <w:rPr>
          <w:rFonts w:eastAsia="Calibri" w:hint="cs"/>
          <w:rtl/>
        </w:rPr>
        <w:t xml:space="preserve"> </w:t>
      </w:r>
      <w:r w:rsidRPr="00A210E9">
        <w:rPr>
          <w:rFonts w:eastAsia="Calibri"/>
          <w:rtl/>
        </w:rPr>
        <w:t>הרופאים השונים</w:t>
      </w:r>
      <w:r w:rsidRPr="00A210E9">
        <w:rPr>
          <w:rFonts w:eastAsia="Calibri" w:hint="cs"/>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rtl/>
        </w:rPr>
        <w:t xml:space="preserve">במקביל לכך, ובעקבות </w:t>
      </w:r>
      <w:r w:rsidRPr="00A210E9">
        <w:rPr>
          <w:rFonts w:eastAsia="Calibri" w:hint="cs"/>
          <w:rtl/>
        </w:rPr>
        <w:t>ה</w:t>
      </w:r>
      <w:r w:rsidRPr="00A210E9">
        <w:rPr>
          <w:rFonts w:eastAsia="Calibri"/>
          <w:rtl/>
        </w:rPr>
        <w:t xml:space="preserve">אירוע של חשד לזיוף מסמכים רפואיים </w:t>
      </w:r>
      <w:r w:rsidRPr="00A210E9">
        <w:rPr>
          <w:rFonts w:eastAsia="Calibri" w:hint="cs"/>
          <w:rtl/>
        </w:rPr>
        <w:t xml:space="preserve">בשנים 2021 - 2022 כאמור, </w:t>
      </w:r>
      <w:r w:rsidRPr="00A210E9">
        <w:rPr>
          <w:rFonts w:eastAsia="Calibri"/>
          <w:rtl/>
        </w:rPr>
        <w:t>הגיש</w:t>
      </w:r>
      <w:r w:rsidRPr="00A210E9">
        <w:rPr>
          <w:rFonts w:eastAsia="Calibri" w:hint="cs"/>
          <w:rtl/>
        </w:rPr>
        <w:t xml:space="preserve"> ביולי 2023 </w:t>
      </w:r>
      <w:r w:rsidRPr="00A210E9">
        <w:rPr>
          <w:rFonts w:eastAsia="Calibri"/>
          <w:rtl/>
        </w:rPr>
        <w:t xml:space="preserve">משרד התחבורה תלונה </w:t>
      </w:r>
      <w:r w:rsidRPr="00A210E9">
        <w:rPr>
          <w:rFonts w:eastAsia="Calibri" w:hint="cs"/>
          <w:rtl/>
        </w:rPr>
        <w:t>ב</w:t>
      </w:r>
      <w:r w:rsidRPr="00A210E9">
        <w:rPr>
          <w:rFonts w:eastAsia="Calibri"/>
          <w:rtl/>
        </w:rPr>
        <w:t>משטרת ישראל. עם פתיחת החקירה המשטרתית</w:t>
      </w:r>
      <w:r w:rsidRPr="00A210E9">
        <w:rPr>
          <w:rFonts w:eastAsia="Calibri" w:hint="cs"/>
          <w:rtl/>
        </w:rPr>
        <w:t xml:space="preserve"> על ידי </w:t>
      </w:r>
      <w:r w:rsidRPr="00A210E9">
        <w:rPr>
          <w:rFonts w:eastAsia="Calibri"/>
          <w:rtl/>
        </w:rPr>
        <w:t>היחידה הארצית לחקירות הונאה (יאח"ה) בלהב 433,</w:t>
      </w:r>
      <w:r w:rsidRPr="00A210E9">
        <w:rPr>
          <w:rFonts w:eastAsia="Calibri" w:hint="cs"/>
          <w:rtl/>
        </w:rPr>
        <w:t xml:space="preserve"> </w:t>
      </w:r>
      <w:r w:rsidRPr="00A210E9">
        <w:rPr>
          <w:rFonts w:eastAsia="Calibri"/>
          <w:rtl/>
        </w:rPr>
        <w:t xml:space="preserve">שהתנהלה בתחילת הדרך כחקירה סמויה, נדרשה </w:t>
      </w:r>
      <w:r w:rsidRPr="00A210E9">
        <w:rPr>
          <w:rFonts w:eastAsia="Calibri" w:hint="cs"/>
          <w:rtl/>
        </w:rPr>
        <w:t xml:space="preserve">כאמור </w:t>
      </w:r>
      <w:r w:rsidRPr="00A210E9">
        <w:rPr>
          <w:rFonts w:eastAsia="Calibri"/>
          <w:rtl/>
        </w:rPr>
        <w:t>הנהלת משרד התחבורה, בהנחיית חוקרי</w:t>
      </w:r>
      <w:r w:rsidRPr="00A210E9">
        <w:rPr>
          <w:rFonts w:eastAsia="Calibri" w:hint="cs"/>
          <w:rtl/>
        </w:rPr>
        <w:t xml:space="preserve"> </w:t>
      </w:r>
      <w:r w:rsidRPr="00A210E9">
        <w:rPr>
          <w:rFonts w:eastAsia="Calibri"/>
          <w:rtl/>
        </w:rPr>
        <w:t xml:space="preserve">המשטרה, להימנע מכל שינוי בתהליכי העבודה הקיימים </w:t>
      </w:r>
      <w:r w:rsidRPr="00A210E9">
        <w:rPr>
          <w:rFonts w:eastAsia="Calibri" w:hint="cs"/>
          <w:rtl/>
        </w:rPr>
        <w:t xml:space="preserve">הנוגעים </w:t>
      </w:r>
      <w:r w:rsidRPr="00A210E9">
        <w:rPr>
          <w:rFonts w:eastAsia="Calibri"/>
          <w:rtl/>
        </w:rPr>
        <w:t xml:space="preserve">לבקשות לתג, </w:t>
      </w:r>
      <w:r w:rsidRPr="00A210E9">
        <w:rPr>
          <w:rFonts w:eastAsia="Calibri" w:hint="cs"/>
          <w:rtl/>
        </w:rPr>
        <w:t xml:space="preserve">כדי למנוע </w:t>
      </w:r>
      <w:r w:rsidRPr="00A210E9">
        <w:rPr>
          <w:rFonts w:eastAsia="Calibri"/>
          <w:rtl/>
        </w:rPr>
        <w:t xml:space="preserve">שיבוש </w:t>
      </w:r>
      <w:r w:rsidRPr="00A210E9">
        <w:rPr>
          <w:rFonts w:eastAsia="Calibri" w:hint="cs"/>
          <w:rtl/>
        </w:rPr>
        <w:t>ב</w:t>
      </w:r>
      <w:r w:rsidRPr="00A210E9">
        <w:rPr>
          <w:rFonts w:eastAsia="Calibri"/>
          <w:rtl/>
        </w:rPr>
        <w:t xml:space="preserve">הליכי </w:t>
      </w:r>
      <w:r w:rsidRPr="00A210E9">
        <w:rPr>
          <w:rFonts w:eastAsia="Calibri" w:hint="cs"/>
          <w:rtl/>
        </w:rPr>
        <w:t>ה</w:t>
      </w:r>
      <w:r w:rsidRPr="00A210E9">
        <w:rPr>
          <w:rFonts w:eastAsia="Calibri"/>
          <w:rtl/>
        </w:rPr>
        <w:t>חקירה.</w:t>
      </w:r>
      <w:r w:rsidRPr="00A210E9">
        <w:rPr>
          <w:rFonts w:eastAsia="Calibri" w:hint="cs"/>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ה</w:t>
      </w:r>
      <w:r w:rsidRPr="00A210E9">
        <w:rPr>
          <w:rFonts w:eastAsia="Calibri"/>
          <w:rtl/>
        </w:rPr>
        <w:t>חקירה</w:t>
      </w:r>
      <w:r w:rsidRPr="00A210E9">
        <w:rPr>
          <w:rFonts w:eastAsia="Calibri" w:hint="cs"/>
          <w:rtl/>
        </w:rPr>
        <w:t>, שמנוהלת בתיאום ובשיתוף פעולה עם משרד התחבורה,</w:t>
      </w:r>
      <w:r w:rsidRPr="00A210E9">
        <w:rPr>
          <w:rFonts w:eastAsia="Calibri"/>
          <w:rtl/>
        </w:rPr>
        <w:t xml:space="preserve"> </w:t>
      </w:r>
      <w:r w:rsidRPr="00A210E9">
        <w:rPr>
          <w:rFonts w:eastAsia="Calibri" w:hint="cs"/>
          <w:rtl/>
        </w:rPr>
        <w:t>בוחנת חשדות ל</w:t>
      </w:r>
      <w:r w:rsidRPr="00A210E9">
        <w:rPr>
          <w:rFonts w:eastAsia="Calibri"/>
          <w:rtl/>
        </w:rPr>
        <w:t xml:space="preserve">סחר סדרתי ושיטתי באלפי תגי </w:t>
      </w:r>
      <w:r w:rsidRPr="00A210E9">
        <w:rPr>
          <w:rFonts w:eastAsia="Calibri" w:hint="cs"/>
          <w:rtl/>
        </w:rPr>
        <w:t>חניה</w:t>
      </w:r>
      <w:r w:rsidRPr="00A210E9">
        <w:rPr>
          <w:rFonts w:eastAsia="Calibri"/>
          <w:rtl/>
        </w:rPr>
        <w:t xml:space="preserve"> שהו</w:t>
      </w:r>
      <w:r w:rsidRPr="00A210E9">
        <w:rPr>
          <w:rFonts w:eastAsia="Calibri" w:hint="cs"/>
          <w:rtl/>
        </w:rPr>
        <w:t>נ</w:t>
      </w:r>
      <w:r w:rsidRPr="00A210E9">
        <w:rPr>
          <w:rFonts w:eastAsia="Calibri"/>
          <w:rtl/>
        </w:rPr>
        <w:t xml:space="preserve">פקו במרמה ונמכרו לכל דורש, תוך פגיעה בזכויות ציבור </w:t>
      </w:r>
      <w:r w:rsidRPr="00A210E9">
        <w:rPr>
          <w:rFonts w:eastAsia="Calibri" w:hint="cs"/>
          <w:rtl/>
        </w:rPr>
        <w:t>האנשים עם מוגבלות</w:t>
      </w:r>
      <w:r w:rsidRPr="00A210E9">
        <w:rPr>
          <w:rFonts w:eastAsia="Calibri"/>
          <w:rtl/>
        </w:rPr>
        <w:t xml:space="preserve"> ופגיעה מצטברת בקופת המדינה </w:t>
      </w:r>
      <w:r w:rsidRPr="00A210E9">
        <w:rPr>
          <w:rFonts w:eastAsia="Calibri" w:hint="cs"/>
          <w:rtl/>
        </w:rPr>
        <w:t>בהיקף של</w:t>
      </w:r>
      <w:r w:rsidRPr="00A210E9">
        <w:rPr>
          <w:rFonts w:eastAsia="Calibri"/>
          <w:rtl/>
        </w:rPr>
        <w:t xml:space="preserve"> מאות מיליוני שקלים</w:t>
      </w:r>
      <w:r w:rsidRPr="00A210E9">
        <w:rPr>
          <w:rFonts w:eastAsia="Calibri" w:hint="cs"/>
          <w:rtl/>
        </w:rPr>
        <w:t xml:space="preserve">, </w:t>
      </w:r>
      <w:r w:rsidRPr="00A210E9">
        <w:rPr>
          <w:rFonts w:eastAsia="Calibri"/>
          <w:rtl/>
        </w:rPr>
        <w:t xml:space="preserve">בתמורה לתשלום </w:t>
      </w:r>
      <w:r w:rsidRPr="00A210E9">
        <w:rPr>
          <w:rFonts w:eastAsia="Calibri" w:hint="cs"/>
          <w:rtl/>
        </w:rPr>
        <w:t>מ</w:t>
      </w:r>
      <w:r w:rsidRPr="00A210E9">
        <w:rPr>
          <w:rFonts w:eastAsia="Calibri"/>
          <w:rtl/>
        </w:rPr>
        <w:t xml:space="preserve">מי שאינו זכאי </w:t>
      </w:r>
      <w:r w:rsidRPr="00A210E9">
        <w:rPr>
          <w:rFonts w:eastAsia="Calibri" w:hint="cs"/>
          <w:rtl/>
        </w:rPr>
        <w:t xml:space="preserve">לתג. על פי הודעת דוברות המשטרה </w:t>
      </w:r>
      <w:r w:rsidRPr="00A210E9">
        <w:rPr>
          <w:rFonts w:eastAsia="Calibri"/>
          <w:rtl/>
        </w:rPr>
        <w:t>במהלך החקירה הסמויה עלה חשד כי מאז 2021, שבה ה</w:t>
      </w:r>
      <w:r w:rsidRPr="00A210E9">
        <w:rPr>
          <w:rFonts w:eastAsia="Calibri" w:hint="cs"/>
          <w:rtl/>
        </w:rPr>
        <w:t>ו</w:t>
      </w:r>
      <w:r w:rsidRPr="00A210E9">
        <w:rPr>
          <w:rFonts w:eastAsia="Calibri"/>
          <w:rtl/>
        </w:rPr>
        <w:t xml:space="preserve">חל </w:t>
      </w:r>
      <w:r w:rsidRPr="00A210E9">
        <w:rPr>
          <w:rFonts w:eastAsia="Calibri" w:hint="cs"/>
          <w:rtl/>
        </w:rPr>
        <w:t>ב</w:t>
      </w:r>
      <w:r w:rsidRPr="00A210E9">
        <w:rPr>
          <w:rFonts w:eastAsia="Calibri"/>
          <w:rtl/>
        </w:rPr>
        <w:t>מתן אפשרות להגיש בקשות מקוונות לזכאות לתג חניה בהסתמך על הגשת מסמכים רפואיים בלבד, פעלו החשודים לי</w:t>
      </w:r>
      <w:r w:rsidRPr="00A210E9">
        <w:rPr>
          <w:rFonts w:eastAsia="Calibri" w:hint="cs"/>
          <w:rtl/>
        </w:rPr>
        <w:t>י</w:t>
      </w:r>
      <w:r w:rsidRPr="00A210E9">
        <w:rPr>
          <w:rFonts w:eastAsia="Calibri"/>
          <w:rtl/>
        </w:rPr>
        <w:t xml:space="preserve">צור מנגנון מרמה שיטתי </w:t>
      </w:r>
      <w:r w:rsidRPr="00A210E9">
        <w:rPr>
          <w:rFonts w:eastAsia="Calibri" w:hint="cs"/>
          <w:rtl/>
        </w:rPr>
        <w:t>ש</w:t>
      </w:r>
      <w:r w:rsidRPr="00A210E9">
        <w:rPr>
          <w:rFonts w:eastAsia="Calibri"/>
          <w:rtl/>
        </w:rPr>
        <w:t>א</w:t>
      </w:r>
      <w:r w:rsidRPr="00A210E9">
        <w:rPr>
          <w:rFonts w:eastAsia="Calibri" w:hint="cs"/>
          <w:rtl/>
        </w:rPr>
        <w:t>י</w:t>
      </w:r>
      <w:r w:rsidRPr="00A210E9">
        <w:rPr>
          <w:rFonts w:eastAsia="Calibri"/>
          <w:rtl/>
        </w:rPr>
        <w:t xml:space="preserve">פשר </w:t>
      </w:r>
      <w:r w:rsidRPr="00A210E9">
        <w:rPr>
          <w:rFonts w:eastAsia="Calibri" w:hint="cs"/>
          <w:rtl/>
        </w:rPr>
        <w:t>ל</w:t>
      </w:r>
      <w:r w:rsidRPr="00A210E9">
        <w:rPr>
          <w:rFonts w:eastAsia="Calibri"/>
          <w:rtl/>
        </w:rPr>
        <w:t>הנפ</w:t>
      </w:r>
      <w:r w:rsidRPr="00A210E9">
        <w:rPr>
          <w:rFonts w:eastAsia="Calibri" w:hint="cs"/>
          <w:rtl/>
        </w:rPr>
        <w:t>י</w:t>
      </w:r>
      <w:r w:rsidRPr="00A210E9">
        <w:rPr>
          <w:rFonts w:eastAsia="Calibri"/>
          <w:rtl/>
        </w:rPr>
        <w:t xml:space="preserve">ק תג </w:t>
      </w:r>
      <w:r w:rsidRPr="00A210E9">
        <w:rPr>
          <w:rFonts w:eastAsia="Calibri" w:hint="cs"/>
          <w:rtl/>
        </w:rPr>
        <w:t>חניה</w:t>
      </w:r>
      <w:r w:rsidRPr="00A210E9">
        <w:rPr>
          <w:rFonts w:eastAsia="Calibri"/>
          <w:rtl/>
        </w:rPr>
        <w:t xml:space="preserve"> לכל דורש תמורת תשלום.</w:t>
      </w:r>
      <w:r w:rsidRPr="00A210E9">
        <w:rPr>
          <w:rFonts w:eastAsia="Calibri" w:hint="cs"/>
          <w:rtl/>
        </w:rPr>
        <w:t xml:space="preserve"> </w:t>
      </w:r>
      <w:r w:rsidRPr="00A210E9">
        <w:rPr>
          <w:rFonts w:eastAsia="Calibri"/>
          <w:rtl/>
        </w:rPr>
        <w:t xml:space="preserve">חברי הרשת ניצלו את המנגנון </w:t>
      </w:r>
      <w:r w:rsidRPr="00A210E9">
        <w:rPr>
          <w:rFonts w:eastAsia="Calibri" w:hint="cs"/>
          <w:rtl/>
        </w:rPr>
        <w:t xml:space="preserve">שנועד להקל על </w:t>
      </w:r>
      <w:r w:rsidRPr="00A210E9">
        <w:rPr>
          <w:rFonts w:eastAsia="Calibri"/>
          <w:rtl/>
        </w:rPr>
        <w:t>ציבור המבקשים</w:t>
      </w:r>
      <w:r w:rsidRPr="00A210E9">
        <w:rPr>
          <w:rFonts w:eastAsia="Calibri" w:hint="cs"/>
          <w:rtl/>
        </w:rPr>
        <w:t xml:space="preserve"> ולהגיש בקשה</w:t>
      </w:r>
      <w:r w:rsidRPr="00A210E9">
        <w:rPr>
          <w:rFonts w:eastAsia="Calibri"/>
          <w:rtl/>
        </w:rPr>
        <w:t xml:space="preserve"> </w:t>
      </w:r>
      <w:r w:rsidRPr="00A210E9">
        <w:rPr>
          <w:rFonts w:eastAsia="Calibri" w:hint="cs"/>
          <w:rtl/>
        </w:rPr>
        <w:t>ל</w:t>
      </w:r>
      <w:r w:rsidRPr="00A210E9">
        <w:rPr>
          <w:rFonts w:eastAsia="Calibri"/>
          <w:rtl/>
        </w:rPr>
        <w:t>תג חניה לנכה באופן מקוון</w:t>
      </w:r>
      <w:r w:rsidRPr="00A210E9">
        <w:rPr>
          <w:rFonts w:eastAsia="Calibri" w:hint="cs"/>
          <w:rtl/>
        </w:rPr>
        <w:t>,</w:t>
      </w:r>
      <w:r w:rsidRPr="00A210E9">
        <w:rPr>
          <w:rFonts w:eastAsia="Calibri"/>
          <w:rtl/>
        </w:rPr>
        <w:t xml:space="preserve"> והציפו את האתר של החברה העסקית שסיפקה את השירות מטעם משרד התחבורה באלפי בקשות כוזבות ומזויפות, ומכרו אישורים שניתנו שלא כדין, תוך שימוש במסמכים רפואיים מזויפים.</w:t>
      </w:r>
      <w:r w:rsidRPr="00A210E9">
        <w:rPr>
          <w:rFonts w:eastAsia="Calibri" w:hint="cs"/>
          <w:rtl/>
        </w:rPr>
        <w:t xml:space="preserve"> </w:t>
      </w:r>
      <w:r w:rsidRPr="00A210E9">
        <w:rPr>
          <w:rFonts w:eastAsia="Calibri"/>
          <w:rtl/>
        </w:rPr>
        <w:t xml:space="preserve">מהחקירה עולה חשד כי </w:t>
      </w:r>
      <w:r w:rsidRPr="00A210E9">
        <w:rPr>
          <w:rFonts w:eastAsia="Calibri" w:hint="cs"/>
          <w:rtl/>
        </w:rPr>
        <w:t xml:space="preserve">בשל </w:t>
      </w:r>
      <w:r w:rsidRPr="00A210E9">
        <w:rPr>
          <w:rFonts w:eastAsia="Calibri"/>
          <w:rtl/>
        </w:rPr>
        <w:t>מעשיהם של החשודים קיבלו אלפי אזרחים</w:t>
      </w:r>
      <w:r w:rsidRPr="00A210E9">
        <w:rPr>
          <w:rFonts w:eastAsia="Calibri" w:hint="cs"/>
          <w:rtl/>
        </w:rPr>
        <w:t>,</w:t>
      </w:r>
      <w:r w:rsidRPr="00A210E9">
        <w:rPr>
          <w:rFonts w:eastAsia="Calibri"/>
          <w:rtl/>
        </w:rPr>
        <w:t xml:space="preserve"> שאינם זכאים לתג חניה</w:t>
      </w:r>
      <w:r w:rsidRPr="00A210E9">
        <w:rPr>
          <w:rFonts w:eastAsia="Calibri" w:hint="cs"/>
          <w:rtl/>
        </w:rPr>
        <w:t>,</w:t>
      </w:r>
      <w:r w:rsidRPr="00A210E9">
        <w:rPr>
          <w:rFonts w:eastAsia="Calibri"/>
          <w:rtl/>
        </w:rPr>
        <w:t xml:space="preserve"> היתרים שלא כדין, דבר שהוביל להנפקה סדרתית של תגי </w:t>
      </w:r>
      <w:r w:rsidRPr="00A210E9">
        <w:rPr>
          <w:rFonts w:eastAsia="Calibri" w:hint="cs"/>
          <w:rtl/>
        </w:rPr>
        <w:t>חניה</w:t>
      </w:r>
      <w:r w:rsidRPr="00A210E9">
        <w:rPr>
          <w:rFonts w:eastAsia="Calibri"/>
          <w:rtl/>
        </w:rPr>
        <w:t xml:space="preserve"> במרמה לכל דורש תמורת תשלום.</w:t>
      </w:r>
      <w:r w:rsidRPr="00A210E9">
        <w:rPr>
          <w:rFonts w:eastAsia="Calibri" w:hint="cs"/>
          <w:rtl/>
        </w:rPr>
        <w:t xml:space="preserve"> בדצמבר 2024 החקירה הפכה גלויה, ותוכנן כי </w:t>
      </w:r>
      <w:r w:rsidRPr="00A210E9">
        <w:rPr>
          <w:rFonts w:eastAsia="Calibri"/>
          <w:rtl/>
        </w:rPr>
        <w:t>מאות מעורבים בחשדות שעלו במהלך החקירה הסמויה</w:t>
      </w:r>
      <w:r w:rsidRPr="00A210E9">
        <w:rPr>
          <w:rFonts w:eastAsia="Calibri" w:hint="cs"/>
          <w:rtl/>
        </w:rPr>
        <w:t xml:space="preserve"> ייחקרו</w:t>
      </w:r>
      <w:r w:rsidRPr="00A210E9">
        <w:rPr>
          <w:rFonts w:eastAsia="Calibri"/>
          <w:rtl/>
        </w:rPr>
        <w:t xml:space="preserve">, </w:t>
      </w:r>
      <w:r w:rsidRPr="00A210E9">
        <w:rPr>
          <w:rFonts w:eastAsia="Calibri" w:hint="cs"/>
          <w:rtl/>
        </w:rPr>
        <w:t>ובהם</w:t>
      </w:r>
      <w:r w:rsidRPr="00A210E9">
        <w:rPr>
          <w:rFonts w:eastAsia="Calibri"/>
          <w:rtl/>
        </w:rPr>
        <w:t xml:space="preserve"> ראשי הכנופיה, מתווכים (</w:t>
      </w:r>
      <w:r w:rsidRPr="00A210E9">
        <w:rPr>
          <w:rFonts w:eastAsia="Calibri" w:hint="cs"/>
          <w:rtl/>
        </w:rPr>
        <w:t>"</w:t>
      </w:r>
      <w:r w:rsidRPr="00A210E9">
        <w:rPr>
          <w:rFonts w:eastAsia="Calibri"/>
          <w:rtl/>
        </w:rPr>
        <w:t>מאכערים</w:t>
      </w:r>
      <w:r w:rsidRPr="00A210E9">
        <w:rPr>
          <w:rFonts w:eastAsia="Calibri" w:hint="cs"/>
          <w:rtl/>
        </w:rPr>
        <w:t>"</w:t>
      </w:r>
      <w:r w:rsidRPr="00A210E9">
        <w:rPr>
          <w:rFonts w:eastAsia="Calibri"/>
          <w:rtl/>
        </w:rPr>
        <w:t>), רופאים ורוכשי התגים שלא כדין</w:t>
      </w:r>
      <w:r>
        <w:rPr>
          <w:rFonts w:eastAsia="Calibri"/>
          <w:vertAlign w:val="superscript"/>
          <w:rtl/>
        </w:rPr>
        <w:footnoteReference w:id="198"/>
      </w:r>
      <w:r w:rsidRPr="00A210E9">
        <w:rPr>
          <w:rFonts w:eastAsia="Calibri"/>
          <w:rtl/>
        </w:rPr>
        <w:t>.</w:t>
      </w:r>
      <w:r w:rsidRPr="00A210E9">
        <w:rPr>
          <w:rFonts w:eastAsia="Calibri" w:hint="cs"/>
          <w:rtl/>
        </w:rPr>
        <w:t xml:space="preserve"> </w:t>
      </w:r>
      <w:r w:rsidR="00CC1800">
        <w:rPr>
          <w:rFonts w:eastAsia="Calibri" w:hint="cs"/>
          <w:rtl/>
        </w:rPr>
        <w:t xml:space="preserve">במועד </w:t>
      </w:r>
      <w:r w:rsidRPr="00A210E9">
        <w:rPr>
          <w:rFonts w:eastAsia="Calibri" w:hint="cs"/>
          <w:rtl/>
        </w:rPr>
        <w:t>סיום הביקורת טרם הסתיימה חקירת המשטרה.</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כאמור, לאחר שהחקירה המשטרתית הפכה גלויה ערך משרד התחבורה שימוע לחברה ב' שסיפקה את שירותי הייעוץ הרפואי לאגף הרישוי, ובעקבות זאת בפברואר 2025, עם תום תקופת ההתקשרות עם החברה, לא חידש המשרד את ההתקשרות עימה. כאמור, בעקבות הפרשה עצר משרד התחבורה את הנפקתם של תגים חדשים למשך כחצי שנה בתחילת 2025, ועד ספטמבר 2025 הצטברו כ-40,000 בקשות להנפקת תגים חדשים.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bookmarkStart w:id="160" w:name="_Hlk223951397"/>
      <w:r w:rsidRPr="00A210E9">
        <w:rPr>
          <w:rFonts w:eastAsia="Calibri" w:hint="cs"/>
          <w:b/>
          <w:bCs/>
          <w:rtl/>
        </w:rPr>
        <w:t xml:space="preserve">ביולי 2023 החלה חקירה משטרתית סמויה בעקבות חשדות שהעלה משרד התחבורה בנוגע </w:t>
      </w:r>
      <w:r w:rsidR="00245E55">
        <w:rPr>
          <w:rFonts w:eastAsia="Calibri"/>
          <w:rtl/>
        </w:rPr>
        <w:br/>
      </w:r>
      <w:r w:rsidRPr="00A210E9">
        <w:rPr>
          <w:rFonts w:eastAsia="Calibri" w:hint="cs"/>
          <w:b/>
          <w:bCs/>
          <w:rtl/>
        </w:rPr>
        <w:t>לאי-סדרים בתהליך הנפקת תגי חניה. החקירה חשפה התארגנות עבריינית שעסקה משנת 2021 בסחר סדרתי ושיטתי באלפי תגי חניה שהונפקו במרמה תוך שימוש במסמכים רפואיים מזויפים. בדצמבר 2024 החקירה הפכה גלויה, ובמסגרתה היו אמורים להיחקר מאות חשודים. עם הפיכת החקירה לגלויה נעצרה הנפקת תגי חניה חדשים מינואר עד סוף מאי 2025.</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eastAsia"/>
          <w:rtl/>
        </w:rPr>
        <w:t>משרד</w:t>
      </w:r>
      <w:r w:rsidRPr="00A210E9">
        <w:rPr>
          <w:rFonts w:eastAsia="Calibri"/>
          <w:rtl/>
        </w:rPr>
        <w:t xml:space="preserve"> התחבורה </w:t>
      </w:r>
      <w:r w:rsidRPr="00A210E9">
        <w:rPr>
          <w:rFonts w:eastAsia="Calibri" w:hint="cs"/>
          <w:rtl/>
        </w:rPr>
        <w:t>מסר במאי 2025</w:t>
      </w:r>
      <w:r w:rsidRPr="00A210E9">
        <w:rPr>
          <w:rFonts w:eastAsia="Calibri"/>
          <w:rtl/>
        </w:rPr>
        <w:t xml:space="preserve"> כי </w:t>
      </w:r>
      <w:r w:rsidRPr="00A210E9">
        <w:rPr>
          <w:rFonts w:eastAsia="Calibri" w:hint="eastAsia"/>
          <w:rtl/>
        </w:rPr>
        <w:t>הוא</w:t>
      </w:r>
      <w:r w:rsidRPr="00A210E9">
        <w:rPr>
          <w:rFonts w:eastAsia="Calibri"/>
          <w:rtl/>
        </w:rPr>
        <w:t xml:space="preserve"> ביטל </w:t>
      </w:r>
      <w:r w:rsidRPr="00A210E9">
        <w:rPr>
          <w:rFonts w:eastAsia="Calibri" w:hint="cs"/>
          <w:rtl/>
        </w:rPr>
        <w:t xml:space="preserve">יותר מ-100 </w:t>
      </w:r>
      <w:r w:rsidRPr="00A210E9">
        <w:rPr>
          <w:rFonts w:eastAsia="Calibri" w:hint="eastAsia"/>
          <w:rtl/>
        </w:rPr>
        <w:t>תגי</w:t>
      </w:r>
      <w:r w:rsidRPr="00A210E9">
        <w:rPr>
          <w:rFonts w:eastAsia="Calibri"/>
          <w:rtl/>
        </w:rPr>
        <w:t xml:space="preserve"> </w:t>
      </w:r>
      <w:r w:rsidRPr="00A210E9">
        <w:rPr>
          <w:rFonts w:eastAsia="Calibri" w:hint="eastAsia"/>
          <w:rtl/>
        </w:rPr>
        <w:t>חניה</w:t>
      </w:r>
      <w:r w:rsidRPr="00A210E9">
        <w:rPr>
          <w:rFonts w:eastAsia="Calibri"/>
          <w:rtl/>
        </w:rPr>
        <w:t xml:space="preserve"> </w:t>
      </w:r>
      <w:r w:rsidRPr="00A210E9">
        <w:rPr>
          <w:rFonts w:eastAsia="Calibri" w:hint="cs"/>
          <w:rtl/>
        </w:rPr>
        <w:t>ש</w:t>
      </w:r>
      <w:r w:rsidRPr="00A210E9">
        <w:rPr>
          <w:rFonts w:eastAsia="Calibri"/>
          <w:rtl/>
        </w:rPr>
        <w:t xml:space="preserve">חקירת המשטרה </w:t>
      </w:r>
      <w:r w:rsidRPr="00A210E9">
        <w:rPr>
          <w:rFonts w:eastAsia="Calibri" w:hint="cs"/>
          <w:rtl/>
        </w:rPr>
        <w:t xml:space="preserve">העלתה </w:t>
      </w:r>
      <w:r w:rsidRPr="00A210E9">
        <w:rPr>
          <w:rFonts w:eastAsia="Calibri"/>
          <w:rtl/>
        </w:rPr>
        <w:t xml:space="preserve">ראיות </w:t>
      </w:r>
      <w:r w:rsidRPr="00A210E9">
        <w:rPr>
          <w:rFonts w:eastAsia="Calibri" w:hint="cs"/>
          <w:rtl/>
        </w:rPr>
        <w:t xml:space="preserve">המעידות שהם </w:t>
      </w:r>
      <w:r w:rsidRPr="00A210E9">
        <w:rPr>
          <w:rFonts w:eastAsia="Calibri"/>
          <w:rtl/>
        </w:rPr>
        <w:t xml:space="preserve">שהונפקו במרמה, </w:t>
      </w:r>
      <w:r w:rsidRPr="00A210E9">
        <w:rPr>
          <w:rFonts w:eastAsia="Calibri" w:hint="eastAsia"/>
          <w:rtl/>
        </w:rPr>
        <w:t>ובעליהם</w:t>
      </w:r>
      <w:r w:rsidRPr="00A210E9">
        <w:rPr>
          <w:rFonts w:eastAsia="Calibri"/>
          <w:rtl/>
        </w:rPr>
        <w:t xml:space="preserve"> </w:t>
      </w:r>
      <w:r w:rsidRPr="00A210E9">
        <w:rPr>
          <w:rFonts w:eastAsia="Calibri" w:hint="eastAsia"/>
          <w:rtl/>
        </w:rPr>
        <w:t>נדרשו</w:t>
      </w:r>
      <w:r w:rsidRPr="00A210E9">
        <w:rPr>
          <w:rFonts w:eastAsia="Calibri"/>
          <w:rtl/>
        </w:rPr>
        <w:t xml:space="preserve"> </w:t>
      </w:r>
      <w:r w:rsidRPr="00A210E9">
        <w:rPr>
          <w:rFonts w:eastAsia="Calibri" w:hint="eastAsia"/>
          <w:rtl/>
        </w:rPr>
        <w:t>לשלם</w:t>
      </w:r>
      <w:r w:rsidRPr="00A210E9">
        <w:rPr>
          <w:rFonts w:eastAsia="Calibri"/>
          <w:rtl/>
        </w:rPr>
        <w:t xml:space="preserve"> </w:t>
      </w:r>
      <w:r w:rsidRPr="00A210E9">
        <w:rPr>
          <w:rFonts w:eastAsia="Calibri" w:hint="eastAsia"/>
          <w:rtl/>
        </w:rPr>
        <w:t>את</w:t>
      </w:r>
      <w:r w:rsidRPr="00A210E9">
        <w:rPr>
          <w:rFonts w:eastAsia="Calibri"/>
          <w:rtl/>
        </w:rPr>
        <w:t xml:space="preserve"> </w:t>
      </w:r>
      <w:r w:rsidRPr="00A210E9">
        <w:rPr>
          <w:rFonts w:eastAsia="Calibri" w:hint="eastAsia"/>
          <w:rtl/>
        </w:rPr>
        <w:t>אגרת</w:t>
      </w:r>
      <w:r w:rsidRPr="00A210E9">
        <w:rPr>
          <w:rFonts w:eastAsia="Calibri"/>
          <w:rtl/>
        </w:rPr>
        <w:t xml:space="preserve"> </w:t>
      </w:r>
      <w:r w:rsidRPr="00A210E9">
        <w:rPr>
          <w:rFonts w:eastAsia="Calibri" w:hint="eastAsia"/>
          <w:rtl/>
        </w:rPr>
        <w:t>הרישוי</w:t>
      </w:r>
      <w:r w:rsidRPr="00A210E9">
        <w:rPr>
          <w:rFonts w:eastAsia="Calibri"/>
          <w:rtl/>
        </w:rPr>
        <w:t xml:space="preserve"> </w:t>
      </w:r>
      <w:r w:rsidRPr="00A210E9">
        <w:rPr>
          <w:rFonts w:eastAsia="Calibri" w:hint="eastAsia"/>
          <w:rtl/>
        </w:rPr>
        <w:t>המלאה</w:t>
      </w:r>
      <w:r w:rsidRPr="00A210E9">
        <w:rPr>
          <w:rFonts w:eastAsia="Calibri"/>
          <w:rtl/>
        </w:rPr>
        <w:t xml:space="preserve"> </w:t>
      </w:r>
      <w:r w:rsidRPr="00A210E9">
        <w:rPr>
          <w:rFonts w:eastAsia="Calibri" w:hint="cs"/>
          <w:rtl/>
        </w:rPr>
        <w:t xml:space="preserve">בגין מספר שנות קבלת </w:t>
      </w:r>
      <w:r w:rsidRPr="00A210E9">
        <w:rPr>
          <w:rFonts w:eastAsia="Calibri" w:hint="eastAsia"/>
          <w:rtl/>
        </w:rPr>
        <w:t>ההנחה</w:t>
      </w:r>
      <w:r w:rsidRPr="00A210E9">
        <w:rPr>
          <w:rFonts w:eastAsia="Calibri"/>
          <w:rtl/>
        </w:rPr>
        <w:t xml:space="preserve"> </w:t>
      </w:r>
      <w:r w:rsidRPr="00A210E9">
        <w:rPr>
          <w:rFonts w:eastAsia="Calibri" w:hint="eastAsia"/>
          <w:rtl/>
        </w:rPr>
        <w:t>במרמה</w:t>
      </w:r>
      <w:r w:rsidRPr="00A210E9">
        <w:rPr>
          <w:rFonts w:eastAsia="Calibri"/>
          <w:rtl/>
        </w:rPr>
        <w:t xml:space="preserve">. </w:t>
      </w:r>
      <w:r w:rsidRPr="00A210E9">
        <w:rPr>
          <w:rFonts w:eastAsia="Calibri" w:hint="eastAsia"/>
          <w:rtl/>
        </w:rPr>
        <w:t>משרד</w:t>
      </w:r>
      <w:r w:rsidRPr="00A210E9">
        <w:rPr>
          <w:rFonts w:eastAsia="Calibri"/>
          <w:rtl/>
        </w:rPr>
        <w:t xml:space="preserve"> התחבורה </w:t>
      </w:r>
      <w:r w:rsidRPr="00A210E9">
        <w:rPr>
          <w:rFonts w:eastAsia="Calibri" w:hint="eastAsia"/>
          <w:rtl/>
        </w:rPr>
        <w:t>והחשכ</w:t>
      </w:r>
      <w:r w:rsidRPr="00A210E9">
        <w:rPr>
          <w:rFonts w:eastAsia="Calibri"/>
          <w:rtl/>
        </w:rPr>
        <w:t xml:space="preserve">"ל הסבירו כי </w:t>
      </w:r>
      <w:r w:rsidRPr="00A210E9">
        <w:rPr>
          <w:rFonts w:eastAsia="Calibri" w:hint="eastAsia"/>
          <w:rtl/>
        </w:rPr>
        <w:t>בגלל</w:t>
      </w:r>
      <w:r w:rsidRPr="00A210E9">
        <w:rPr>
          <w:rFonts w:eastAsia="Calibri"/>
          <w:rtl/>
        </w:rPr>
        <w:t xml:space="preserve"> </w:t>
      </w:r>
      <w:r w:rsidRPr="00A210E9">
        <w:rPr>
          <w:rFonts w:eastAsia="Calibri" w:hint="eastAsia"/>
          <w:rtl/>
        </w:rPr>
        <w:t>הקושי</w:t>
      </w:r>
      <w:r w:rsidRPr="00A210E9">
        <w:rPr>
          <w:rFonts w:eastAsia="Calibri"/>
          <w:rtl/>
        </w:rPr>
        <w:t xml:space="preserve"> </w:t>
      </w:r>
      <w:r w:rsidRPr="00A210E9">
        <w:rPr>
          <w:rFonts w:eastAsia="Calibri" w:hint="eastAsia"/>
          <w:rtl/>
        </w:rPr>
        <w:t>לנהל</w:t>
      </w:r>
      <w:r w:rsidRPr="00A210E9">
        <w:rPr>
          <w:rFonts w:eastAsia="Calibri"/>
          <w:rtl/>
        </w:rPr>
        <w:t xml:space="preserve"> </w:t>
      </w:r>
      <w:r w:rsidRPr="00A210E9">
        <w:rPr>
          <w:rFonts w:eastAsia="Calibri" w:hint="eastAsia"/>
          <w:rtl/>
        </w:rPr>
        <w:t>שימועים</w:t>
      </w:r>
      <w:r w:rsidRPr="00A210E9">
        <w:rPr>
          <w:rFonts w:eastAsia="Calibri"/>
          <w:rtl/>
        </w:rPr>
        <w:t xml:space="preserve"> </w:t>
      </w:r>
      <w:r w:rsidRPr="00A210E9">
        <w:rPr>
          <w:rFonts w:eastAsia="Calibri" w:hint="eastAsia"/>
          <w:rtl/>
        </w:rPr>
        <w:t>פרטניים</w:t>
      </w:r>
      <w:r w:rsidRPr="00A210E9">
        <w:rPr>
          <w:rFonts w:eastAsia="Calibri"/>
          <w:rtl/>
        </w:rPr>
        <w:t xml:space="preserve"> </w:t>
      </w:r>
      <w:r w:rsidRPr="00A210E9">
        <w:rPr>
          <w:rFonts w:eastAsia="Calibri" w:hint="eastAsia"/>
          <w:rtl/>
        </w:rPr>
        <w:t>של</w:t>
      </w:r>
      <w:r w:rsidRPr="00A210E9">
        <w:rPr>
          <w:rFonts w:eastAsia="Calibri"/>
          <w:rtl/>
        </w:rPr>
        <w:t xml:space="preserve"> </w:t>
      </w:r>
      <w:r w:rsidRPr="00A210E9">
        <w:rPr>
          <w:rFonts w:eastAsia="Calibri" w:hint="cs"/>
          <w:rtl/>
        </w:rPr>
        <w:t xml:space="preserve">מספר רב של </w:t>
      </w:r>
      <w:r w:rsidRPr="00A210E9">
        <w:rPr>
          <w:rFonts w:eastAsia="Calibri"/>
          <w:rtl/>
        </w:rPr>
        <w:t xml:space="preserve">בעלי תגים, </w:t>
      </w:r>
      <w:r w:rsidRPr="00A210E9">
        <w:rPr>
          <w:rFonts w:eastAsia="Calibri" w:hint="eastAsia"/>
          <w:rtl/>
        </w:rPr>
        <w:t>לאחר</w:t>
      </w:r>
      <w:r w:rsidRPr="00A210E9">
        <w:rPr>
          <w:rFonts w:eastAsia="Calibri"/>
          <w:rtl/>
        </w:rPr>
        <w:t xml:space="preserve"> </w:t>
      </w:r>
      <w:r w:rsidRPr="00A210E9">
        <w:rPr>
          <w:rFonts w:eastAsia="Calibri" w:hint="cs"/>
          <w:rtl/>
        </w:rPr>
        <w:t>ש</w:t>
      </w:r>
      <w:r w:rsidRPr="00A210E9">
        <w:rPr>
          <w:rFonts w:eastAsia="Calibri" w:hint="eastAsia"/>
          <w:rtl/>
        </w:rPr>
        <w:t>צוות</w:t>
      </w:r>
      <w:r w:rsidRPr="00A210E9">
        <w:rPr>
          <w:rFonts w:eastAsia="Calibri"/>
          <w:rtl/>
        </w:rPr>
        <w:t xml:space="preserve"> בן-משרדי 2025 </w:t>
      </w:r>
      <w:r w:rsidRPr="00A210E9">
        <w:rPr>
          <w:rFonts w:eastAsia="Calibri" w:hint="cs"/>
          <w:rtl/>
        </w:rPr>
        <w:t xml:space="preserve">יגבש קריטריונים חדשים, </w:t>
      </w:r>
      <w:r w:rsidRPr="00A210E9">
        <w:rPr>
          <w:rFonts w:eastAsia="Calibri" w:hint="eastAsia"/>
          <w:rtl/>
        </w:rPr>
        <w:t>משרד</w:t>
      </w:r>
      <w:r w:rsidRPr="00A210E9">
        <w:rPr>
          <w:rFonts w:eastAsia="Calibri"/>
          <w:rtl/>
        </w:rPr>
        <w:t xml:space="preserve"> </w:t>
      </w:r>
      <w:r w:rsidRPr="00A210E9">
        <w:rPr>
          <w:rFonts w:eastAsia="Calibri" w:hint="eastAsia"/>
          <w:rtl/>
        </w:rPr>
        <w:t>התחבורה</w:t>
      </w:r>
      <w:r w:rsidRPr="00A210E9">
        <w:rPr>
          <w:rFonts w:eastAsia="Calibri"/>
          <w:rtl/>
        </w:rPr>
        <w:t xml:space="preserve"> </w:t>
      </w:r>
      <w:r w:rsidRPr="00A210E9">
        <w:rPr>
          <w:rFonts w:eastAsia="Calibri" w:hint="eastAsia"/>
          <w:rtl/>
        </w:rPr>
        <w:t>יבצע</w:t>
      </w:r>
      <w:r w:rsidRPr="00A210E9">
        <w:rPr>
          <w:rFonts w:eastAsia="Calibri"/>
          <w:rtl/>
        </w:rPr>
        <w:t xml:space="preserve"> </w:t>
      </w:r>
      <w:r w:rsidRPr="00A210E9">
        <w:rPr>
          <w:rFonts w:eastAsia="Calibri" w:hint="eastAsia"/>
          <w:rtl/>
        </w:rPr>
        <w:t>בחינה</w:t>
      </w:r>
      <w:r w:rsidRPr="00A210E9">
        <w:rPr>
          <w:rFonts w:eastAsia="Calibri"/>
          <w:rtl/>
        </w:rPr>
        <w:t xml:space="preserve"> </w:t>
      </w:r>
      <w:r w:rsidRPr="00A210E9">
        <w:rPr>
          <w:rFonts w:eastAsia="Calibri" w:hint="eastAsia"/>
          <w:rtl/>
        </w:rPr>
        <w:t>מדורגת</w:t>
      </w:r>
      <w:r w:rsidRPr="00A210E9">
        <w:rPr>
          <w:rFonts w:eastAsia="Calibri"/>
          <w:rtl/>
        </w:rPr>
        <w:t xml:space="preserve"> </w:t>
      </w:r>
      <w:r w:rsidRPr="00A210E9">
        <w:rPr>
          <w:rFonts w:eastAsia="Calibri" w:hint="eastAsia"/>
          <w:rtl/>
        </w:rPr>
        <w:t>של</w:t>
      </w:r>
      <w:r w:rsidRPr="00A210E9">
        <w:rPr>
          <w:rFonts w:eastAsia="Calibri"/>
          <w:rtl/>
        </w:rPr>
        <w:t xml:space="preserve"> </w:t>
      </w:r>
      <w:r w:rsidRPr="00A210E9">
        <w:rPr>
          <w:rFonts w:eastAsia="Calibri" w:hint="eastAsia"/>
          <w:rtl/>
        </w:rPr>
        <w:t>כל</w:t>
      </w:r>
      <w:r w:rsidRPr="00A210E9">
        <w:rPr>
          <w:rFonts w:eastAsia="Calibri"/>
          <w:rtl/>
        </w:rPr>
        <w:t xml:space="preserve"> </w:t>
      </w:r>
      <w:r w:rsidRPr="00A210E9">
        <w:rPr>
          <w:rFonts w:eastAsia="Calibri" w:hint="eastAsia"/>
          <w:rtl/>
        </w:rPr>
        <w:t>מלאי</w:t>
      </w:r>
      <w:r w:rsidRPr="00A210E9">
        <w:rPr>
          <w:rFonts w:eastAsia="Calibri"/>
          <w:rtl/>
        </w:rPr>
        <w:t xml:space="preserve"> </w:t>
      </w:r>
      <w:r w:rsidRPr="00A210E9">
        <w:rPr>
          <w:rFonts w:eastAsia="Calibri" w:hint="eastAsia"/>
          <w:rtl/>
        </w:rPr>
        <w:t>התגים</w:t>
      </w:r>
      <w:r w:rsidRPr="00A210E9">
        <w:rPr>
          <w:rFonts w:eastAsia="Calibri"/>
          <w:rtl/>
        </w:rPr>
        <w:t xml:space="preserve"> </w:t>
      </w:r>
      <w:r w:rsidRPr="00A210E9">
        <w:rPr>
          <w:rFonts w:eastAsia="Calibri" w:hint="eastAsia"/>
          <w:rtl/>
        </w:rPr>
        <w:t>הקיים</w:t>
      </w:r>
      <w:r w:rsidRPr="00A210E9">
        <w:rPr>
          <w:rFonts w:eastAsia="Calibri"/>
          <w:rtl/>
        </w:rPr>
        <w:t xml:space="preserve"> </w:t>
      </w:r>
      <w:r w:rsidRPr="00A210E9">
        <w:rPr>
          <w:rFonts w:eastAsia="Calibri" w:hint="eastAsia"/>
          <w:rtl/>
        </w:rPr>
        <w:t>בהתאם</w:t>
      </w:r>
      <w:r w:rsidRPr="00A210E9">
        <w:rPr>
          <w:rFonts w:eastAsia="Calibri"/>
          <w:rtl/>
        </w:rPr>
        <w:t xml:space="preserve"> </w:t>
      </w:r>
      <w:r w:rsidRPr="00A210E9">
        <w:rPr>
          <w:rFonts w:eastAsia="Calibri" w:hint="eastAsia"/>
          <w:rtl/>
        </w:rPr>
        <w:t>לקריטריונים</w:t>
      </w:r>
      <w:r w:rsidRPr="00A210E9">
        <w:rPr>
          <w:rFonts w:eastAsia="Calibri"/>
          <w:rtl/>
        </w:rPr>
        <w:t xml:space="preserve"> </w:t>
      </w:r>
      <w:r w:rsidRPr="00A210E9">
        <w:rPr>
          <w:rFonts w:eastAsia="Calibri" w:hint="eastAsia"/>
          <w:rtl/>
        </w:rPr>
        <w:t>החדשים</w:t>
      </w:r>
      <w:r w:rsidRPr="00A210E9">
        <w:rPr>
          <w:rFonts w:eastAsia="Calibri"/>
          <w:rtl/>
        </w:rPr>
        <w:t xml:space="preserve">, ובמסגרת זו יבוטלו גם תגים שהתקבלו </w:t>
      </w:r>
      <w:r w:rsidRPr="00A210E9">
        <w:rPr>
          <w:rFonts w:eastAsia="Calibri" w:hint="eastAsia"/>
          <w:rtl/>
        </w:rPr>
        <w:t>במרמה</w:t>
      </w:r>
      <w:r w:rsidRPr="00A210E9">
        <w:rPr>
          <w:rFonts w:eastAsia="Calibri"/>
          <w:rtl/>
        </w:rPr>
        <w:t>.</w:t>
      </w:r>
      <w:r w:rsidRPr="00A210E9">
        <w:rPr>
          <w:rFonts w:eastAsia="Calibri" w:hint="cs"/>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המשטרה כתבה בתשובתה כי </w:t>
      </w:r>
      <w:r w:rsidRPr="00A210E9">
        <w:rPr>
          <w:rFonts w:ascii="David" w:eastAsia="Calibri" w:hAnsi="David" w:hint="eastAsia"/>
          <w:rtl/>
        </w:rPr>
        <w:t>החקירה</w:t>
      </w:r>
      <w:r w:rsidRPr="00A210E9">
        <w:rPr>
          <w:rFonts w:ascii="David" w:eastAsia="Calibri" w:hAnsi="David"/>
          <w:rtl/>
        </w:rPr>
        <w:t xml:space="preserve"> </w:t>
      </w:r>
      <w:r w:rsidRPr="00A210E9">
        <w:rPr>
          <w:rFonts w:ascii="David" w:eastAsia="Calibri" w:hAnsi="David" w:hint="eastAsia"/>
          <w:rtl/>
        </w:rPr>
        <w:t>ביאח</w:t>
      </w:r>
      <w:r w:rsidRPr="00A210E9">
        <w:rPr>
          <w:rFonts w:ascii="David" w:eastAsia="Calibri" w:hAnsi="David"/>
          <w:rtl/>
        </w:rPr>
        <w:t>"</w:t>
      </w:r>
      <w:r w:rsidRPr="00A210E9">
        <w:rPr>
          <w:rFonts w:ascii="David" w:eastAsia="Calibri" w:hAnsi="David" w:hint="eastAsia"/>
          <w:rtl/>
        </w:rPr>
        <w:t>ה</w:t>
      </w:r>
      <w:r w:rsidRPr="00A210E9">
        <w:rPr>
          <w:rFonts w:ascii="David" w:eastAsia="Calibri" w:hAnsi="David"/>
          <w:rtl/>
        </w:rPr>
        <w:t xml:space="preserve"> </w:t>
      </w:r>
      <w:r w:rsidRPr="00A210E9">
        <w:rPr>
          <w:rFonts w:ascii="David" w:eastAsia="Calibri" w:hAnsi="David" w:hint="eastAsia"/>
          <w:rtl/>
        </w:rPr>
        <w:t>בפרשיי</w:t>
      </w:r>
      <w:r w:rsidRPr="00A210E9">
        <w:rPr>
          <w:rFonts w:ascii="David" w:eastAsia="Calibri" w:hAnsi="David" w:hint="cs"/>
          <w:rtl/>
        </w:rPr>
        <w:t xml:space="preserve">ה </w:t>
      </w:r>
      <w:r w:rsidRPr="00A210E9">
        <w:rPr>
          <w:rFonts w:ascii="David" w:eastAsia="Calibri" w:hAnsi="David" w:hint="eastAsia"/>
          <w:rtl/>
        </w:rPr>
        <w:t>האמורה</w:t>
      </w:r>
      <w:r w:rsidRPr="00A210E9">
        <w:rPr>
          <w:rFonts w:ascii="David" w:eastAsia="Calibri" w:hAnsi="David"/>
          <w:rtl/>
        </w:rPr>
        <w:t xml:space="preserve"> </w:t>
      </w:r>
      <w:r w:rsidRPr="00A210E9">
        <w:rPr>
          <w:rFonts w:ascii="David" w:eastAsia="Calibri" w:hAnsi="David" w:hint="cs"/>
          <w:rtl/>
        </w:rPr>
        <w:t>עדיין</w:t>
      </w:r>
      <w:r w:rsidRPr="00A210E9">
        <w:rPr>
          <w:rFonts w:ascii="David" w:eastAsia="Calibri" w:hAnsi="David"/>
          <w:rtl/>
        </w:rPr>
        <w:t xml:space="preserve"> </w:t>
      </w:r>
      <w:r w:rsidRPr="00A210E9">
        <w:rPr>
          <w:rFonts w:ascii="David" w:eastAsia="Calibri" w:hAnsi="David" w:hint="eastAsia"/>
          <w:rtl/>
        </w:rPr>
        <w:t>מתנהלת</w:t>
      </w:r>
      <w:r w:rsidRPr="00A210E9">
        <w:rPr>
          <w:rFonts w:ascii="David" w:eastAsia="Calibri" w:hAnsi="David" w:hint="cs"/>
          <w:rtl/>
        </w:rPr>
        <w:t>,</w:t>
      </w:r>
      <w:r w:rsidRPr="00A210E9">
        <w:rPr>
          <w:rFonts w:ascii="David" w:eastAsia="Calibri" w:hAnsi="David"/>
          <w:rtl/>
        </w:rPr>
        <w:t xml:space="preserve"> </w:t>
      </w:r>
      <w:r w:rsidRPr="00A210E9">
        <w:rPr>
          <w:rFonts w:ascii="David" w:eastAsia="Calibri" w:hAnsi="David" w:hint="eastAsia"/>
          <w:rtl/>
        </w:rPr>
        <w:t>ובמסגרתה</w:t>
      </w:r>
      <w:r w:rsidRPr="00A210E9">
        <w:rPr>
          <w:rFonts w:ascii="David" w:eastAsia="Calibri" w:hAnsi="David"/>
          <w:rtl/>
        </w:rPr>
        <w:t xml:space="preserve"> </w:t>
      </w:r>
      <w:r w:rsidRPr="00A210E9">
        <w:rPr>
          <w:rFonts w:ascii="David" w:eastAsia="Calibri" w:hAnsi="David" w:hint="eastAsia"/>
          <w:rtl/>
        </w:rPr>
        <w:t>נחקרו</w:t>
      </w:r>
      <w:r w:rsidRPr="00A210E9">
        <w:rPr>
          <w:rFonts w:ascii="David" w:eastAsia="Calibri" w:hAnsi="David"/>
          <w:rtl/>
        </w:rPr>
        <w:t xml:space="preserve"> </w:t>
      </w:r>
      <w:r w:rsidRPr="00A210E9">
        <w:rPr>
          <w:rFonts w:ascii="David" w:eastAsia="Calibri" w:hAnsi="David" w:hint="eastAsia"/>
          <w:rtl/>
        </w:rPr>
        <w:t>עד</w:t>
      </w:r>
      <w:r w:rsidRPr="00A210E9">
        <w:rPr>
          <w:rFonts w:ascii="David" w:eastAsia="Calibri" w:hAnsi="David"/>
          <w:rtl/>
        </w:rPr>
        <w:t xml:space="preserve"> </w:t>
      </w:r>
      <w:r w:rsidRPr="00A210E9">
        <w:rPr>
          <w:rFonts w:ascii="David" w:eastAsia="Calibri" w:hAnsi="David" w:hint="eastAsia"/>
          <w:rtl/>
        </w:rPr>
        <w:t>כה</w:t>
      </w:r>
      <w:r w:rsidRPr="00A210E9">
        <w:rPr>
          <w:rFonts w:ascii="David" w:eastAsia="Calibri" w:hAnsi="David"/>
          <w:rtl/>
        </w:rPr>
        <w:t xml:space="preserve"> </w:t>
      </w:r>
      <w:r w:rsidRPr="00A210E9">
        <w:rPr>
          <w:rFonts w:ascii="David" w:eastAsia="Calibri" w:hAnsi="David" w:hint="eastAsia"/>
          <w:rtl/>
        </w:rPr>
        <w:t>עשרות</w:t>
      </w:r>
      <w:r w:rsidRPr="00A210E9">
        <w:rPr>
          <w:rFonts w:ascii="David" w:eastAsia="Calibri" w:hAnsi="David"/>
          <w:rtl/>
        </w:rPr>
        <w:t xml:space="preserve"> </w:t>
      </w:r>
      <w:r w:rsidRPr="00A210E9">
        <w:rPr>
          <w:rFonts w:ascii="David" w:eastAsia="Calibri" w:hAnsi="David" w:hint="eastAsia"/>
          <w:rtl/>
        </w:rPr>
        <w:t>חשודים</w:t>
      </w:r>
      <w:r w:rsidRPr="00A210E9">
        <w:rPr>
          <w:rFonts w:ascii="David" w:eastAsia="Calibri" w:hAnsi="David"/>
          <w:rtl/>
        </w:rPr>
        <w:t xml:space="preserve">, </w:t>
      </w:r>
      <w:r w:rsidRPr="00A210E9">
        <w:rPr>
          <w:rFonts w:ascii="David" w:eastAsia="Calibri" w:hAnsi="David" w:hint="eastAsia"/>
          <w:rtl/>
        </w:rPr>
        <w:t>כל</w:t>
      </w:r>
      <w:r w:rsidRPr="00A210E9">
        <w:rPr>
          <w:rFonts w:ascii="David" w:eastAsia="Calibri" w:hAnsi="David"/>
          <w:rtl/>
        </w:rPr>
        <w:t xml:space="preserve"> </w:t>
      </w:r>
      <w:r w:rsidRPr="00A210E9">
        <w:rPr>
          <w:rFonts w:ascii="David" w:eastAsia="Calibri" w:hAnsi="David" w:hint="eastAsia"/>
          <w:rtl/>
        </w:rPr>
        <w:t>אחד</w:t>
      </w:r>
      <w:r w:rsidRPr="00A210E9">
        <w:rPr>
          <w:rFonts w:ascii="David" w:eastAsia="Calibri" w:hAnsi="David"/>
          <w:rtl/>
        </w:rPr>
        <w:t xml:space="preserve"> </w:t>
      </w:r>
      <w:r w:rsidRPr="00A210E9">
        <w:rPr>
          <w:rFonts w:ascii="David" w:eastAsia="Calibri" w:hAnsi="David" w:hint="eastAsia"/>
          <w:rtl/>
        </w:rPr>
        <w:t>על</w:t>
      </w:r>
      <w:r w:rsidRPr="00A210E9">
        <w:rPr>
          <w:rFonts w:ascii="David" w:eastAsia="Calibri" w:hAnsi="David"/>
          <w:rtl/>
        </w:rPr>
        <w:t xml:space="preserve"> </w:t>
      </w:r>
      <w:r w:rsidRPr="00A210E9">
        <w:rPr>
          <w:rFonts w:ascii="David" w:eastAsia="Calibri" w:hAnsi="David" w:hint="eastAsia"/>
          <w:rtl/>
        </w:rPr>
        <w:t>פי</w:t>
      </w:r>
      <w:r w:rsidRPr="00A210E9">
        <w:rPr>
          <w:rFonts w:ascii="David" w:eastAsia="Calibri" w:hAnsi="David"/>
          <w:rtl/>
        </w:rPr>
        <w:t xml:space="preserve"> </w:t>
      </w:r>
      <w:r w:rsidRPr="00A210E9">
        <w:rPr>
          <w:rFonts w:ascii="David" w:eastAsia="Calibri" w:hAnsi="David" w:hint="cs"/>
          <w:rtl/>
        </w:rPr>
        <w:t xml:space="preserve">מידת </w:t>
      </w:r>
      <w:r w:rsidRPr="00A210E9">
        <w:rPr>
          <w:rFonts w:ascii="David" w:eastAsia="Calibri" w:hAnsi="David" w:hint="eastAsia"/>
          <w:rtl/>
        </w:rPr>
        <w:t>מעורבותו</w:t>
      </w:r>
      <w:r w:rsidRPr="00A210E9">
        <w:rPr>
          <w:rFonts w:ascii="David" w:eastAsia="Calibri" w:hAnsi="David"/>
          <w:rtl/>
        </w:rPr>
        <w:t xml:space="preserve"> </w:t>
      </w:r>
      <w:r w:rsidRPr="00A210E9">
        <w:rPr>
          <w:rFonts w:ascii="David" w:eastAsia="Calibri" w:hAnsi="David" w:hint="eastAsia"/>
          <w:rtl/>
        </w:rPr>
        <w:t>בפרשייה</w:t>
      </w:r>
      <w:r w:rsidRPr="00A210E9">
        <w:rPr>
          <w:rFonts w:ascii="David" w:eastAsia="Calibri" w:hAnsi="David"/>
          <w:rtl/>
        </w:rPr>
        <w:t>.</w:t>
      </w:r>
      <w:r w:rsidRPr="00A210E9">
        <w:rPr>
          <w:rFonts w:ascii="David" w:eastAsia="Calibri" w:hAnsi="David" w:hint="cs"/>
          <w:rtl/>
        </w:rPr>
        <w:t xml:space="preserve"> </w:t>
      </w:r>
      <w:r w:rsidRPr="00A210E9">
        <w:rPr>
          <w:rFonts w:ascii="David" w:eastAsia="Calibri" w:hAnsi="David" w:hint="eastAsia"/>
          <w:rtl/>
        </w:rPr>
        <w:t>החקירה</w:t>
      </w:r>
      <w:r w:rsidRPr="00A210E9">
        <w:rPr>
          <w:rFonts w:ascii="David" w:eastAsia="Calibri" w:hAnsi="David"/>
          <w:rtl/>
        </w:rPr>
        <w:t xml:space="preserve"> </w:t>
      </w:r>
      <w:r w:rsidRPr="00A210E9">
        <w:rPr>
          <w:rFonts w:ascii="David" w:eastAsia="Calibri" w:hAnsi="David" w:hint="eastAsia"/>
          <w:rtl/>
        </w:rPr>
        <w:t>נמצאת</w:t>
      </w:r>
      <w:r w:rsidRPr="00A210E9">
        <w:rPr>
          <w:rFonts w:ascii="David" w:eastAsia="Calibri" w:hAnsi="David"/>
          <w:rtl/>
        </w:rPr>
        <w:t xml:space="preserve"> </w:t>
      </w:r>
      <w:r w:rsidRPr="00A210E9">
        <w:rPr>
          <w:rFonts w:ascii="David" w:eastAsia="Calibri" w:hAnsi="David" w:hint="eastAsia"/>
          <w:rtl/>
        </w:rPr>
        <w:t>בשלביה</w:t>
      </w:r>
      <w:r w:rsidRPr="00A210E9">
        <w:rPr>
          <w:rFonts w:ascii="David" w:eastAsia="Calibri" w:hAnsi="David"/>
          <w:rtl/>
        </w:rPr>
        <w:t xml:space="preserve"> </w:t>
      </w:r>
      <w:r w:rsidRPr="00A210E9">
        <w:rPr>
          <w:rFonts w:ascii="David" w:eastAsia="Calibri" w:hAnsi="David" w:hint="eastAsia"/>
          <w:rtl/>
        </w:rPr>
        <w:t>הסופיים</w:t>
      </w:r>
      <w:r w:rsidRPr="00A210E9">
        <w:rPr>
          <w:rFonts w:ascii="David" w:eastAsia="Calibri" w:hAnsi="David" w:hint="cs"/>
          <w:rtl/>
        </w:rPr>
        <w:t>,</w:t>
      </w:r>
      <w:r w:rsidRPr="00A210E9">
        <w:rPr>
          <w:rFonts w:ascii="David" w:eastAsia="Calibri" w:hAnsi="David"/>
          <w:rtl/>
        </w:rPr>
        <w:t xml:space="preserve"> </w:t>
      </w:r>
      <w:r w:rsidRPr="00A210E9">
        <w:rPr>
          <w:rFonts w:ascii="David" w:eastAsia="Calibri" w:hAnsi="David" w:hint="eastAsia"/>
          <w:rtl/>
        </w:rPr>
        <w:t>ובסיומה</w:t>
      </w:r>
      <w:r w:rsidRPr="00A210E9">
        <w:rPr>
          <w:rFonts w:ascii="David" w:eastAsia="Calibri" w:hAnsi="David"/>
          <w:rtl/>
        </w:rPr>
        <w:t xml:space="preserve"> </w:t>
      </w:r>
      <w:r w:rsidRPr="00A210E9">
        <w:rPr>
          <w:rFonts w:ascii="David" w:eastAsia="Calibri" w:hAnsi="David" w:hint="eastAsia"/>
          <w:rtl/>
        </w:rPr>
        <w:t>יועבר</w:t>
      </w:r>
      <w:r w:rsidRPr="00A210E9">
        <w:rPr>
          <w:rFonts w:ascii="David" w:eastAsia="Calibri" w:hAnsi="David"/>
          <w:rtl/>
        </w:rPr>
        <w:t xml:space="preserve"> </w:t>
      </w:r>
      <w:r w:rsidRPr="00A210E9">
        <w:rPr>
          <w:rFonts w:ascii="David" w:eastAsia="Calibri" w:hAnsi="David" w:hint="eastAsia"/>
          <w:rtl/>
        </w:rPr>
        <w:t>התיק</w:t>
      </w:r>
      <w:r w:rsidRPr="00A210E9">
        <w:rPr>
          <w:rFonts w:ascii="David" w:eastAsia="Calibri" w:hAnsi="David"/>
          <w:rtl/>
        </w:rPr>
        <w:t xml:space="preserve"> </w:t>
      </w:r>
      <w:r w:rsidRPr="00A210E9">
        <w:rPr>
          <w:rFonts w:ascii="David" w:eastAsia="Calibri" w:hAnsi="David" w:hint="cs"/>
          <w:rtl/>
        </w:rPr>
        <w:t>ל</w:t>
      </w:r>
      <w:r w:rsidRPr="00A210E9">
        <w:rPr>
          <w:rFonts w:ascii="David" w:eastAsia="Calibri" w:hAnsi="David" w:hint="eastAsia"/>
          <w:rtl/>
        </w:rPr>
        <w:t>גורמי</w:t>
      </w:r>
      <w:r w:rsidRPr="00A210E9">
        <w:rPr>
          <w:rFonts w:ascii="David" w:eastAsia="Calibri" w:hAnsi="David"/>
          <w:rtl/>
        </w:rPr>
        <w:t xml:space="preserve"> </w:t>
      </w:r>
      <w:r w:rsidRPr="00A210E9">
        <w:rPr>
          <w:rFonts w:ascii="David" w:eastAsia="Calibri" w:hAnsi="David" w:hint="eastAsia"/>
          <w:rtl/>
        </w:rPr>
        <w:t>התביעה</w:t>
      </w:r>
      <w:r w:rsidRPr="00A210E9">
        <w:rPr>
          <w:rFonts w:ascii="David" w:eastAsia="Calibri" w:hAnsi="David" w:hint="cs"/>
          <w:rtl/>
        </w:rPr>
        <w:t>, כדי שיעיינו בו ויקבלו החלטה בעניינו</w:t>
      </w:r>
      <w:r w:rsidRPr="00A210E9">
        <w:rPr>
          <w:rFonts w:ascii="David" w:eastAsia="Calibri" w:hAnsi="David"/>
          <w:rtl/>
        </w:rPr>
        <w:t>.</w:t>
      </w:r>
      <w:r w:rsidRPr="00A210E9">
        <w:rPr>
          <w:rFonts w:ascii="David" w:eastAsia="Calibri" w:hAnsi="David" w:hint="cs"/>
          <w:rtl/>
        </w:rPr>
        <w:t xml:space="preserve"> המשטרה הוסיפה</w:t>
      </w:r>
      <w:r w:rsidRPr="00A210E9">
        <w:rPr>
          <w:rFonts w:ascii="David" w:eastAsia="Calibri" w:hAnsi="David"/>
          <w:rtl/>
        </w:rPr>
        <w:t xml:space="preserve"> </w:t>
      </w:r>
      <w:r w:rsidRPr="00A210E9">
        <w:rPr>
          <w:rFonts w:ascii="David" w:eastAsia="Calibri" w:hAnsi="David" w:hint="eastAsia"/>
          <w:rtl/>
        </w:rPr>
        <w:t>כי</w:t>
      </w:r>
      <w:r w:rsidRPr="00A210E9">
        <w:rPr>
          <w:rFonts w:ascii="David" w:eastAsia="Calibri" w:hAnsi="David"/>
          <w:rtl/>
        </w:rPr>
        <w:t xml:space="preserve"> </w:t>
      </w:r>
      <w:r w:rsidRPr="00A210E9">
        <w:rPr>
          <w:rFonts w:ascii="David" w:eastAsia="Calibri" w:hAnsi="David" w:hint="cs"/>
          <w:rtl/>
        </w:rPr>
        <w:t>כבר</w:t>
      </w:r>
      <w:r w:rsidRPr="00A210E9">
        <w:rPr>
          <w:rFonts w:ascii="David" w:eastAsia="Calibri" w:hAnsi="David"/>
          <w:rtl/>
        </w:rPr>
        <w:t xml:space="preserve"> </w:t>
      </w:r>
      <w:r w:rsidRPr="00A210E9">
        <w:rPr>
          <w:rFonts w:ascii="David" w:eastAsia="Calibri" w:hAnsi="David" w:hint="eastAsia"/>
          <w:rtl/>
        </w:rPr>
        <w:t>במהלך</w:t>
      </w:r>
      <w:r w:rsidRPr="00A210E9">
        <w:rPr>
          <w:rFonts w:ascii="David" w:eastAsia="Calibri" w:hAnsi="David"/>
          <w:rtl/>
        </w:rPr>
        <w:t xml:space="preserve"> </w:t>
      </w:r>
      <w:r w:rsidRPr="00A210E9">
        <w:rPr>
          <w:rFonts w:ascii="David" w:eastAsia="Calibri" w:hAnsi="David" w:hint="eastAsia"/>
          <w:rtl/>
        </w:rPr>
        <w:t>החקירה</w:t>
      </w:r>
      <w:r w:rsidRPr="00A210E9">
        <w:rPr>
          <w:rFonts w:ascii="David" w:eastAsia="Calibri" w:hAnsi="David"/>
          <w:rtl/>
        </w:rPr>
        <w:t xml:space="preserve"> </w:t>
      </w:r>
      <w:r w:rsidRPr="00A210E9">
        <w:rPr>
          <w:rFonts w:ascii="David" w:eastAsia="Calibri" w:hAnsi="David" w:hint="eastAsia"/>
          <w:rtl/>
        </w:rPr>
        <w:t>הסמויה</w:t>
      </w:r>
      <w:r w:rsidRPr="00A210E9">
        <w:rPr>
          <w:rFonts w:ascii="David" w:eastAsia="Calibri" w:hAnsi="David"/>
          <w:rtl/>
        </w:rPr>
        <w:t xml:space="preserve"> </w:t>
      </w:r>
      <w:r w:rsidRPr="00A210E9">
        <w:rPr>
          <w:rFonts w:ascii="David" w:eastAsia="Calibri" w:hAnsi="David" w:hint="eastAsia"/>
          <w:rtl/>
        </w:rPr>
        <w:t>יזמה</w:t>
      </w:r>
      <w:r w:rsidRPr="00A210E9">
        <w:rPr>
          <w:rFonts w:ascii="David" w:eastAsia="Calibri" w:hAnsi="David"/>
          <w:rtl/>
        </w:rPr>
        <w:t xml:space="preserve"> </w:t>
      </w:r>
      <w:r w:rsidRPr="00A210E9">
        <w:rPr>
          <w:rFonts w:ascii="David" w:eastAsia="Calibri" w:hAnsi="David" w:hint="eastAsia"/>
          <w:rtl/>
        </w:rPr>
        <w:t>היחידה</w:t>
      </w:r>
      <w:r w:rsidRPr="00A210E9">
        <w:rPr>
          <w:rFonts w:ascii="David" w:eastAsia="Calibri" w:hAnsi="David"/>
          <w:rtl/>
        </w:rPr>
        <w:t xml:space="preserve"> </w:t>
      </w:r>
      <w:r w:rsidRPr="00A210E9">
        <w:rPr>
          <w:rFonts w:ascii="David" w:eastAsia="Calibri" w:hAnsi="David" w:hint="eastAsia"/>
          <w:rtl/>
        </w:rPr>
        <w:t>פנ</w:t>
      </w:r>
      <w:r w:rsidRPr="00A210E9">
        <w:rPr>
          <w:rFonts w:ascii="David" w:eastAsia="Calibri" w:hAnsi="David" w:hint="cs"/>
          <w:rtl/>
        </w:rPr>
        <w:t>י</w:t>
      </w:r>
      <w:r w:rsidRPr="00A210E9">
        <w:rPr>
          <w:rFonts w:ascii="David" w:eastAsia="Calibri" w:hAnsi="David" w:hint="eastAsia"/>
          <w:rtl/>
        </w:rPr>
        <w:t>יה</w:t>
      </w:r>
      <w:r w:rsidRPr="00A210E9">
        <w:rPr>
          <w:rFonts w:ascii="David" w:eastAsia="Calibri" w:hAnsi="David"/>
          <w:rtl/>
        </w:rPr>
        <w:t xml:space="preserve"> </w:t>
      </w:r>
      <w:r w:rsidRPr="00A210E9">
        <w:rPr>
          <w:rFonts w:ascii="David" w:eastAsia="Calibri" w:hAnsi="David" w:hint="eastAsia"/>
          <w:rtl/>
        </w:rPr>
        <w:t>למשרד</w:t>
      </w:r>
      <w:r w:rsidRPr="00A210E9">
        <w:rPr>
          <w:rFonts w:ascii="David" w:eastAsia="Calibri" w:hAnsi="David"/>
          <w:rtl/>
        </w:rPr>
        <w:t xml:space="preserve"> </w:t>
      </w:r>
      <w:r w:rsidRPr="00A210E9">
        <w:rPr>
          <w:rFonts w:ascii="David" w:eastAsia="Calibri" w:hAnsi="David" w:hint="eastAsia"/>
          <w:rtl/>
        </w:rPr>
        <w:t>התחבורה</w:t>
      </w:r>
      <w:r w:rsidRPr="00A210E9">
        <w:rPr>
          <w:rFonts w:ascii="David" w:eastAsia="Calibri" w:hAnsi="David"/>
          <w:rtl/>
        </w:rPr>
        <w:t xml:space="preserve"> </w:t>
      </w:r>
      <w:r w:rsidRPr="00A210E9">
        <w:rPr>
          <w:rFonts w:ascii="David" w:eastAsia="Calibri" w:hAnsi="David" w:hint="eastAsia"/>
          <w:rtl/>
        </w:rPr>
        <w:t>וסיכמה</w:t>
      </w:r>
      <w:r w:rsidRPr="00A210E9">
        <w:rPr>
          <w:rFonts w:ascii="David" w:eastAsia="Calibri" w:hAnsi="David"/>
          <w:rtl/>
        </w:rPr>
        <w:t xml:space="preserve"> </w:t>
      </w:r>
      <w:r w:rsidRPr="00A210E9">
        <w:rPr>
          <w:rFonts w:ascii="David" w:eastAsia="Calibri" w:hAnsi="David" w:hint="eastAsia"/>
          <w:rtl/>
        </w:rPr>
        <w:t>ע</w:t>
      </w:r>
      <w:r w:rsidRPr="00A210E9">
        <w:rPr>
          <w:rFonts w:ascii="David" w:eastAsia="Calibri" w:hAnsi="David" w:hint="cs"/>
          <w:rtl/>
        </w:rPr>
        <w:t>י</w:t>
      </w:r>
      <w:r w:rsidRPr="00A210E9">
        <w:rPr>
          <w:rFonts w:ascii="David" w:eastAsia="Calibri" w:hAnsi="David" w:hint="eastAsia"/>
          <w:rtl/>
        </w:rPr>
        <w:t>מו</w:t>
      </w:r>
      <w:r w:rsidRPr="00A210E9">
        <w:rPr>
          <w:rFonts w:ascii="David" w:eastAsia="Calibri" w:hAnsi="David"/>
          <w:rtl/>
        </w:rPr>
        <w:t xml:space="preserve"> </w:t>
      </w:r>
      <w:r w:rsidRPr="00A210E9">
        <w:rPr>
          <w:rFonts w:ascii="David" w:eastAsia="Calibri" w:hAnsi="David" w:hint="cs"/>
          <w:rtl/>
        </w:rPr>
        <w:t>שמייד לאחר תחילת ה</w:t>
      </w:r>
      <w:r w:rsidRPr="00A210E9">
        <w:rPr>
          <w:rFonts w:ascii="David" w:eastAsia="Calibri" w:hAnsi="David" w:hint="eastAsia"/>
          <w:rtl/>
        </w:rPr>
        <w:t>חקירה</w:t>
      </w:r>
      <w:r w:rsidRPr="00A210E9">
        <w:rPr>
          <w:rFonts w:ascii="David" w:eastAsia="Calibri" w:hAnsi="David"/>
          <w:rtl/>
        </w:rPr>
        <w:t xml:space="preserve"> </w:t>
      </w:r>
      <w:r w:rsidRPr="00A210E9">
        <w:rPr>
          <w:rFonts w:ascii="David" w:eastAsia="Calibri" w:hAnsi="David" w:hint="eastAsia"/>
          <w:rtl/>
        </w:rPr>
        <w:t>הגלויה</w:t>
      </w:r>
      <w:r w:rsidRPr="00A210E9">
        <w:rPr>
          <w:rFonts w:ascii="David" w:eastAsia="Calibri" w:hAnsi="David" w:hint="cs"/>
          <w:rtl/>
        </w:rPr>
        <w:t xml:space="preserve"> הוא</w:t>
      </w:r>
      <w:r w:rsidRPr="00A210E9">
        <w:rPr>
          <w:rFonts w:ascii="David" w:eastAsia="Calibri" w:hAnsi="David"/>
          <w:rtl/>
        </w:rPr>
        <w:t xml:space="preserve"> </w:t>
      </w:r>
      <w:r w:rsidRPr="00A210E9">
        <w:rPr>
          <w:rFonts w:ascii="David" w:eastAsia="Calibri" w:hAnsi="David" w:hint="eastAsia"/>
          <w:rtl/>
        </w:rPr>
        <w:t>יוכל</w:t>
      </w:r>
      <w:r w:rsidRPr="00A210E9">
        <w:rPr>
          <w:rFonts w:ascii="David" w:eastAsia="Calibri" w:hAnsi="David"/>
          <w:rtl/>
        </w:rPr>
        <w:t xml:space="preserve"> </w:t>
      </w:r>
      <w:r w:rsidRPr="00A210E9">
        <w:rPr>
          <w:rFonts w:ascii="David" w:eastAsia="Calibri" w:hAnsi="David" w:hint="eastAsia"/>
          <w:rtl/>
        </w:rPr>
        <w:t>להתחיל</w:t>
      </w:r>
      <w:r w:rsidRPr="00A210E9">
        <w:rPr>
          <w:rFonts w:ascii="David" w:eastAsia="Calibri" w:hAnsi="David"/>
          <w:rtl/>
        </w:rPr>
        <w:t xml:space="preserve"> </w:t>
      </w:r>
      <w:r w:rsidRPr="00A210E9">
        <w:rPr>
          <w:rFonts w:ascii="David" w:eastAsia="Calibri" w:hAnsi="David" w:hint="eastAsia"/>
          <w:rtl/>
        </w:rPr>
        <w:t>במימוש</w:t>
      </w:r>
      <w:r w:rsidRPr="00A210E9">
        <w:rPr>
          <w:rFonts w:ascii="David" w:eastAsia="Calibri" w:hAnsi="David"/>
          <w:rtl/>
        </w:rPr>
        <w:t xml:space="preserve"> </w:t>
      </w:r>
      <w:r w:rsidRPr="00A210E9">
        <w:rPr>
          <w:rFonts w:ascii="David" w:eastAsia="Calibri" w:hAnsi="David" w:hint="eastAsia"/>
          <w:rtl/>
        </w:rPr>
        <w:t>אחריותו</w:t>
      </w:r>
      <w:r w:rsidRPr="00A210E9">
        <w:rPr>
          <w:rFonts w:ascii="David" w:eastAsia="Calibri" w:hAnsi="David"/>
          <w:rtl/>
        </w:rPr>
        <w:t xml:space="preserve"> </w:t>
      </w:r>
      <w:r w:rsidRPr="00A210E9">
        <w:rPr>
          <w:rFonts w:ascii="David" w:eastAsia="Calibri" w:hAnsi="David" w:hint="eastAsia"/>
          <w:rtl/>
        </w:rPr>
        <w:t>בתחום</w:t>
      </w:r>
      <w:r w:rsidRPr="00A210E9">
        <w:rPr>
          <w:rFonts w:ascii="David" w:eastAsia="Calibri" w:hAnsi="David"/>
          <w:rtl/>
        </w:rPr>
        <w:t xml:space="preserve"> </w:t>
      </w:r>
      <w:r w:rsidRPr="00A210E9">
        <w:rPr>
          <w:rFonts w:ascii="David" w:eastAsia="Calibri" w:hAnsi="David" w:hint="eastAsia"/>
          <w:rtl/>
        </w:rPr>
        <w:t>המ</w:t>
      </w:r>
      <w:r w:rsidRPr="00A210E9">
        <w:rPr>
          <w:rFonts w:ascii="David" w:eastAsia="Calibri" w:hAnsi="David" w:hint="cs"/>
          <w:rtl/>
        </w:rPr>
        <w:t>י</w:t>
      </w:r>
      <w:r w:rsidRPr="00A210E9">
        <w:rPr>
          <w:rFonts w:ascii="David" w:eastAsia="Calibri" w:hAnsi="David" w:hint="eastAsia"/>
          <w:rtl/>
        </w:rPr>
        <w:t>נהלי</w:t>
      </w:r>
      <w:r w:rsidRPr="00A210E9">
        <w:rPr>
          <w:rFonts w:ascii="David" w:eastAsia="Calibri" w:hAnsi="David" w:hint="cs"/>
          <w:rtl/>
        </w:rPr>
        <w:t>,</w:t>
      </w:r>
      <w:r w:rsidRPr="00A210E9">
        <w:rPr>
          <w:rFonts w:ascii="David" w:eastAsia="Calibri" w:hAnsi="David"/>
          <w:rtl/>
        </w:rPr>
        <w:t xml:space="preserve"> </w:t>
      </w:r>
      <w:r w:rsidRPr="00A210E9">
        <w:rPr>
          <w:rFonts w:ascii="David" w:eastAsia="Calibri" w:hAnsi="David" w:hint="eastAsia"/>
          <w:rtl/>
        </w:rPr>
        <w:t>וכך</w:t>
      </w:r>
      <w:r w:rsidRPr="00A210E9">
        <w:rPr>
          <w:rFonts w:ascii="David" w:eastAsia="Calibri" w:hAnsi="David"/>
          <w:rtl/>
        </w:rPr>
        <w:t xml:space="preserve"> </w:t>
      </w:r>
      <w:r w:rsidRPr="00A210E9">
        <w:rPr>
          <w:rFonts w:ascii="David" w:eastAsia="Calibri" w:hAnsi="David" w:hint="eastAsia"/>
          <w:rtl/>
        </w:rPr>
        <w:t>אכן</w:t>
      </w:r>
      <w:r w:rsidRPr="00A210E9">
        <w:rPr>
          <w:rFonts w:ascii="David" w:eastAsia="Calibri" w:hAnsi="David"/>
          <w:rtl/>
        </w:rPr>
        <w:t xml:space="preserve"> </w:t>
      </w:r>
      <w:r w:rsidRPr="00A210E9">
        <w:rPr>
          <w:rFonts w:ascii="David" w:eastAsia="Calibri" w:hAnsi="David" w:hint="eastAsia"/>
          <w:rtl/>
        </w:rPr>
        <w:t>נעשה</w:t>
      </w:r>
      <w:r w:rsidRPr="00A210E9">
        <w:rPr>
          <w:rFonts w:ascii="David" w:eastAsia="Calibri" w:hAnsi="David" w:hint="cs"/>
          <w:rtl/>
        </w:rPr>
        <w:t>.</w:t>
      </w:r>
    </w:p>
    <w:bookmarkEnd w:id="160"/>
    <w:p w:rsidR="00A210E9" w:rsidRPr="00A210E9" w:rsidP="00A210E9">
      <w:pPr>
        <w:spacing w:line="269" w:lineRule="auto"/>
        <w:rPr>
          <w:rFonts w:eastAsia="Calibri"/>
          <w:b/>
          <w:bCs/>
          <w:rtl/>
        </w:rPr>
      </w:pPr>
      <w:r w:rsidRPr="00A210E9">
        <w:rPr>
          <w:rFonts w:eastAsia="Calibri" w:hint="cs"/>
          <w:b/>
          <w:bCs/>
          <w:rtl/>
        </w:rPr>
        <w:t xml:space="preserve">מהביקורת עולה כי </w:t>
      </w:r>
      <w:bookmarkStart w:id="161" w:name="_Hlk223951486"/>
      <w:r w:rsidRPr="00A210E9">
        <w:rPr>
          <w:rFonts w:eastAsia="Calibri" w:hint="cs"/>
          <w:b/>
          <w:bCs/>
          <w:rtl/>
        </w:rPr>
        <w:t xml:space="preserve">משנת 2008, ובמהלך השנים שלאחר מכן, היו אינדיקציות רבות להתממשות הסיכון של מעילות והונאות בתהליך של אישור זכאות לתג חניה. הגידול החד במספר תגי החניה שאושרו מדי שנה מאז 2008, וביתר שאת משנת 2021, מחייב לכשעצמו בדיקה מעמיקה של תקינות התהליכים. רק בשנת 2022 החל משרד התחבורה ליזום בדיקות בנושא, ובעקבות </w:t>
      </w:r>
      <w:r w:rsidR="00245E55">
        <w:rPr>
          <w:rFonts w:eastAsia="Calibri"/>
          <w:rtl/>
        </w:rPr>
        <w:br/>
      </w:r>
      <w:r w:rsidRPr="00A210E9">
        <w:rPr>
          <w:rFonts w:eastAsia="Calibri" w:hint="cs"/>
          <w:b/>
          <w:bCs/>
          <w:rtl/>
        </w:rPr>
        <w:t>אי-הסדרים שהועלו הוא פנה פעמיים למשטרה. שתי פרשיות ההונאה שנחקרו על ידי המשטרה בשנים 2022 - 2024 לימדו על חשד להיקף נרחב מאוד של הונאות בהקשר של הנפקת תגי חניה. הממצאים ממ</w:t>
      </w:r>
      <w:r w:rsidRPr="00A210E9">
        <w:rPr>
          <w:rFonts w:eastAsia="Calibri"/>
          <w:b/>
          <w:bCs/>
          <w:rtl/>
        </w:rPr>
        <w:t>חיש</w:t>
      </w:r>
      <w:r w:rsidRPr="00A210E9">
        <w:rPr>
          <w:rFonts w:eastAsia="Calibri" w:hint="cs"/>
          <w:b/>
          <w:bCs/>
          <w:rtl/>
        </w:rPr>
        <w:t>ים את התובנה</w:t>
      </w:r>
      <w:r w:rsidRPr="00A210E9">
        <w:rPr>
          <w:rFonts w:eastAsia="Calibri"/>
          <w:b/>
          <w:bCs/>
          <w:rtl/>
        </w:rPr>
        <w:t xml:space="preserve"> שהתועלות מהחזקת תג </w:t>
      </w:r>
      <w:r w:rsidRPr="00A210E9">
        <w:rPr>
          <w:rFonts w:eastAsia="Calibri" w:hint="cs"/>
          <w:b/>
          <w:bCs/>
          <w:rtl/>
        </w:rPr>
        <w:t>חניה מהותיות</w:t>
      </w:r>
      <w:r w:rsidRPr="00A210E9">
        <w:rPr>
          <w:rFonts w:eastAsia="Calibri"/>
          <w:b/>
          <w:bCs/>
          <w:rtl/>
        </w:rPr>
        <w:t xml:space="preserve"> עד כדי </w:t>
      </w:r>
      <w:r w:rsidRPr="00A210E9">
        <w:rPr>
          <w:rFonts w:eastAsia="Calibri" w:hint="cs"/>
          <w:b/>
          <w:bCs/>
          <w:rtl/>
        </w:rPr>
        <w:t xml:space="preserve">כך </w:t>
      </w:r>
      <w:r w:rsidRPr="00A210E9">
        <w:rPr>
          <w:rFonts w:eastAsia="Calibri"/>
          <w:b/>
          <w:bCs/>
          <w:rtl/>
        </w:rPr>
        <w:t>שאנשים מוכנים להסתכן בפלילים כדי להשיג אותו.</w:t>
      </w:r>
      <w:r w:rsidRPr="00A210E9">
        <w:rPr>
          <w:rFonts w:eastAsia="Calibri" w:hint="cs"/>
          <w:b/>
          <w:bCs/>
          <w:rtl/>
        </w:rPr>
        <w:t xml:space="preserve"> </w:t>
      </w:r>
    </w:p>
    <w:bookmarkEnd w:id="161"/>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bookmarkStart w:id="162" w:name="_Hlk223951575"/>
      <w:r w:rsidRPr="00A210E9">
        <w:rPr>
          <w:rFonts w:eastAsia="Calibri" w:hint="cs"/>
          <w:b/>
          <w:bCs/>
          <w:rtl/>
        </w:rPr>
        <w:t>על אף סקר סיכונים 2023 שהעלה שני סיכונים ברמת סיכון גבוהה למינהל תנועה במשרד התחבורה הנוגעים לסיכונים להתרשלות רופאי אגף הרישוי ולמתן החלטות על סמך מסמכים רפואיים מזויפים, אגף הרישוי אינו מבצע בקרות כלשהן לצמצום הסיכונים הללו, למעט באמצעות תלונות שמתקבלות.</w:t>
      </w:r>
      <w:bookmarkEnd w:id="162"/>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eastAsia"/>
          <w:b/>
          <w:bCs/>
          <w:rtl/>
        </w:rPr>
        <w:t>על</w:t>
      </w:r>
      <w:r w:rsidRPr="00A210E9">
        <w:rPr>
          <w:rFonts w:eastAsia="Calibri"/>
          <w:b/>
          <w:bCs/>
          <w:rtl/>
        </w:rPr>
        <w:t xml:space="preserve"> משרד התחבורה </w:t>
      </w:r>
      <w:r w:rsidRPr="00A210E9">
        <w:rPr>
          <w:rFonts w:eastAsia="Calibri" w:hint="cs"/>
          <w:b/>
          <w:bCs/>
          <w:rtl/>
        </w:rPr>
        <w:t>לצמצם</w:t>
      </w:r>
      <w:r w:rsidRPr="00A210E9">
        <w:rPr>
          <w:rFonts w:eastAsia="Calibri"/>
          <w:b/>
          <w:bCs/>
          <w:rtl/>
        </w:rPr>
        <w:t xml:space="preserve"> סיכוני מעילות והונאות של אגף הרישוי</w:t>
      </w:r>
      <w:r w:rsidRPr="00A210E9">
        <w:rPr>
          <w:rFonts w:eastAsia="Calibri" w:hint="cs"/>
          <w:b/>
          <w:bCs/>
          <w:rtl/>
        </w:rPr>
        <w:t>,</w:t>
      </w:r>
      <w:r w:rsidRPr="00A210E9">
        <w:rPr>
          <w:rFonts w:eastAsia="Calibri"/>
          <w:b/>
          <w:bCs/>
          <w:rtl/>
        </w:rPr>
        <w:t xml:space="preserve"> ובפרט </w:t>
      </w:r>
      <w:r w:rsidRPr="00A210E9">
        <w:rPr>
          <w:rFonts w:eastAsia="Calibri" w:hint="cs"/>
          <w:b/>
          <w:bCs/>
          <w:rtl/>
        </w:rPr>
        <w:t xml:space="preserve">הסיכונים </w:t>
      </w:r>
      <w:r w:rsidRPr="00A210E9">
        <w:rPr>
          <w:rFonts w:eastAsia="Calibri"/>
          <w:b/>
          <w:bCs/>
          <w:rtl/>
        </w:rPr>
        <w:t>הקשורים לתהליך הנפקת תגי חניה</w:t>
      </w:r>
      <w:r w:rsidRPr="00A210E9">
        <w:rPr>
          <w:rFonts w:eastAsia="Calibri" w:hint="cs"/>
          <w:b/>
          <w:bCs/>
          <w:rtl/>
        </w:rPr>
        <w:t>,</w:t>
      </w:r>
      <w:r w:rsidRPr="00A210E9">
        <w:rPr>
          <w:rFonts w:eastAsia="Calibri"/>
          <w:b/>
          <w:bCs/>
          <w:rtl/>
        </w:rPr>
        <w:t xml:space="preserve"> בין היתר באמצעות אימוץ אמצעים לחיזוק סביבת הבקרה </w:t>
      </w:r>
      <w:r w:rsidRPr="00A210E9">
        <w:rPr>
          <w:rFonts w:eastAsia="Calibri" w:hint="cs"/>
          <w:b/>
          <w:bCs/>
          <w:rtl/>
        </w:rPr>
        <w:t>ה</w:t>
      </w:r>
      <w:r w:rsidRPr="00A210E9">
        <w:rPr>
          <w:rFonts w:eastAsia="Calibri"/>
          <w:b/>
          <w:bCs/>
          <w:rtl/>
        </w:rPr>
        <w:t xml:space="preserve">מפורטים בסקר סיכונים 2023. </w:t>
      </w:r>
      <w:r w:rsidRPr="00A210E9">
        <w:rPr>
          <w:rFonts w:eastAsia="Calibri" w:hint="eastAsia"/>
          <w:b/>
          <w:bCs/>
          <w:rtl/>
        </w:rPr>
        <w:t>בנוסף</w:t>
      </w:r>
      <w:r w:rsidRPr="00A210E9">
        <w:rPr>
          <w:rFonts w:eastAsia="Calibri"/>
          <w:b/>
          <w:bCs/>
          <w:rtl/>
        </w:rPr>
        <w:t xml:space="preserve"> </w:t>
      </w:r>
      <w:r w:rsidRPr="00A210E9">
        <w:rPr>
          <w:rFonts w:eastAsia="Calibri" w:hint="eastAsia"/>
          <w:b/>
          <w:bCs/>
          <w:rtl/>
        </w:rPr>
        <w:t>על</w:t>
      </w:r>
      <w:r w:rsidRPr="00A210E9">
        <w:rPr>
          <w:rFonts w:eastAsia="Calibri"/>
          <w:b/>
          <w:bCs/>
          <w:rtl/>
        </w:rPr>
        <w:t xml:space="preserve"> המשרד </w:t>
      </w:r>
      <w:r w:rsidRPr="00A210E9">
        <w:rPr>
          <w:rFonts w:eastAsia="Calibri" w:hint="eastAsia"/>
          <w:b/>
          <w:bCs/>
          <w:rtl/>
        </w:rPr>
        <w:t>לסיים</w:t>
      </w:r>
      <w:r w:rsidRPr="00A210E9">
        <w:rPr>
          <w:rFonts w:eastAsia="Calibri"/>
          <w:b/>
          <w:bCs/>
          <w:rtl/>
        </w:rPr>
        <w:t xml:space="preserve"> לבדוק את </w:t>
      </w:r>
      <w:r w:rsidRPr="00A210E9">
        <w:rPr>
          <w:rFonts w:eastAsia="Calibri" w:hint="eastAsia"/>
          <w:b/>
          <w:bCs/>
          <w:rtl/>
        </w:rPr>
        <w:t>כלל</w:t>
      </w:r>
      <w:r w:rsidRPr="00A210E9">
        <w:rPr>
          <w:rFonts w:eastAsia="Calibri"/>
          <w:b/>
          <w:bCs/>
          <w:rtl/>
        </w:rPr>
        <w:t xml:space="preserve"> </w:t>
      </w:r>
      <w:r w:rsidRPr="00A210E9">
        <w:rPr>
          <w:rFonts w:eastAsia="Calibri" w:hint="eastAsia"/>
          <w:b/>
          <w:bCs/>
          <w:rtl/>
        </w:rPr>
        <w:t>התגים</w:t>
      </w:r>
      <w:r w:rsidRPr="00A210E9">
        <w:rPr>
          <w:rFonts w:eastAsia="Calibri"/>
          <w:b/>
          <w:bCs/>
          <w:rtl/>
        </w:rPr>
        <w:t xml:space="preserve"> </w:t>
      </w:r>
      <w:r w:rsidRPr="00A210E9">
        <w:rPr>
          <w:rFonts w:eastAsia="Calibri" w:hint="eastAsia"/>
          <w:b/>
          <w:bCs/>
          <w:rtl/>
        </w:rPr>
        <w:t>שחשודים</w:t>
      </w:r>
      <w:r w:rsidRPr="00A210E9">
        <w:rPr>
          <w:rFonts w:eastAsia="Calibri"/>
          <w:b/>
          <w:bCs/>
          <w:rtl/>
        </w:rPr>
        <w:t xml:space="preserve"> </w:t>
      </w:r>
      <w:r w:rsidRPr="00A210E9">
        <w:rPr>
          <w:rFonts w:eastAsia="Calibri" w:hint="cs"/>
          <w:b/>
          <w:bCs/>
          <w:rtl/>
        </w:rPr>
        <w:t xml:space="preserve">בעקבות החקירות </w:t>
      </w:r>
      <w:r w:rsidRPr="00A210E9">
        <w:rPr>
          <w:rFonts w:eastAsia="Calibri" w:hint="eastAsia"/>
          <w:b/>
          <w:bCs/>
          <w:rtl/>
        </w:rPr>
        <w:t>ככאלה</w:t>
      </w:r>
      <w:r w:rsidRPr="00A210E9">
        <w:rPr>
          <w:rFonts w:eastAsia="Calibri"/>
          <w:b/>
          <w:bCs/>
          <w:rtl/>
        </w:rPr>
        <w:t xml:space="preserve"> </w:t>
      </w:r>
      <w:r w:rsidRPr="00A210E9">
        <w:rPr>
          <w:rFonts w:eastAsia="Calibri" w:hint="eastAsia"/>
          <w:b/>
          <w:bCs/>
          <w:rtl/>
        </w:rPr>
        <w:t>שהושגו</w:t>
      </w:r>
      <w:r w:rsidRPr="00A210E9">
        <w:rPr>
          <w:rFonts w:eastAsia="Calibri"/>
          <w:b/>
          <w:bCs/>
          <w:rtl/>
        </w:rPr>
        <w:t xml:space="preserve"> </w:t>
      </w:r>
      <w:r w:rsidRPr="00A210E9">
        <w:rPr>
          <w:rFonts w:eastAsia="Calibri" w:hint="eastAsia"/>
          <w:b/>
          <w:bCs/>
          <w:rtl/>
        </w:rPr>
        <w:t>במרמה</w:t>
      </w:r>
      <w:r w:rsidRPr="00A210E9">
        <w:rPr>
          <w:rFonts w:eastAsia="Calibri"/>
          <w:b/>
          <w:bCs/>
          <w:rtl/>
        </w:rPr>
        <w:t xml:space="preserve"> </w:t>
      </w:r>
      <w:r w:rsidRPr="00A210E9">
        <w:rPr>
          <w:rFonts w:eastAsia="Calibri" w:hint="cs"/>
          <w:b/>
          <w:bCs/>
          <w:rtl/>
        </w:rPr>
        <w:t>ולפעול בהתאם לממצאי בדיקתו</w:t>
      </w:r>
      <w:r w:rsidRPr="00A210E9">
        <w:rPr>
          <w:rFonts w:eastAsia="Calibri"/>
          <w:b/>
          <w:bCs/>
          <w:rtl/>
        </w:rPr>
        <w:t>.</w:t>
      </w:r>
    </w:p>
    <w:bookmarkEnd w:id="159"/>
    <w:p w:rsidR="00A210E9" w:rsidRPr="00A210E9" w:rsidP="00A210E9">
      <w:pPr>
        <w:keepNext/>
        <w:keepLines/>
        <w:spacing w:line="269" w:lineRule="auto"/>
        <w:ind w:left="-567"/>
        <w:rPr>
          <w:rFonts w:eastAsia="Calibri"/>
          <w:szCs w:val="20"/>
          <w:rtl/>
        </w:rPr>
      </w:pPr>
    </w:p>
    <w:p w:rsidR="00A210E9" w:rsidRPr="00A210E9" w:rsidP="00CC1800">
      <w:pPr>
        <w:keepNext/>
        <w:keepLines/>
        <w:spacing w:before="120" w:line="269" w:lineRule="auto"/>
        <w:ind w:hanging="1"/>
        <w:jc w:val="left"/>
        <w:outlineLvl w:val="2"/>
        <w:rPr>
          <w:rFonts w:eastAsia="Times New Roman"/>
          <w:bCs/>
          <w:szCs w:val="28"/>
          <w:u w:val="single"/>
          <w:rtl/>
        </w:rPr>
      </w:pPr>
      <w:bookmarkStart w:id="163" w:name="_Hlk223953987"/>
      <w:r w:rsidRPr="00A210E9">
        <w:rPr>
          <w:rFonts w:eastAsia="Times New Roman" w:hint="cs"/>
          <w:bCs/>
          <w:szCs w:val="28"/>
          <w:u w:val="single"/>
          <w:rtl/>
        </w:rPr>
        <w:t xml:space="preserve">עבודת מטה במשרד התחבורה </w:t>
      </w:r>
      <w:r w:rsidRPr="00A210E9">
        <w:rPr>
          <w:rFonts w:eastAsia="Times New Roman" w:hint="eastAsia"/>
          <w:bCs/>
          <w:szCs w:val="28"/>
          <w:u w:val="single"/>
          <w:rtl/>
        </w:rPr>
        <w:t>לקידום</w:t>
      </w:r>
      <w:r w:rsidRPr="00A210E9">
        <w:rPr>
          <w:rFonts w:eastAsia="Times New Roman"/>
          <w:bCs/>
          <w:szCs w:val="28"/>
          <w:u w:val="single"/>
          <w:rtl/>
        </w:rPr>
        <w:t xml:space="preserve"> </w:t>
      </w:r>
      <w:r w:rsidRPr="00A210E9">
        <w:rPr>
          <w:rFonts w:eastAsia="Times New Roman" w:hint="eastAsia"/>
          <w:bCs/>
          <w:szCs w:val="28"/>
          <w:u w:val="single"/>
          <w:rtl/>
        </w:rPr>
        <w:t>מדיניות</w:t>
      </w:r>
      <w:r w:rsidRPr="00A210E9">
        <w:rPr>
          <w:rFonts w:eastAsia="Times New Roman" w:hint="cs"/>
          <w:bCs/>
          <w:szCs w:val="28"/>
          <w:u w:val="single"/>
          <w:rtl/>
        </w:rPr>
        <w:t xml:space="preserve"> בנוגע לתגי חניה</w:t>
      </w:r>
    </w:p>
    <w:bookmarkEnd w:id="163"/>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rtl/>
        </w:rPr>
        <w:t xml:space="preserve">בחוק </w:t>
      </w:r>
      <w:r w:rsidRPr="00A210E9">
        <w:rPr>
          <w:rFonts w:eastAsia="Calibri" w:hint="cs"/>
          <w:rtl/>
        </w:rPr>
        <w:t>חניה לנכים נקבע ש</w:t>
      </w:r>
      <w:r w:rsidRPr="00A210E9">
        <w:rPr>
          <w:rFonts w:eastAsia="Calibri"/>
          <w:rtl/>
        </w:rPr>
        <w:t xml:space="preserve">שר התחבורה </w:t>
      </w:r>
      <w:r w:rsidRPr="00A210E9">
        <w:rPr>
          <w:rFonts w:eastAsia="Calibri" w:hint="cs"/>
          <w:rtl/>
        </w:rPr>
        <w:t>ממונה על החוק, והוא רשאי</w:t>
      </w:r>
      <w:r w:rsidRPr="00A210E9">
        <w:rPr>
          <w:rFonts w:eastAsia="Calibri"/>
          <w:rtl/>
        </w:rPr>
        <w:t xml:space="preserve"> </w:t>
      </w:r>
      <w:r w:rsidRPr="00A210E9">
        <w:rPr>
          <w:rFonts w:eastAsia="Calibri" w:hint="cs"/>
          <w:rtl/>
        </w:rPr>
        <w:t>להתקין</w:t>
      </w:r>
      <w:r w:rsidRPr="00A210E9">
        <w:rPr>
          <w:rFonts w:eastAsia="Calibri"/>
          <w:rtl/>
        </w:rPr>
        <w:t xml:space="preserve"> תקנות</w:t>
      </w:r>
      <w:r w:rsidRPr="00A210E9">
        <w:rPr>
          <w:rFonts w:eastAsia="Calibri" w:hint="cs"/>
          <w:rtl/>
        </w:rPr>
        <w:t xml:space="preserve"> ליישומו</w:t>
      </w:r>
      <w:r>
        <w:rPr>
          <w:rFonts w:eastAsia="Calibri"/>
          <w:vertAlign w:val="superscript"/>
          <w:rtl/>
        </w:rPr>
        <w:footnoteReference w:id="199"/>
      </w:r>
      <w:r w:rsidRPr="00A210E9">
        <w:rPr>
          <w:rFonts w:eastAsia="Calibri" w:hint="cs"/>
          <w:rtl/>
        </w:rPr>
        <w:t>.</w:t>
      </w:r>
      <w:r w:rsidRPr="00A210E9">
        <w:rPr>
          <w:rFonts w:eastAsia="Calibri"/>
          <w:rtl/>
        </w:rPr>
        <w:t xml:space="preserve"> </w:t>
      </w:r>
      <w:r w:rsidRPr="00A210E9">
        <w:rPr>
          <w:rFonts w:eastAsia="Calibri" w:hint="cs"/>
          <w:rtl/>
        </w:rPr>
        <w:t>לעבודת</w:t>
      </w:r>
      <w:r w:rsidRPr="00A210E9">
        <w:rPr>
          <w:rFonts w:eastAsia="Calibri"/>
          <w:rtl/>
        </w:rPr>
        <w:t xml:space="preserve"> מטה יעיל</w:t>
      </w:r>
      <w:r w:rsidRPr="00A210E9">
        <w:rPr>
          <w:rFonts w:eastAsia="Calibri" w:hint="cs"/>
          <w:rtl/>
        </w:rPr>
        <w:t>ה</w:t>
      </w:r>
      <w:r w:rsidRPr="00A210E9">
        <w:rPr>
          <w:rFonts w:eastAsia="Calibri"/>
          <w:rtl/>
        </w:rPr>
        <w:t xml:space="preserve"> ושיטתי</w:t>
      </w:r>
      <w:r w:rsidRPr="00A210E9">
        <w:rPr>
          <w:rFonts w:eastAsia="Calibri" w:hint="cs"/>
          <w:rtl/>
        </w:rPr>
        <w:t>ת</w:t>
      </w:r>
      <w:r w:rsidRPr="00A210E9">
        <w:rPr>
          <w:rFonts w:eastAsia="Calibri"/>
          <w:rtl/>
        </w:rPr>
        <w:t xml:space="preserve"> </w:t>
      </w:r>
      <w:r w:rsidRPr="00A210E9">
        <w:rPr>
          <w:rFonts w:eastAsia="Calibri" w:hint="cs"/>
          <w:rtl/>
        </w:rPr>
        <w:t>בכל משרד ממשלתי</w:t>
      </w:r>
      <w:r w:rsidRPr="00A210E9">
        <w:rPr>
          <w:rFonts w:eastAsia="Calibri"/>
          <w:rtl/>
        </w:rPr>
        <w:t xml:space="preserve"> תפקיד מרכזי בהסדרת </w:t>
      </w:r>
      <w:r w:rsidRPr="00A210E9">
        <w:rPr>
          <w:rFonts w:eastAsia="Calibri" w:hint="cs"/>
          <w:rtl/>
        </w:rPr>
        <w:t xml:space="preserve">הנושאים שבטיפולו </w:t>
      </w:r>
      <w:r w:rsidRPr="00A210E9">
        <w:rPr>
          <w:rFonts w:eastAsia="Calibri"/>
          <w:rtl/>
        </w:rPr>
        <w:t xml:space="preserve">ובהבטחת שירות </w:t>
      </w:r>
      <w:r w:rsidRPr="00A210E9">
        <w:rPr>
          <w:rFonts w:eastAsia="Calibri" w:hint="cs"/>
          <w:rtl/>
        </w:rPr>
        <w:t>מיטבי</w:t>
      </w:r>
      <w:r w:rsidRPr="00A210E9">
        <w:rPr>
          <w:rFonts w:eastAsia="Calibri"/>
          <w:rtl/>
        </w:rPr>
        <w:t xml:space="preserve"> לאזרחים.</w:t>
      </w:r>
      <w:r w:rsidRPr="00A210E9">
        <w:rPr>
          <w:rFonts w:eastAsia="Calibri" w:hint="cs"/>
          <w:rtl/>
        </w:rPr>
        <w:t xml:space="preserve"> </w:t>
      </w:r>
      <w:r w:rsidRPr="00A210E9">
        <w:rPr>
          <w:rFonts w:eastAsia="Calibri" w:hint="eastAsia"/>
          <w:rtl/>
        </w:rPr>
        <w:t>משרד</w:t>
      </w:r>
      <w:r w:rsidRPr="00A210E9">
        <w:rPr>
          <w:rFonts w:eastAsia="Calibri"/>
          <w:rtl/>
        </w:rPr>
        <w:t xml:space="preserve"> </w:t>
      </w:r>
      <w:r w:rsidRPr="00A210E9">
        <w:rPr>
          <w:rFonts w:eastAsia="Calibri" w:hint="eastAsia"/>
          <w:rtl/>
        </w:rPr>
        <w:t>התחבורה</w:t>
      </w:r>
      <w:r w:rsidRPr="00A210E9">
        <w:rPr>
          <w:rFonts w:eastAsia="Calibri"/>
          <w:rtl/>
        </w:rPr>
        <w:t xml:space="preserve"> ניסה להתמודד לאורך השנים עם </w:t>
      </w:r>
      <w:r w:rsidRPr="00A210E9">
        <w:rPr>
          <w:rFonts w:eastAsia="Calibri" w:hint="eastAsia"/>
          <w:rtl/>
        </w:rPr>
        <w:t>הסוגיות</w:t>
      </w:r>
      <w:r w:rsidRPr="00A210E9">
        <w:rPr>
          <w:rFonts w:eastAsia="Calibri"/>
          <w:rtl/>
        </w:rPr>
        <w:t xml:space="preserve"> </w:t>
      </w:r>
      <w:r w:rsidRPr="00A210E9">
        <w:rPr>
          <w:rFonts w:eastAsia="Calibri" w:hint="eastAsia"/>
          <w:rtl/>
        </w:rPr>
        <w:t>הרבות</w:t>
      </w:r>
      <w:r w:rsidRPr="00A210E9">
        <w:rPr>
          <w:rFonts w:eastAsia="Calibri"/>
          <w:rtl/>
        </w:rPr>
        <w:t xml:space="preserve"> </w:t>
      </w:r>
      <w:r w:rsidRPr="00A210E9">
        <w:rPr>
          <w:rFonts w:eastAsia="Calibri" w:hint="eastAsia"/>
          <w:rtl/>
        </w:rPr>
        <w:t>שעלו</w:t>
      </w:r>
      <w:r w:rsidRPr="00A210E9">
        <w:rPr>
          <w:rFonts w:eastAsia="Calibri"/>
          <w:rtl/>
        </w:rPr>
        <w:t xml:space="preserve"> </w:t>
      </w:r>
      <w:r w:rsidRPr="00A210E9">
        <w:rPr>
          <w:rFonts w:eastAsia="Calibri" w:hint="eastAsia"/>
          <w:rtl/>
        </w:rPr>
        <w:t>בהקשר</w:t>
      </w:r>
      <w:r w:rsidRPr="00A210E9">
        <w:rPr>
          <w:rFonts w:eastAsia="Calibri"/>
          <w:rtl/>
        </w:rPr>
        <w:t xml:space="preserve"> </w:t>
      </w:r>
      <w:r w:rsidRPr="00A210E9">
        <w:rPr>
          <w:rFonts w:eastAsia="Calibri" w:hint="eastAsia"/>
          <w:rtl/>
        </w:rPr>
        <w:t>של</w:t>
      </w:r>
      <w:r w:rsidRPr="00A210E9">
        <w:rPr>
          <w:rFonts w:eastAsia="Calibri"/>
          <w:rtl/>
        </w:rPr>
        <w:t xml:space="preserve"> </w:t>
      </w:r>
      <w:r w:rsidRPr="00A210E9">
        <w:rPr>
          <w:rFonts w:eastAsia="Calibri" w:hint="eastAsia"/>
          <w:rtl/>
        </w:rPr>
        <w:t>טיפול</w:t>
      </w:r>
      <w:r w:rsidRPr="00A210E9">
        <w:rPr>
          <w:rFonts w:eastAsia="Calibri"/>
          <w:rtl/>
        </w:rPr>
        <w:t xml:space="preserve"> </w:t>
      </w:r>
      <w:r w:rsidRPr="00A210E9">
        <w:rPr>
          <w:rFonts w:eastAsia="Calibri" w:hint="eastAsia"/>
          <w:rtl/>
        </w:rPr>
        <w:t>בתגי</w:t>
      </w:r>
      <w:r w:rsidRPr="00A210E9">
        <w:rPr>
          <w:rFonts w:eastAsia="Calibri"/>
          <w:rtl/>
        </w:rPr>
        <w:t xml:space="preserve"> </w:t>
      </w:r>
      <w:r w:rsidRPr="00A210E9">
        <w:rPr>
          <w:rFonts w:eastAsia="Calibri" w:hint="eastAsia"/>
          <w:rtl/>
        </w:rPr>
        <w:t>חניה</w:t>
      </w:r>
      <w:r w:rsidRPr="00A210E9">
        <w:rPr>
          <w:rFonts w:eastAsia="Calibri" w:hint="cs"/>
          <w:rtl/>
        </w:rPr>
        <w:t>,</w:t>
      </w:r>
      <w:r w:rsidRPr="00A210E9">
        <w:rPr>
          <w:rFonts w:eastAsia="Calibri"/>
          <w:rtl/>
        </w:rPr>
        <w:t xml:space="preserve"> באמצעות ניסיונות </w:t>
      </w:r>
      <w:r w:rsidRPr="00A210E9">
        <w:rPr>
          <w:rFonts w:eastAsia="Calibri" w:hint="eastAsia"/>
          <w:rtl/>
        </w:rPr>
        <w:t>לתיקוני</w:t>
      </w:r>
      <w:r w:rsidRPr="00A210E9">
        <w:rPr>
          <w:rFonts w:eastAsia="Calibri"/>
          <w:rtl/>
        </w:rPr>
        <w:t xml:space="preserve"> </w:t>
      </w:r>
      <w:r w:rsidRPr="00A210E9">
        <w:rPr>
          <w:rFonts w:eastAsia="Calibri" w:hint="eastAsia"/>
          <w:rtl/>
        </w:rPr>
        <w:t>חקיקה</w:t>
      </w:r>
      <w:r w:rsidRPr="00A210E9">
        <w:rPr>
          <w:rFonts w:eastAsia="Calibri"/>
          <w:rtl/>
        </w:rPr>
        <w:t xml:space="preserve"> </w:t>
      </w:r>
      <w:r w:rsidRPr="00A210E9">
        <w:rPr>
          <w:rFonts w:eastAsia="Calibri" w:hint="eastAsia"/>
          <w:rtl/>
        </w:rPr>
        <w:t>והקמת</w:t>
      </w:r>
      <w:r w:rsidRPr="00A210E9">
        <w:rPr>
          <w:rFonts w:eastAsia="Calibri"/>
          <w:rtl/>
        </w:rPr>
        <w:t xml:space="preserve"> </w:t>
      </w:r>
      <w:r w:rsidRPr="00A210E9">
        <w:rPr>
          <w:rFonts w:eastAsia="Calibri" w:hint="eastAsia"/>
          <w:rtl/>
        </w:rPr>
        <w:t>צוותי</w:t>
      </w:r>
      <w:r w:rsidRPr="00A210E9">
        <w:rPr>
          <w:rFonts w:eastAsia="Calibri"/>
          <w:rtl/>
        </w:rPr>
        <w:t xml:space="preserve"> </w:t>
      </w:r>
      <w:r w:rsidRPr="00A210E9">
        <w:rPr>
          <w:rFonts w:eastAsia="Calibri" w:hint="eastAsia"/>
          <w:rtl/>
        </w:rPr>
        <w:t>עבודה</w:t>
      </w:r>
      <w:r w:rsidRPr="00A210E9">
        <w:rPr>
          <w:rFonts w:eastAsia="Calibri"/>
          <w:rtl/>
        </w:rPr>
        <w:t xml:space="preserve"> </w:t>
      </w:r>
      <w:r w:rsidRPr="00A210E9">
        <w:rPr>
          <w:rFonts w:eastAsia="Calibri" w:hint="eastAsia"/>
          <w:rtl/>
        </w:rPr>
        <w:t>שונים</w:t>
      </w:r>
      <w:r w:rsidRPr="00A210E9">
        <w:rPr>
          <w:rFonts w:eastAsia="Calibri" w:hint="cs"/>
          <w:rtl/>
        </w:rPr>
        <w:t xml:space="preserve">. בנוסף לאמור לעיל, נכתבו כמה דוחות ביקורת פנימית בנושא. בד בבד, נערכו דיונים בכנסת שגם בהם הועלו מגוון סוגיות שדרשו פתרון. </w:t>
      </w:r>
    </w:p>
    <w:p w:rsidR="00A210E9" w:rsidRPr="00A210E9" w:rsidP="00A210E9">
      <w:pPr>
        <w:spacing w:line="269" w:lineRule="auto"/>
        <w:rPr>
          <w:rFonts w:eastAsia="Calibri"/>
          <w:rtl/>
        </w:rPr>
      </w:pPr>
    </w:p>
    <w:p w:rsidR="00A210E9" w:rsidRPr="00A210E9" w:rsidP="00A210E9">
      <w:pPr>
        <w:keepNext/>
        <w:keepLines/>
        <w:spacing w:line="269" w:lineRule="auto"/>
        <w:outlineLvl w:val="3"/>
        <w:rPr>
          <w:rFonts w:eastAsia="Times New Roman"/>
          <w:b/>
          <w:bCs/>
          <w:szCs w:val="26"/>
          <w:rtl/>
        </w:rPr>
      </w:pPr>
      <w:r w:rsidRPr="00A210E9">
        <w:rPr>
          <w:rFonts w:eastAsia="Times New Roman" w:hint="cs"/>
          <w:bCs/>
          <w:szCs w:val="26"/>
          <w:rtl/>
        </w:rPr>
        <w:t>הקמת צוותי עבודה ו</w:t>
      </w:r>
      <w:r w:rsidRPr="00A210E9">
        <w:rPr>
          <w:rFonts w:eastAsia="Times New Roman" w:hint="eastAsia"/>
          <w:bCs/>
          <w:szCs w:val="26"/>
          <w:rtl/>
        </w:rPr>
        <w:t>ניסיונות</w:t>
      </w:r>
      <w:r w:rsidRPr="00A210E9">
        <w:rPr>
          <w:rFonts w:eastAsia="Times New Roman"/>
          <w:bCs/>
          <w:szCs w:val="26"/>
          <w:rtl/>
        </w:rPr>
        <w:t xml:space="preserve"> </w:t>
      </w:r>
      <w:r w:rsidRPr="00A210E9">
        <w:rPr>
          <w:rFonts w:eastAsia="Times New Roman" w:hint="eastAsia"/>
          <w:bCs/>
          <w:szCs w:val="26"/>
          <w:rtl/>
        </w:rPr>
        <w:t>להסדרה</w:t>
      </w:r>
      <w:r w:rsidRPr="00A210E9">
        <w:rPr>
          <w:rFonts w:eastAsia="Times New Roman"/>
          <w:bCs/>
          <w:szCs w:val="26"/>
          <w:rtl/>
        </w:rPr>
        <w:t xml:space="preserve"> </w:t>
      </w:r>
      <w:r w:rsidRPr="00A210E9">
        <w:rPr>
          <w:rFonts w:eastAsia="Times New Roman" w:hint="cs"/>
          <w:bCs/>
          <w:szCs w:val="26"/>
          <w:rtl/>
        </w:rPr>
        <w:t xml:space="preserve">בחקיקה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rtl/>
        </w:rPr>
        <w:t xml:space="preserve">משרד התחבורה הוביל במהלך השנים </w:t>
      </w:r>
      <w:r w:rsidRPr="00A210E9">
        <w:rPr>
          <w:rFonts w:eastAsia="Calibri" w:hint="cs"/>
          <w:rtl/>
        </w:rPr>
        <w:t>כמה</w:t>
      </w:r>
      <w:r w:rsidRPr="00A210E9">
        <w:rPr>
          <w:rFonts w:eastAsia="Calibri"/>
          <w:rtl/>
        </w:rPr>
        <w:t xml:space="preserve"> צוותים בין</w:t>
      </w:r>
      <w:r w:rsidRPr="00A210E9">
        <w:rPr>
          <w:rFonts w:eastAsia="Calibri" w:hint="cs"/>
          <w:rtl/>
        </w:rPr>
        <w:t>-</w:t>
      </w:r>
      <w:r w:rsidRPr="00A210E9">
        <w:rPr>
          <w:rFonts w:eastAsia="Calibri"/>
          <w:rtl/>
        </w:rPr>
        <w:t>משרדיים</w:t>
      </w:r>
      <w:r w:rsidRPr="00A210E9">
        <w:rPr>
          <w:rFonts w:eastAsia="Calibri" w:hint="cs"/>
          <w:rtl/>
        </w:rPr>
        <w:t xml:space="preserve"> בהשתתפות </w:t>
      </w:r>
      <w:r w:rsidRPr="00A210E9">
        <w:rPr>
          <w:rFonts w:eastAsia="Calibri"/>
          <w:rtl/>
        </w:rPr>
        <w:t>נציגי משרדי ממשלה וגופים ציבוריים שונים</w:t>
      </w:r>
      <w:r w:rsidRPr="00A210E9">
        <w:rPr>
          <w:rFonts w:eastAsia="Calibri" w:hint="cs"/>
          <w:rtl/>
        </w:rPr>
        <w:t>. הצוותים הוקמו</w:t>
      </w:r>
      <w:r w:rsidRPr="00A210E9">
        <w:rPr>
          <w:rFonts w:eastAsia="Calibri"/>
          <w:rtl/>
        </w:rPr>
        <w:t xml:space="preserve"> </w:t>
      </w:r>
      <w:r w:rsidRPr="00A210E9">
        <w:rPr>
          <w:rFonts w:eastAsia="Calibri" w:hint="cs"/>
          <w:rtl/>
        </w:rPr>
        <w:t>בין היתר</w:t>
      </w:r>
      <w:r w:rsidRPr="00A210E9">
        <w:rPr>
          <w:rFonts w:eastAsia="Calibri"/>
          <w:rtl/>
        </w:rPr>
        <w:t xml:space="preserve"> </w:t>
      </w:r>
      <w:r w:rsidRPr="00A210E9">
        <w:rPr>
          <w:rFonts w:eastAsia="Calibri" w:hint="cs"/>
          <w:rtl/>
        </w:rPr>
        <w:t xml:space="preserve">כדי </w:t>
      </w:r>
      <w:r w:rsidRPr="00A210E9">
        <w:rPr>
          <w:rFonts w:eastAsia="Calibri"/>
          <w:rtl/>
        </w:rPr>
        <w:t>ליצור תהליך מוסדר שיאזן בין צורכי הנגישות לבין מגבלות המערכת</w:t>
      </w:r>
      <w:r w:rsidRPr="00A210E9">
        <w:rPr>
          <w:rFonts w:eastAsia="Calibri" w:hint="cs"/>
          <w:rtl/>
        </w:rPr>
        <w:t>, ו</w:t>
      </w:r>
      <w:r w:rsidRPr="00A210E9">
        <w:rPr>
          <w:rFonts w:eastAsia="Calibri"/>
          <w:rtl/>
        </w:rPr>
        <w:t xml:space="preserve">לגבש מענה </w:t>
      </w:r>
      <w:r w:rsidRPr="00A210E9">
        <w:rPr>
          <w:rFonts w:eastAsia="Calibri" w:hint="cs"/>
          <w:rtl/>
        </w:rPr>
        <w:t>ע</w:t>
      </w:r>
      <w:r w:rsidRPr="00A210E9">
        <w:rPr>
          <w:rFonts w:eastAsia="Calibri"/>
          <w:rtl/>
        </w:rPr>
        <w:t>ל</w:t>
      </w:r>
      <w:r w:rsidRPr="00A210E9">
        <w:rPr>
          <w:rFonts w:eastAsia="Calibri" w:hint="cs"/>
          <w:rtl/>
        </w:rPr>
        <w:t xml:space="preserve"> </w:t>
      </w:r>
      <w:r w:rsidRPr="00A210E9">
        <w:rPr>
          <w:rFonts w:eastAsia="Calibri"/>
          <w:rtl/>
        </w:rPr>
        <w:t xml:space="preserve">סוגיית הקריטריונים לזכאות לתג חניה. </w:t>
      </w:r>
      <w:r w:rsidRPr="00A210E9">
        <w:rPr>
          <w:rFonts w:eastAsia="Calibri" w:hint="cs"/>
          <w:rtl/>
        </w:rPr>
        <w:t>בשנת 2025 הוביל החשכ"ל צוות בין-משרדי נוסף כדי לבחון את הסדרי המדיניות ויישומם בתחום תגי החניה. התרשים שלהלן סוקר את הצוותים שהוקמו בשנים 2006 - 2025:</w:t>
      </w:r>
    </w:p>
    <w:p w:rsidR="00A210E9" w:rsidRPr="00A210E9" w:rsidP="00A210E9">
      <w:pPr>
        <w:keepNext/>
        <w:keepLines/>
        <w:spacing w:line="269" w:lineRule="auto"/>
        <w:jc w:val="center"/>
        <w:rPr>
          <w:rFonts w:eastAsia="Calibri"/>
          <w:b/>
          <w:bCs/>
          <w:rtl/>
        </w:rPr>
      </w:pPr>
      <w:r w:rsidRPr="00A210E9">
        <w:rPr>
          <w:rFonts w:eastAsia="Calibri" w:hint="eastAsia"/>
          <w:rtl/>
        </w:rPr>
        <w:t>תרשים</w:t>
      </w:r>
      <w:r w:rsidRPr="00A210E9">
        <w:rPr>
          <w:rFonts w:eastAsia="Calibri"/>
          <w:rtl/>
        </w:rPr>
        <w:t xml:space="preserve"> </w:t>
      </w:r>
      <w:r w:rsidRPr="00A210E9">
        <w:rPr>
          <w:rFonts w:eastAsia="Calibri" w:hint="cs"/>
          <w:rtl/>
        </w:rPr>
        <w:t>23</w:t>
      </w:r>
      <w:r w:rsidRPr="00A210E9">
        <w:rPr>
          <w:rFonts w:eastAsia="Calibri"/>
          <w:rtl/>
        </w:rPr>
        <w:t>:</w:t>
      </w:r>
      <w:r w:rsidRPr="00A210E9">
        <w:rPr>
          <w:rFonts w:eastAsia="Calibri" w:hint="cs"/>
          <w:b/>
          <w:bCs/>
          <w:rtl/>
        </w:rPr>
        <w:t xml:space="preserve"> צוותי עבודה בין-משרדיים, 2006 </w:t>
      </w:r>
      <w:bookmarkStart w:id="164" w:name="_Hlk219984180"/>
      <w:r w:rsidRPr="00A210E9">
        <w:rPr>
          <w:rFonts w:eastAsia="Calibri" w:hint="cs"/>
          <w:b/>
          <w:bCs/>
          <w:rtl/>
        </w:rPr>
        <w:t>- 2025</w:t>
      </w:r>
      <w:bookmarkEnd w:id="164"/>
    </w:p>
    <w:p w:rsidR="00A210E9" w:rsidRPr="00A210E9" w:rsidP="00A210E9">
      <w:pPr>
        <w:spacing w:line="269" w:lineRule="auto"/>
        <w:jc w:val="center"/>
        <w:rPr>
          <w:rFonts w:eastAsia="Calibri"/>
          <w:rtl/>
        </w:rPr>
      </w:pPr>
      <w:r w:rsidRPr="00A210E9">
        <w:rPr>
          <w:rFonts w:eastAsia="Calibri"/>
          <w:noProof/>
          <w:rtl/>
          <w:lang w:val="he-IL"/>
        </w:rPr>
        <w:drawing>
          <wp:inline distT="0" distB="0" distL="0" distR="0">
            <wp:extent cx="5336540" cy="6408116"/>
            <wp:effectExtent l="38100" t="0" r="16510" b="0"/>
            <wp:docPr id="16" name="דיאגרמה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A210E9" w:rsidRPr="00A210E9" w:rsidP="00A210E9">
      <w:pPr>
        <w:spacing w:line="269" w:lineRule="auto"/>
        <w:rPr>
          <w:rFonts w:eastAsia="Calibri"/>
          <w:szCs w:val="20"/>
          <w:rtl/>
        </w:rPr>
      </w:pPr>
      <w:r w:rsidRPr="00A210E9">
        <w:rPr>
          <w:rFonts w:eastAsia="Calibri" w:hint="eastAsia"/>
          <w:szCs w:val="20"/>
          <w:rtl/>
        </w:rPr>
        <w:t>על</w:t>
      </w:r>
      <w:r w:rsidRPr="00A210E9">
        <w:rPr>
          <w:rFonts w:eastAsia="Calibri"/>
          <w:szCs w:val="20"/>
          <w:rtl/>
        </w:rPr>
        <w:t xml:space="preserve"> פי מידע ממשרד התחבורה, </w:t>
      </w:r>
      <w:r w:rsidRPr="00A210E9">
        <w:rPr>
          <w:rFonts w:eastAsia="Calibri" w:hint="cs"/>
          <w:szCs w:val="20"/>
          <w:rtl/>
        </w:rPr>
        <w:t>מ</w:t>
      </w:r>
      <w:r w:rsidRPr="00A210E9">
        <w:rPr>
          <w:rFonts w:eastAsia="Calibri" w:hint="eastAsia"/>
          <w:szCs w:val="20"/>
          <w:rtl/>
        </w:rPr>
        <w:t>אגף</w:t>
      </w:r>
      <w:r w:rsidRPr="00A210E9">
        <w:rPr>
          <w:rFonts w:eastAsia="Calibri"/>
          <w:szCs w:val="20"/>
          <w:rtl/>
        </w:rPr>
        <w:t xml:space="preserve"> החשכ"ל ו</w:t>
      </w:r>
      <w:r w:rsidRPr="00A210E9">
        <w:rPr>
          <w:rFonts w:eastAsia="Calibri" w:hint="cs"/>
          <w:szCs w:val="20"/>
          <w:rtl/>
        </w:rPr>
        <w:t>מ</w:t>
      </w:r>
      <w:r w:rsidRPr="00A210E9">
        <w:rPr>
          <w:rFonts w:eastAsia="Calibri" w:hint="eastAsia"/>
          <w:szCs w:val="20"/>
          <w:rtl/>
        </w:rPr>
        <w:t>נציבות</w:t>
      </w:r>
      <w:r w:rsidRPr="00A210E9">
        <w:rPr>
          <w:rFonts w:eastAsia="Calibri"/>
          <w:szCs w:val="20"/>
          <w:rtl/>
        </w:rPr>
        <w:t xml:space="preserve"> </w:t>
      </w:r>
      <w:r w:rsidRPr="00A210E9">
        <w:rPr>
          <w:rFonts w:eastAsia="Calibri" w:hint="eastAsia"/>
          <w:szCs w:val="20"/>
          <w:rtl/>
        </w:rPr>
        <w:t>שוויון</w:t>
      </w:r>
      <w:r w:rsidRPr="00A210E9">
        <w:rPr>
          <w:rFonts w:eastAsia="Calibri"/>
          <w:szCs w:val="20"/>
          <w:rtl/>
        </w:rPr>
        <w:t xml:space="preserve"> זכויות, בעיבוד משרד מבקר המדינה</w:t>
      </w:r>
      <w:r w:rsidRPr="00A210E9">
        <w:rPr>
          <w:rFonts w:eastAsia="Calibri" w:hint="cs"/>
          <w:szCs w:val="20"/>
          <w:rtl/>
        </w:rPr>
        <w:t>.</w:t>
      </w:r>
    </w:p>
    <w:p w:rsidR="00A210E9" w:rsidRPr="00A210E9" w:rsidP="00A210E9">
      <w:pPr>
        <w:keepNext/>
        <w:keepLines/>
        <w:spacing w:line="269" w:lineRule="auto"/>
        <w:ind w:left="-567"/>
        <w:rPr>
          <w:rFonts w:eastAsia="Calibri"/>
          <w:szCs w:val="20"/>
          <w:rtl/>
        </w:rPr>
      </w:pPr>
    </w:p>
    <w:p w:rsidR="00A210E9" w:rsidRPr="00A210E9" w:rsidP="00A210E9">
      <w:pPr>
        <w:keepNext/>
        <w:keepLines/>
        <w:spacing w:line="269" w:lineRule="auto"/>
        <w:outlineLvl w:val="4"/>
        <w:rPr>
          <w:rFonts w:eastAsia="Times New Roman"/>
          <w:bCs/>
          <w:spacing w:val="40"/>
          <w:rtl/>
        </w:rPr>
      </w:pPr>
      <w:r w:rsidRPr="00A210E9">
        <w:rPr>
          <w:rFonts w:eastAsia="Times New Roman" w:hint="cs"/>
          <w:bCs/>
          <w:spacing w:val="40"/>
          <w:rtl/>
        </w:rPr>
        <w:t>2006 -2011 - גיבוש תזכירים לתיקון החוק והקמת ועדה לקביעת קריטריונים</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במהלך 2008 הופץ תזכיר לתיקון חוק חניה לנכים, בעקבות עבודת </w:t>
      </w:r>
      <w:r w:rsidRPr="00A210E9">
        <w:rPr>
          <w:rFonts w:eastAsia="Calibri"/>
          <w:rtl/>
        </w:rPr>
        <w:t>צוות בי</w:t>
      </w:r>
      <w:r w:rsidRPr="00A210E9">
        <w:rPr>
          <w:rFonts w:eastAsia="Calibri" w:hint="cs"/>
          <w:rtl/>
        </w:rPr>
        <w:t>ן-</w:t>
      </w:r>
      <w:r w:rsidRPr="00A210E9">
        <w:rPr>
          <w:rFonts w:eastAsia="Calibri"/>
          <w:rtl/>
        </w:rPr>
        <w:t xml:space="preserve">משרדי בראשות </w:t>
      </w:r>
      <w:r w:rsidRPr="00A210E9">
        <w:rPr>
          <w:rFonts w:eastAsia="Calibri" w:hint="cs"/>
          <w:rtl/>
        </w:rPr>
        <w:t>ראש מינהל תנועה ב</w:t>
      </w:r>
      <w:r w:rsidRPr="00A210E9">
        <w:rPr>
          <w:rFonts w:eastAsia="Calibri"/>
          <w:rtl/>
        </w:rPr>
        <w:t>משרד התחבורה</w:t>
      </w:r>
      <w:r w:rsidRPr="00A210E9">
        <w:rPr>
          <w:rFonts w:eastAsia="Calibri" w:hint="cs"/>
          <w:rtl/>
        </w:rPr>
        <w:t>, ולאחר שיתוף של ארגונים המייצגים אנשים עם מוגבלות ושל נציבות שוויון זכויות (להלן - תזכיר חוק 2008).</w:t>
      </w:r>
      <w:r w:rsidRPr="00A210E9">
        <w:rPr>
          <w:rFonts w:eastAsia="Calibri"/>
          <w:rtl/>
        </w:rPr>
        <w:t xml:space="preserve"> </w:t>
      </w:r>
      <w:r w:rsidRPr="00A210E9">
        <w:rPr>
          <w:rFonts w:eastAsia="Calibri" w:hint="cs"/>
          <w:rtl/>
        </w:rPr>
        <w:t xml:space="preserve">התזכיר התייחס למגוון נושאים, כפי שמובאים בתרשים לעיל, ובין היתר הגדיר תבחינים רפואיים מפורטים מאוד לקביעת זכאות לתג, לדוגמה מחלות לב מסוג תעוקת לב עם 70% נכות, שחפת ריאות של ריאה שלמה עם 60% נכות וקטיעת הגף התחתון בפרק הירך עם 80% נכות. בעקבות הפצת התזכיר התגלעו כמה </w:t>
      </w:r>
      <w:r w:rsidRPr="00A210E9">
        <w:rPr>
          <w:rFonts w:eastAsia="Calibri"/>
          <w:rtl/>
        </w:rPr>
        <w:t>מחלוקות</w:t>
      </w:r>
      <w:r w:rsidRPr="00A210E9">
        <w:rPr>
          <w:rFonts w:eastAsia="Calibri" w:hint="cs"/>
          <w:rtl/>
        </w:rPr>
        <w:t xml:space="preserve"> מהותיות, בין היתר בנוגע ל</w:t>
      </w:r>
      <w:r w:rsidRPr="00A210E9">
        <w:rPr>
          <w:rFonts w:eastAsia="Calibri"/>
          <w:rtl/>
        </w:rPr>
        <w:t>מטרת התג ולמי צריך לייעד אותו</w:t>
      </w:r>
      <w:r w:rsidRPr="00A210E9">
        <w:rPr>
          <w:rFonts w:eastAsia="Calibri" w:hint="cs"/>
          <w:rtl/>
        </w:rPr>
        <w:t xml:space="preserve"> ובנוגע לשאלה</w:t>
      </w:r>
      <w:r w:rsidRPr="00A210E9">
        <w:rPr>
          <w:rFonts w:eastAsia="Calibri"/>
          <w:rtl/>
        </w:rPr>
        <w:t xml:space="preserve"> אם צריך לראות בחוק</w:t>
      </w:r>
      <w:r w:rsidRPr="00A210E9">
        <w:rPr>
          <w:rFonts w:eastAsia="Calibri" w:hint="cs"/>
          <w:rtl/>
        </w:rPr>
        <w:t xml:space="preserve"> חניה לנכים</w:t>
      </w:r>
      <w:r w:rsidRPr="00A210E9">
        <w:rPr>
          <w:rFonts w:eastAsia="Calibri"/>
          <w:rtl/>
        </w:rPr>
        <w:t xml:space="preserve"> חלק ממערך דיני השוויון לקידום שילוב </w:t>
      </w:r>
      <w:r w:rsidRPr="00A210E9">
        <w:rPr>
          <w:rFonts w:eastAsia="Calibri" w:hint="cs"/>
          <w:rtl/>
        </w:rPr>
        <w:t>אנשים עם מוגבלות</w:t>
      </w:r>
      <w:r w:rsidRPr="00A210E9">
        <w:rPr>
          <w:rFonts w:eastAsia="Calibri"/>
          <w:rtl/>
        </w:rPr>
        <w:t xml:space="preserve"> בעלי כושר תפקוד בחברה או לכל מי שיש לו בעיית ניידות. המחלוקת הי</w:t>
      </w:r>
      <w:r w:rsidRPr="00A210E9">
        <w:rPr>
          <w:rFonts w:eastAsia="Calibri" w:hint="cs"/>
          <w:rtl/>
        </w:rPr>
        <w:t>י</w:t>
      </w:r>
      <w:r w:rsidRPr="00A210E9">
        <w:rPr>
          <w:rFonts w:eastAsia="Calibri"/>
          <w:rtl/>
        </w:rPr>
        <w:t>תה בין ארגוני</w:t>
      </w:r>
      <w:r w:rsidRPr="00A210E9">
        <w:rPr>
          <w:rFonts w:eastAsia="Calibri" w:hint="cs"/>
          <w:rtl/>
        </w:rPr>
        <w:t>ם המייצגים</w:t>
      </w:r>
      <w:r w:rsidRPr="00A210E9">
        <w:rPr>
          <w:rFonts w:eastAsia="Calibri"/>
          <w:rtl/>
        </w:rPr>
        <w:t xml:space="preserve"> </w:t>
      </w:r>
      <w:r w:rsidRPr="00A210E9">
        <w:rPr>
          <w:rFonts w:eastAsia="Calibri" w:hint="cs"/>
          <w:rtl/>
        </w:rPr>
        <w:t>את האנשים</w:t>
      </w:r>
      <w:r w:rsidRPr="00A210E9">
        <w:rPr>
          <w:rFonts w:eastAsia="Calibri"/>
          <w:rtl/>
        </w:rPr>
        <w:t xml:space="preserve"> עצמם</w:t>
      </w:r>
      <w:r w:rsidRPr="00A210E9">
        <w:rPr>
          <w:rFonts w:eastAsia="Calibri" w:hint="cs"/>
          <w:rtl/>
        </w:rPr>
        <w:t xml:space="preserve"> עם מוגבלות</w:t>
      </w:r>
      <w:r w:rsidRPr="00A210E9">
        <w:rPr>
          <w:rFonts w:eastAsia="Calibri"/>
          <w:rtl/>
        </w:rPr>
        <w:t>, וגם בנציבות שוויון</w:t>
      </w:r>
      <w:r w:rsidRPr="00A210E9">
        <w:rPr>
          <w:rFonts w:eastAsia="Calibri" w:hint="cs"/>
          <w:rtl/>
        </w:rPr>
        <w:t xml:space="preserve"> זכויות</w:t>
      </w:r>
      <w:r w:rsidRPr="00A210E9">
        <w:rPr>
          <w:rFonts w:eastAsia="Calibri"/>
          <w:rtl/>
        </w:rPr>
        <w:t xml:space="preserve"> עצמה לפי השקפת עולמו של ראש הנציבות שהתחלף במהלך העבודה</w:t>
      </w:r>
      <w:r w:rsidRPr="00A210E9">
        <w:rPr>
          <w:rFonts w:eastAsia="Calibri" w:hint="cs"/>
          <w:rtl/>
        </w:rPr>
        <w:t xml:space="preserve"> על התזכיר</w:t>
      </w:r>
      <w:r w:rsidRPr="00A210E9">
        <w:rPr>
          <w:rFonts w:eastAsia="Calibri"/>
          <w:rtl/>
        </w:rPr>
        <w:t>. כמו כן</w:t>
      </w:r>
      <w:r w:rsidRPr="00A210E9">
        <w:rPr>
          <w:rFonts w:eastAsia="Calibri" w:hint="cs"/>
          <w:rtl/>
        </w:rPr>
        <w:t>,</w:t>
      </w:r>
      <w:r w:rsidRPr="00A210E9">
        <w:rPr>
          <w:rFonts w:eastAsia="Calibri"/>
          <w:rtl/>
        </w:rPr>
        <w:t xml:space="preserve"> היו מחלוקות</w:t>
      </w:r>
      <w:r w:rsidRPr="00A210E9">
        <w:rPr>
          <w:rFonts w:eastAsia="Calibri" w:hint="cs"/>
          <w:rtl/>
        </w:rPr>
        <w:t xml:space="preserve"> גם</w:t>
      </w:r>
      <w:r w:rsidRPr="00A210E9">
        <w:rPr>
          <w:rFonts w:eastAsia="Calibri"/>
          <w:rtl/>
        </w:rPr>
        <w:t xml:space="preserve"> בשאלות אם צריך להיות תג אחד או שני תגים שלכל אחד מהם צמודות זכויות שונות</w:t>
      </w:r>
      <w:r w:rsidRPr="00A210E9">
        <w:rPr>
          <w:rFonts w:eastAsia="Calibri" w:hint="cs"/>
          <w:rtl/>
        </w:rPr>
        <w:t xml:space="preserve">; </w:t>
      </w:r>
      <w:r w:rsidRPr="00A210E9">
        <w:rPr>
          <w:rFonts w:eastAsia="Calibri"/>
          <w:rtl/>
        </w:rPr>
        <w:t xml:space="preserve">אם התג צריך להיות אישי ולא מוגבל לרכב מסוים, או כמו במצב הקיים </w:t>
      </w:r>
      <w:r w:rsidRPr="00A210E9">
        <w:rPr>
          <w:rFonts w:eastAsia="Calibri" w:hint="cs"/>
          <w:rtl/>
        </w:rPr>
        <w:t>-</w:t>
      </w:r>
      <w:r w:rsidRPr="00A210E9">
        <w:rPr>
          <w:rFonts w:eastAsia="Calibri"/>
          <w:rtl/>
        </w:rPr>
        <w:t xml:space="preserve"> לרכב נקוב</w:t>
      </w:r>
      <w:r w:rsidRPr="00A210E9">
        <w:rPr>
          <w:rFonts w:eastAsia="Calibri" w:hint="cs"/>
          <w:rtl/>
        </w:rPr>
        <w:t>; אם מוגבלות קוגניטיבית והתנהגותית, כגון פיגור שכלי או אוטיזם, מצדיקים מתן תגי חניה; אם יש לתת עדיפות לנכי צה"ל לעומת אחרים.</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במהלך 2009 הפיץ צוות עבודה בין-משרדי נוסף תזכיר חלופי שתואר כ"מצומצם יותר" לעומת תזכיר חוק 2008, והסתפק ב"טיפול בבעיות הפחות קשורות בהשקפת עולם ופחות שנויות במחלוקת". </w:t>
      </w:r>
      <w:r w:rsidRPr="00A210E9">
        <w:rPr>
          <w:rFonts w:eastAsia="Calibri" w:hint="cs"/>
          <w:sz w:val="24"/>
          <w:rtl/>
        </w:rPr>
        <w:t xml:space="preserve">גם תזכיר זה היה כרוך בעבודת מטה רבה והוכנו לו נוסחים שונים.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משרד התחבורה קידם את העבודה על נוסח תזכיר החוק עד יולי 2011, אז הוכן הנוסח המתקדם ביותר לתיקון החוק (כפי שמוצג בתרשים 23). גם בנוסח זה </w:t>
      </w:r>
      <w:r w:rsidRPr="00A210E9">
        <w:rPr>
          <w:rFonts w:eastAsia="Calibri"/>
          <w:rtl/>
        </w:rPr>
        <w:t xml:space="preserve">נותרו שאלות לגבי הישימות של </w:t>
      </w:r>
      <w:r w:rsidRPr="00A210E9">
        <w:rPr>
          <w:rFonts w:eastAsia="Calibri" w:hint="cs"/>
          <w:rtl/>
        </w:rPr>
        <w:t xml:space="preserve">הצעדים </w:t>
      </w:r>
      <w:r w:rsidRPr="00A210E9">
        <w:rPr>
          <w:rFonts w:eastAsia="Calibri"/>
          <w:rtl/>
        </w:rPr>
        <w:t>המוצע</w:t>
      </w:r>
      <w:r w:rsidRPr="00A210E9">
        <w:rPr>
          <w:rFonts w:eastAsia="Calibri" w:hint="cs"/>
          <w:rtl/>
        </w:rPr>
        <w:t xml:space="preserve">ים. לשכת היועצת המשפטית ציינה במכתב פנימי כי </w:t>
      </w:r>
      <w:r w:rsidRPr="00A210E9">
        <w:rPr>
          <w:rFonts w:eastAsia="Calibri"/>
          <w:rtl/>
        </w:rPr>
        <w:t xml:space="preserve">צמצום מסוים של זכויות </w:t>
      </w:r>
      <w:r w:rsidRPr="00A210E9">
        <w:rPr>
          <w:rFonts w:eastAsia="Calibri" w:hint="cs"/>
          <w:rtl/>
        </w:rPr>
        <w:t>האנשים</w:t>
      </w:r>
      <w:r w:rsidRPr="00A210E9">
        <w:rPr>
          <w:rFonts w:eastAsia="Calibri"/>
          <w:rtl/>
        </w:rPr>
        <w:t xml:space="preserve"> עצמם </w:t>
      </w:r>
      <w:r w:rsidRPr="00A210E9">
        <w:rPr>
          <w:rFonts w:eastAsia="Calibri" w:hint="cs"/>
          <w:rtl/>
        </w:rPr>
        <w:t xml:space="preserve">עם מוגבלות </w:t>
      </w:r>
      <w:r w:rsidRPr="00A210E9">
        <w:rPr>
          <w:rFonts w:eastAsia="Calibri"/>
          <w:rtl/>
        </w:rPr>
        <w:t>(ביטול שני כלי רכב לאדם עם מוגבלות יחיד, ביטול זכאות של אנשים עם מוגבלות במוסד סיעודי</w:t>
      </w:r>
      <w:r w:rsidRPr="00A210E9">
        <w:rPr>
          <w:rFonts w:eastAsia="Calibri" w:hint="cs"/>
          <w:rtl/>
        </w:rPr>
        <w:t xml:space="preserve"> וסוגיות של אכיפה</w:t>
      </w:r>
      <w:r w:rsidRPr="00A210E9">
        <w:rPr>
          <w:rFonts w:eastAsia="Calibri"/>
          <w:rtl/>
        </w:rPr>
        <w:t>)</w:t>
      </w:r>
      <w:r w:rsidRPr="00A210E9">
        <w:rPr>
          <w:rFonts w:eastAsia="Calibri" w:hint="cs"/>
          <w:rtl/>
        </w:rPr>
        <w:t xml:space="preserve"> מעורר חשש מפני תגובות חריפות</w:t>
      </w:r>
      <w:r w:rsidRPr="00A210E9">
        <w:rPr>
          <w:rFonts w:eastAsia="Calibri"/>
          <w:rtl/>
        </w:rPr>
        <w:t>.</w:t>
      </w:r>
      <w:r w:rsidRPr="00A210E9">
        <w:rPr>
          <w:rFonts w:eastAsia="Calibri" w:hint="cs"/>
          <w:rtl/>
        </w:rPr>
        <w:t xml:space="preserve"> בסופו של דבר, ולמרות העבודה היסודית שבוצעה על שני תזכירי החוק, מ-2008 ומ-2009, צוין במסמך האמור כי ההנחיה הפנימית במשרד התחבורה היא כי אין היתכנות לקדם חוק כזה.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בתזכיר החוק משנת 2009 צוין כי משרד התחבורה אינו מחזיק בידע ובכלים שיאפשרו לו לבחון סוגיות הנוגעות לעמימות אמות המידה הרפואיות הקובעות זכאות לתג חניה, ועל כן הוחלט להקים ועדה ציבורית שתמליץ על המדיניות הראויה בסוגיה זו. משכך, תזכיר החוק לא כלל שינויי הסדרה לעניין זה. בנובמבר 2009 מינה מנהל אגף הרישוי במשרד התחבורה ועדה לקביעת קריטריונים אחידים להנפקת תג חניה (להלן - ועדה לקביעת קריטריונים 2009), וזאת נוכח חוסר האחידות שלהם בין הגופים השונים המוסמכים לאשר זכאות לתג חניה. לראשות הוועדה מונה מנהל המכון הרפואי לבטיחות בדרכים שבמשרד הבריאות (להלן - המרב"ד)</w:t>
      </w:r>
      <w:r>
        <w:rPr>
          <w:rFonts w:eastAsia="Calibri"/>
          <w:color w:val="000000"/>
          <w:vertAlign w:val="superscript"/>
          <w:rtl/>
          <w:lang w:val="he-IL" w:eastAsia="he-IL"/>
        </w:rPr>
        <w:footnoteReference w:id="200"/>
      </w:r>
      <w:r w:rsidRPr="00A210E9">
        <w:rPr>
          <w:rFonts w:eastAsia="Calibri" w:hint="cs"/>
          <w:rtl/>
        </w:rPr>
        <w:t xml:space="preserve">. הרכב הוועדה כלל רופא נוסף מהמרב"ד, רופאים מחברה א', נציגים ממשרדי הבריאות והתחבורה ורופא ממשרד הביטחון, אך לא כלל נציגי ציבור.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בהמשך להקמת הוועדה לקביעת קריטריונים 2009 שלחה בנובמבר 2010 חברה א' למינהל תנועה מסמך שכותרתו "דוח ביניים דרכי העבודה של הוועדה למתן תגי נכים". בדוח הביניים נכתב כי </w:t>
      </w:r>
      <w:r w:rsidRPr="00A210E9">
        <w:rPr>
          <w:rFonts w:eastAsia="Calibri"/>
          <w:rtl/>
        </w:rPr>
        <w:t xml:space="preserve">התג יונפק עבור מי שסובל ממחלה או </w:t>
      </w:r>
      <w:r w:rsidRPr="00A210E9">
        <w:rPr>
          <w:rFonts w:eastAsia="Calibri" w:hint="cs"/>
          <w:rtl/>
        </w:rPr>
        <w:t>מכמה</w:t>
      </w:r>
      <w:r w:rsidRPr="00A210E9">
        <w:rPr>
          <w:rFonts w:eastAsia="Calibri"/>
          <w:rtl/>
        </w:rPr>
        <w:t xml:space="preserve"> מחלות שבגינ</w:t>
      </w:r>
      <w:r w:rsidRPr="00A210E9">
        <w:rPr>
          <w:rFonts w:eastAsia="Calibri" w:hint="cs"/>
          <w:rtl/>
        </w:rPr>
        <w:t>ן</w:t>
      </w:r>
      <w:r w:rsidRPr="00A210E9">
        <w:rPr>
          <w:rFonts w:eastAsia="Calibri"/>
          <w:rtl/>
        </w:rPr>
        <w:t xml:space="preserve"> הוא מתקשה מאוד בתנועה או בהליכה, או ש</w:t>
      </w:r>
      <w:r w:rsidRPr="00A210E9">
        <w:rPr>
          <w:rFonts w:eastAsia="Calibri" w:hint="cs"/>
          <w:rtl/>
        </w:rPr>
        <w:t xml:space="preserve">הוא </w:t>
      </w:r>
      <w:r w:rsidRPr="00A210E9">
        <w:rPr>
          <w:rFonts w:eastAsia="Calibri"/>
          <w:rtl/>
        </w:rPr>
        <w:t xml:space="preserve">אינו מסוגל ללכת בכוחות עצמו או להתנועע ותנועותיו מסכנות את בריאותו או שהוא מרותק לביתו. הבקשה צריכה להיות מלווה בניירת רפואית עדכנית ומפורטת מרופא שתחום מומחיותו </w:t>
      </w:r>
      <w:r w:rsidRPr="00A210E9">
        <w:rPr>
          <w:rFonts w:eastAsia="Calibri" w:hint="cs"/>
          <w:rtl/>
        </w:rPr>
        <w:t>הוא ה</w:t>
      </w:r>
      <w:r w:rsidRPr="00A210E9">
        <w:rPr>
          <w:rFonts w:eastAsia="Calibri"/>
          <w:rtl/>
        </w:rPr>
        <w:t xml:space="preserve">תחום הרפואי הנוגע לבעייתו של המבקש. </w:t>
      </w:r>
      <w:r w:rsidRPr="00A210E9">
        <w:rPr>
          <w:rFonts w:eastAsia="Calibri" w:hint="cs"/>
          <w:rtl/>
        </w:rPr>
        <w:t xml:space="preserve">רשימת הקריטריונים כללה למשל מחלות ילדים - פגיעות מוחיות מולדות או נרכשות עם הפרעה מוטורית והתפתחותית; </w:t>
      </w:r>
      <w:r w:rsidRPr="00A210E9">
        <w:rPr>
          <w:rFonts w:eastAsia="Calibri"/>
          <w:rtl/>
        </w:rPr>
        <w:t xml:space="preserve">מחלות </w:t>
      </w:r>
      <w:r w:rsidRPr="00A210E9">
        <w:rPr>
          <w:rFonts w:eastAsia="Calibri" w:hint="cs"/>
          <w:rtl/>
        </w:rPr>
        <w:t xml:space="preserve">אורתופדיות - </w:t>
      </w:r>
      <w:r w:rsidRPr="00A210E9">
        <w:rPr>
          <w:rFonts w:eastAsia="Calibri"/>
          <w:rtl/>
        </w:rPr>
        <w:t>תאונות דרכים עם פגיעות קשות</w:t>
      </w:r>
      <w:r w:rsidRPr="00A210E9">
        <w:rPr>
          <w:rFonts w:eastAsia="Calibri" w:hint="cs"/>
          <w:rtl/>
        </w:rPr>
        <w:t xml:space="preserve">, </w:t>
      </w:r>
      <w:r w:rsidRPr="00A210E9">
        <w:rPr>
          <w:rFonts w:eastAsia="Calibri"/>
          <w:rtl/>
        </w:rPr>
        <w:t xml:space="preserve">ניתוחים </w:t>
      </w:r>
      <w:r w:rsidRPr="00A210E9">
        <w:rPr>
          <w:rFonts w:eastAsia="Calibri" w:hint="cs"/>
          <w:rtl/>
        </w:rPr>
        <w:t>אורתופדיים</w:t>
      </w:r>
      <w:r w:rsidRPr="00A210E9">
        <w:rPr>
          <w:rFonts w:eastAsia="Calibri"/>
          <w:rtl/>
        </w:rPr>
        <w:t xml:space="preserve"> מורכבים</w:t>
      </w:r>
      <w:r w:rsidRPr="00A210E9">
        <w:rPr>
          <w:rFonts w:eastAsia="Calibri" w:hint="cs"/>
          <w:rtl/>
        </w:rPr>
        <w:t xml:space="preserve">, </w:t>
      </w:r>
      <w:r w:rsidRPr="00A210E9">
        <w:rPr>
          <w:rFonts w:eastAsia="Calibri"/>
          <w:rtl/>
        </w:rPr>
        <w:t>עיוותים נרכשים ו</w:t>
      </w:r>
      <w:r w:rsidRPr="00A210E9">
        <w:rPr>
          <w:rFonts w:eastAsia="Calibri" w:hint="cs"/>
          <w:rtl/>
        </w:rPr>
        <w:t xml:space="preserve">מולדים; מחלות סרטן מסוימות. כמו כן, נקבעו קריטריונים למתן תג לצמיתות. </w:t>
      </w:r>
      <w:r w:rsidRPr="00A210E9">
        <w:rPr>
          <w:rFonts w:eastAsia="Calibri"/>
          <w:rtl/>
        </w:rPr>
        <w:t>נוסף</w:t>
      </w:r>
      <w:r w:rsidRPr="00A210E9">
        <w:rPr>
          <w:rFonts w:eastAsia="Calibri" w:hint="cs"/>
          <w:rtl/>
        </w:rPr>
        <w:t xml:space="preserve"> על כך, נכתב בדוח הביניים כי הבקשות יטופלו בוועדה רפואית לקביעת זכאות, שלצידה יעמדו יועצים רפואיים בכל המקצועות ותת-המקצועות של הרפואה, וניתן יהיה לערער על ההחלטה. </w:t>
      </w:r>
    </w:p>
    <w:p w:rsidR="00A210E9" w:rsidRPr="00A210E9" w:rsidP="00A210E9">
      <w:pPr>
        <w:keepNext/>
        <w:keepLines/>
        <w:spacing w:line="269" w:lineRule="auto"/>
        <w:ind w:left="-567"/>
        <w:rPr>
          <w:rFonts w:eastAsia="Calibri"/>
          <w:szCs w:val="20"/>
          <w:rtl/>
          <w:lang w:val="he-IL" w:eastAsia="he-IL"/>
        </w:rPr>
      </w:pPr>
    </w:p>
    <w:p w:rsidR="00A210E9" w:rsidRPr="00A210E9" w:rsidP="00A210E9">
      <w:pPr>
        <w:spacing w:line="269" w:lineRule="auto"/>
        <w:rPr>
          <w:rFonts w:eastAsia="Calibri"/>
          <w:rtl/>
        </w:rPr>
      </w:pPr>
      <w:r w:rsidRPr="00A210E9">
        <w:rPr>
          <w:rFonts w:eastAsia="Calibri" w:hint="cs"/>
          <w:rtl/>
        </w:rPr>
        <w:t>לצד המאמצים שלא נשאו פרי לקדם את אישורם של תזכירי חוק שנועדו להתמודד עם הסוגיות המהותיות, נעשו בשנים 2000 - 2018 כמה תיקוני חקיקה בחוק חניה לנכים, שהסדירו בעיקר נושאים נקודתיים, כמו שינויים מסוימים בקריטריונים, פטור מתשלום חניה במקום ציבורי, אפשרויות חניה במקומות אסורים, הקצאת חניות ואכיפה (ראו פירוט התיקונים בנספח 3).</w:t>
      </w:r>
    </w:p>
    <w:p w:rsidR="00A210E9" w:rsidRPr="00A210E9" w:rsidP="00A210E9">
      <w:pPr>
        <w:spacing w:line="269" w:lineRule="auto"/>
        <w:rPr>
          <w:rFonts w:eastAsia="Calibri"/>
          <w:b/>
          <w:bCs/>
          <w:rtl/>
        </w:rPr>
      </w:pPr>
      <w:r w:rsidRPr="00A210E9">
        <w:rPr>
          <w:rFonts w:eastAsia="Calibri" w:hint="cs"/>
          <w:b/>
          <w:bCs/>
          <w:rtl/>
        </w:rPr>
        <w:t xml:space="preserve">בביקורת עלה כי בשנים 2006 - 2011 נעשתה עבודת מטה נרחבת בהובלת משרד התחבורה, שבמהלכה היו ניסיונות לספק פתרונות למגוון אתגרים שעלו כבר אז בתהליך הנפקת התגים, וכן בתחום מימוש הזכויות הנלוות לתג חניה ובתחום האכיפה. במסגרת זו, </w:t>
      </w:r>
      <w:bookmarkStart w:id="165" w:name="_Hlk223953850"/>
      <w:r w:rsidRPr="00A210E9">
        <w:rPr>
          <w:rFonts w:eastAsia="Calibri" w:hint="cs"/>
          <w:b/>
          <w:bCs/>
          <w:rtl/>
        </w:rPr>
        <w:t xml:space="preserve">כבר בשנת 2008 גובשו קריטריונים רפואיים לבחינת זכאות לתג חניה המפורטים בתזכיר לתיקון החוק. משרד התחבורה לא קידם תזכיר זה, ובמקומו הוכן תזכיר חוק מצומצם יותר, שגם אותו לא קידם. לצד גיבוש התזכירים הוחלט להקים ועדה ציבורית שתמליץ על מדיניות ראויה בעניין אמות המידה הרפואיות הקובעות זכאות לתג. </w:t>
      </w:r>
      <w:bookmarkEnd w:id="165"/>
      <w:r w:rsidRPr="00A210E9">
        <w:rPr>
          <w:rFonts w:eastAsia="Calibri" w:hint="cs"/>
          <w:b/>
          <w:bCs/>
          <w:rtl/>
        </w:rPr>
        <w:t xml:space="preserve">ועדה ציבורית לא הוקמה, אולם במסגרת תוצרי </w:t>
      </w:r>
      <w:r w:rsidRPr="00A210E9">
        <w:rPr>
          <w:rFonts w:eastAsia="Calibri"/>
          <w:b/>
          <w:bCs/>
          <w:rtl/>
        </w:rPr>
        <w:t xml:space="preserve">ועדה לקביעת קריטריונים </w:t>
      </w:r>
      <w:r w:rsidRPr="00A210E9">
        <w:rPr>
          <w:rFonts w:eastAsia="Calibri" w:hint="cs"/>
          <w:b/>
          <w:bCs/>
          <w:rtl/>
        </w:rPr>
        <w:t>2009 גובשו תבחינים רפואיים מפורטים לזכאות לתג. נושאים נוספים שנדונו במסגרת עבודת המטה ושהוצעו עבורם מענים בשנים אלה היו בין היתר כללים לקביעת תוקף של התגים, קביעת מנגנון של ועדת זכאות במשרד התחבורה, סמכויות פקחים ברשויות המקומיות, אכיפת עבירות של שימוש לרעה בתג ושיוך התג לרכב אחד בלבד. כל המאמצים הללו לא נשאו פרי, חלקם בשל מחלוקות שהתגלעו סביב קביעת האוכלוסיות הזכאיות לתג, ובשל חששות ששינויים בהסדרים הקיימים וצמצום זכויות מסוימות יביאו לתגובות ציבוריות חריפות, וחלקם מכיוון שמשרד התחבורה לא פעל לקידומם.</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משרד מבקר המדינה ממליץ למשרד התחבורה לקיים מהלכי המשך לעבודת המטה שקיים בשנים קודמות ולבחון פתרונות בעניינם של כלל הנושאים שהועלו בה וטרם ניתן עליהם מענה. כמו כן יש לשקול לשתף בכל תהליך קבלת החלטות שהוא מקיים לצורך קביעת מדיניות - ובכלל זאת במסגרת הצוות ה</w:t>
      </w:r>
      <w:r w:rsidRPr="00A210E9">
        <w:rPr>
          <w:rFonts w:eastAsia="Calibri" w:hint="eastAsia"/>
          <w:b/>
          <w:bCs/>
          <w:rtl/>
        </w:rPr>
        <w:t>בין</w:t>
      </w:r>
      <w:r w:rsidRPr="00A210E9">
        <w:rPr>
          <w:rFonts w:eastAsia="Calibri"/>
          <w:b/>
          <w:bCs/>
          <w:rtl/>
        </w:rPr>
        <w:t>-</w:t>
      </w:r>
      <w:r w:rsidRPr="00A210E9">
        <w:rPr>
          <w:rFonts w:eastAsia="Calibri" w:hint="eastAsia"/>
          <w:b/>
          <w:bCs/>
          <w:rtl/>
        </w:rPr>
        <w:t>משרדי</w:t>
      </w:r>
      <w:r w:rsidRPr="00A210E9">
        <w:rPr>
          <w:rFonts w:eastAsia="Calibri" w:hint="cs"/>
          <w:b/>
          <w:bCs/>
          <w:rtl/>
        </w:rPr>
        <w:t xml:space="preserve"> 2025 - את נציבות שוויון זכויות, וכן לקיים תהליך של היוועצות בארגונים המייצגים אנשים עם מוגבלות או לקיים תהליך של שיתוף ציבור לפני גיבוש סופי של המדיניות בנושא, כדי </w:t>
      </w:r>
      <w:r w:rsidRPr="00A210E9">
        <w:rPr>
          <w:rFonts w:eastAsia="Calibri" w:hint="eastAsia"/>
          <w:b/>
          <w:bCs/>
          <w:rtl/>
        </w:rPr>
        <w:t>לסיים</w:t>
      </w:r>
      <w:r w:rsidRPr="00A210E9">
        <w:rPr>
          <w:rFonts w:eastAsia="Calibri" w:hint="cs"/>
          <w:b/>
          <w:bCs/>
          <w:rtl/>
        </w:rPr>
        <w:t xml:space="preserve"> בהקדם את גיבושם של פתרונות מתאימים בהסכמה רחבה לטובת ציבור האנשים שזקוקים לתג חניה בשל מוגבלותם.</w:t>
      </w:r>
    </w:p>
    <w:p w:rsidR="00A210E9" w:rsidRPr="00A210E9" w:rsidP="00A210E9">
      <w:pPr>
        <w:keepNext/>
        <w:keepLines/>
        <w:spacing w:line="269" w:lineRule="auto"/>
        <w:ind w:left="-567"/>
        <w:rPr>
          <w:rFonts w:eastAsia="Calibri"/>
          <w:szCs w:val="20"/>
          <w:rtl/>
        </w:rPr>
      </w:pPr>
    </w:p>
    <w:p w:rsidR="00A210E9" w:rsidRPr="00A210E9" w:rsidP="00CC1800">
      <w:pPr>
        <w:keepNext/>
        <w:keepLines/>
        <w:spacing w:before="120" w:line="269" w:lineRule="auto"/>
        <w:outlineLvl w:val="4"/>
        <w:rPr>
          <w:rFonts w:eastAsia="Times New Roman"/>
          <w:bCs/>
          <w:spacing w:val="40"/>
          <w:rtl/>
        </w:rPr>
      </w:pPr>
      <w:r w:rsidRPr="00A210E9">
        <w:rPr>
          <w:rFonts w:eastAsia="Times New Roman" w:hint="cs"/>
          <w:bCs/>
          <w:spacing w:val="40"/>
          <w:rtl/>
        </w:rPr>
        <w:t>2022 -2025 - הקמת צוותי עבודה</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בהמשך לבקשה של מנהל אגף הרישוי ממנכ"לית משרד התחבורה, בשנת 2022, שבה העלה את הצורך לבחון את</w:t>
      </w:r>
      <w:r w:rsidRPr="00A210E9">
        <w:rPr>
          <w:rFonts w:eastAsia="Calibri"/>
          <w:rtl/>
        </w:rPr>
        <w:t xml:space="preserve"> תהליכי העבודה </w:t>
      </w:r>
      <w:r w:rsidRPr="00A210E9">
        <w:rPr>
          <w:rFonts w:eastAsia="Calibri" w:hint="cs"/>
          <w:rtl/>
        </w:rPr>
        <w:t>ולקבוע את ה</w:t>
      </w:r>
      <w:r w:rsidRPr="00A210E9">
        <w:rPr>
          <w:rFonts w:eastAsia="Calibri"/>
          <w:rtl/>
        </w:rPr>
        <w:t>קריטריונים לזכאות לתג חניה</w:t>
      </w:r>
      <w:r w:rsidRPr="00A210E9">
        <w:rPr>
          <w:rFonts w:eastAsia="Calibri" w:hint="cs"/>
          <w:rtl/>
        </w:rPr>
        <w:t>,</w:t>
      </w:r>
      <w:r w:rsidRPr="00A210E9">
        <w:rPr>
          <w:rFonts w:eastAsia="Calibri"/>
          <w:rtl/>
        </w:rPr>
        <w:t xml:space="preserve"> הוק</w:t>
      </w:r>
      <w:r w:rsidRPr="00A210E9">
        <w:rPr>
          <w:rFonts w:eastAsia="Calibri" w:hint="cs"/>
          <w:rtl/>
        </w:rPr>
        <w:t>ם צוות עבודה בנושא (צוות 2022 שהוזכר לעיל). נקבע כי מטרת הצוות היא</w:t>
      </w:r>
      <w:r w:rsidRPr="00A210E9">
        <w:rPr>
          <w:rFonts w:eastAsia="Calibri"/>
          <w:rtl/>
        </w:rPr>
        <w:t xml:space="preserve"> </w:t>
      </w:r>
      <w:r w:rsidRPr="00A210E9">
        <w:rPr>
          <w:rFonts w:eastAsia="Calibri" w:hint="cs"/>
          <w:rtl/>
        </w:rPr>
        <w:t>"</w:t>
      </w:r>
      <w:r w:rsidRPr="00A210E9">
        <w:rPr>
          <w:rFonts w:eastAsia="Calibri"/>
          <w:rtl/>
        </w:rPr>
        <w:t xml:space="preserve">להבטיח שתגי </w:t>
      </w:r>
      <w:r w:rsidRPr="00A210E9">
        <w:rPr>
          <w:rFonts w:eastAsia="Calibri" w:hint="cs"/>
          <w:rtl/>
        </w:rPr>
        <w:t xml:space="preserve">החניה </w:t>
      </w:r>
      <w:r w:rsidRPr="00A210E9">
        <w:rPr>
          <w:rFonts w:eastAsia="Calibri"/>
          <w:rtl/>
        </w:rPr>
        <w:t>יינתנו לזכאים בלבד</w:t>
      </w:r>
      <w:r w:rsidRPr="00A210E9">
        <w:rPr>
          <w:rFonts w:eastAsia="Calibri" w:hint="cs"/>
          <w:rtl/>
        </w:rPr>
        <w:t xml:space="preserve">, </w:t>
      </w:r>
      <w:r w:rsidRPr="00A210E9">
        <w:rPr>
          <w:rFonts w:eastAsia="Calibri"/>
          <w:rtl/>
        </w:rPr>
        <w:t>ליצור הליך שנשען על תבחינים ענייניים, אחידים ושוויוניים</w:t>
      </w:r>
      <w:r w:rsidRPr="00A210E9">
        <w:rPr>
          <w:rFonts w:eastAsia="Calibri" w:hint="cs"/>
          <w:rtl/>
        </w:rPr>
        <w:t>"</w:t>
      </w:r>
      <w:r w:rsidRPr="00A210E9">
        <w:rPr>
          <w:rFonts w:eastAsia="Calibri"/>
          <w:rtl/>
        </w:rPr>
        <w:t>.</w:t>
      </w:r>
      <w:r w:rsidRPr="00A210E9">
        <w:rPr>
          <w:rFonts w:eastAsia="Calibri" w:hint="cs"/>
          <w:rtl/>
        </w:rPr>
        <w:t xml:space="preserve"> </w:t>
      </w:r>
      <w:r w:rsidRPr="00A210E9">
        <w:rPr>
          <w:rFonts w:ascii="Narkisim" w:eastAsia="Calibri" w:hAnsi="Narkisim" w:hint="cs"/>
          <w:sz w:val="24"/>
          <w:rtl/>
        </w:rPr>
        <w:t>הצוות</w:t>
      </w:r>
      <w:r w:rsidRPr="00A210E9">
        <w:rPr>
          <w:rFonts w:ascii="Narkisim" w:eastAsia="Calibri" w:hAnsi="Narkisim"/>
          <w:sz w:val="24"/>
          <w:rtl/>
        </w:rPr>
        <w:t xml:space="preserve"> הורכב מנציגי משרד התחבורה, הביטוח הלאומי </w:t>
      </w:r>
      <w:r w:rsidRPr="00A210E9">
        <w:rPr>
          <w:rFonts w:ascii="Narkisim" w:eastAsia="Calibri" w:hAnsi="Narkisim" w:hint="cs"/>
          <w:sz w:val="24"/>
          <w:rtl/>
        </w:rPr>
        <w:t xml:space="preserve">ומשרדי </w:t>
      </w:r>
      <w:r w:rsidRPr="00A210E9">
        <w:rPr>
          <w:rFonts w:ascii="Narkisim" w:eastAsia="Calibri" w:hAnsi="Narkisim"/>
          <w:sz w:val="24"/>
          <w:rtl/>
        </w:rPr>
        <w:t>הבריאות</w:t>
      </w:r>
      <w:r w:rsidRPr="00A210E9">
        <w:rPr>
          <w:rFonts w:ascii="Narkisim" w:eastAsia="Calibri" w:hAnsi="Narkisim" w:hint="cs"/>
          <w:sz w:val="24"/>
          <w:rtl/>
        </w:rPr>
        <w:t xml:space="preserve"> ו</w:t>
      </w:r>
      <w:r w:rsidRPr="00A210E9">
        <w:rPr>
          <w:rFonts w:ascii="Narkisim" w:eastAsia="Calibri" w:hAnsi="Narkisim"/>
          <w:sz w:val="24"/>
          <w:rtl/>
        </w:rPr>
        <w:t>האוצר</w:t>
      </w:r>
      <w:r w:rsidRPr="00A210E9">
        <w:rPr>
          <w:rFonts w:ascii="Narkisim" w:eastAsia="Calibri" w:hAnsi="Narkisim" w:hint="cs"/>
          <w:sz w:val="24"/>
          <w:rtl/>
        </w:rPr>
        <w:t>. הצוות</w:t>
      </w:r>
      <w:r w:rsidRPr="00A210E9">
        <w:rPr>
          <w:rFonts w:ascii="Narkisim" w:eastAsia="Calibri" w:hAnsi="Narkisim"/>
          <w:sz w:val="24"/>
          <w:rtl/>
        </w:rPr>
        <w:t xml:space="preserve"> עסק בגיבוש קריטריונים</w:t>
      </w:r>
      <w:r w:rsidRPr="00A210E9">
        <w:rPr>
          <w:rFonts w:ascii="Narkisim" w:eastAsia="Calibri" w:hAnsi="Narkisim" w:hint="cs"/>
          <w:sz w:val="24"/>
          <w:rtl/>
        </w:rPr>
        <w:t xml:space="preserve"> בין היתר</w:t>
      </w:r>
      <w:r w:rsidRPr="00A210E9">
        <w:rPr>
          <w:rFonts w:ascii="Narkisim" w:eastAsia="Calibri" w:hAnsi="Narkisim"/>
          <w:sz w:val="24"/>
          <w:rtl/>
        </w:rPr>
        <w:t xml:space="preserve"> לזכאות לתג </w:t>
      </w:r>
      <w:r w:rsidRPr="00A210E9">
        <w:rPr>
          <w:rFonts w:ascii="Narkisim" w:eastAsia="Calibri" w:hAnsi="Narkisim" w:hint="cs"/>
          <w:sz w:val="24"/>
          <w:rtl/>
        </w:rPr>
        <w:t>חניה</w:t>
      </w:r>
      <w:r w:rsidRPr="00A210E9">
        <w:rPr>
          <w:rFonts w:ascii="Narkisim" w:eastAsia="Calibri" w:hAnsi="Narkisim"/>
          <w:sz w:val="24"/>
          <w:rtl/>
        </w:rPr>
        <w:t xml:space="preserve">, </w:t>
      </w:r>
      <w:r w:rsidRPr="00A210E9">
        <w:rPr>
          <w:rFonts w:ascii="Narkisim" w:eastAsia="Calibri" w:hAnsi="Narkisim" w:hint="cs"/>
          <w:sz w:val="24"/>
          <w:rtl/>
        </w:rPr>
        <w:t>ל</w:t>
      </w:r>
      <w:r w:rsidRPr="00A210E9">
        <w:rPr>
          <w:rFonts w:ascii="Narkisim" w:eastAsia="Calibri" w:hAnsi="Narkisim"/>
          <w:sz w:val="24"/>
          <w:rtl/>
        </w:rPr>
        <w:t>בחינת התנאים לקבלת</w:t>
      </w:r>
      <w:r w:rsidRPr="00A210E9">
        <w:rPr>
          <w:rFonts w:ascii="Narkisim" w:eastAsia="Calibri" w:hAnsi="Narkisim" w:hint="cs"/>
          <w:sz w:val="24"/>
          <w:rtl/>
        </w:rPr>
        <w:t xml:space="preserve">ו </w:t>
      </w:r>
      <w:r w:rsidRPr="00A210E9">
        <w:rPr>
          <w:rFonts w:ascii="Narkisim" w:eastAsia="Calibri" w:hAnsi="Narkisim"/>
          <w:sz w:val="24"/>
          <w:rtl/>
        </w:rPr>
        <w:t xml:space="preserve">לצמיתות, </w:t>
      </w:r>
      <w:r w:rsidRPr="00A210E9">
        <w:rPr>
          <w:rFonts w:ascii="Narkisim" w:eastAsia="Calibri" w:hAnsi="Narkisim" w:hint="cs"/>
          <w:sz w:val="24"/>
          <w:rtl/>
        </w:rPr>
        <w:t>ל</w:t>
      </w:r>
      <w:r w:rsidRPr="00A210E9">
        <w:rPr>
          <w:rFonts w:ascii="Narkisim" w:eastAsia="Calibri" w:hAnsi="Narkisim"/>
          <w:sz w:val="24"/>
          <w:rtl/>
        </w:rPr>
        <w:t xml:space="preserve">קביעת אמות מידה לתקופת </w:t>
      </w:r>
      <w:r w:rsidRPr="00A210E9">
        <w:rPr>
          <w:rFonts w:ascii="Narkisim" w:eastAsia="Calibri" w:hAnsi="Narkisim" w:hint="cs"/>
          <w:sz w:val="24"/>
          <w:rtl/>
        </w:rPr>
        <w:t>תג</w:t>
      </w:r>
      <w:r w:rsidRPr="00A210E9">
        <w:rPr>
          <w:rFonts w:ascii="Narkisim" w:eastAsia="Calibri" w:hAnsi="Narkisim"/>
          <w:sz w:val="24"/>
          <w:rtl/>
        </w:rPr>
        <w:t xml:space="preserve"> שאינו לצמיתות </w:t>
      </w:r>
      <w:r w:rsidRPr="00A210E9">
        <w:rPr>
          <w:rFonts w:ascii="Narkisim" w:eastAsia="Calibri" w:hAnsi="Narkisim" w:hint="cs"/>
          <w:sz w:val="24"/>
          <w:rtl/>
        </w:rPr>
        <w:t>ול</w:t>
      </w:r>
      <w:r w:rsidRPr="00A210E9">
        <w:rPr>
          <w:rFonts w:ascii="Narkisim" w:eastAsia="Calibri" w:hAnsi="Narkisim"/>
          <w:sz w:val="24"/>
          <w:rtl/>
        </w:rPr>
        <w:t xml:space="preserve">קביעת מסמכים </w:t>
      </w:r>
      <w:r w:rsidRPr="00A210E9">
        <w:rPr>
          <w:rFonts w:ascii="Narkisim" w:eastAsia="Calibri" w:hAnsi="Narkisim" w:hint="cs"/>
          <w:sz w:val="24"/>
          <w:rtl/>
        </w:rPr>
        <w:t>ש</w:t>
      </w:r>
      <w:r w:rsidRPr="00A210E9">
        <w:rPr>
          <w:rFonts w:ascii="Narkisim" w:eastAsia="Calibri" w:hAnsi="Narkisim"/>
          <w:sz w:val="24"/>
          <w:rtl/>
        </w:rPr>
        <w:t>יש לצרף לבקשה</w:t>
      </w:r>
      <w:r w:rsidRPr="00A210E9">
        <w:rPr>
          <w:rFonts w:ascii="Narkisim" w:eastAsia="Calibri" w:hAnsi="Narkisim" w:hint="cs"/>
          <w:sz w:val="24"/>
          <w:rtl/>
        </w:rPr>
        <w:t xml:space="preserve"> לקבלת תג.</w:t>
      </w:r>
      <w:r w:rsidRPr="00A210E9">
        <w:rPr>
          <w:rFonts w:eastAsia="Calibri" w:hint="cs"/>
          <w:rtl/>
        </w:rPr>
        <w:t xml:space="preserve"> תוצרי הצוות הוצגו במשרד התחבורה ביוני 2023. חלק מהמלצות הצוות, בייחוד בנוגע לתחומים הרפואיים בגינם יש להגיש מסמכים רפואיים לבקשות לתג, קיבל ביטוי בנוהל 2025 שפרסם המשרד. המלצות אחרות הנוגעות לבחינת זכאות לתג על פי יכולת ללכת מרחק מסוים לא יושמו.</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ב</w:t>
      </w:r>
      <w:r w:rsidRPr="00A210E9">
        <w:rPr>
          <w:rFonts w:eastAsia="Calibri"/>
          <w:rtl/>
        </w:rPr>
        <w:t xml:space="preserve">אוקטובר 2024 מינה מנכ"ל משרד התחבורה צוות עבודה נוסף לקביעת מדיניות בנושא תגי חניה </w:t>
      </w:r>
      <w:r w:rsidRPr="00A210E9">
        <w:rPr>
          <w:rFonts w:eastAsia="Calibri" w:hint="cs"/>
          <w:rtl/>
        </w:rPr>
        <w:t>לאנשים עם מוגבלות</w:t>
      </w:r>
      <w:r w:rsidRPr="00A210E9">
        <w:rPr>
          <w:rFonts w:eastAsia="Calibri"/>
          <w:rtl/>
        </w:rPr>
        <w:t xml:space="preserve"> (צוות 2024</w:t>
      </w:r>
      <w:r w:rsidRPr="00A210E9">
        <w:rPr>
          <w:rFonts w:eastAsia="Calibri" w:hint="cs"/>
          <w:rtl/>
        </w:rPr>
        <w:t xml:space="preserve"> שהוזכר לעיל</w:t>
      </w:r>
      <w:r w:rsidRPr="00A210E9">
        <w:rPr>
          <w:rFonts w:eastAsia="Calibri"/>
          <w:rtl/>
        </w:rPr>
        <w:t>). בראש הצוות עמד ראש מ</w:t>
      </w:r>
      <w:r w:rsidRPr="00A210E9">
        <w:rPr>
          <w:rFonts w:eastAsia="Calibri" w:hint="cs"/>
          <w:rtl/>
        </w:rPr>
        <w:t>י</w:t>
      </w:r>
      <w:r w:rsidRPr="00A210E9">
        <w:rPr>
          <w:rFonts w:eastAsia="Calibri"/>
          <w:rtl/>
        </w:rPr>
        <w:t xml:space="preserve">נהל תנועה במשרד התחבורה. </w:t>
      </w:r>
      <w:r w:rsidRPr="00A210E9">
        <w:rPr>
          <w:rFonts w:eastAsia="Calibri" w:hint="cs"/>
          <w:rtl/>
        </w:rPr>
        <w:t>בין</w:t>
      </w:r>
      <w:r w:rsidRPr="00A210E9">
        <w:rPr>
          <w:rFonts w:eastAsia="Calibri"/>
          <w:rtl/>
        </w:rPr>
        <w:t xml:space="preserve"> חברי הצוות </w:t>
      </w:r>
      <w:r w:rsidRPr="00A210E9">
        <w:rPr>
          <w:rFonts w:eastAsia="Calibri" w:hint="cs"/>
          <w:rtl/>
        </w:rPr>
        <w:t>היו</w:t>
      </w:r>
      <w:r w:rsidRPr="00A210E9">
        <w:rPr>
          <w:rFonts w:eastAsia="Calibri"/>
          <w:rtl/>
        </w:rPr>
        <w:t xml:space="preserve"> נציגים נוספים ממשרד התחבורה</w:t>
      </w:r>
      <w:r w:rsidRPr="00A210E9">
        <w:rPr>
          <w:rFonts w:eastAsia="Calibri" w:hint="cs"/>
          <w:rtl/>
        </w:rPr>
        <w:t>,</w:t>
      </w:r>
      <w:r w:rsidRPr="00A210E9">
        <w:rPr>
          <w:rFonts w:eastAsia="Calibri"/>
          <w:rtl/>
        </w:rPr>
        <w:t xml:space="preserve"> </w:t>
      </w:r>
      <w:r w:rsidRPr="00A210E9">
        <w:rPr>
          <w:rFonts w:eastAsia="Calibri" w:hint="cs"/>
          <w:rtl/>
        </w:rPr>
        <w:t>מ</w:t>
      </w:r>
      <w:r w:rsidRPr="00A210E9">
        <w:rPr>
          <w:rFonts w:eastAsia="Calibri"/>
          <w:rtl/>
        </w:rPr>
        <w:t xml:space="preserve">הביטוח הלאומי </w:t>
      </w:r>
      <w:r w:rsidRPr="00A210E9">
        <w:rPr>
          <w:rFonts w:eastAsia="Calibri" w:hint="cs"/>
          <w:rtl/>
        </w:rPr>
        <w:t>ומ</w:t>
      </w:r>
      <w:r w:rsidRPr="00A210E9">
        <w:rPr>
          <w:rFonts w:eastAsia="Calibri"/>
          <w:rtl/>
        </w:rPr>
        <w:t>משרד</w:t>
      </w:r>
      <w:r w:rsidRPr="00A210E9">
        <w:rPr>
          <w:rFonts w:eastAsia="Calibri" w:hint="cs"/>
          <w:rtl/>
        </w:rPr>
        <w:t>י</w:t>
      </w:r>
      <w:r w:rsidRPr="00A210E9">
        <w:rPr>
          <w:rFonts w:eastAsia="Calibri"/>
          <w:rtl/>
        </w:rPr>
        <w:t xml:space="preserve"> הבריאות </w:t>
      </w:r>
      <w:r w:rsidRPr="00A210E9">
        <w:rPr>
          <w:rFonts w:eastAsia="Calibri" w:hint="cs"/>
          <w:rtl/>
        </w:rPr>
        <w:t>ו</w:t>
      </w:r>
      <w:r w:rsidRPr="00A210E9">
        <w:rPr>
          <w:rFonts w:eastAsia="Calibri"/>
          <w:rtl/>
        </w:rPr>
        <w:t xml:space="preserve">האוצר. נקבע כי הצוות יעסוק בין היתר בנושאים </w:t>
      </w:r>
      <w:r w:rsidRPr="00A210E9">
        <w:rPr>
          <w:rFonts w:eastAsia="Calibri" w:hint="cs"/>
          <w:rtl/>
        </w:rPr>
        <w:t>האלה:</w:t>
      </w:r>
      <w:r w:rsidRPr="00A210E9">
        <w:rPr>
          <w:rFonts w:eastAsia="Calibri"/>
          <w:rtl/>
        </w:rPr>
        <w:t xml:space="preserve"> גיבוש קריטריונים אחידים לזכאים לתג</w:t>
      </w:r>
      <w:r w:rsidRPr="00A210E9">
        <w:rPr>
          <w:rFonts w:eastAsia="Calibri" w:hint="cs"/>
          <w:rtl/>
        </w:rPr>
        <w:t xml:space="preserve"> חניה</w:t>
      </w:r>
      <w:r w:rsidRPr="00A210E9">
        <w:rPr>
          <w:rFonts w:eastAsia="Calibri"/>
          <w:rtl/>
        </w:rPr>
        <w:t xml:space="preserve">, כולל בחינת התנאים לקבלת תג לצמיתות וקביעת תקופת תוקף תג שאינו לצמיתות; קביעת המסמכים </w:t>
      </w:r>
      <w:r w:rsidRPr="00A210E9">
        <w:rPr>
          <w:rFonts w:eastAsia="Calibri" w:hint="cs"/>
          <w:rtl/>
        </w:rPr>
        <w:t>ש</w:t>
      </w:r>
      <w:r w:rsidRPr="00A210E9">
        <w:rPr>
          <w:rFonts w:eastAsia="Calibri"/>
          <w:rtl/>
        </w:rPr>
        <w:t>יש לצרף לבקשה</w:t>
      </w:r>
      <w:r w:rsidRPr="00A210E9">
        <w:rPr>
          <w:rFonts w:eastAsia="Calibri" w:hint="cs"/>
          <w:rtl/>
        </w:rPr>
        <w:t xml:space="preserve"> לקבלת תג</w:t>
      </w:r>
      <w:r w:rsidRPr="00A210E9">
        <w:rPr>
          <w:rFonts w:eastAsia="Calibri"/>
          <w:rtl/>
        </w:rPr>
        <w:t>; בחינת הליך השגה אחרי החלטת הרופא המוסמך והתנאים להגשת בקשות חוזרות; הטמעת בדיקת הזכאות לתג ב</w:t>
      </w:r>
      <w:r w:rsidRPr="00A210E9">
        <w:rPr>
          <w:rFonts w:eastAsia="Calibri" w:hint="cs"/>
          <w:rtl/>
        </w:rPr>
        <w:t>ת</w:t>
      </w:r>
      <w:r w:rsidRPr="00A210E9">
        <w:rPr>
          <w:rFonts w:eastAsia="Calibri"/>
          <w:rtl/>
        </w:rPr>
        <w:t>הליכי קביעת נכות על פי דין על ידי הגורמים המוסמכים לכך</w:t>
      </w:r>
      <w:r w:rsidRPr="00A210E9">
        <w:rPr>
          <w:rFonts w:eastAsia="Calibri" w:hint="cs"/>
          <w:rtl/>
        </w:rPr>
        <w:t xml:space="preserve"> (</w:t>
      </w:r>
      <w:r w:rsidRPr="00A210E9">
        <w:rPr>
          <w:rFonts w:eastAsia="Calibri"/>
          <w:rtl/>
        </w:rPr>
        <w:t>כדוגמת הביטוח הלאומי</w:t>
      </w:r>
      <w:r w:rsidRPr="00A210E9">
        <w:rPr>
          <w:rFonts w:eastAsia="Calibri" w:hint="cs"/>
          <w:rtl/>
        </w:rPr>
        <w:t xml:space="preserve">); </w:t>
      </w:r>
      <w:r w:rsidRPr="00A210E9">
        <w:rPr>
          <w:rFonts w:eastAsia="Calibri"/>
          <w:rtl/>
        </w:rPr>
        <w:t xml:space="preserve">בחינת אפשרות לקביעת סוגים שונים של תגי </w:t>
      </w:r>
      <w:r w:rsidRPr="00A210E9">
        <w:rPr>
          <w:rFonts w:eastAsia="Calibri" w:hint="cs"/>
          <w:rtl/>
        </w:rPr>
        <w:t>חניה;</w:t>
      </w:r>
      <w:r w:rsidRPr="00A210E9">
        <w:rPr>
          <w:rFonts w:eastAsia="Calibri"/>
          <w:rtl/>
        </w:rPr>
        <w:t xml:space="preserve"> קביעת זכויות שונות </w:t>
      </w:r>
      <w:r w:rsidRPr="00A210E9">
        <w:rPr>
          <w:rFonts w:eastAsia="Calibri" w:hint="cs"/>
          <w:rtl/>
        </w:rPr>
        <w:t>נלוות ל</w:t>
      </w:r>
      <w:r w:rsidRPr="00A210E9">
        <w:rPr>
          <w:rFonts w:eastAsia="Calibri"/>
          <w:rtl/>
        </w:rPr>
        <w:t>כל סוג תג.</w:t>
      </w:r>
      <w:r w:rsidRPr="00A210E9">
        <w:rPr>
          <w:rFonts w:eastAsia="Calibri" w:hint="cs"/>
          <w:rtl/>
        </w:rPr>
        <w:t xml:space="preserve"> בדצמבר 2024 הוגשו מסקנות הצוות לשרת התחבורה. חלק ממסקנות הצוות, כמו הליך ההשגה אחרי החלטת הרופא המוסמך והתנאים להגשת בקשות חוזרות הוטמעו בנוהל 2025.</w:t>
      </w:r>
    </w:p>
    <w:p w:rsidR="00A210E9" w:rsidRPr="00A210E9" w:rsidP="00A210E9">
      <w:pPr>
        <w:keepNext/>
        <w:keepLines/>
        <w:spacing w:line="269" w:lineRule="auto"/>
        <w:ind w:left="-567"/>
        <w:rPr>
          <w:rFonts w:eastAsia="Calibri"/>
          <w:szCs w:val="20"/>
          <w:rtl/>
        </w:rPr>
      </w:pPr>
    </w:p>
    <w:p w:rsidR="00A42D44">
      <w:pPr>
        <w:bidi w:val="0"/>
        <w:spacing w:after="200" w:line="276" w:lineRule="auto"/>
        <w:rPr>
          <w:rFonts w:eastAsia="Calibri"/>
          <w:rtl/>
        </w:rPr>
      </w:pPr>
      <w:r>
        <w:rPr>
          <w:rFonts w:eastAsia="Calibri"/>
          <w:rtl/>
        </w:rPr>
        <w:br w:type="page"/>
      </w:r>
    </w:p>
    <w:p w:rsidR="00A210E9" w:rsidRPr="00A210E9" w:rsidP="00A210E9">
      <w:pPr>
        <w:spacing w:line="269" w:lineRule="auto"/>
        <w:rPr>
          <w:rFonts w:eastAsia="Calibri"/>
          <w:rtl/>
        </w:rPr>
      </w:pPr>
      <w:r w:rsidRPr="00A210E9">
        <w:rPr>
          <w:rFonts w:eastAsia="Calibri" w:hint="cs"/>
          <w:rtl/>
        </w:rPr>
        <w:t>הלוח שלהלן מציג את ההחלטות שהתקבלו בכל אחד מהצוותים, בחלוקה לפי נושאים:</w:t>
      </w:r>
    </w:p>
    <w:p w:rsidR="00A210E9" w:rsidRPr="00A210E9" w:rsidP="00A210E9">
      <w:pPr>
        <w:keepNext/>
        <w:keepLines/>
        <w:spacing w:line="269" w:lineRule="auto"/>
        <w:ind w:left="-567"/>
        <w:rPr>
          <w:rFonts w:eastAsia="Calibri"/>
          <w:szCs w:val="20"/>
          <w:rtl/>
        </w:rPr>
      </w:pPr>
    </w:p>
    <w:p w:rsidR="00A210E9" w:rsidRPr="00A210E9" w:rsidP="00A210E9">
      <w:pPr>
        <w:keepNext/>
        <w:keepLines/>
        <w:spacing w:line="269" w:lineRule="auto"/>
        <w:jc w:val="center"/>
        <w:rPr>
          <w:rFonts w:eastAsia="Calibri"/>
          <w:rtl/>
        </w:rPr>
      </w:pPr>
      <w:r w:rsidRPr="00A210E9">
        <w:rPr>
          <w:rFonts w:eastAsia="Calibri" w:hint="cs"/>
          <w:rtl/>
        </w:rPr>
        <w:t xml:space="preserve">לוח 15: </w:t>
      </w:r>
      <w:r w:rsidRPr="00A210E9">
        <w:rPr>
          <w:rFonts w:eastAsia="Calibri" w:hint="cs"/>
          <w:b/>
          <w:bCs/>
          <w:rtl/>
        </w:rPr>
        <w:t>החלטות של צוות 2022 ושל צוות 2024</w:t>
      </w:r>
      <w:r w:rsidRPr="00A210E9">
        <w:rPr>
          <w:rFonts w:eastAsia="Calibri"/>
          <w:b/>
          <w:bCs/>
          <w:rtl/>
        </w:rPr>
        <w:t>, לפי נושאים</w:t>
      </w:r>
    </w:p>
    <w:tbl>
      <w:tblPr>
        <w:tblStyle w:val="TableGrid"/>
        <w:bidiVisual/>
        <w:tblW w:w="0" w:type="auto"/>
        <w:tblLook w:val="04A0"/>
      </w:tblPr>
      <w:tblGrid>
        <w:gridCol w:w="2116"/>
        <w:gridCol w:w="2835"/>
        <w:gridCol w:w="3259"/>
      </w:tblGrid>
      <w:tr w:rsidTr="00A157C9">
        <w:tblPrEx>
          <w:tblW w:w="0" w:type="auto"/>
          <w:tblLook w:val="04A0"/>
        </w:tblPrEx>
        <w:tc>
          <w:tcPr>
            <w:tcW w:w="2117" w:type="dxa"/>
          </w:tcPr>
          <w:p w:rsidR="00A210E9" w:rsidRPr="00A210E9" w:rsidP="00A210E9">
            <w:pPr>
              <w:spacing w:line="269" w:lineRule="auto"/>
              <w:jc w:val="center"/>
              <w:rPr>
                <w:rFonts w:eastAsia="Calibri"/>
                <w:b/>
                <w:bCs/>
                <w:sz w:val="22"/>
                <w:szCs w:val="22"/>
                <w:rtl/>
              </w:rPr>
            </w:pPr>
            <w:r w:rsidRPr="00A210E9">
              <w:rPr>
                <w:rFonts w:eastAsia="Calibri" w:hint="cs"/>
                <w:sz w:val="22"/>
                <w:szCs w:val="22"/>
                <w:rtl/>
              </w:rPr>
              <w:t xml:space="preserve"> </w:t>
            </w:r>
          </w:p>
        </w:tc>
        <w:tc>
          <w:tcPr>
            <w:tcW w:w="2835" w:type="dxa"/>
          </w:tcPr>
          <w:p w:rsidR="00A210E9" w:rsidRPr="00A210E9" w:rsidP="00A210E9">
            <w:pPr>
              <w:spacing w:line="269" w:lineRule="auto"/>
              <w:jc w:val="center"/>
              <w:rPr>
                <w:rFonts w:eastAsia="Calibri"/>
                <w:b/>
                <w:bCs/>
                <w:sz w:val="22"/>
                <w:szCs w:val="22"/>
                <w:rtl/>
              </w:rPr>
            </w:pPr>
            <w:r w:rsidRPr="00A210E9">
              <w:rPr>
                <w:rFonts w:eastAsia="Calibri" w:hint="cs"/>
                <w:b/>
                <w:bCs/>
                <w:sz w:val="22"/>
                <w:szCs w:val="22"/>
                <w:rtl/>
              </w:rPr>
              <w:t>צוות 2022</w:t>
            </w:r>
          </w:p>
        </w:tc>
        <w:tc>
          <w:tcPr>
            <w:tcW w:w="3259" w:type="dxa"/>
          </w:tcPr>
          <w:p w:rsidR="00A210E9" w:rsidRPr="00A210E9" w:rsidP="00A210E9">
            <w:pPr>
              <w:spacing w:line="269" w:lineRule="auto"/>
              <w:jc w:val="center"/>
              <w:rPr>
                <w:rFonts w:eastAsia="Calibri"/>
                <w:b/>
                <w:bCs/>
                <w:sz w:val="22"/>
                <w:szCs w:val="22"/>
                <w:rtl/>
              </w:rPr>
            </w:pPr>
            <w:r w:rsidRPr="00A210E9">
              <w:rPr>
                <w:rFonts w:eastAsia="Calibri" w:hint="cs"/>
                <w:b/>
                <w:bCs/>
                <w:sz w:val="22"/>
                <w:szCs w:val="22"/>
                <w:rtl/>
              </w:rPr>
              <w:t>צוות 2024</w:t>
            </w:r>
          </w:p>
        </w:tc>
      </w:tr>
      <w:tr w:rsidTr="00A157C9">
        <w:tblPrEx>
          <w:tblW w:w="0" w:type="auto"/>
          <w:tblLook w:val="04A0"/>
        </w:tblPrEx>
        <w:tc>
          <w:tcPr>
            <w:tcW w:w="2117" w:type="dxa"/>
          </w:tcPr>
          <w:p w:rsidR="00A210E9" w:rsidRPr="00A210E9" w:rsidP="00A210E9">
            <w:pPr>
              <w:spacing w:line="269" w:lineRule="auto"/>
              <w:jc w:val="left"/>
              <w:rPr>
                <w:rFonts w:eastAsia="Calibri"/>
                <w:sz w:val="22"/>
                <w:szCs w:val="22"/>
                <w:rtl/>
              </w:rPr>
            </w:pPr>
            <w:r w:rsidRPr="00A210E9">
              <w:rPr>
                <w:rFonts w:eastAsia="Calibri" w:hint="cs"/>
                <w:sz w:val="22"/>
                <w:szCs w:val="22"/>
                <w:rtl/>
              </w:rPr>
              <w:t>מסמכים רפואיים הנדרשים לצורך בקשה לזכאות לתג</w:t>
            </w:r>
          </w:p>
        </w:tc>
        <w:tc>
          <w:tcPr>
            <w:tcW w:w="2835" w:type="dxa"/>
          </w:tcPr>
          <w:p w:rsidR="00A210E9" w:rsidRPr="00A210E9" w:rsidP="00A210E9">
            <w:pPr>
              <w:spacing w:line="269" w:lineRule="auto"/>
              <w:jc w:val="left"/>
              <w:rPr>
                <w:rFonts w:eastAsia="Calibri"/>
                <w:sz w:val="22"/>
                <w:szCs w:val="22"/>
                <w:rtl/>
              </w:rPr>
            </w:pPr>
            <w:r w:rsidRPr="00A210E9">
              <w:rPr>
                <w:rFonts w:eastAsia="Calibri" w:hint="cs"/>
                <w:sz w:val="22"/>
                <w:szCs w:val="22"/>
                <w:rtl/>
              </w:rPr>
              <w:t xml:space="preserve">רשימה של בדיקות ומסמכים רפואיים </w:t>
            </w:r>
            <w:r w:rsidRPr="00A210E9">
              <w:rPr>
                <w:rFonts w:eastAsia="Calibri"/>
                <w:sz w:val="22"/>
                <w:szCs w:val="22"/>
                <w:rtl/>
              </w:rPr>
              <w:t>ב</w:t>
            </w:r>
            <w:r w:rsidRPr="00A210E9">
              <w:rPr>
                <w:rFonts w:eastAsia="Calibri" w:hint="cs"/>
                <w:sz w:val="22"/>
                <w:szCs w:val="22"/>
                <w:rtl/>
              </w:rPr>
              <w:t>כל אחד מה</w:t>
            </w:r>
            <w:r w:rsidRPr="00A210E9">
              <w:rPr>
                <w:rFonts w:eastAsia="Calibri"/>
                <w:sz w:val="22"/>
                <w:szCs w:val="22"/>
                <w:rtl/>
              </w:rPr>
              <w:t>תחומי</w:t>
            </w:r>
            <w:r w:rsidRPr="00A210E9">
              <w:rPr>
                <w:rFonts w:eastAsia="Calibri" w:hint="cs"/>
                <w:sz w:val="22"/>
                <w:szCs w:val="22"/>
                <w:rtl/>
              </w:rPr>
              <w:t>ם הרפואיים שבהם קיימת</w:t>
            </w:r>
            <w:r w:rsidRPr="00A210E9">
              <w:rPr>
                <w:rFonts w:eastAsia="Calibri"/>
                <w:sz w:val="22"/>
                <w:szCs w:val="22"/>
                <w:rtl/>
              </w:rPr>
              <w:t xml:space="preserve"> </w:t>
            </w:r>
            <w:r w:rsidRPr="00A210E9">
              <w:rPr>
                <w:rFonts w:eastAsia="Calibri" w:hint="cs"/>
                <w:sz w:val="22"/>
                <w:szCs w:val="22"/>
                <w:rtl/>
              </w:rPr>
              <w:t>מגבלת ניידות</w:t>
            </w:r>
          </w:p>
        </w:tc>
        <w:tc>
          <w:tcPr>
            <w:tcW w:w="3259" w:type="dxa"/>
          </w:tcPr>
          <w:p w:rsidR="00A210E9" w:rsidRPr="00A210E9" w:rsidP="00A210E9">
            <w:pPr>
              <w:spacing w:line="269" w:lineRule="auto"/>
              <w:jc w:val="left"/>
              <w:rPr>
                <w:rFonts w:eastAsia="Calibri"/>
                <w:sz w:val="22"/>
                <w:szCs w:val="22"/>
                <w:rtl/>
              </w:rPr>
            </w:pPr>
            <w:r w:rsidRPr="00A210E9">
              <w:rPr>
                <w:rFonts w:eastAsia="Calibri" w:hint="cs"/>
                <w:sz w:val="22"/>
                <w:szCs w:val="22"/>
                <w:rtl/>
              </w:rPr>
              <w:t>הגדרת תחומים רפואיים שבהם יש מגבלת ניידות ובצידם מסמכים ובדיקות רפואיות נדרשות</w:t>
            </w:r>
            <w:r>
              <w:rPr>
                <w:rFonts w:eastAsia="Calibri"/>
                <w:sz w:val="22"/>
                <w:szCs w:val="22"/>
                <w:vertAlign w:val="superscript"/>
                <w:rtl/>
              </w:rPr>
              <w:footnoteReference w:id="201"/>
            </w:r>
          </w:p>
        </w:tc>
      </w:tr>
      <w:tr w:rsidTr="00A157C9">
        <w:tblPrEx>
          <w:tblW w:w="0" w:type="auto"/>
          <w:tblLook w:val="04A0"/>
        </w:tblPrEx>
        <w:tc>
          <w:tcPr>
            <w:tcW w:w="2117" w:type="dxa"/>
          </w:tcPr>
          <w:p w:rsidR="00A210E9" w:rsidRPr="00A210E9" w:rsidP="00A210E9">
            <w:pPr>
              <w:spacing w:line="269" w:lineRule="auto"/>
              <w:jc w:val="left"/>
              <w:rPr>
                <w:rFonts w:eastAsia="Calibri"/>
                <w:sz w:val="22"/>
                <w:szCs w:val="22"/>
                <w:rtl/>
              </w:rPr>
            </w:pPr>
            <w:r w:rsidRPr="00A210E9">
              <w:rPr>
                <w:rFonts w:eastAsia="Calibri" w:hint="cs"/>
                <w:sz w:val="22"/>
                <w:szCs w:val="22"/>
                <w:rtl/>
              </w:rPr>
              <w:t>קריטריונים לזכאות לתג</w:t>
            </w:r>
          </w:p>
        </w:tc>
        <w:tc>
          <w:tcPr>
            <w:tcW w:w="2835" w:type="dxa"/>
          </w:tcPr>
          <w:p w:rsidR="00A210E9" w:rsidRPr="00A210E9" w:rsidP="00A210E9">
            <w:pPr>
              <w:spacing w:line="269" w:lineRule="auto"/>
              <w:jc w:val="left"/>
              <w:rPr>
                <w:rFonts w:eastAsia="Calibri"/>
                <w:sz w:val="22"/>
                <w:szCs w:val="22"/>
                <w:rtl/>
              </w:rPr>
            </w:pPr>
            <w:r w:rsidRPr="00A210E9">
              <w:rPr>
                <w:rFonts w:eastAsia="Calibri" w:hint="cs"/>
                <w:sz w:val="22"/>
                <w:szCs w:val="22"/>
                <w:rtl/>
              </w:rPr>
              <w:t>בחינה השוואתית של קריטריונים לזכאות לתג חניה במדינות שונות בעולם, בתחומי הרפואה השונים</w:t>
            </w:r>
            <w:r>
              <w:rPr>
                <w:rFonts w:eastAsia="Calibri"/>
                <w:sz w:val="22"/>
                <w:szCs w:val="22"/>
                <w:vertAlign w:val="superscript"/>
                <w:rtl/>
              </w:rPr>
              <w:footnoteReference w:id="202"/>
            </w:r>
            <w:r w:rsidRPr="00A210E9">
              <w:rPr>
                <w:rFonts w:eastAsia="Calibri" w:hint="cs"/>
                <w:sz w:val="22"/>
                <w:szCs w:val="22"/>
                <w:rtl/>
              </w:rPr>
              <w:t xml:space="preserve">. על בסיס ההשוואה המליצה הוועדה לאמץ את הקריטריון </w:t>
            </w:r>
            <w:r w:rsidRPr="00A210E9">
              <w:rPr>
                <w:rFonts w:eastAsia="Calibri"/>
                <w:sz w:val="22"/>
                <w:szCs w:val="22"/>
                <w:rtl/>
              </w:rPr>
              <w:t>שלפיו בטווח הליכה של 250 מטרים נדרשת מנוחה</w:t>
            </w:r>
            <w:r w:rsidRPr="00A210E9">
              <w:rPr>
                <w:rFonts w:eastAsia="Calibri" w:hint="cs"/>
                <w:sz w:val="22"/>
                <w:szCs w:val="22"/>
                <w:rtl/>
              </w:rPr>
              <w:t xml:space="preserve"> כקריטריון המזכה בתג חניה</w:t>
            </w:r>
          </w:p>
        </w:tc>
        <w:tc>
          <w:tcPr>
            <w:tcW w:w="3259" w:type="dxa"/>
          </w:tcPr>
          <w:p w:rsidR="00A210E9" w:rsidRPr="00A210E9" w:rsidP="00A210E9">
            <w:pPr>
              <w:spacing w:line="269" w:lineRule="auto"/>
              <w:jc w:val="left"/>
              <w:rPr>
                <w:rFonts w:eastAsia="Calibri"/>
                <w:sz w:val="22"/>
                <w:szCs w:val="22"/>
                <w:rtl/>
              </w:rPr>
            </w:pPr>
            <w:r w:rsidRPr="00A210E9">
              <w:rPr>
                <w:rFonts w:eastAsia="Calibri" w:hint="cs"/>
                <w:sz w:val="22"/>
                <w:szCs w:val="22"/>
                <w:rtl/>
              </w:rPr>
              <w:t>הומלץ על הסרת</w:t>
            </w:r>
            <w:r w:rsidRPr="00A210E9">
              <w:rPr>
                <w:rFonts w:eastAsia="Calibri"/>
                <w:sz w:val="22"/>
                <w:szCs w:val="22"/>
                <w:rtl/>
              </w:rPr>
              <w:t xml:space="preserve"> מגבלת 60%</w:t>
            </w:r>
            <w:r w:rsidRPr="00A210E9">
              <w:rPr>
                <w:rFonts w:eastAsia="Calibri" w:hint="cs"/>
                <w:sz w:val="22"/>
                <w:szCs w:val="22"/>
                <w:rtl/>
              </w:rPr>
              <w:t xml:space="preserve"> נכות מתנאי הזכאות והשארת תנאי של מוגבלות בניידות בלבד*.</w:t>
            </w:r>
          </w:p>
          <w:p w:rsidR="00A210E9" w:rsidRPr="00A210E9" w:rsidP="00A210E9">
            <w:pPr>
              <w:spacing w:line="269" w:lineRule="auto"/>
              <w:jc w:val="left"/>
              <w:rPr>
                <w:rFonts w:eastAsia="Calibri"/>
                <w:sz w:val="22"/>
                <w:szCs w:val="22"/>
                <w:rtl/>
              </w:rPr>
            </w:pPr>
            <w:r w:rsidRPr="00A210E9">
              <w:rPr>
                <w:rFonts w:eastAsia="Calibri" w:hint="cs"/>
                <w:sz w:val="22"/>
                <w:szCs w:val="22"/>
                <w:rtl/>
              </w:rPr>
              <w:t>מגיש בקשה שאינו עומד בתנאי הסף לפי החוק הנוכחי (בעל 60% נכות ומוגבל בניידות) יידרש לעבור בדיקה פרונטלית תפקודית על ידי רופא.</w:t>
            </w:r>
          </w:p>
          <w:p w:rsidR="00A210E9" w:rsidRPr="00A210E9" w:rsidP="00A210E9">
            <w:pPr>
              <w:spacing w:line="269" w:lineRule="auto"/>
              <w:jc w:val="left"/>
              <w:rPr>
                <w:rFonts w:eastAsia="Calibri"/>
                <w:sz w:val="22"/>
                <w:szCs w:val="22"/>
                <w:rtl/>
              </w:rPr>
            </w:pPr>
            <w:r w:rsidRPr="00A210E9">
              <w:rPr>
                <w:rFonts w:eastAsia="Calibri" w:hint="cs"/>
                <w:sz w:val="22"/>
                <w:szCs w:val="22"/>
                <w:rtl/>
              </w:rPr>
              <w:t>ביטול מתן תג לצמיתות עבור אנשים בגיל 75 ומעלה</w:t>
            </w:r>
          </w:p>
        </w:tc>
      </w:tr>
      <w:tr w:rsidTr="00A157C9">
        <w:tblPrEx>
          <w:tblW w:w="0" w:type="auto"/>
          <w:tblLook w:val="04A0"/>
        </w:tblPrEx>
        <w:tc>
          <w:tcPr>
            <w:tcW w:w="2117" w:type="dxa"/>
          </w:tcPr>
          <w:p w:rsidR="00A210E9" w:rsidRPr="00A210E9" w:rsidP="00A210E9">
            <w:pPr>
              <w:spacing w:line="269" w:lineRule="auto"/>
              <w:jc w:val="left"/>
              <w:rPr>
                <w:rFonts w:eastAsia="Calibri"/>
                <w:sz w:val="22"/>
                <w:szCs w:val="22"/>
                <w:rtl/>
              </w:rPr>
            </w:pPr>
            <w:r w:rsidRPr="00A210E9">
              <w:rPr>
                <w:rFonts w:eastAsia="Calibri" w:hint="cs"/>
                <w:sz w:val="22"/>
                <w:szCs w:val="22"/>
                <w:rtl/>
              </w:rPr>
              <w:t>סוגי תגים</w:t>
            </w:r>
          </w:p>
        </w:tc>
        <w:tc>
          <w:tcPr>
            <w:tcW w:w="2835" w:type="dxa"/>
          </w:tcPr>
          <w:p w:rsidR="00A210E9" w:rsidRPr="00A210E9" w:rsidP="00A210E9">
            <w:pPr>
              <w:spacing w:line="269" w:lineRule="auto"/>
              <w:jc w:val="left"/>
              <w:rPr>
                <w:rFonts w:eastAsia="Calibri"/>
                <w:sz w:val="22"/>
                <w:szCs w:val="22"/>
                <w:rtl/>
              </w:rPr>
            </w:pPr>
          </w:p>
        </w:tc>
        <w:tc>
          <w:tcPr>
            <w:tcW w:w="3259" w:type="dxa"/>
          </w:tcPr>
          <w:p w:rsidR="00A210E9" w:rsidRPr="00A210E9" w:rsidP="00A210E9">
            <w:pPr>
              <w:spacing w:line="269" w:lineRule="auto"/>
              <w:jc w:val="left"/>
              <w:rPr>
                <w:rFonts w:eastAsia="Calibri"/>
                <w:sz w:val="22"/>
                <w:szCs w:val="22"/>
                <w:rtl/>
              </w:rPr>
            </w:pPr>
            <w:r w:rsidRPr="00A210E9">
              <w:rPr>
                <w:rFonts w:eastAsia="Calibri"/>
                <w:sz w:val="22"/>
                <w:szCs w:val="22"/>
                <w:rtl/>
              </w:rPr>
              <w:t>יוגדרו שלושה סוגי תגים</w:t>
            </w:r>
            <w:r w:rsidRPr="00A210E9">
              <w:rPr>
                <w:rFonts w:eastAsia="Calibri" w:hint="cs"/>
                <w:sz w:val="22"/>
                <w:szCs w:val="22"/>
                <w:rtl/>
              </w:rPr>
              <w:t xml:space="preserve">*: </w:t>
            </w:r>
            <w:r w:rsidRPr="00A210E9">
              <w:rPr>
                <w:rFonts w:eastAsia="Calibri"/>
                <w:sz w:val="22"/>
                <w:szCs w:val="22"/>
                <w:rtl/>
              </w:rPr>
              <w:t>תג רגיל - עבור אדם עם מוגבלות עם רישיון ויכולת נהיגה</w:t>
            </w:r>
            <w:r w:rsidRPr="00A210E9">
              <w:rPr>
                <w:rFonts w:eastAsia="Calibri" w:hint="cs"/>
                <w:sz w:val="22"/>
                <w:szCs w:val="22"/>
                <w:rtl/>
              </w:rPr>
              <w:t>. לתג</w:t>
            </w:r>
            <w:r w:rsidRPr="00A210E9">
              <w:rPr>
                <w:rFonts w:eastAsia="Calibri"/>
                <w:sz w:val="22"/>
                <w:szCs w:val="22"/>
                <w:rtl/>
              </w:rPr>
              <w:t xml:space="preserve"> ישויך רכב אחד</w:t>
            </w:r>
            <w:r w:rsidRPr="00A210E9">
              <w:rPr>
                <w:rFonts w:eastAsia="Calibri" w:hint="cs"/>
                <w:sz w:val="22"/>
                <w:szCs w:val="22"/>
                <w:rtl/>
              </w:rPr>
              <w:t>.</w:t>
            </w:r>
            <w:r w:rsidRPr="00A210E9">
              <w:rPr>
                <w:rFonts w:eastAsia="Calibri"/>
                <w:sz w:val="22"/>
                <w:szCs w:val="22"/>
                <w:rtl/>
              </w:rPr>
              <w:t xml:space="preserve"> </w:t>
            </w:r>
          </w:p>
          <w:p w:rsidR="00A210E9" w:rsidRPr="00A210E9" w:rsidP="00A210E9">
            <w:pPr>
              <w:spacing w:line="269" w:lineRule="auto"/>
              <w:jc w:val="left"/>
              <w:rPr>
                <w:rFonts w:eastAsia="Calibri"/>
                <w:sz w:val="22"/>
                <w:szCs w:val="22"/>
                <w:rtl/>
              </w:rPr>
            </w:pPr>
            <w:r w:rsidRPr="00A210E9">
              <w:rPr>
                <w:rFonts w:eastAsia="Calibri"/>
                <w:sz w:val="22"/>
                <w:szCs w:val="22"/>
                <w:rtl/>
              </w:rPr>
              <w:t>תג מלווה - למשל</w:t>
            </w:r>
            <w:r w:rsidRPr="00A210E9">
              <w:rPr>
                <w:rFonts w:eastAsia="Calibri" w:hint="cs"/>
                <w:sz w:val="22"/>
                <w:szCs w:val="22"/>
                <w:rtl/>
              </w:rPr>
              <w:t>,</w:t>
            </w:r>
            <w:r w:rsidRPr="00A210E9">
              <w:rPr>
                <w:rFonts w:eastAsia="Calibri"/>
                <w:sz w:val="22"/>
                <w:szCs w:val="22"/>
                <w:rtl/>
              </w:rPr>
              <w:t xml:space="preserve"> עבור הורים </w:t>
            </w:r>
            <w:r w:rsidRPr="00A210E9">
              <w:rPr>
                <w:rFonts w:eastAsia="Calibri" w:hint="cs"/>
                <w:sz w:val="22"/>
                <w:szCs w:val="22"/>
                <w:rtl/>
              </w:rPr>
              <w:t>ל</w:t>
            </w:r>
            <w:r w:rsidRPr="00A210E9">
              <w:rPr>
                <w:rFonts w:eastAsia="Calibri"/>
                <w:sz w:val="22"/>
                <w:szCs w:val="22"/>
                <w:rtl/>
              </w:rPr>
              <w:t>ילד</w:t>
            </w:r>
            <w:r w:rsidRPr="00A210E9">
              <w:rPr>
                <w:rFonts w:eastAsia="Calibri" w:hint="cs"/>
                <w:sz w:val="22"/>
                <w:szCs w:val="22"/>
                <w:rtl/>
              </w:rPr>
              <w:t xml:space="preserve"> </w:t>
            </w:r>
            <w:r w:rsidRPr="00A210E9">
              <w:rPr>
                <w:rFonts w:eastAsia="Calibri"/>
                <w:sz w:val="22"/>
                <w:szCs w:val="22"/>
                <w:rtl/>
              </w:rPr>
              <w:t>עם מוגבלות</w:t>
            </w:r>
            <w:r w:rsidRPr="00A210E9">
              <w:rPr>
                <w:rFonts w:eastAsia="Calibri" w:hint="cs"/>
                <w:sz w:val="22"/>
                <w:szCs w:val="22"/>
                <w:rtl/>
              </w:rPr>
              <w:t>.</w:t>
            </w:r>
          </w:p>
          <w:p w:rsidR="00A210E9" w:rsidRPr="00A210E9" w:rsidP="00A210E9">
            <w:pPr>
              <w:spacing w:line="269" w:lineRule="auto"/>
              <w:jc w:val="left"/>
              <w:rPr>
                <w:rFonts w:eastAsia="Calibri"/>
                <w:sz w:val="22"/>
                <w:szCs w:val="22"/>
                <w:rtl/>
              </w:rPr>
            </w:pPr>
            <w:r w:rsidRPr="00A210E9">
              <w:rPr>
                <w:rFonts w:eastAsia="Calibri"/>
                <w:sz w:val="22"/>
                <w:szCs w:val="22"/>
                <w:rtl/>
              </w:rPr>
              <w:t xml:space="preserve">תג מלווה קשיש - עבור </w:t>
            </w:r>
            <w:r w:rsidRPr="00A210E9">
              <w:rPr>
                <w:rFonts w:eastAsia="Calibri" w:hint="cs"/>
                <w:sz w:val="22"/>
                <w:szCs w:val="22"/>
                <w:rtl/>
              </w:rPr>
              <w:t>ילדים</w:t>
            </w:r>
            <w:r w:rsidRPr="00A210E9">
              <w:rPr>
                <w:rFonts w:eastAsia="Calibri"/>
                <w:sz w:val="22"/>
                <w:szCs w:val="22"/>
                <w:rtl/>
              </w:rPr>
              <w:t xml:space="preserve"> להור</w:t>
            </w:r>
            <w:r w:rsidRPr="00A210E9">
              <w:rPr>
                <w:rFonts w:eastAsia="Calibri" w:hint="cs"/>
                <w:sz w:val="22"/>
                <w:szCs w:val="22"/>
                <w:rtl/>
              </w:rPr>
              <w:t>ה</w:t>
            </w:r>
            <w:r w:rsidRPr="00A210E9">
              <w:rPr>
                <w:rFonts w:eastAsia="Calibri"/>
                <w:sz w:val="22"/>
                <w:szCs w:val="22"/>
                <w:rtl/>
              </w:rPr>
              <w:t xml:space="preserve"> סיעודי </w:t>
            </w:r>
          </w:p>
        </w:tc>
      </w:tr>
      <w:tr w:rsidTr="00A157C9">
        <w:tblPrEx>
          <w:tblW w:w="0" w:type="auto"/>
          <w:tblLook w:val="04A0"/>
        </w:tblPrEx>
        <w:tc>
          <w:tcPr>
            <w:tcW w:w="2117" w:type="dxa"/>
          </w:tcPr>
          <w:p w:rsidR="00A210E9" w:rsidRPr="00A210E9" w:rsidP="00A210E9">
            <w:pPr>
              <w:spacing w:line="269" w:lineRule="auto"/>
              <w:jc w:val="left"/>
              <w:rPr>
                <w:rFonts w:eastAsia="Calibri"/>
                <w:sz w:val="22"/>
                <w:szCs w:val="22"/>
                <w:rtl/>
              </w:rPr>
            </w:pPr>
            <w:r w:rsidRPr="00A210E9">
              <w:rPr>
                <w:rFonts w:eastAsia="Calibri" w:hint="cs"/>
                <w:sz w:val="22"/>
                <w:szCs w:val="22"/>
                <w:rtl/>
              </w:rPr>
              <w:t>ערעור על החלטה רפואית</w:t>
            </w:r>
          </w:p>
        </w:tc>
        <w:tc>
          <w:tcPr>
            <w:tcW w:w="2835" w:type="dxa"/>
          </w:tcPr>
          <w:p w:rsidR="00A210E9" w:rsidRPr="00A210E9" w:rsidP="00A210E9">
            <w:pPr>
              <w:spacing w:line="269" w:lineRule="auto"/>
              <w:jc w:val="left"/>
              <w:rPr>
                <w:rFonts w:eastAsia="Calibri"/>
                <w:sz w:val="22"/>
                <w:szCs w:val="22"/>
                <w:rtl/>
              </w:rPr>
            </w:pPr>
            <w:r w:rsidRPr="00A210E9">
              <w:rPr>
                <w:rFonts w:eastAsia="Calibri" w:hint="cs"/>
                <w:sz w:val="22"/>
                <w:szCs w:val="22"/>
                <w:rtl/>
              </w:rPr>
              <w:t>הצעה להקים ועדה מיוחדת שתדון בערעורים על החלטות הרופאים או במקרים חריגים שאינם עומדים בקריטריונים</w:t>
            </w:r>
            <w:r>
              <w:rPr>
                <w:rFonts w:eastAsia="Calibri"/>
                <w:sz w:val="22"/>
                <w:szCs w:val="22"/>
                <w:vertAlign w:val="superscript"/>
                <w:rtl/>
              </w:rPr>
              <w:footnoteReference w:id="203"/>
            </w:r>
            <w:r w:rsidRPr="00A210E9">
              <w:rPr>
                <w:rFonts w:eastAsia="Calibri" w:hint="cs"/>
                <w:sz w:val="22"/>
                <w:szCs w:val="22"/>
                <w:rtl/>
              </w:rPr>
              <w:t>*</w:t>
            </w:r>
          </w:p>
        </w:tc>
        <w:tc>
          <w:tcPr>
            <w:tcW w:w="3259" w:type="dxa"/>
          </w:tcPr>
          <w:p w:rsidR="00A210E9" w:rsidRPr="00A210E9" w:rsidP="00A210E9">
            <w:pPr>
              <w:spacing w:line="269" w:lineRule="auto"/>
              <w:jc w:val="left"/>
              <w:rPr>
                <w:rFonts w:eastAsia="Calibri"/>
                <w:sz w:val="22"/>
                <w:szCs w:val="22"/>
                <w:rtl/>
              </w:rPr>
            </w:pPr>
          </w:p>
        </w:tc>
      </w:tr>
      <w:tr w:rsidTr="00A157C9">
        <w:tblPrEx>
          <w:tblW w:w="0" w:type="auto"/>
          <w:tblLook w:val="04A0"/>
        </w:tblPrEx>
        <w:tc>
          <w:tcPr>
            <w:tcW w:w="2117" w:type="dxa"/>
          </w:tcPr>
          <w:p w:rsidR="00A210E9" w:rsidRPr="00A210E9" w:rsidP="00A210E9">
            <w:pPr>
              <w:spacing w:line="269" w:lineRule="auto"/>
              <w:jc w:val="left"/>
              <w:rPr>
                <w:rFonts w:eastAsia="Calibri"/>
                <w:sz w:val="22"/>
                <w:szCs w:val="22"/>
                <w:rtl/>
              </w:rPr>
            </w:pPr>
            <w:r w:rsidRPr="00A210E9">
              <w:rPr>
                <w:rFonts w:eastAsia="Calibri" w:hint="cs"/>
                <w:sz w:val="22"/>
                <w:szCs w:val="22"/>
                <w:rtl/>
              </w:rPr>
              <w:t>בקרות</w:t>
            </w:r>
          </w:p>
        </w:tc>
        <w:tc>
          <w:tcPr>
            <w:tcW w:w="2835" w:type="dxa"/>
          </w:tcPr>
          <w:p w:rsidR="00A210E9" w:rsidRPr="00A210E9" w:rsidP="00A210E9">
            <w:pPr>
              <w:spacing w:line="269" w:lineRule="auto"/>
              <w:jc w:val="left"/>
              <w:rPr>
                <w:rFonts w:eastAsia="Calibri"/>
                <w:sz w:val="22"/>
                <w:szCs w:val="22"/>
                <w:rtl/>
              </w:rPr>
            </w:pPr>
            <w:r w:rsidRPr="00A210E9">
              <w:rPr>
                <w:rFonts w:eastAsia="Calibri" w:hint="cs"/>
                <w:sz w:val="22"/>
                <w:szCs w:val="22"/>
                <w:rtl/>
              </w:rPr>
              <w:t xml:space="preserve">נקבע כי </w:t>
            </w:r>
            <w:r w:rsidRPr="00A210E9">
              <w:rPr>
                <w:rFonts w:eastAsia="Calibri"/>
                <w:sz w:val="22"/>
                <w:szCs w:val="22"/>
                <w:rtl/>
              </w:rPr>
              <w:t xml:space="preserve">יש לפעול למינוי רופא אגף ברשות הרישוי שיוכל לבצע בקרה שוטפת על </w:t>
            </w:r>
            <w:r w:rsidRPr="00A210E9">
              <w:rPr>
                <w:rFonts w:eastAsia="Calibri" w:hint="cs"/>
                <w:sz w:val="22"/>
                <w:szCs w:val="22"/>
                <w:rtl/>
              </w:rPr>
              <w:t>ה</w:t>
            </w:r>
            <w:r w:rsidRPr="00A210E9">
              <w:rPr>
                <w:rFonts w:eastAsia="Calibri"/>
                <w:sz w:val="22"/>
                <w:szCs w:val="22"/>
                <w:rtl/>
              </w:rPr>
              <w:t xml:space="preserve">החלטות </w:t>
            </w:r>
            <w:r w:rsidRPr="00A210E9">
              <w:rPr>
                <w:rFonts w:eastAsia="Calibri" w:hint="cs"/>
                <w:sz w:val="22"/>
                <w:szCs w:val="22"/>
                <w:rtl/>
              </w:rPr>
              <w:t>הרפואיות של רופאי אגף הרישוי המועסקים במיקור חוץ</w:t>
            </w:r>
          </w:p>
        </w:tc>
        <w:tc>
          <w:tcPr>
            <w:tcW w:w="3259" w:type="dxa"/>
          </w:tcPr>
          <w:p w:rsidR="00A210E9" w:rsidRPr="00A210E9" w:rsidP="00A210E9">
            <w:pPr>
              <w:spacing w:line="269" w:lineRule="auto"/>
              <w:jc w:val="left"/>
              <w:rPr>
                <w:rFonts w:eastAsia="Calibri"/>
                <w:sz w:val="22"/>
                <w:szCs w:val="22"/>
                <w:rtl/>
              </w:rPr>
            </w:pPr>
            <w:r w:rsidRPr="00A210E9">
              <w:rPr>
                <w:rFonts w:eastAsia="Calibri"/>
                <w:sz w:val="22"/>
                <w:szCs w:val="22"/>
                <w:rtl/>
              </w:rPr>
              <w:t>הומלץ על פיתוח מערכת רפואית חדשה כולל בקרה שוטפת מובנית בתוך התהליך, הרחבת הממשק מול הביטוח הלאומי לצורך הצלבת מידע ו</w:t>
            </w:r>
            <w:r w:rsidRPr="00A210E9">
              <w:rPr>
                <w:rFonts w:eastAsia="Calibri" w:hint="cs"/>
                <w:sz w:val="22"/>
                <w:szCs w:val="22"/>
                <w:rtl/>
              </w:rPr>
              <w:t xml:space="preserve">כן </w:t>
            </w:r>
            <w:r w:rsidRPr="00A210E9">
              <w:rPr>
                <w:rFonts w:eastAsia="Calibri"/>
                <w:sz w:val="22"/>
                <w:szCs w:val="22"/>
                <w:rtl/>
              </w:rPr>
              <w:t>בקרות בעת בחינת זכאות</w:t>
            </w:r>
            <w:r w:rsidRPr="00A210E9">
              <w:rPr>
                <w:rFonts w:eastAsia="Calibri" w:hint="cs"/>
                <w:sz w:val="22"/>
                <w:szCs w:val="22"/>
                <w:rtl/>
              </w:rPr>
              <w:t>. המשרד נערך לבחינה מחודשת של 200,000 תגים שניתנו על ידו בשנים 2021 - 2024</w:t>
            </w:r>
          </w:p>
        </w:tc>
      </w:tr>
      <w:tr w:rsidTr="00A157C9">
        <w:tblPrEx>
          <w:tblW w:w="0" w:type="auto"/>
          <w:tblLook w:val="04A0"/>
        </w:tblPrEx>
        <w:tc>
          <w:tcPr>
            <w:tcW w:w="2117" w:type="dxa"/>
          </w:tcPr>
          <w:p w:rsidR="00A210E9" w:rsidRPr="00A210E9" w:rsidP="00A210E9">
            <w:pPr>
              <w:spacing w:line="269" w:lineRule="auto"/>
              <w:jc w:val="left"/>
              <w:rPr>
                <w:rFonts w:eastAsia="Calibri"/>
                <w:sz w:val="22"/>
                <w:szCs w:val="22"/>
                <w:rtl/>
              </w:rPr>
            </w:pPr>
            <w:r w:rsidRPr="00A210E9">
              <w:rPr>
                <w:rFonts w:eastAsia="Calibri" w:hint="cs"/>
                <w:sz w:val="22"/>
                <w:szCs w:val="22"/>
                <w:rtl/>
              </w:rPr>
              <w:t>הטבות כלכליות</w:t>
            </w:r>
          </w:p>
        </w:tc>
        <w:tc>
          <w:tcPr>
            <w:tcW w:w="2835" w:type="dxa"/>
          </w:tcPr>
          <w:p w:rsidR="00A210E9" w:rsidRPr="00A210E9" w:rsidP="00A210E9">
            <w:pPr>
              <w:spacing w:line="269" w:lineRule="auto"/>
              <w:jc w:val="left"/>
              <w:rPr>
                <w:rFonts w:eastAsia="Calibri"/>
                <w:sz w:val="22"/>
                <w:szCs w:val="22"/>
                <w:rtl/>
              </w:rPr>
            </w:pPr>
            <w:r w:rsidRPr="00A210E9">
              <w:rPr>
                <w:rFonts w:eastAsia="Calibri" w:hint="cs"/>
                <w:sz w:val="22"/>
                <w:szCs w:val="22"/>
                <w:rtl/>
              </w:rPr>
              <w:t>הוצע לקבוע מנגנון הנחה באגרת רישוי - מתן החזר אגרת רישוי בסכום קבוע ללא תלות בקבוצת אגרה, או באמצעות מתן חלופה של "נקודת זכות" לזכאים*</w:t>
            </w:r>
          </w:p>
        </w:tc>
        <w:tc>
          <w:tcPr>
            <w:tcW w:w="3259" w:type="dxa"/>
          </w:tcPr>
          <w:p w:rsidR="00A210E9" w:rsidRPr="00A210E9" w:rsidP="00A210E9">
            <w:pPr>
              <w:spacing w:line="269" w:lineRule="auto"/>
              <w:jc w:val="left"/>
              <w:rPr>
                <w:rFonts w:eastAsia="Calibri"/>
                <w:sz w:val="22"/>
                <w:szCs w:val="22"/>
                <w:rtl/>
              </w:rPr>
            </w:pPr>
            <w:r w:rsidRPr="00A210E9">
              <w:rPr>
                <w:rFonts w:eastAsia="Calibri"/>
                <w:sz w:val="22"/>
                <w:szCs w:val="22"/>
                <w:rtl/>
              </w:rPr>
              <w:t>הומלץ על הנחה קבועה באגרת הרישוי בגובה של 2,000 ש"ח לשנה במקום אגרה מופחתת בגובה של כמה עשרות שקלים בודדים</w:t>
            </w:r>
            <w:r w:rsidRPr="00A210E9">
              <w:rPr>
                <w:rFonts w:eastAsia="Calibri" w:hint="cs"/>
                <w:sz w:val="22"/>
                <w:szCs w:val="22"/>
                <w:rtl/>
              </w:rPr>
              <w:t>*</w:t>
            </w:r>
          </w:p>
        </w:tc>
      </w:tr>
      <w:tr w:rsidTr="00A157C9">
        <w:tblPrEx>
          <w:tblW w:w="0" w:type="auto"/>
          <w:tblLook w:val="04A0"/>
        </w:tblPrEx>
        <w:tc>
          <w:tcPr>
            <w:tcW w:w="2117" w:type="dxa"/>
          </w:tcPr>
          <w:p w:rsidR="00A210E9" w:rsidRPr="00A210E9" w:rsidP="00A210E9">
            <w:pPr>
              <w:spacing w:line="269" w:lineRule="auto"/>
              <w:jc w:val="left"/>
              <w:rPr>
                <w:rFonts w:eastAsia="Calibri"/>
                <w:sz w:val="22"/>
                <w:szCs w:val="22"/>
                <w:rtl/>
              </w:rPr>
            </w:pPr>
            <w:r w:rsidRPr="00A210E9">
              <w:rPr>
                <w:rFonts w:eastAsia="Calibri" w:hint="cs"/>
                <w:sz w:val="22"/>
                <w:szCs w:val="22"/>
                <w:rtl/>
              </w:rPr>
              <w:t>פתרון טכנולוגי לתג</w:t>
            </w:r>
          </w:p>
        </w:tc>
        <w:tc>
          <w:tcPr>
            <w:tcW w:w="2835" w:type="dxa"/>
          </w:tcPr>
          <w:p w:rsidR="00A210E9" w:rsidRPr="00A210E9" w:rsidP="00A210E9">
            <w:pPr>
              <w:spacing w:line="269" w:lineRule="auto"/>
              <w:jc w:val="left"/>
              <w:rPr>
                <w:rFonts w:eastAsia="Calibri"/>
                <w:sz w:val="22"/>
                <w:szCs w:val="22"/>
                <w:rtl/>
              </w:rPr>
            </w:pPr>
            <w:r w:rsidRPr="00A210E9">
              <w:rPr>
                <w:rFonts w:eastAsia="Calibri" w:hint="cs"/>
                <w:sz w:val="22"/>
                <w:szCs w:val="22"/>
                <w:rtl/>
              </w:rPr>
              <w:t xml:space="preserve">הוצע לעבור לחלופה דיגיטלית לתג, כלומר הפעלה וסיום של חניה ביישומון ייעודי </w:t>
            </w:r>
          </w:p>
        </w:tc>
        <w:tc>
          <w:tcPr>
            <w:tcW w:w="3259" w:type="dxa"/>
          </w:tcPr>
          <w:p w:rsidR="00A210E9" w:rsidRPr="00A210E9" w:rsidP="00A210E9">
            <w:pPr>
              <w:spacing w:line="269" w:lineRule="auto"/>
              <w:jc w:val="left"/>
              <w:rPr>
                <w:rFonts w:eastAsia="Calibri"/>
                <w:sz w:val="22"/>
                <w:szCs w:val="22"/>
                <w:rtl/>
              </w:rPr>
            </w:pPr>
            <w:r w:rsidRPr="00A210E9">
              <w:rPr>
                <w:rFonts w:eastAsia="Calibri"/>
                <w:sz w:val="22"/>
                <w:szCs w:val="22"/>
                <w:rtl/>
              </w:rPr>
              <w:t>פיתוח תג חניה טכנולוגי</w:t>
            </w:r>
          </w:p>
        </w:tc>
      </w:tr>
      <w:tr w:rsidTr="00A157C9">
        <w:tblPrEx>
          <w:tblW w:w="0" w:type="auto"/>
          <w:tblLook w:val="04A0"/>
        </w:tblPrEx>
        <w:tc>
          <w:tcPr>
            <w:tcW w:w="2117" w:type="dxa"/>
          </w:tcPr>
          <w:p w:rsidR="00A210E9" w:rsidRPr="00A210E9" w:rsidP="00A210E9">
            <w:pPr>
              <w:spacing w:line="269" w:lineRule="auto"/>
              <w:jc w:val="left"/>
              <w:rPr>
                <w:rFonts w:eastAsia="Calibri"/>
                <w:sz w:val="22"/>
                <w:szCs w:val="22"/>
                <w:rtl/>
              </w:rPr>
            </w:pPr>
            <w:r w:rsidRPr="00A210E9">
              <w:rPr>
                <w:rFonts w:eastAsia="Calibri" w:hint="cs"/>
                <w:sz w:val="22"/>
                <w:szCs w:val="22"/>
                <w:rtl/>
              </w:rPr>
              <w:t>אכיפה</w:t>
            </w:r>
          </w:p>
        </w:tc>
        <w:tc>
          <w:tcPr>
            <w:tcW w:w="2835" w:type="dxa"/>
          </w:tcPr>
          <w:p w:rsidR="00A210E9" w:rsidRPr="00A210E9" w:rsidP="00A210E9">
            <w:pPr>
              <w:spacing w:line="269" w:lineRule="auto"/>
              <w:jc w:val="left"/>
              <w:rPr>
                <w:rFonts w:eastAsia="Calibri"/>
                <w:sz w:val="22"/>
                <w:szCs w:val="22"/>
                <w:rtl/>
              </w:rPr>
            </w:pPr>
            <w:r w:rsidRPr="00A210E9">
              <w:rPr>
                <w:rFonts w:eastAsia="Calibri" w:hint="cs"/>
                <w:sz w:val="22"/>
                <w:szCs w:val="22"/>
                <w:rtl/>
              </w:rPr>
              <w:t>הוצע להגביר את האכיפה בנוגע לשימוש לרעה בתג*</w:t>
            </w:r>
          </w:p>
        </w:tc>
        <w:tc>
          <w:tcPr>
            <w:tcW w:w="3259" w:type="dxa"/>
          </w:tcPr>
          <w:p w:rsidR="00A210E9" w:rsidRPr="00A210E9" w:rsidP="00A210E9">
            <w:pPr>
              <w:spacing w:line="269" w:lineRule="auto"/>
              <w:jc w:val="left"/>
              <w:rPr>
                <w:rFonts w:eastAsia="Calibri"/>
                <w:sz w:val="22"/>
                <w:szCs w:val="22"/>
                <w:rtl/>
              </w:rPr>
            </w:pPr>
            <w:r w:rsidRPr="00A210E9">
              <w:rPr>
                <w:rFonts w:eastAsia="Calibri"/>
                <w:sz w:val="22"/>
                <w:szCs w:val="22"/>
                <w:rtl/>
              </w:rPr>
              <w:t>הרחבה של סמכויות האכיפה ל</w:t>
            </w:r>
            <w:r w:rsidRPr="00A210E9">
              <w:rPr>
                <w:rFonts w:eastAsia="Calibri" w:hint="cs"/>
                <w:sz w:val="22"/>
                <w:szCs w:val="22"/>
                <w:rtl/>
              </w:rPr>
              <w:t xml:space="preserve">צורך </w:t>
            </w:r>
            <w:r w:rsidRPr="00A210E9">
              <w:rPr>
                <w:rFonts w:eastAsia="Calibri"/>
                <w:sz w:val="22"/>
                <w:szCs w:val="22"/>
                <w:rtl/>
              </w:rPr>
              <w:t>אכיפה</w:t>
            </w:r>
            <w:r w:rsidRPr="00A210E9">
              <w:rPr>
                <w:rFonts w:eastAsia="Calibri" w:hint="cs"/>
                <w:sz w:val="22"/>
                <w:szCs w:val="22"/>
                <w:rtl/>
              </w:rPr>
              <w:t xml:space="preserve"> </w:t>
            </w:r>
            <w:r w:rsidRPr="00A210E9">
              <w:rPr>
                <w:rFonts w:eastAsia="Calibri"/>
                <w:sz w:val="22"/>
                <w:szCs w:val="22"/>
                <w:rtl/>
              </w:rPr>
              <w:t xml:space="preserve">יעילה יותר ומתן סמכות רחבה לפקחי </w:t>
            </w:r>
            <w:r w:rsidRPr="00A210E9">
              <w:rPr>
                <w:rFonts w:eastAsia="Calibri" w:hint="cs"/>
                <w:sz w:val="22"/>
                <w:szCs w:val="22"/>
                <w:rtl/>
              </w:rPr>
              <w:t>הרשויות המקומיות</w:t>
            </w:r>
          </w:p>
        </w:tc>
      </w:tr>
    </w:tbl>
    <w:p w:rsidR="00A210E9" w:rsidRPr="00A210E9" w:rsidP="00A210E9">
      <w:pPr>
        <w:spacing w:line="269" w:lineRule="auto"/>
        <w:rPr>
          <w:rFonts w:eastAsia="Calibri"/>
          <w:szCs w:val="20"/>
          <w:rtl/>
        </w:rPr>
      </w:pPr>
      <w:r w:rsidRPr="00A210E9">
        <w:rPr>
          <w:rFonts w:eastAsia="Calibri" w:hint="cs"/>
          <w:szCs w:val="20"/>
          <w:rtl/>
        </w:rPr>
        <w:t>המקור: סיכום דיון של צוות 2022 מיוני 2023, מכתב של צוות 2024 לשרת התחבורה בדצמבר 2024.</w:t>
      </w:r>
    </w:p>
    <w:p w:rsidR="00A210E9" w:rsidRPr="00A210E9" w:rsidP="00A210E9">
      <w:pPr>
        <w:spacing w:line="269" w:lineRule="auto"/>
        <w:rPr>
          <w:rFonts w:eastAsia="Calibri"/>
          <w:szCs w:val="20"/>
          <w:rtl/>
        </w:rPr>
      </w:pPr>
      <w:r w:rsidRPr="00A210E9">
        <w:rPr>
          <w:rFonts w:eastAsia="Calibri"/>
          <w:szCs w:val="20"/>
          <w:rtl/>
        </w:rPr>
        <w:t xml:space="preserve">* </w:t>
      </w:r>
      <w:r w:rsidRPr="00A210E9">
        <w:rPr>
          <w:rFonts w:eastAsia="Calibri" w:hint="eastAsia"/>
          <w:szCs w:val="20"/>
          <w:rtl/>
        </w:rPr>
        <w:t>בצוותים</w:t>
      </w:r>
      <w:r w:rsidRPr="00A210E9">
        <w:rPr>
          <w:rFonts w:eastAsia="Calibri"/>
          <w:szCs w:val="20"/>
          <w:rtl/>
        </w:rPr>
        <w:t xml:space="preserve"> צוין כי </w:t>
      </w:r>
      <w:r w:rsidRPr="00A210E9">
        <w:rPr>
          <w:rFonts w:eastAsia="Calibri" w:hint="cs"/>
          <w:szCs w:val="20"/>
          <w:rtl/>
        </w:rPr>
        <w:t xml:space="preserve">הדבר </w:t>
      </w:r>
      <w:r w:rsidRPr="00A210E9">
        <w:rPr>
          <w:rFonts w:eastAsia="Calibri" w:hint="eastAsia"/>
          <w:szCs w:val="20"/>
          <w:rtl/>
        </w:rPr>
        <w:t>תלוי</w:t>
      </w:r>
      <w:r w:rsidRPr="00A210E9">
        <w:rPr>
          <w:rFonts w:eastAsia="Calibri"/>
          <w:szCs w:val="20"/>
          <w:rtl/>
        </w:rPr>
        <w:t xml:space="preserve"> </w:t>
      </w:r>
      <w:r w:rsidRPr="00A210E9">
        <w:rPr>
          <w:rFonts w:eastAsia="Calibri" w:hint="cs"/>
          <w:szCs w:val="20"/>
          <w:rtl/>
        </w:rPr>
        <w:t>ב</w:t>
      </w:r>
      <w:r w:rsidRPr="00A210E9">
        <w:rPr>
          <w:rFonts w:eastAsia="Calibri" w:hint="eastAsia"/>
          <w:szCs w:val="20"/>
          <w:rtl/>
        </w:rPr>
        <w:t>חקיקה</w:t>
      </w:r>
      <w:r w:rsidRPr="00A210E9">
        <w:rPr>
          <w:rFonts w:eastAsia="Calibri"/>
          <w:szCs w:val="20"/>
          <w:rtl/>
        </w:rPr>
        <w:t xml:space="preserve"> או </w:t>
      </w:r>
      <w:r w:rsidRPr="00A210E9">
        <w:rPr>
          <w:rFonts w:eastAsia="Calibri" w:hint="cs"/>
          <w:szCs w:val="20"/>
          <w:rtl/>
        </w:rPr>
        <w:t>ב</w:t>
      </w:r>
      <w:r w:rsidRPr="00A210E9">
        <w:rPr>
          <w:rFonts w:eastAsia="Calibri" w:hint="eastAsia"/>
          <w:szCs w:val="20"/>
          <w:rtl/>
        </w:rPr>
        <w:t>תיקון</w:t>
      </w:r>
      <w:r w:rsidRPr="00A210E9">
        <w:rPr>
          <w:rFonts w:eastAsia="Calibri"/>
          <w:szCs w:val="20"/>
          <w:rtl/>
        </w:rPr>
        <w:t xml:space="preserve"> חקיקה</w:t>
      </w:r>
      <w:r w:rsidRPr="00A210E9">
        <w:rPr>
          <w:rFonts w:eastAsia="Calibri" w:hint="cs"/>
          <w:szCs w:val="20"/>
          <w:rtl/>
        </w:rPr>
        <w:t>.</w:t>
      </w:r>
    </w:p>
    <w:p w:rsidR="00A210E9" w:rsidRPr="00A210E9" w:rsidP="00A210E9">
      <w:pPr>
        <w:spacing w:line="269" w:lineRule="auto"/>
        <w:rPr>
          <w:rFonts w:eastAsia="Calibri"/>
          <w:rtl/>
        </w:rPr>
      </w:pPr>
      <w:bookmarkStart w:id="166" w:name="_GoBack"/>
      <w:bookmarkEnd w:id="166"/>
      <w:r w:rsidRPr="00A210E9">
        <w:rPr>
          <w:rFonts w:eastAsia="Calibri" w:hint="cs"/>
          <w:rtl/>
        </w:rPr>
        <w:t xml:space="preserve">במרץ 2025, </w:t>
      </w:r>
      <w:r w:rsidRPr="00A210E9">
        <w:rPr>
          <w:rFonts w:eastAsia="Calibri" w:hint="eastAsia"/>
          <w:rtl/>
        </w:rPr>
        <w:t>לאחר</w:t>
      </w:r>
      <w:r w:rsidRPr="00A210E9">
        <w:rPr>
          <w:rFonts w:eastAsia="Calibri"/>
          <w:rtl/>
        </w:rPr>
        <w:t xml:space="preserve"> </w:t>
      </w:r>
      <w:r w:rsidRPr="00A210E9">
        <w:rPr>
          <w:rFonts w:eastAsia="Calibri" w:hint="eastAsia"/>
          <w:rtl/>
        </w:rPr>
        <w:t>קבלת</w:t>
      </w:r>
      <w:r w:rsidRPr="00A210E9">
        <w:rPr>
          <w:rFonts w:eastAsia="Calibri"/>
          <w:rtl/>
        </w:rPr>
        <w:t xml:space="preserve"> תוצאות דוח הביקורת </w:t>
      </w:r>
      <w:r w:rsidRPr="00A210E9">
        <w:rPr>
          <w:rFonts w:eastAsia="Calibri" w:hint="cs"/>
          <w:rtl/>
        </w:rPr>
        <w:t>שהכין רואה חשבון</w:t>
      </w:r>
      <w:r w:rsidRPr="00A210E9">
        <w:rPr>
          <w:rFonts w:eastAsia="Calibri"/>
          <w:rtl/>
        </w:rPr>
        <w:t xml:space="preserve"> מטעם חטיבת הביקורת באגף </w:t>
      </w:r>
      <w:r w:rsidRPr="00A210E9">
        <w:rPr>
          <w:rFonts w:eastAsia="Calibri" w:hint="eastAsia"/>
          <w:rtl/>
        </w:rPr>
        <w:t>החשכ</w:t>
      </w:r>
      <w:r w:rsidRPr="00A210E9">
        <w:rPr>
          <w:rFonts w:eastAsia="Calibri"/>
          <w:rtl/>
        </w:rPr>
        <w:t>"ל במשרד האוצר (בדיקה חשבונאית 2025),</w:t>
      </w:r>
      <w:r w:rsidRPr="00A210E9">
        <w:rPr>
          <w:rFonts w:eastAsia="Calibri" w:hint="cs"/>
          <w:rtl/>
        </w:rPr>
        <w:t xml:space="preserve"> החליטו אגף החשכ"ל ומשרד התחבורה להקים צוות עבודה בהובלת החשכ"ל לבחינת מתווה הבדיקות. באוגוסט 2025 מינו החשב הכללי, מנכ"ל משרד התחבורה, מנכ"ל הביטוח הלאומי והממונה על התקציבים במשרד האוצר "צוות עבודה מיוחד לעניין תגי [חניה]" (הצוות הבין-משרדי 2025)</w:t>
      </w:r>
      <w:r>
        <w:rPr>
          <w:rFonts w:eastAsia="Calibri"/>
          <w:vertAlign w:val="superscript"/>
          <w:rtl/>
        </w:rPr>
        <w:footnoteReference w:id="204"/>
      </w:r>
      <w:r w:rsidRPr="00A210E9">
        <w:rPr>
          <w:rFonts w:eastAsia="Calibri" w:hint="cs"/>
          <w:rtl/>
        </w:rPr>
        <w:t xml:space="preserve">. מטרתו של הצוות היא, בין היתר, לבחון את הסדרי המדיניות בתחום מתן תגי חניה ואת אופן יישומה, לגבש המלצות לפעולה מתואמת בין המשרדים הרלוונטיים, </w:t>
      </w:r>
      <w:r w:rsidRPr="00A210E9">
        <w:rPr>
          <w:rFonts w:eastAsia="Calibri"/>
          <w:rtl/>
        </w:rPr>
        <w:t xml:space="preserve">לייעל את אופן הקצאת תגי החניה, </w:t>
      </w:r>
      <w:r w:rsidRPr="00A210E9">
        <w:rPr>
          <w:rFonts w:eastAsia="Calibri" w:hint="cs"/>
          <w:rtl/>
        </w:rPr>
        <w:t>לשפר</w:t>
      </w:r>
      <w:r w:rsidRPr="00A210E9">
        <w:rPr>
          <w:rFonts w:eastAsia="Calibri"/>
          <w:rtl/>
        </w:rPr>
        <w:t xml:space="preserve"> את הבקרה על הליך </w:t>
      </w:r>
      <w:r w:rsidRPr="00A210E9">
        <w:rPr>
          <w:rFonts w:eastAsia="Calibri" w:hint="cs"/>
          <w:rtl/>
        </w:rPr>
        <w:t>קביעת</w:t>
      </w:r>
      <w:r w:rsidRPr="00A210E9">
        <w:rPr>
          <w:rFonts w:eastAsia="Calibri" w:hint="cs"/>
        </w:rPr>
        <w:t xml:space="preserve"> </w:t>
      </w:r>
      <w:r w:rsidRPr="00A210E9">
        <w:rPr>
          <w:rFonts w:eastAsia="Calibri"/>
          <w:rtl/>
        </w:rPr>
        <w:t>הזכאות, לצמצם</w:t>
      </w:r>
      <w:r w:rsidRPr="00A210E9">
        <w:rPr>
          <w:rFonts w:eastAsia="Calibri" w:hint="cs"/>
          <w:rtl/>
        </w:rPr>
        <w:t xml:space="preserve"> </w:t>
      </w:r>
      <w:r w:rsidRPr="00A210E9">
        <w:rPr>
          <w:rFonts w:eastAsia="Calibri"/>
          <w:rtl/>
        </w:rPr>
        <w:t xml:space="preserve">כפילויות ובירוקרטיה </w:t>
      </w:r>
      <w:r w:rsidRPr="00A210E9">
        <w:rPr>
          <w:rFonts w:eastAsia="Calibri" w:hint="cs"/>
          <w:rtl/>
        </w:rPr>
        <w:t>ולהגביר את</w:t>
      </w:r>
      <w:r w:rsidRPr="00A210E9">
        <w:rPr>
          <w:rFonts w:eastAsia="Calibri"/>
          <w:rtl/>
        </w:rPr>
        <w:t xml:space="preserve"> הנגישות של המרחב הציבורי עבור </w:t>
      </w:r>
      <w:r w:rsidRPr="00A210E9">
        <w:rPr>
          <w:rFonts w:eastAsia="Calibri" w:hint="cs"/>
          <w:rtl/>
        </w:rPr>
        <w:t>אנשים עם מוגבלות</w:t>
      </w:r>
      <w:r w:rsidRPr="00A210E9">
        <w:rPr>
          <w:rFonts w:eastAsia="Calibri"/>
          <w:rtl/>
        </w:rPr>
        <w:t xml:space="preserve"> הזקוקים לכך</w:t>
      </w:r>
      <w:r w:rsidRPr="00A210E9">
        <w:rPr>
          <w:rFonts w:eastAsia="Calibri" w:hint="cs"/>
          <w:rtl/>
        </w:rPr>
        <w:t xml:space="preserve">. הצוות הוקם בראשות סגנית בכירה לחשכ"ל </w:t>
      </w:r>
      <w:r w:rsidRPr="00A210E9">
        <w:rPr>
          <w:rFonts w:eastAsia="Calibri"/>
          <w:rtl/>
        </w:rPr>
        <w:t xml:space="preserve">- </w:t>
      </w:r>
      <w:r w:rsidRPr="00A210E9">
        <w:rPr>
          <w:rFonts w:eastAsia="Calibri" w:hint="eastAsia"/>
          <w:rtl/>
        </w:rPr>
        <w:t>מנהלת</w:t>
      </w:r>
      <w:r w:rsidRPr="00A210E9">
        <w:rPr>
          <w:rFonts w:eastAsia="Calibri"/>
          <w:rtl/>
        </w:rPr>
        <w:t xml:space="preserve"> </w:t>
      </w:r>
      <w:r w:rsidRPr="00A210E9">
        <w:rPr>
          <w:rFonts w:eastAsia="Calibri" w:hint="eastAsia"/>
          <w:rtl/>
        </w:rPr>
        <w:t>חטיבת</w:t>
      </w:r>
      <w:r w:rsidRPr="00A210E9">
        <w:rPr>
          <w:rFonts w:eastAsia="Calibri"/>
          <w:rtl/>
        </w:rPr>
        <w:t xml:space="preserve"> </w:t>
      </w:r>
      <w:r w:rsidRPr="00A210E9">
        <w:rPr>
          <w:rFonts w:eastAsia="Calibri" w:hint="eastAsia"/>
          <w:rtl/>
        </w:rPr>
        <w:t>הביקורת</w:t>
      </w:r>
      <w:r w:rsidRPr="00A210E9">
        <w:rPr>
          <w:rFonts w:eastAsia="Calibri" w:hint="cs"/>
          <w:rtl/>
        </w:rPr>
        <w:t xml:space="preserve">, והשתתפו בו נציגים מהביטוח הלאומי, ממשרד התחבורה ומאגף התקציבים של משרד האוצר. הצוות הונחה לפעול למיפוי פערים, לבחינת חלופות ולגיבוש המלצות למענה רוחבי ומתואם בין המשרדים הרלוונטיים, "עקב כשלים חמורים שהתגלו בהליך הקיים". בכתב המינוי של הצוות צוין גם כי "ככל שכחלק ממסקנות הצוות יידרשו תיקוני חקיקה כאלה ואחרים, יש לקדמם במהירות על מנת שניתן יהיה לשלבם במסגרת התכנית הכלכלית לשנת 2026".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משרד התחבורה כתב בתשובתו כי </w:t>
      </w:r>
      <w:r w:rsidRPr="00A210E9">
        <w:rPr>
          <w:rFonts w:eastAsia="Calibri"/>
          <w:rtl/>
        </w:rPr>
        <w:t xml:space="preserve">נוהל 2025 נועד לשמש כמענה ביניים, עד </w:t>
      </w:r>
      <w:r w:rsidRPr="00A210E9">
        <w:rPr>
          <w:rFonts w:eastAsia="Calibri" w:hint="cs"/>
          <w:rtl/>
        </w:rPr>
        <w:t>שהצוות הבין-משרדי 2025 ישלים ויעדכן את עבודת ההסדרה</w:t>
      </w:r>
      <w:r w:rsidRPr="00A210E9">
        <w:rPr>
          <w:rFonts w:eastAsia="Calibri"/>
          <w:rtl/>
        </w:rPr>
        <w:t xml:space="preserve">, וזאת מתוך ידיעה כי </w:t>
      </w:r>
      <w:r w:rsidRPr="00A210E9">
        <w:rPr>
          <w:rFonts w:eastAsia="Calibri" w:hint="cs"/>
          <w:rtl/>
        </w:rPr>
        <w:t>בד בבד</w:t>
      </w:r>
      <w:r w:rsidRPr="00A210E9">
        <w:rPr>
          <w:rFonts w:eastAsia="Calibri"/>
          <w:rtl/>
        </w:rPr>
        <w:t xml:space="preserve"> מתקיים תהליך בין-משרדי שמטרתו לקדם פתרונות מערכתיים רחבים וארוכי טוו</w:t>
      </w:r>
      <w:r w:rsidRPr="00A210E9">
        <w:rPr>
          <w:rFonts w:eastAsia="Calibri" w:hint="cs"/>
          <w:rtl/>
        </w:rPr>
        <w:t>ח</w:t>
      </w:r>
      <w:r w:rsidRPr="00A210E9">
        <w:rPr>
          <w:rFonts w:eastAsia="Calibri"/>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בתשובתו </w:t>
      </w:r>
      <w:r w:rsidRPr="00A210E9">
        <w:rPr>
          <w:rFonts w:eastAsia="Calibri" w:hint="cs"/>
          <w:rtl/>
        </w:rPr>
        <w:t xml:space="preserve">מ-17.5.26 מסר </w:t>
      </w:r>
      <w:r w:rsidRPr="00A210E9">
        <w:rPr>
          <w:rFonts w:eastAsia="Calibri" w:hint="cs"/>
          <w:rtl/>
        </w:rPr>
        <w:t xml:space="preserve">החשכ"ל כי </w:t>
      </w:r>
      <w:r w:rsidRPr="00A210E9">
        <w:rPr>
          <w:rFonts w:eastAsia="Calibri"/>
          <w:rtl/>
        </w:rPr>
        <w:t xml:space="preserve">גובשו </w:t>
      </w:r>
      <w:r w:rsidRPr="00A210E9">
        <w:rPr>
          <w:rFonts w:eastAsia="Calibri" w:hint="cs"/>
          <w:rtl/>
        </w:rPr>
        <w:t>כמה</w:t>
      </w:r>
      <w:r w:rsidRPr="00A210E9">
        <w:rPr>
          <w:rFonts w:eastAsia="Calibri"/>
          <w:rtl/>
        </w:rPr>
        <w:t xml:space="preserve"> עקרונות מרכזיים לשינוי המדיניות הקיימת, אשר עודם טעונים השלמה, תיקוף</w:t>
      </w:r>
      <w:r w:rsidRPr="00A210E9">
        <w:rPr>
          <w:rFonts w:eastAsia="Calibri" w:hint="cs"/>
          <w:rtl/>
        </w:rPr>
        <w:t xml:space="preserve"> </w:t>
      </w:r>
      <w:r w:rsidRPr="00A210E9">
        <w:rPr>
          <w:rFonts w:eastAsia="Calibri"/>
          <w:rtl/>
        </w:rPr>
        <w:t>ואישור סופ</w:t>
      </w:r>
      <w:r w:rsidRPr="00A210E9">
        <w:rPr>
          <w:rFonts w:eastAsia="Calibri" w:hint="cs"/>
          <w:rtl/>
        </w:rPr>
        <w:t xml:space="preserve">י: </w:t>
      </w:r>
      <w:r w:rsidRPr="00A210E9">
        <w:rPr>
          <w:rFonts w:eastAsia="Calibri" w:hint="cs"/>
          <w:rtl/>
        </w:rPr>
        <w:t>(א)</w:t>
      </w:r>
      <w:r w:rsidRPr="00A210E9">
        <w:rPr>
          <w:rFonts w:eastAsia="Calibri" w:hint="cs"/>
          <w:rtl/>
        </w:rPr>
        <w:t xml:space="preserve"> </w:t>
      </w:r>
      <w:r w:rsidRPr="00A210E9">
        <w:rPr>
          <w:rFonts w:eastAsia="Calibri"/>
          <w:rtl/>
        </w:rPr>
        <w:t>עיגון ההכרעה הרפואית אצל גורמים בעלי מומחיות מתאימה</w:t>
      </w:r>
      <w:r w:rsidRPr="00A210E9">
        <w:rPr>
          <w:rFonts w:eastAsia="Calibri" w:hint="cs"/>
          <w:rtl/>
        </w:rPr>
        <w:t xml:space="preserve">; </w:t>
      </w:r>
      <w:r w:rsidRPr="00A210E9">
        <w:rPr>
          <w:rFonts w:eastAsia="Calibri" w:hint="cs"/>
          <w:rtl/>
        </w:rPr>
        <w:t>(ב)</w:t>
      </w:r>
      <w:r w:rsidRPr="00A210E9">
        <w:rPr>
          <w:rFonts w:eastAsia="Calibri" w:hint="cs"/>
          <w:rtl/>
        </w:rPr>
        <w:t xml:space="preserve"> </w:t>
      </w:r>
      <w:r w:rsidRPr="00A210E9">
        <w:rPr>
          <w:rFonts w:eastAsia="Calibri" w:hint="cs"/>
          <w:rtl/>
        </w:rPr>
        <w:t>פיתוח</w:t>
      </w:r>
      <w:r w:rsidRPr="00A210E9">
        <w:rPr>
          <w:rFonts w:eastAsia="Calibri"/>
          <w:rtl/>
        </w:rPr>
        <w:t xml:space="preserve"> מנגנון משלים ל</w:t>
      </w:r>
      <w:r w:rsidRPr="00A210E9">
        <w:rPr>
          <w:rFonts w:eastAsia="Calibri" w:hint="cs"/>
          <w:rtl/>
        </w:rPr>
        <w:t>טיפול ב</w:t>
      </w:r>
      <w:r w:rsidRPr="00A210E9">
        <w:rPr>
          <w:rFonts w:eastAsia="Calibri"/>
          <w:rtl/>
        </w:rPr>
        <w:t>מקרים חריגים</w:t>
      </w:r>
      <w:r w:rsidRPr="00A210E9">
        <w:rPr>
          <w:rFonts w:eastAsia="Calibri" w:hint="cs"/>
          <w:rtl/>
        </w:rPr>
        <w:t xml:space="preserve">; </w:t>
      </w:r>
      <w:r w:rsidRPr="00A210E9">
        <w:rPr>
          <w:rFonts w:eastAsia="Calibri" w:hint="cs"/>
          <w:rtl/>
        </w:rPr>
        <w:t>(ג)</w:t>
      </w:r>
      <w:r w:rsidRPr="00A210E9">
        <w:rPr>
          <w:rFonts w:eastAsia="Calibri" w:hint="cs"/>
          <w:rtl/>
        </w:rPr>
        <w:t xml:space="preserve"> </w:t>
      </w:r>
      <w:r w:rsidRPr="00A210E9">
        <w:rPr>
          <w:rFonts w:eastAsia="Calibri"/>
          <w:rtl/>
        </w:rPr>
        <w:t xml:space="preserve">המשך </w:t>
      </w:r>
      <w:r w:rsidRPr="00A210E9">
        <w:rPr>
          <w:rFonts w:eastAsia="Calibri" w:hint="cs"/>
          <w:rtl/>
        </w:rPr>
        <w:t>הטלת ה</w:t>
      </w:r>
      <w:r w:rsidRPr="00A210E9">
        <w:rPr>
          <w:rFonts w:eastAsia="Calibri"/>
          <w:rtl/>
        </w:rPr>
        <w:t>אחריות</w:t>
      </w:r>
      <w:r w:rsidRPr="00A210E9">
        <w:rPr>
          <w:rFonts w:eastAsia="Calibri" w:hint="cs"/>
          <w:rtl/>
        </w:rPr>
        <w:t xml:space="preserve"> להנפקת התג על</w:t>
      </w:r>
      <w:r w:rsidRPr="00A210E9">
        <w:rPr>
          <w:rFonts w:eastAsia="Calibri"/>
          <w:rtl/>
        </w:rPr>
        <w:t xml:space="preserve"> משרד התחבורה</w:t>
      </w:r>
      <w:r w:rsidRPr="00A210E9">
        <w:rPr>
          <w:rFonts w:eastAsia="Calibri" w:hint="cs"/>
          <w:rtl/>
        </w:rPr>
        <w:t xml:space="preserve">; </w:t>
      </w:r>
      <w:r w:rsidRPr="00A210E9">
        <w:rPr>
          <w:rFonts w:eastAsia="Calibri" w:hint="cs"/>
          <w:rtl/>
        </w:rPr>
        <w:t>(ד)</w:t>
      </w:r>
      <w:r w:rsidRPr="00A210E9">
        <w:rPr>
          <w:rFonts w:eastAsia="Calibri" w:hint="cs"/>
          <w:rtl/>
        </w:rPr>
        <w:t xml:space="preserve"> </w:t>
      </w:r>
      <w:r w:rsidRPr="00A210E9">
        <w:rPr>
          <w:rFonts w:eastAsia="Calibri"/>
          <w:rtl/>
        </w:rPr>
        <w:t>בחינה מדורגת של מלאי התגים הקיים</w:t>
      </w:r>
      <w:r w:rsidRPr="00A210E9">
        <w:rPr>
          <w:rFonts w:eastAsia="Calibri" w:hint="cs"/>
          <w:rtl/>
        </w:rPr>
        <w:t xml:space="preserve">; </w:t>
      </w:r>
      <w:r w:rsidRPr="00A210E9">
        <w:rPr>
          <w:rFonts w:eastAsia="Calibri" w:hint="cs"/>
          <w:rtl/>
        </w:rPr>
        <w:t>(ה)</w:t>
      </w:r>
      <w:r w:rsidRPr="00A210E9">
        <w:rPr>
          <w:rFonts w:eastAsia="Calibri" w:hint="cs"/>
          <w:rtl/>
        </w:rPr>
        <w:t xml:space="preserve"> </w:t>
      </w:r>
      <w:r w:rsidRPr="00A210E9">
        <w:rPr>
          <w:rFonts w:eastAsia="Calibri"/>
          <w:rtl/>
        </w:rPr>
        <w:t xml:space="preserve">שימוש בתג </w:t>
      </w:r>
      <w:r w:rsidRPr="00A210E9">
        <w:rPr>
          <w:rFonts w:eastAsia="Calibri" w:hint="cs"/>
          <w:rtl/>
        </w:rPr>
        <w:t>ש</w:t>
      </w:r>
      <w:r w:rsidRPr="00A210E9">
        <w:rPr>
          <w:rFonts w:eastAsia="Calibri"/>
          <w:rtl/>
        </w:rPr>
        <w:t>לא בהתאם לתכלית החוק</w:t>
      </w:r>
      <w:r w:rsidRPr="00A210E9">
        <w:rPr>
          <w:rFonts w:eastAsia="Calibri" w:hint="cs"/>
          <w:rtl/>
        </w:rPr>
        <w:t xml:space="preserve">; </w:t>
      </w:r>
      <w:r w:rsidRPr="00A210E9">
        <w:rPr>
          <w:rFonts w:eastAsia="Calibri" w:hint="cs"/>
          <w:rtl/>
        </w:rPr>
        <w:t>(ו)</w:t>
      </w:r>
      <w:r w:rsidRPr="00A210E9">
        <w:rPr>
          <w:rFonts w:eastAsia="Calibri" w:hint="cs"/>
          <w:rtl/>
        </w:rPr>
        <w:t xml:space="preserve"> </w:t>
      </w:r>
      <w:r w:rsidRPr="00A210E9">
        <w:rPr>
          <w:rFonts w:eastAsia="Calibri" w:hint="cs"/>
          <w:rtl/>
        </w:rPr>
        <w:t>שיפור</w:t>
      </w:r>
      <w:r w:rsidRPr="00A210E9">
        <w:rPr>
          <w:rFonts w:eastAsia="Calibri"/>
          <w:rtl/>
        </w:rPr>
        <w:t xml:space="preserve"> הבקרה, הממשקים והאכיפה</w:t>
      </w:r>
      <w:r w:rsidRPr="00A210E9">
        <w:rPr>
          <w:rFonts w:eastAsia="Calibri" w:hint="cs"/>
          <w:rtl/>
        </w:rPr>
        <w:t xml:space="preserve">; </w:t>
      </w:r>
      <w:r w:rsidRPr="00A210E9">
        <w:rPr>
          <w:rFonts w:eastAsia="Calibri" w:hint="cs"/>
          <w:rtl/>
        </w:rPr>
        <w:t>(ז)</w:t>
      </w:r>
      <w:r w:rsidRPr="00A210E9">
        <w:rPr>
          <w:rFonts w:eastAsia="Calibri" w:hint="cs"/>
          <w:rtl/>
        </w:rPr>
        <w:t xml:space="preserve"> </w:t>
      </w:r>
      <w:r w:rsidRPr="00A210E9">
        <w:rPr>
          <w:rFonts w:eastAsia="Calibri" w:hint="cs"/>
          <w:rtl/>
        </w:rPr>
        <w:t xml:space="preserve">שמירת </w:t>
      </w:r>
      <w:r w:rsidRPr="00A210E9">
        <w:rPr>
          <w:rFonts w:eastAsia="Calibri"/>
          <w:rtl/>
        </w:rPr>
        <w:t>שקיפות</w:t>
      </w:r>
      <w:r w:rsidRPr="00A210E9">
        <w:rPr>
          <w:rFonts w:eastAsia="Calibri" w:hint="cs"/>
          <w:rtl/>
        </w:rPr>
        <w:t xml:space="preserve"> הקריטריונים</w:t>
      </w:r>
      <w:r w:rsidRPr="00A210E9">
        <w:rPr>
          <w:rFonts w:eastAsia="Calibri"/>
          <w:rtl/>
        </w:rPr>
        <w:t xml:space="preserve"> ופרסו</w:t>
      </w:r>
      <w:r w:rsidRPr="00A210E9">
        <w:rPr>
          <w:rFonts w:eastAsia="Calibri" w:hint="cs"/>
          <w:rtl/>
        </w:rPr>
        <w:t>מ</w:t>
      </w:r>
      <w:r w:rsidRPr="00A210E9">
        <w:rPr>
          <w:rFonts w:eastAsia="Calibri"/>
          <w:rtl/>
        </w:rPr>
        <w:t>ם לציבור</w:t>
      </w:r>
      <w:r w:rsidRPr="00A210E9">
        <w:rPr>
          <w:rFonts w:eastAsia="Calibri" w:hint="cs"/>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bookmarkStart w:id="167" w:name="_Hlk223953481"/>
      <w:r w:rsidRPr="00A210E9">
        <w:rPr>
          <w:rFonts w:eastAsia="Calibri" w:hint="cs"/>
          <w:b/>
          <w:bCs/>
          <w:rtl/>
        </w:rPr>
        <w:t xml:space="preserve">נמצא כי בין 2022 - 2025 הוקמו שלושה צוותי עבודה שונים - שני צוותים על ידי משרד התחבורה והצוות הבין-משרדי 2025 שהוקם על ידי אגף החשכ"ל בשיתוף עם משרד התחבורה, הביטוח הלאומי ואגף התקציבים במשרד האוצר. בשלושת הצוותים נדונו מגוון רחב של נושאים הדורשים טיפול, ובראשם הגדרת קריטריונים רפואיים שעל פיהם ניתן לבחון את הזכאות לתג חניה. נושאים נוספים שנדונו היו בין היתר אימוץ חלופה דיגיטלית לתגים, העסקת רופא באגף הרישוי שיבצע בקרה על עבודת רופאי אגף הרישוי, בניית מנגנון לערעור על החלטת הרופאים, הגדרה מחודשת של סוגי התגים, שינוי מנגנון ההנחה באגרת רישוי ופתרונות להגברת האכיפה. למרות זאת, התוצר הרשמי היחיד של עבודת מטה זו היה רשימה של בדיקות ומסמכים רפואיים </w:t>
      </w:r>
      <w:r w:rsidRPr="00A210E9">
        <w:rPr>
          <w:rFonts w:eastAsia="Calibri"/>
          <w:b/>
          <w:bCs/>
          <w:rtl/>
        </w:rPr>
        <w:t>ב</w:t>
      </w:r>
      <w:r w:rsidRPr="00A210E9">
        <w:rPr>
          <w:rFonts w:eastAsia="Calibri" w:hint="cs"/>
          <w:b/>
          <w:bCs/>
          <w:rtl/>
        </w:rPr>
        <w:t>כל אחד מה</w:t>
      </w:r>
      <w:r w:rsidRPr="00A210E9">
        <w:rPr>
          <w:rFonts w:eastAsia="Calibri"/>
          <w:b/>
          <w:bCs/>
          <w:rtl/>
        </w:rPr>
        <w:t>תחומי</w:t>
      </w:r>
      <w:r w:rsidRPr="00A210E9">
        <w:rPr>
          <w:rFonts w:eastAsia="Calibri" w:hint="cs"/>
          <w:b/>
          <w:bCs/>
          <w:rtl/>
        </w:rPr>
        <w:t>ם הרפואיים שבהם קיימת</w:t>
      </w:r>
      <w:r w:rsidRPr="00A210E9">
        <w:rPr>
          <w:rFonts w:eastAsia="Calibri"/>
          <w:b/>
          <w:bCs/>
          <w:rtl/>
        </w:rPr>
        <w:t xml:space="preserve"> </w:t>
      </w:r>
      <w:r w:rsidRPr="00A210E9">
        <w:rPr>
          <w:rFonts w:eastAsia="Calibri" w:hint="cs"/>
          <w:b/>
          <w:bCs/>
          <w:rtl/>
        </w:rPr>
        <w:t>מגבלת ניידות,</w:t>
      </w:r>
      <w:r w:rsidRPr="00A210E9">
        <w:rPr>
          <w:rFonts w:eastAsia="Calibri"/>
          <w:b/>
          <w:bCs/>
          <w:rtl/>
        </w:rPr>
        <w:t xml:space="preserve"> </w:t>
      </w:r>
      <w:r w:rsidRPr="00A210E9">
        <w:rPr>
          <w:rFonts w:eastAsia="Calibri" w:hint="cs"/>
          <w:b/>
          <w:bCs/>
          <w:rtl/>
        </w:rPr>
        <w:t xml:space="preserve">שמגיש הבקשה לקבלת תג יידרש להמציא </w:t>
      </w:r>
      <w:r w:rsidRPr="00A210E9">
        <w:rPr>
          <w:rFonts w:eastAsia="Calibri"/>
          <w:b/>
          <w:bCs/>
          <w:rtl/>
        </w:rPr>
        <w:t xml:space="preserve">לצורך בחינת </w:t>
      </w:r>
      <w:r w:rsidRPr="00A210E9">
        <w:rPr>
          <w:rFonts w:eastAsia="Calibri" w:hint="cs"/>
          <w:b/>
          <w:bCs/>
          <w:rtl/>
        </w:rPr>
        <w:t>ה</w:t>
      </w:r>
      <w:r w:rsidRPr="00A210E9">
        <w:rPr>
          <w:rFonts w:eastAsia="Calibri"/>
          <w:b/>
          <w:bCs/>
          <w:rtl/>
        </w:rPr>
        <w:t>בקשה</w:t>
      </w:r>
      <w:r w:rsidRPr="00A210E9">
        <w:rPr>
          <w:rFonts w:eastAsia="Calibri" w:hint="cs"/>
          <w:b/>
          <w:bCs/>
          <w:rtl/>
        </w:rPr>
        <w:t xml:space="preserve">. רשימה זו הופצה כנוהל לציבור ולרופאי אגף הרישוי ביוני 2025. אולם משרד התחבורה עדיין לא הכריע באופן סופי בסוגיית קביעת הקריטריונים הרפואיים לזכאות, והעמימות בנושא נמשכת הן בקרב מקבלי ההחלטות והן בקרב הציבור הזקוק לתג חניה. </w:t>
      </w:r>
    </w:p>
    <w:bookmarkEnd w:id="167"/>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 xml:space="preserve">עולה כי אף שבמשך השנים נעשו תיקונים נקודתיים בחוק חניה לנכים, לא קודמה בסופו של דבר הסדרה מערכתית </w:t>
      </w:r>
      <w:r w:rsidRPr="00A210E9">
        <w:rPr>
          <w:rFonts w:eastAsia="Calibri" w:hint="eastAsia"/>
          <w:b/>
          <w:bCs/>
          <w:rtl/>
        </w:rPr>
        <w:t>מקיפה</w:t>
      </w:r>
      <w:r w:rsidRPr="00A210E9">
        <w:rPr>
          <w:rFonts w:eastAsia="Calibri"/>
          <w:b/>
          <w:bCs/>
          <w:rtl/>
        </w:rPr>
        <w:t xml:space="preserve"> </w:t>
      </w:r>
      <w:r w:rsidRPr="00A210E9">
        <w:rPr>
          <w:rFonts w:eastAsia="Calibri" w:hint="eastAsia"/>
          <w:b/>
          <w:bCs/>
          <w:rtl/>
        </w:rPr>
        <w:t>כ</w:t>
      </w:r>
      <w:r w:rsidRPr="00A210E9">
        <w:rPr>
          <w:rFonts w:eastAsia="Calibri" w:hint="cs"/>
          <w:b/>
          <w:bCs/>
          <w:rtl/>
        </w:rPr>
        <w:t xml:space="preserve">מענה על הסוגיות והבעיות הרבות שהתעוררו </w:t>
      </w:r>
      <w:r w:rsidRPr="00A210E9">
        <w:rPr>
          <w:rFonts w:eastAsia="Calibri"/>
          <w:b/>
          <w:bCs/>
          <w:rtl/>
        </w:rPr>
        <w:t xml:space="preserve">מאז שהועברה האחריות לנושא </w:t>
      </w:r>
      <w:r w:rsidRPr="00A210E9">
        <w:rPr>
          <w:rFonts w:eastAsia="Calibri" w:hint="cs"/>
          <w:b/>
          <w:bCs/>
          <w:rtl/>
        </w:rPr>
        <w:t xml:space="preserve">הבדיקות הרפואיות </w:t>
      </w:r>
      <w:r w:rsidRPr="00A210E9">
        <w:rPr>
          <w:rFonts w:eastAsia="Calibri"/>
          <w:b/>
          <w:bCs/>
          <w:rtl/>
        </w:rPr>
        <w:t>למשרד התחבורה בשנת 2008</w:t>
      </w:r>
      <w:r w:rsidRPr="00A210E9">
        <w:rPr>
          <w:rFonts w:eastAsia="Calibri" w:hint="cs"/>
          <w:b/>
          <w:bCs/>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אגף השיקום כתב בתשובתו כי הוא רואה חשיבות בהקמת הצוות הבין-משרדי 2025 לבחינת הסדרי המדיניות והיישום. עוד ציין כי נוכח העובדה שנציג אגף השיקום לא השתתף בדיוני וועדה זו, הוא מבקש לקבל את המלצות ומסקנות הצוות, כדי לבחון את ההשפעות האפשריות על מתן תגי חניה לנכי צה"ל ועל פעילות אגף השיקום.</w:t>
      </w:r>
    </w:p>
    <w:p w:rsidR="00A210E9" w:rsidRPr="00A210E9" w:rsidP="00A210E9">
      <w:pPr>
        <w:keepNext/>
        <w:keepLines/>
        <w:spacing w:line="269" w:lineRule="auto"/>
        <w:ind w:left="-567"/>
        <w:rPr>
          <w:rFonts w:eastAsia="Calibri"/>
          <w:szCs w:val="20"/>
          <w:rtl/>
        </w:rPr>
      </w:pPr>
    </w:p>
    <w:p w:rsidR="00A210E9" w:rsidP="00A210E9">
      <w:pPr>
        <w:spacing w:line="269" w:lineRule="auto"/>
        <w:rPr>
          <w:rFonts w:eastAsia="Calibri"/>
          <w:b/>
          <w:bCs/>
          <w:rtl/>
        </w:rPr>
      </w:pPr>
      <w:r w:rsidRPr="00A210E9">
        <w:rPr>
          <w:rFonts w:eastAsia="Calibri" w:hint="cs"/>
          <w:b/>
          <w:bCs/>
          <w:rtl/>
        </w:rPr>
        <w:t xml:space="preserve">על </w:t>
      </w:r>
      <w:r w:rsidRPr="00A210E9">
        <w:rPr>
          <w:rFonts w:eastAsia="Calibri"/>
          <w:b/>
          <w:bCs/>
          <w:rtl/>
        </w:rPr>
        <w:t>משרד התחבורה</w:t>
      </w:r>
      <w:r w:rsidRPr="00A210E9">
        <w:rPr>
          <w:rFonts w:eastAsia="Calibri" w:hint="cs"/>
          <w:b/>
          <w:bCs/>
          <w:rtl/>
        </w:rPr>
        <w:t>, האחראי ליישום חוק חניה לנכים,</w:t>
      </w:r>
      <w:r w:rsidRPr="00A210E9">
        <w:rPr>
          <w:rFonts w:eastAsia="Calibri"/>
          <w:b/>
          <w:bCs/>
          <w:rtl/>
        </w:rPr>
        <w:t xml:space="preserve"> </w:t>
      </w:r>
      <w:r w:rsidRPr="00A210E9">
        <w:rPr>
          <w:rFonts w:eastAsia="Calibri" w:hint="cs"/>
          <w:b/>
          <w:bCs/>
          <w:rtl/>
        </w:rPr>
        <w:t xml:space="preserve">ועל החשכ"ל, המרכז את הצוות הבין-משרדי 2025 המגבש נוהל בנושא, לפעול כדי להשלים בהקדם את תהליך הגיבוש של הסדרה מקיפה וברורה של התחום ואת יישומה, אם באמצעות תיקוני חקיקה, אם בהפעלת </w:t>
      </w:r>
      <w:r w:rsidRPr="00A210E9">
        <w:rPr>
          <w:rFonts w:eastAsia="Calibri"/>
          <w:b/>
          <w:bCs/>
          <w:rtl/>
        </w:rPr>
        <w:t>סמכויות</w:t>
      </w:r>
      <w:r w:rsidRPr="00A210E9">
        <w:rPr>
          <w:rFonts w:eastAsia="Calibri" w:hint="cs"/>
          <w:b/>
          <w:bCs/>
          <w:rtl/>
        </w:rPr>
        <w:t xml:space="preserve"> שרת התחבורה להתקין תקנות, אם באמצעות פרסום נהלים ואם באמצעות קיום שיתופי פעולה והתייעצויות עם גופים אחרים. לנוכח העובדה כי עבודת המטה במשרד התחבורה, שכבר בוצעה בשיתוף גופים ממשלתיים שונים במשך שנים רבות, לא נשאה פרי, מומלץ לשקול לשתף ביישום הפתרונות את כלל הגורמים הנוגעים לנושא, ובהם הגורמים המאשרים, נציבות שוויון זכויות, גורמים מהשלטון המקומי, המשטרה ונציגי ציבור. במסגרת זו מומלץ לבחון גם פתרונות שכבר הועלו פעם אחר פעם בצוותי העבודה השונים. נוכח</w:t>
      </w:r>
      <w:r w:rsidRPr="00A210E9">
        <w:rPr>
          <w:rFonts w:eastAsia="Calibri"/>
          <w:b/>
          <w:bCs/>
          <w:rtl/>
        </w:rPr>
        <w:t xml:space="preserve"> הזמן הרב שחלף מאז ש</w:t>
      </w:r>
      <w:r w:rsidRPr="00A210E9">
        <w:rPr>
          <w:rFonts w:eastAsia="Calibri" w:hint="cs"/>
          <w:b/>
          <w:bCs/>
          <w:rtl/>
        </w:rPr>
        <w:t xml:space="preserve">אחריות זו </w:t>
      </w:r>
      <w:r w:rsidRPr="00A210E9">
        <w:rPr>
          <w:rFonts w:eastAsia="Calibri"/>
          <w:b/>
          <w:bCs/>
          <w:rtl/>
        </w:rPr>
        <w:t xml:space="preserve">הועברה </w:t>
      </w:r>
      <w:r w:rsidRPr="00A210E9">
        <w:rPr>
          <w:rFonts w:eastAsia="Calibri" w:hint="cs"/>
          <w:b/>
          <w:bCs/>
          <w:rtl/>
        </w:rPr>
        <w:t>לידי</w:t>
      </w:r>
      <w:r w:rsidRPr="00A210E9">
        <w:rPr>
          <w:rFonts w:eastAsia="Calibri"/>
          <w:b/>
          <w:bCs/>
          <w:rtl/>
        </w:rPr>
        <w:t xml:space="preserve"> משרד התחבורה, יש להבטיח ש</w:t>
      </w:r>
      <w:r w:rsidRPr="00A210E9">
        <w:rPr>
          <w:rFonts w:eastAsia="Calibri" w:hint="cs"/>
          <w:b/>
          <w:bCs/>
          <w:rtl/>
        </w:rPr>
        <w:t xml:space="preserve">תגובש במהרה </w:t>
      </w:r>
      <w:r w:rsidRPr="00A210E9">
        <w:rPr>
          <w:rFonts w:eastAsia="Calibri"/>
          <w:b/>
          <w:bCs/>
          <w:rtl/>
        </w:rPr>
        <w:t xml:space="preserve">הסדרה </w:t>
      </w:r>
      <w:r w:rsidRPr="00A210E9">
        <w:rPr>
          <w:rFonts w:eastAsia="Calibri" w:hint="cs"/>
          <w:b/>
          <w:bCs/>
          <w:rtl/>
        </w:rPr>
        <w:t>שקולה ומאוזנת,</w:t>
      </w:r>
      <w:r w:rsidRPr="00A210E9">
        <w:rPr>
          <w:rFonts w:eastAsia="Calibri"/>
          <w:b/>
          <w:bCs/>
          <w:rtl/>
        </w:rPr>
        <w:t xml:space="preserve"> </w:t>
      </w:r>
      <w:r w:rsidRPr="00A210E9">
        <w:rPr>
          <w:rFonts w:eastAsia="Calibri" w:hint="cs"/>
          <w:b/>
          <w:bCs/>
          <w:rtl/>
        </w:rPr>
        <w:t xml:space="preserve">כדי </w:t>
      </w:r>
      <w:r w:rsidRPr="00A210E9">
        <w:rPr>
          <w:rFonts w:eastAsia="Calibri"/>
          <w:b/>
          <w:bCs/>
          <w:rtl/>
        </w:rPr>
        <w:t xml:space="preserve">להקל על הציבור ולהבטיח </w:t>
      </w:r>
      <w:r w:rsidRPr="00A210E9">
        <w:rPr>
          <w:rFonts w:eastAsia="Calibri" w:hint="cs"/>
          <w:b/>
          <w:bCs/>
          <w:rtl/>
        </w:rPr>
        <w:t>מתן מענה ראוי לציבור האנשים הנזקקים לתג חניה לצורך ניידות.</w:t>
      </w:r>
    </w:p>
    <w:p w:rsidR="00CC1800" w:rsidRPr="00A210E9" w:rsidP="00A210E9">
      <w:pPr>
        <w:spacing w:line="269" w:lineRule="auto"/>
        <w:rPr>
          <w:rFonts w:eastAsia="Calibri"/>
          <w:b/>
          <w:bCs/>
          <w:rtl/>
        </w:rPr>
      </w:pPr>
    </w:p>
    <w:p w:rsidR="00A210E9" w:rsidRPr="00A210E9" w:rsidP="00CC1800">
      <w:pPr>
        <w:keepNext/>
        <w:keepLines/>
        <w:spacing w:before="120" w:line="269" w:lineRule="auto"/>
        <w:outlineLvl w:val="3"/>
        <w:rPr>
          <w:rFonts w:eastAsia="Times New Roman"/>
          <w:bCs/>
          <w:szCs w:val="26"/>
          <w:rtl/>
        </w:rPr>
      </w:pPr>
      <w:r w:rsidRPr="00A210E9">
        <w:rPr>
          <w:rFonts w:eastAsia="Times New Roman" w:hint="eastAsia"/>
          <w:bCs/>
          <w:szCs w:val="26"/>
          <w:rtl/>
        </w:rPr>
        <w:t>אחריות</w:t>
      </w:r>
      <w:r w:rsidRPr="00A210E9">
        <w:rPr>
          <w:rFonts w:eastAsia="Times New Roman" w:hint="cs"/>
          <w:bCs/>
          <w:szCs w:val="26"/>
          <w:rtl/>
        </w:rPr>
        <w:t xml:space="preserve"> על קביעת הזכאות לתג חניה לאדם עם מוגבלות ושיתוף פעולה בין הגופים</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במשך השנים </w:t>
      </w:r>
      <w:r w:rsidRPr="00A210E9">
        <w:rPr>
          <w:rFonts w:eastAsia="Calibri"/>
          <w:rtl/>
        </w:rPr>
        <w:t xml:space="preserve">התנהל שיח מתמשך </w:t>
      </w:r>
      <w:r w:rsidRPr="00A210E9">
        <w:rPr>
          <w:rFonts w:eastAsia="Calibri" w:hint="cs"/>
          <w:rtl/>
        </w:rPr>
        <w:t xml:space="preserve">סביב סוגיית הגוף שנכון להטיל עליו את קביעת אחוזי הנכות וסוגי המגבלות שמהם נגזרת הזכאות על פי החוק. בין היתר, דובר על </w:t>
      </w:r>
      <w:r w:rsidRPr="00A210E9">
        <w:rPr>
          <w:rFonts w:eastAsia="Calibri"/>
          <w:rtl/>
        </w:rPr>
        <w:t xml:space="preserve">משרד הבריאות, </w:t>
      </w:r>
      <w:r w:rsidRPr="00A210E9">
        <w:rPr>
          <w:rFonts w:eastAsia="Calibri" w:hint="cs"/>
          <w:rtl/>
        </w:rPr>
        <w:t xml:space="preserve">על </w:t>
      </w:r>
      <w:r w:rsidRPr="00A210E9">
        <w:rPr>
          <w:rFonts w:eastAsia="Calibri"/>
          <w:rtl/>
        </w:rPr>
        <w:t>המוסד לביטוח הלאומי ו</w:t>
      </w:r>
      <w:r w:rsidRPr="00A210E9">
        <w:rPr>
          <w:rFonts w:eastAsia="Calibri" w:hint="cs"/>
          <w:rtl/>
        </w:rPr>
        <w:t xml:space="preserve">על </w:t>
      </w:r>
      <w:r w:rsidRPr="00A210E9">
        <w:rPr>
          <w:rFonts w:eastAsia="Calibri"/>
          <w:rtl/>
        </w:rPr>
        <w:t>משרד התחבורה</w:t>
      </w:r>
      <w:r w:rsidRPr="00A210E9">
        <w:rPr>
          <w:rFonts w:eastAsia="Calibri" w:hint="cs"/>
          <w:rtl/>
        </w:rPr>
        <w:t>.</w:t>
      </w:r>
      <w:r w:rsidRPr="00A210E9">
        <w:rPr>
          <w:rFonts w:eastAsia="Calibri"/>
          <w:rtl/>
        </w:rPr>
        <w:t xml:space="preserve"> </w:t>
      </w:r>
      <w:r w:rsidRPr="00A210E9">
        <w:rPr>
          <w:rFonts w:eastAsia="Calibri" w:hint="cs"/>
          <w:rtl/>
        </w:rPr>
        <w:t>כמו כן, התנהל שיח על מידת שיתוף הפעולה בין הגופים. צוותי העבודה שהוקמו לאורך השנים דנו גם בסוגיות אלה.</w:t>
      </w:r>
    </w:p>
    <w:p w:rsidR="00A210E9" w:rsidRPr="00A210E9" w:rsidP="00A210E9">
      <w:pPr>
        <w:keepNext/>
        <w:keepLines/>
        <w:spacing w:line="269" w:lineRule="auto"/>
        <w:ind w:left="-567"/>
        <w:rPr>
          <w:rFonts w:eastAsia="Calibri"/>
          <w:szCs w:val="20"/>
          <w:rtl/>
        </w:rPr>
      </w:pPr>
    </w:p>
    <w:p w:rsidR="00A210E9" w:rsidRPr="00A210E9" w:rsidP="00A210E9">
      <w:pPr>
        <w:keepNext/>
        <w:keepLines/>
        <w:spacing w:line="269" w:lineRule="auto"/>
        <w:outlineLvl w:val="4"/>
        <w:rPr>
          <w:rFonts w:eastAsia="Times New Roman"/>
          <w:bCs/>
          <w:spacing w:val="40"/>
          <w:rtl/>
        </w:rPr>
      </w:pPr>
      <w:r w:rsidRPr="00A210E9">
        <w:rPr>
          <w:rFonts w:eastAsia="Times New Roman" w:hint="cs"/>
          <w:bCs/>
          <w:spacing w:val="40"/>
          <w:rtl/>
        </w:rPr>
        <w:t>משרד הבריאות</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color w:val="000000"/>
          <w:rtl/>
          <w:lang w:val="he-IL" w:eastAsia="he-IL"/>
        </w:rPr>
      </w:pPr>
      <w:r w:rsidRPr="00A210E9">
        <w:rPr>
          <w:rFonts w:eastAsia="Calibri" w:hint="cs"/>
          <w:rtl/>
        </w:rPr>
        <w:t xml:space="preserve">מאז חקיקת חוק חניה לנכים היו אלה לשכות הבריאות המחוזיות של משרד הבריאות שקבעו את הזכאות לתג עבור רוב מבקשי תג חניה, ומשרד התחבורה הנפיק את התג הפיזי. משנת 2000 יושם תיקון בחוק (נוסף סעיף 1א) שאיפשר לאוכלוסיות שיוריות שאינן נכנסות בגדר הקריטריונים שבסעיף 1 לחוק, להגיש למשרד התחבורה בקשות לתג, אולם בפועל לשכות הבריאות המחוזיות הכפופות למשרד הבריאות נתנו את המענה. בשנים 2004 - 2007 פנה משרד הבריאות למשרד התחבורה וציין שלשכות הבריאות נותנות את השירות בנושא תגי חניה, אף שהנושא אינו באחריות משרד הבריאות. תחילה התריע משרד הבריאות כי בשל גידול בהיקף הפניות, צמצומי כוח אדם ומצוקה תקציבית, לשכות הבריאות המחוזיות אינן יכולות להמשיך לתת את השירות ללא הקמת ועדות מקצועיות לשם כך. </w:t>
      </w:r>
      <w:r w:rsidRPr="00A210E9">
        <w:rPr>
          <w:rFonts w:eastAsia="Calibri" w:hint="cs"/>
          <w:color w:val="000000"/>
          <w:rtl/>
          <w:lang w:val="he-IL" w:eastAsia="he-IL"/>
        </w:rPr>
        <w:t>בשנת 2007 הודיע משרד הבריאות למשרד התחבורה כי בשל קיצוצי כוח אדם לא יעסקו עוד לשכות הבריאות המחוזיות בהנפקת אישורים לתגי חניה</w:t>
      </w:r>
      <w:r>
        <w:rPr>
          <w:rFonts w:eastAsia="Calibri"/>
          <w:color w:val="000000"/>
          <w:vertAlign w:val="superscript"/>
          <w:rtl/>
          <w:lang w:val="he-IL" w:eastAsia="he-IL"/>
        </w:rPr>
        <w:footnoteReference w:id="205"/>
      </w:r>
      <w:r w:rsidRPr="00A210E9">
        <w:rPr>
          <w:rFonts w:eastAsia="Calibri" w:hint="cs"/>
          <w:color w:val="000000"/>
          <w:rtl/>
          <w:lang w:val="he-IL" w:eastAsia="he-IL"/>
        </w:rPr>
        <w:t xml:space="preserve">, ועד למציאת הסדר קבע יש לפתור באופן זמני את הבעיה באמצעות הקצאת כוח האדם המבוקש. </w:t>
      </w:r>
    </w:p>
    <w:p w:rsidR="00A210E9" w:rsidRPr="00A210E9" w:rsidP="00A210E9">
      <w:pPr>
        <w:keepNext/>
        <w:keepLines/>
        <w:spacing w:line="269" w:lineRule="auto"/>
        <w:ind w:left="-567"/>
        <w:rPr>
          <w:rFonts w:eastAsia="Calibri"/>
          <w:szCs w:val="20"/>
          <w:rtl/>
          <w:lang w:val="he-IL" w:eastAsia="he-IL"/>
        </w:rPr>
      </w:pPr>
    </w:p>
    <w:p w:rsidR="00A210E9" w:rsidRPr="00A210E9" w:rsidP="00A210E9">
      <w:pPr>
        <w:spacing w:line="269" w:lineRule="auto"/>
        <w:rPr>
          <w:rFonts w:eastAsia="Calibri"/>
          <w:color w:val="000000"/>
          <w:rtl/>
          <w:lang w:val="he-IL" w:eastAsia="he-IL"/>
        </w:rPr>
      </w:pPr>
      <w:r w:rsidRPr="00A210E9">
        <w:rPr>
          <w:rFonts w:eastAsia="Calibri" w:hint="cs"/>
          <w:color w:val="000000"/>
          <w:rtl/>
          <w:lang w:val="he-IL" w:eastAsia="he-IL"/>
        </w:rPr>
        <w:t xml:space="preserve">בדיון שהתקיים בשנת 2006, בראשות מנכ"ל משרד התחבורה ומנכ"ל משרד הבריאות, הועלתה בין היתר הבעיה לקבוע אמות מידה לקריטריון "תנועתו בדרכים מסכנת את מצב בריאותו". בדיון זה סוכם </w:t>
      </w:r>
      <w:r w:rsidRPr="00A210E9">
        <w:rPr>
          <w:rFonts w:eastAsia="Calibri"/>
          <w:color w:val="000000"/>
          <w:rtl/>
          <w:lang w:val="he-IL" w:eastAsia="he-IL"/>
        </w:rPr>
        <w:t>כי הו</w:t>
      </w:r>
      <w:r w:rsidRPr="00A210E9">
        <w:rPr>
          <w:rFonts w:eastAsia="Calibri" w:hint="cs"/>
          <w:color w:val="000000"/>
          <w:rtl/>
          <w:lang w:val="he-IL" w:eastAsia="he-IL"/>
        </w:rPr>
        <w:t>ו</w:t>
      </w:r>
      <w:r w:rsidRPr="00A210E9">
        <w:rPr>
          <w:rFonts w:eastAsia="Calibri"/>
          <w:color w:val="000000"/>
          <w:rtl/>
          <w:lang w:val="he-IL" w:eastAsia="he-IL"/>
        </w:rPr>
        <w:t xml:space="preserve">עדות </w:t>
      </w:r>
      <w:r w:rsidRPr="00A210E9">
        <w:rPr>
          <w:rFonts w:eastAsia="Calibri" w:hint="cs"/>
          <w:color w:val="000000"/>
          <w:rtl/>
          <w:lang w:val="he-IL" w:eastAsia="he-IL"/>
        </w:rPr>
        <w:t>הרפואיות יופרטו, ה</w:t>
      </w:r>
      <w:r w:rsidRPr="00A210E9">
        <w:rPr>
          <w:rFonts w:eastAsia="Calibri"/>
          <w:color w:val="000000"/>
          <w:rtl/>
          <w:lang w:val="he-IL" w:eastAsia="he-IL"/>
        </w:rPr>
        <w:t xml:space="preserve">פיקוח </w:t>
      </w:r>
      <w:r w:rsidRPr="00A210E9">
        <w:rPr>
          <w:rFonts w:eastAsia="Calibri" w:hint="cs"/>
          <w:color w:val="000000"/>
          <w:rtl/>
          <w:lang w:val="he-IL" w:eastAsia="he-IL"/>
        </w:rPr>
        <w:t>ה</w:t>
      </w:r>
      <w:r w:rsidRPr="00A210E9">
        <w:rPr>
          <w:rFonts w:eastAsia="Calibri"/>
          <w:color w:val="000000"/>
          <w:rtl/>
          <w:lang w:val="he-IL" w:eastAsia="he-IL"/>
        </w:rPr>
        <w:t>מקצועי יהיה באחריות משרד הבריאות</w:t>
      </w:r>
      <w:r w:rsidRPr="00A210E9">
        <w:rPr>
          <w:rFonts w:eastAsia="Calibri" w:hint="cs"/>
          <w:color w:val="000000"/>
          <w:rtl/>
          <w:lang w:val="he-IL" w:eastAsia="he-IL"/>
        </w:rPr>
        <w:t xml:space="preserve">, </w:t>
      </w:r>
      <w:r w:rsidRPr="00A210E9">
        <w:rPr>
          <w:rFonts w:eastAsia="Calibri"/>
          <w:color w:val="000000"/>
          <w:rtl/>
          <w:lang w:val="he-IL" w:eastAsia="he-IL"/>
        </w:rPr>
        <w:t xml:space="preserve">המכרז ייכתב </w:t>
      </w:r>
      <w:r w:rsidRPr="00A210E9">
        <w:rPr>
          <w:rFonts w:eastAsia="Calibri" w:hint="cs"/>
          <w:color w:val="000000"/>
          <w:rtl/>
          <w:lang w:val="he-IL" w:eastAsia="he-IL"/>
        </w:rPr>
        <w:t xml:space="preserve">על ידי משרד התחבורה, </w:t>
      </w:r>
      <w:r w:rsidRPr="00A210E9">
        <w:rPr>
          <w:rFonts w:eastAsia="Calibri"/>
          <w:color w:val="000000"/>
          <w:rtl/>
          <w:lang w:val="he-IL" w:eastAsia="he-IL"/>
        </w:rPr>
        <w:t>בשיתוף משרד הבריאות</w:t>
      </w:r>
      <w:r w:rsidRPr="00A210E9">
        <w:rPr>
          <w:rFonts w:eastAsia="Calibri" w:hint="cs"/>
          <w:color w:val="000000"/>
          <w:rtl/>
          <w:lang w:val="he-IL" w:eastAsia="he-IL"/>
        </w:rPr>
        <w:t>,</w:t>
      </w:r>
      <w:r w:rsidRPr="00A210E9">
        <w:rPr>
          <w:rFonts w:eastAsia="Calibri"/>
          <w:color w:val="000000"/>
          <w:rtl/>
          <w:lang w:val="he-IL" w:eastAsia="he-IL"/>
        </w:rPr>
        <w:t xml:space="preserve"> </w:t>
      </w:r>
      <w:r w:rsidRPr="00A210E9">
        <w:rPr>
          <w:rFonts w:eastAsia="Calibri" w:hint="cs"/>
          <w:color w:val="000000"/>
          <w:rtl/>
          <w:lang w:val="he-IL" w:eastAsia="he-IL"/>
        </w:rPr>
        <w:t>ו</w:t>
      </w:r>
      <w:r w:rsidRPr="00A210E9">
        <w:rPr>
          <w:rFonts w:eastAsia="Calibri"/>
          <w:color w:val="000000"/>
          <w:rtl/>
          <w:lang w:val="he-IL" w:eastAsia="he-IL"/>
        </w:rPr>
        <w:t xml:space="preserve">בהמשך ייחתם הסכם משולש (בריאות, אוצר </w:t>
      </w:r>
      <w:r w:rsidRPr="00A210E9">
        <w:rPr>
          <w:rFonts w:eastAsia="Calibri" w:hint="cs"/>
          <w:color w:val="000000"/>
          <w:rtl/>
          <w:lang w:val="he-IL" w:eastAsia="he-IL"/>
        </w:rPr>
        <w:t>ו</w:t>
      </w:r>
      <w:r w:rsidRPr="00A210E9">
        <w:rPr>
          <w:rFonts w:eastAsia="Calibri"/>
          <w:color w:val="000000"/>
          <w:rtl/>
          <w:lang w:val="he-IL" w:eastAsia="he-IL"/>
        </w:rPr>
        <w:t>תחבורה) בנושא הפיקוח</w:t>
      </w:r>
      <w:r w:rsidRPr="00A210E9">
        <w:rPr>
          <w:rFonts w:eastAsia="Calibri" w:hint="cs"/>
          <w:color w:val="000000"/>
          <w:rtl/>
          <w:lang w:val="he-IL" w:eastAsia="he-IL"/>
        </w:rPr>
        <w:t xml:space="preserve"> על הוועדות הרפואיות</w:t>
      </w:r>
      <w:r w:rsidRPr="00A210E9">
        <w:rPr>
          <w:rFonts w:eastAsia="Calibri"/>
          <w:color w:val="000000"/>
          <w:rtl/>
          <w:lang w:val="he-IL" w:eastAsia="he-IL"/>
        </w:rPr>
        <w:t>.</w:t>
      </w:r>
      <w:r w:rsidRPr="00A210E9">
        <w:rPr>
          <w:rFonts w:eastAsia="Calibri" w:hint="cs"/>
          <w:color w:val="000000"/>
          <w:rtl/>
          <w:lang w:val="he-IL" w:eastAsia="he-IL"/>
        </w:rPr>
        <w:t xml:space="preserve"> </w:t>
      </w:r>
      <w:r w:rsidRPr="00A210E9">
        <w:rPr>
          <w:rFonts w:eastAsia="Calibri"/>
          <w:color w:val="000000"/>
          <w:rtl/>
          <w:lang w:val="he-IL" w:eastAsia="he-IL"/>
        </w:rPr>
        <w:t>מנכ״ל משרד הבריאות הבהיר</w:t>
      </w:r>
      <w:r w:rsidRPr="00A210E9">
        <w:rPr>
          <w:rFonts w:eastAsia="Calibri" w:hint="cs"/>
          <w:color w:val="000000"/>
          <w:rtl/>
          <w:lang w:val="he-IL" w:eastAsia="he-IL"/>
        </w:rPr>
        <w:t xml:space="preserve"> </w:t>
      </w:r>
      <w:r w:rsidRPr="00A210E9">
        <w:rPr>
          <w:rFonts w:eastAsia="Calibri"/>
          <w:color w:val="000000"/>
          <w:rtl/>
          <w:lang w:val="he-IL" w:eastAsia="he-IL"/>
        </w:rPr>
        <w:t>כי אין למשרד הבריאות מנגנון פיקוח</w:t>
      </w:r>
      <w:r w:rsidRPr="00A210E9">
        <w:rPr>
          <w:rFonts w:eastAsia="Calibri" w:hint="cs"/>
          <w:color w:val="000000"/>
          <w:rtl/>
          <w:lang w:val="he-IL" w:eastAsia="he-IL"/>
        </w:rPr>
        <w:t xml:space="preserve"> על הוועדות הרפואיות,</w:t>
      </w:r>
      <w:r w:rsidRPr="00A210E9">
        <w:rPr>
          <w:rFonts w:eastAsia="Calibri"/>
          <w:color w:val="000000"/>
          <w:rtl/>
          <w:lang w:val="he-IL" w:eastAsia="he-IL"/>
        </w:rPr>
        <w:t xml:space="preserve"> </w:t>
      </w:r>
      <w:r w:rsidRPr="00A210E9">
        <w:rPr>
          <w:rFonts w:eastAsia="Calibri" w:hint="cs"/>
          <w:color w:val="000000"/>
          <w:rtl/>
          <w:lang w:val="he-IL" w:eastAsia="he-IL"/>
        </w:rPr>
        <w:t>ו</w:t>
      </w:r>
      <w:r w:rsidRPr="00A210E9">
        <w:rPr>
          <w:rFonts w:eastAsia="Calibri"/>
          <w:color w:val="000000"/>
          <w:rtl/>
          <w:lang w:val="he-IL" w:eastAsia="he-IL"/>
        </w:rPr>
        <w:t>הציע שהפיקוח יבוצע</w:t>
      </w:r>
      <w:r w:rsidRPr="00A210E9">
        <w:rPr>
          <w:rFonts w:eastAsia="Calibri" w:hint="cs"/>
          <w:color w:val="000000"/>
          <w:rtl/>
          <w:lang w:val="he-IL" w:eastAsia="he-IL"/>
        </w:rPr>
        <w:t xml:space="preserve"> על ידי</w:t>
      </w:r>
      <w:r w:rsidRPr="00A210E9">
        <w:rPr>
          <w:rFonts w:eastAsia="Calibri"/>
          <w:color w:val="000000"/>
          <w:rtl/>
          <w:lang w:val="he-IL" w:eastAsia="he-IL"/>
        </w:rPr>
        <w:t xml:space="preserve"> צוות אחיות </w:t>
      </w:r>
      <w:r w:rsidRPr="00A210E9">
        <w:rPr>
          <w:rFonts w:eastAsia="Calibri" w:hint="cs"/>
          <w:color w:val="000000"/>
          <w:rtl/>
          <w:lang w:val="he-IL" w:eastAsia="he-IL"/>
        </w:rPr>
        <w:t>שיתוקצב בהתאם</w:t>
      </w:r>
      <w:r w:rsidRPr="00A210E9">
        <w:rPr>
          <w:rFonts w:eastAsia="Calibri"/>
          <w:color w:val="000000"/>
          <w:rtl/>
          <w:lang w:val="he-IL" w:eastAsia="he-IL"/>
        </w:rPr>
        <w:t>.</w:t>
      </w:r>
      <w:r w:rsidRPr="00A210E9">
        <w:rPr>
          <w:rFonts w:eastAsia="Calibri" w:hint="cs"/>
          <w:color w:val="000000"/>
          <w:rtl/>
          <w:lang w:val="he-IL" w:eastAsia="he-IL"/>
        </w:rPr>
        <w:t xml:space="preserve"> הוחלט להקים</w:t>
      </w:r>
      <w:r w:rsidRPr="00A210E9">
        <w:rPr>
          <w:rFonts w:eastAsia="Calibri"/>
          <w:color w:val="000000"/>
          <w:rtl/>
          <w:lang w:val="he-IL" w:eastAsia="he-IL"/>
        </w:rPr>
        <w:t xml:space="preserve"> צוות </w:t>
      </w:r>
      <w:r w:rsidRPr="00A210E9">
        <w:rPr>
          <w:rFonts w:eastAsia="Calibri" w:hint="cs"/>
          <w:color w:val="000000"/>
          <w:rtl/>
          <w:lang w:val="he-IL" w:eastAsia="he-IL"/>
        </w:rPr>
        <w:t xml:space="preserve">שבין היתר יכין </w:t>
      </w:r>
      <w:r w:rsidRPr="00A210E9">
        <w:rPr>
          <w:rFonts w:eastAsia="Calibri"/>
          <w:color w:val="000000"/>
          <w:rtl/>
          <w:lang w:val="he-IL" w:eastAsia="he-IL"/>
        </w:rPr>
        <w:t>מפרט למכרז,</w:t>
      </w:r>
      <w:r w:rsidRPr="00A210E9">
        <w:rPr>
          <w:rFonts w:eastAsia="Calibri" w:hint="cs"/>
          <w:color w:val="000000"/>
          <w:rtl/>
          <w:lang w:val="he-IL" w:eastAsia="he-IL"/>
        </w:rPr>
        <w:t xml:space="preserve"> בתיאום עם </w:t>
      </w:r>
      <w:r w:rsidRPr="00A210E9">
        <w:rPr>
          <w:rFonts w:eastAsia="Calibri"/>
          <w:color w:val="000000"/>
          <w:rtl/>
          <w:lang w:val="he-IL" w:eastAsia="he-IL"/>
        </w:rPr>
        <w:t>משרד</w:t>
      </w:r>
      <w:r w:rsidRPr="00A210E9">
        <w:rPr>
          <w:rFonts w:eastAsia="Calibri" w:hint="cs"/>
          <w:color w:val="000000"/>
          <w:rtl/>
          <w:lang w:val="he-IL" w:eastAsia="he-IL"/>
        </w:rPr>
        <w:t>י</w:t>
      </w:r>
      <w:r w:rsidRPr="00A210E9">
        <w:rPr>
          <w:rFonts w:eastAsia="Calibri"/>
          <w:color w:val="000000"/>
          <w:rtl/>
          <w:lang w:val="he-IL" w:eastAsia="he-IL"/>
        </w:rPr>
        <w:t xml:space="preserve"> הבריאות והתחבורה.</w:t>
      </w:r>
      <w:r w:rsidRPr="00A210E9">
        <w:rPr>
          <w:rFonts w:eastAsia="Calibri" w:hint="cs"/>
          <w:color w:val="000000"/>
          <w:rtl/>
          <w:lang w:val="he-IL" w:eastAsia="he-IL"/>
        </w:rPr>
        <w:t xml:space="preserve"> יצוין כי המהלך שהוצע לא יצא לפועל והטיפול בבקשות לטיפול בתגי חניה עבר כאמור לידי משרד התחבורה בשנת 2008, שהשתמש לצורך בחינת הבקשות בשירותי מיקור חוץ בלי שהוקמו לשם כך ועדות רפואיות.</w:t>
      </w:r>
    </w:p>
    <w:p w:rsidR="00A210E9" w:rsidRPr="00A210E9" w:rsidP="00A210E9">
      <w:pPr>
        <w:keepNext/>
        <w:keepLines/>
        <w:spacing w:line="269" w:lineRule="auto"/>
        <w:ind w:left="-567"/>
        <w:rPr>
          <w:rFonts w:eastAsia="Calibri"/>
          <w:szCs w:val="20"/>
          <w:rtl/>
          <w:lang w:val="he-IL" w:eastAsia="he-IL"/>
        </w:rPr>
      </w:pPr>
    </w:p>
    <w:p w:rsidR="00A210E9" w:rsidP="00A210E9">
      <w:pPr>
        <w:spacing w:line="269" w:lineRule="auto"/>
        <w:rPr>
          <w:rFonts w:eastAsia="Calibri"/>
          <w:color w:val="000000"/>
          <w:rtl/>
          <w:lang w:val="he-IL" w:eastAsia="he-IL"/>
        </w:rPr>
      </w:pPr>
      <w:r w:rsidRPr="00A210E9">
        <w:rPr>
          <w:rFonts w:eastAsia="Calibri" w:hint="cs"/>
          <w:rtl/>
          <w:lang w:val="he-IL" w:eastAsia="he-IL"/>
        </w:rPr>
        <w:t xml:space="preserve">משנת 2008 הועלו במהלך השנים יוזמות להפעלת ועדות רפואיות במשרד התחבורה. לדוגמה, במסגרת תזכיר חוק 2008 הוצע להקים מנגנון של ועדת זכאות, ושר התחבורה, בהתייעצות עם שר הבריאות, יהיה רשאי לקבוע הוראות הנוגעות לסדרי עבודתה של ועדת הזכאות וכן תנאים להגשת הבקשות ואופן הגשתן. בשנת 2010 הציעו רופאי חברה א' למינהל תנועה במשרד התחבורה להקים מנגנון של ועדה רפואית שתטפל בבקשות ותחליט בהן - אישור, דחיה והנחיה להשלמת מסמכים. שתי היוזמות - זו של משרד הבריאות וזו של חברה א' - לא יצאו לפועל </w:t>
      </w:r>
      <w:r w:rsidRPr="00A210E9">
        <w:rPr>
          <w:rFonts w:eastAsia="Calibri"/>
          <w:rtl/>
          <w:lang w:val="he-IL" w:eastAsia="he-IL"/>
        </w:rPr>
        <w:t xml:space="preserve">ובפועל </w:t>
      </w:r>
      <w:r w:rsidRPr="00A210E9">
        <w:rPr>
          <w:rFonts w:eastAsia="Calibri" w:hint="cs"/>
          <w:rtl/>
          <w:lang w:val="he-IL" w:eastAsia="he-IL"/>
        </w:rPr>
        <w:t>כל אחד מ</w:t>
      </w:r>
      <w:r w:rsidRPr="00A210E9">
        <w:rPr>
          <w:rFonts w:eastAsia="Calibri"/>
          <w:rtl/>
          <w:lang w:val="he-IL" w:eastAsia="he-IL"/>
        </w:rPr>
        <w:t xml:space="preserve">הרופאים של אגף הרישוי טיפל בבקשות </w:t>
      </w:r>
      <w:r w:rsidRPr="00A210E9">
        <w:rPr>
          <w:rFonts w:eastAsia="Calibri" w:hint="cs"/>
          <w:rtl/>
          <w:lang w:val="he-IL" w:eastAsia="he-IL"/>
        </w:rPr>
        <w:t>שהופנו אליו</w:t>
      </w:r>
      <w:r w:rsidRPr="00A210E9">
        <w:rPr>
          <w:rFonts w:eastAsia="Calibri"/>
          <w:rtl/>
          <w:lang w:val="he-IL" w:eastAsia="he-IL"/>
        </w:rPr>
        <w:t xml:space="preserve"> ו</w:t>
      </w:r>
      <w:r w:rsidRPr="00A210E9">
        <w:rPr>
          <w:rFonts w:eastAsia="Calibri" w:hint="cs"/>
          <w:rtl/>
          <w:lang w:val="he-IL" w:eastAsia="he-IL"/>
        </w:rPr>
        <w:t xml:space="preserve">הבקשות לא נבחנו </w:t>
      </w:r>
      <w:r w:rsidRPr="00A210E9">
        <w:rPr>
          <w:rFonts w:eastAsia="Calibri"/>
          <w:rtl/>
          <w:lang w:val="he-IL" w:eastAsia="he-IL"/>
        </w:rPr>
        <w:t>במסגרת ועדה רפואית</w:t>
      </w:r>
      <w:r w:rsidRPr="00A210E9">
        <w:rPr>
          <w:rFonts w:eastAsia="Calibri" w:hint="cs"/>
          <w:rtl/>
          <w:lang w:val="he-IL" w:eastAsia="he-IL"/>
        </w:rPr>
        <w:t>.</w:t>
      </w:r>
    </w:p>
    <w:p w:rsidR="00245E55" w:rsidRPr="00A210E9" w:rsidP="00A210E9">
      <w:pPr>
        <w:spacing w:line="269" w:lineRule="auto"/>
        <w:rPr>
          <w:rFonts w:eastAsia="Calibri"/>
          <w:color w:val="000000"/>
          <w:rtl/>
          <w:lang w:val="he-IL" w:eastAsia="he-IL"/>
        </w:rPr>
      </w:pPr>
    </w:p>
    <w:p w:rsidR="00A210E9" w:rsidRPr="00A210E9" w:rsidP="00A210E9">
      <w:pPr>
        <w:spacing w:line="269" w:lineRule="auto"/>
        <w:rPr>
          <w:rFonts w:eastAsia="Calibri"/>
          <w:rtl/>
        </w:rPr>
      </w:pPr>
      <w:r w:rsidRPr="00A210E9">
        <w:rPr>
          <w:rFonts w:eastAsia="Calibri" w:hint="cs"/>
          <w:rtl/>
        </w:rPr>
        <w:t xml:space="preserve">בשנים שלאחר מכן ניסה משרד התחבורה להחזיר למשרד הבריאות את האחריות לתהליך הטיפול בבקשות לזכאות לתג חניה. במענה על פנייתו של מנכ"ל משרד התחבורה ביולי 2012 להעביר את הטיפול בבקשות לתג חניה לידי מרב"ד, השיב מנכ"ל משרד הבריאות כי לתפיסתו של </w:t>
      </w:r>
      <w:r w:rsidRPr="00A210E9">
        <w:rPr>
          <w:rFonts w:eastAsia="Calibri"/>
          <w:rtl/>
        </w:rPr>
        <w:t xml:space="preserve">משרד הבריאות </w:t>
      </w:r>
      <w:r w:rsidRPr="00A210E9">
        <w:rPr>
          <w:rFonts w:eastAsia="Calibri" w:hint="cs"/>
          <w:rtl/>
        </w:rPr>
        <w:t>ה</w:t>
      </w:r>
      <w:r w:rsidRPr="00A210E9">
        <w:rPr>
          <w:rFonts w:eastAsia="Calibri"/>
          <w:rtl/>
        </w:rPr>
        <w:t xml:space="preserve">טיפול </w:t>
      </w:r>
      <w:r w:rsidRPr="00A210E9">
        <w:rPr>
          <w:rFonts w:eastAsia="Calibri" w:hint="cs"/>
          <w:rtl/>
        </w:rPr>
        <w:t>בנושא הבדיקות הרפואיות לזכאות לתג חניה אינו</w:t>
      </w:r>
      <w:r w:rsidRPr="00A210E9">
        <w:rPr>
          <w:rFonts w:eastAsia="Calibri"/>
          <w:rtl/>
        </w:rPr>
        <w:t xml:space="preserve"> חלק מליבת פעילותו המרוכזת בתפקודו כ</w:t>
      </w:r>
      <w:r w:rsidRPr="00A210E9">
        <w:rPr>
          <w:rFonts w:eastAsia="Calibri" w:hint="cs"/>
          <w:rtl/>
        </w:rPr>
        <w:t>מאסדר (</w:t>
      </w:r>
      <w:r w:rsidRPr="00A210E9">
        <w:rPr>
          <w:rFonts w:eastAsia="Calibri"/>
          <w:rtl/>
        </w:rPr>
        <w:t>רגולטור</w:t>
      </w:r>
      <w:r w:rsidRPr="00A210E9">
        <w:rPr>
          <w:rFonts w:eastAsia="Calibri" w:hint="cs"/>
          <w:rtl/>
        </w:rPr>
        <w:t>)</w:t>
      </w:r>
      <w:r w:rsidRPr="00A210E9">
        <w:rPr>
          <w:rFonts w:eastAsia="Calibri"/>
          <w:rtl/>
        </w:rPr>
        <w:t>.</w:t>
      </w:r>
      <w:r w:rsidRPr="00A210E9">
        <w:rPr>
          <w:rFonts w:eastAsia="Calibri" w:hint="cs"/>
          <w:rtl/>
        </w:rPr>
        <w:t xml:space="preserve"> המנכ"ל הדגיש כי משרד הבריאות</w:t>
      </w:r>
      <w:r w:rsidRPr="00A210E9">
        <w:rPr>
          <w:rFonts w:eastAsia="Calibri"/>
          <w:rtl/>
        </w:rPr>
        <w:t xml:space="preserve"> </w:t>
      </w:r>
      <w:r w:rsidRPr="00A210E9">
        <w:rPr>
          <w:rFonts w:eastAsia="Calibri" w:hint="cs"/>
          <w:rtl/>
        </w:rPr>
        <w:t>בוחן נסיגה מתפקידו כ</w:t>
      </w:r>
      <w:r w:rsidRPr="00A210E9">
        <w:rPr>
          <w:rFonts w:eastAsia="Calibri"/>
          <w:rtl/>
        </w:rPr>
        <w:t xml:space="preserve">״מיקור חוץ״ של פעילות </w:t>
      </w:r>
      <w:r w:rsidRPr="00A210E9">
        <w:rPr>
          <w:rFonts w:eastAsia="Calibri" w:hint="cs"/>
          <w:rtl/>
        </w:rPr>
        <w:t>המצויה</w:t>
      </w:r>
      <w:r w:rsidRPr="00A210E9">
        <w:rPr>
          <w:rFonts w:eastAsia="Calibri"/>
          <w:rtl/>
        </w:rPr>
        <w:t xml:space="preserve"> באחריות</w:t>
      </w:r>
      <w:r w:rsidRPr="00A210E9">
        <w:rPr>
          <w:rFonts w:eastAsia="Calibri" w:hint="cs"/>
          <w:rtl/>
        </w:rPr>
        <w:t xml:space="preserve"> אסדרתית</w:t>
      </w:r>
      <w:r w:rsidRPr="00A210E9">
        <w:rPr>
          <w:rFonts w:eastAsia="Calibri"/>
          <w:rtl/>
        </w:rPr>
        <w:t xml:space="preserve"> של משרדים אחרים</w:t>
      </w:r>
      <w:r w:rsidRPr="00A210E9">
        <w:rPr>
          <w:rFonts w:eastAsia="Calibri" w:hint="cs"/>
          <w:rtl/>
        </w:rPr>
        <w:t xml:space="preserve">, וכי </w:t>
      </w:r>
      <w:r w:rsidRPr="00A210E9">
        <w:rPr>
          <w:rFonts w:eastAsia="Calibri"/>
          <w:rtl/>
        </w:rPr>
        <w:t>חובת</w:t>
      </w:r>
      <w:r w:rsidRPr="00A210E9">
        <w:rPr>
          <w:rFonts w:eastAsia="Calibri" w:hint="cs"/>
          <w:rtl/>
        </w:rPr>
        <w:t xml:space="preserve">ו </w:t>
      </w:r>
      <w:r w:rsidRPr="00A210E9">
        <w:rPr>
          <w:rFonts w:eastAsia="Calibri"/>
          <w:rtl/>
        </w:rPr>
        <w:t xml:space="preserve">להתרכז בתפקידי מערכת הבריאות ואישורי תגי חניה </w:t>
      </w:r>
      <w:r w:rsidRPr="00A210E9">
        <w:rPr>
          <w:rFonts w:eastAsia="Calibri" w:hint="cs"/>
          <w:rtl/>
        </w:rPr>
        <w:t>אינו עומד בהגדרה זו</w:t>
      </w:r>
      <w:r w:rsidRPr="00A210E9">
        <w:rPr>
          <w:rFonts w:eastAsia="Calibri"/>
          <w:rtl/>
        </w:rPr>
        <w:t>.</w:t>
      </w:r>
      <w:r w:rsidRPr="00A210E9">
        <w:rPr>
          <w:rFonts w:eastAsia="Calibri" w:hint="cs"/>
          <w:rtl/>
        </w:rPr>
        <w:t xml:space="preserve"> מאז 2012 ועד מועד סיום הביקורת לא השתנתה תפיסת משרד הבריאות בנושא.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בכל הנוגע לטיפול בבקשות לתגי חניה לפי סעיף 1א לחוק עלה בביקורת כי עד 2008 היה הנושא באחריות משרד הבריאות, והטיפול נעשה באמצעות הפעלת ועדות רפואיות ופיקוח עליהן. בשנת 2008, בעת שהאחריות לנושא הועברה למשרד התחבורה, הייתה התפיסה שהנושא ימשיך להיות מטופל בוועדות רפואיות באחריות משרד התחבורה. אף שמשרד הבריאות הציע למשרד התחבורה שיתופי פעולה סביב הקמת הוועדות הרפואיות והפיקוח עליהן, כבר במהלך השנים 2006 ו-2008, לא הוצא הדבר לפועל. עוד עלה כי גם את המנגנון של ועדה רפואית שתקבל את ההחלטות לגבי הבקשות לתג כפי שהציעו רופאי חברה א' בשנת 2010 משרד התחבורה לא קידם.</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eastAsia"/>
          <w:b/>
          <w:bCs/>
          <w:rtl/>
        </w:rPr>
        <w:t>משרד</w:t>
      </w:r>
      <w:r w:rsidRPr="00A210E9">
        <w:rPr>
          <w:rFonts w:eastAsia="Calibri"/>
          <w:b/>
          <w:bCs/>
          <w:rtl/>
        </w:rPr>
        <w:t xml:space="preserve"> מבקר המדינה ממליץ למשרד</w:t>
      </w:r>
      <w:r w:rsidRPr="00A210E9">
        <w:rPr>
          <w:rFonts w:eastAsia="Calibri" w:hint="cs"/>
          <w:b/>
          <w:bCs/>
          <w:rtl/>
        </w:rPr>
        <w:t>י</w:t>
      </w:r>
      <w:r w:rsidRPr="00A210E9">
        <w:rPr>
          <w:rFonts w:eastAsia="Calibri"/>
          <w:b/>
          <w:bCs/>
          <w:rtl/>
        </w:rPr>
        <w:t xml:space="preserve"> התחבורה </w:t>
      </w:r>
      <w:r w:rsidRPr="00A210E9">
        <w:rPr>
          <w:rFonts w:eastAsia="Calibri" w:hint="cs"/>
          <w:b/>
          <w:bCs/>
          <w:rtl/>
        </w:rPr>
        <w:t>ו</w:t>
      </w:r>
      <w:r w:rsidRPr="00A210E9">
        <w:rPr>
          <w:rFonts w:eastAsia="Calibri"/>
          <w:b/>
          <w:bCs/>
          <w:rtl/>
        </w:rPr>
        <w:t xml:space="preserve">הבריאות </w:t>
      </w:r>
      <w:r w:rsidRPr="00A210E9">
        <w:rPr>
          <w:rFonts w:eastAsia="Calibri" w:hint="eastAsia"/>
          <w:b/>
          <w:bCs/>
          <w:rtl/>
        </w:rPr>
        <w:t>לשקול</w:t>
      </w:r>
      <w:r w:rsidRPr="00A210E9">
        <w:rPr>
          <w:rFonts w:eastAsia="Calibri"/>
          <w:b/>
          <w:bCs/>
          <w:rtl/>
        </w:rPr>
        <w:t xml:space="preserve"> </w:t>
      </w:r>
      <w:r w:rsidRPr="00A210E9">
        <w:rPr>
          <w:rFonts w:eastAsia="Calibri" w:hint="eastAsia"/>
          <w:b/>
          <w:bCs/>
          <w:rtl/>
        </w:rPr>
        <w:t>לקדם</w:t>
      </w:r>
      <w:r w:rsidRPr="00A210E9">
        <w:rPr>
          <w:rFonts w:eastAsia="Calibri" w:hint="cs"/>
          <w:b/>
          <w:bCs/>
          <w:rtl/>
        </w:rPr>
        <w:t>,</w:t>
      </w:r>
      <w:r w:rsidRPr="00A210E9">
        <w:rPr>
          <w:rFonts w:eastAsia="Calibri"/>
          <w:b/>
          <w:bCs/>
          <w:rtl/>
        </w:rPr>
        <w:t xml:space="preserve"> </w:t>
      </w:r>
      <w:r w:rsidRPr="00A210E9">
        <w:rPr>
          <w:rFonts w:eastAsia="Calibri" w:hint="cs"/>
          <w:b/>
          <w:bCs/>
          <w:rtl/>
        </w:rPr>
        <w:t xml:space="preserve">בשיתוף פעולה ביניהם ובשיתוף הביטוח הלאומי, הקמת </w:t>
      </w:r>
      <w:r w:rsidRPr="00A210E9">
        <w:rPr>
          <w:rFonts w:eastAsia="Calibri" w:hint="eastAsia"/>
          <w:b/>
          <w:bCs/>
          <w:rtl/>
        </w:rPr>
        <w:t>ועדה</w:t>
      </w:r>
      <w:r w:rsidRPr="00A210E9">
        <w:rPr>
          <w:rFonts w:eastAsia="Calibri"/>
          <w:b/>
          <w:bCs/>
          <w:rtl/>
        </w:rPr>
        <w:t xml:space="preserve"> </w:t>
      </w:r>
      <w:r w:rsidRPr="00A210E9">
        <w:rPr>
          <w:rFonts w:eastAsia="Calibri" w:hint="eastAsia"/>
          <w:b/>
          <w:bCs/>
          <w:rtl/>
        </w:rPr>
        <w:t>רפואית</w:t>
      </w:r>
      <w:r w:rsidRPr="00A210E9">
        <w:rPr>
          <w:rFonts w:eastAsia="Calibri"/>
          <w:b/>
          <w:bCs/>
          <w:rtl/>
        </w:rPr>
        <w:t xml:space="preserve"> </w:t>
      </w:r>
      <w:r w:rsidRPr="00A210E9">
        <w:rPr>
          <w:rFonts w:eastAsia="Calibri" w:hint="cs"/>
          <w:b/>
          <w:bCs/>
          <w:rtl/>
        </w:rPr>
        <w:t>שתקבע את הזכאות לתג חניה, כולל קביעת מנגנוני פעילות ומנגנון פיקוח עליה</w:t>
      </w:r>
      <w:r w:rsidRPr="00A210E9">
        <w:rPr>
          <w:rFonts w:eastAsia="Calibri"/>
          <w:b/>
          <w:bCs/>
          <w:rtl/>
        </w:rPr>
        <w:t xml:space="preserve">, </w:t>
      </w:r>
      <w:r w:rsidRPr="00A210E9">
        <w:rPr>
          <w:rFonts w:eastAsia="Calibri" w:hint="cs"/>
          <w:b/>
          <w:bCs/>
          <w:rtl/>
        </w:rPr>
        <w:t>בדומה להצעות שכבר הועלו בעבר. באופן זה, ייתרם משרד התחבורה מהידע הרפואי והניסיון הרב של משרד הבריאות ושל הביטוח הלאומי בנושא.</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משרד הבריאות כתב בתשובתו כי גורמי המקצוע במשרד הבריאות נכונים להעמיד לרשות משרד התחבורה כל סיוע מקצועי שנדרש בגיבוש מדיניות הנוגעת לגדרי הזכאות.</w:t>
      </w:r>
    </w:p>
    <w:p w:rsidR="00A210E9" w:rsidRPr="00A210E9" w:rsidP="00A210E9">
      <w:pPr>
        <w:keepNext/>
        <w:keepLines/>
        <w:spacing w:line="269" w:lineRule="auto"/>
        <w:ind w:left="-567"/>
        <w:rPr>
          <w:rFonts w:eastAsia="Calibri"/>
          <w:szCs w:val="20"/>
          <w:rtl/>
        </w:rPr>
      </w:pPr>
    </w:p>
    <w:p w:rsidR="00A210E9" w:rsidRPr="00A210E9" w:rsidP="00A210E9">
      <w:pPr>
        <w:keepNext/>
        <w:keepLines/>
        <w:spacing w:line="269" w:lineRule="auto"/>
        <w:outlineLvl w:val="4"/>
        <w:rPr>
          <w:rFonts w:eastAsia="Times New Roman"/>
          <w:bCs/>
          <w:spacing w:val="40"/>
          <w:rtl/>
        </w:rPr>
      </w:pPr>
      <w:r w:rsidRPr="00A210E9">
        <w:rPr>
          <w:rFonts w:eastAsia="Times New Roman" w:hint="cs"/>
          <w:bCs/>
          <w:spacing w:val="40"/>
          <w:rtl/>
        </w:rPr>
        <w:t>הביטוח הלאומי</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Pr>
      </w:pPr>
      <w:r w:rsidRPr="00A210E9">
        <w:rPr>
          <w:rFonts w:eastAsia="Calibri" w:hint="cs"/>
          <w:rtl/>
        </w:rPr>
        <w:t>במשך 20 השנים האחרונות ניהל משרד התחבורה דיונים בעצימות משתנה מול הביטוח הלאומי בנוגע לרצונו להעביר לביטוח הלאומי את האחריות לקביעת זכאות לתג חניה לפי סעיף 1א לחוק. הביטוח הלאומי לא הסכים לכך מסיבותיו הוא, אולם הציע שיתופי פעולה בין שני הגופים באמצעות הוועדות הרפואיות שהוא מנהל, ועדת ניידות והעברת מידע בין הגופים.</w:t>
      </w:r>
    </w:p>
    <w:p w:rsidR="00A210E9" w:rsidRPr="00A210E9" w:rsidP="00A210E9">
      <w:pPr>
        <w:keepNext/>
        <w:keepLines/>
        <w:spacing w:line="269" w:lineRule="auto"/>
        <w:ind w:left="-567"/>
        <w:rPr>
          <w:rFonts w:eastAsia="Calibri"/>
          <w:szCs w:val="20"/>
        </w:rPr>
      </w:pPr>
    </w:p>
    <w:p w:rsidR="00A210E9" w:rsidRPr="00A210E9" w:rsidP="00A210E9">
      <w:pPr>
        <w:keepNext/>
        <w:keepLines/>
        <w:spacing w:line="269" w:lineRule="auto"/>
        <w:outlineLvl w:val="5"/>
        <w:rPr>
          <w:rFonts w:eastAsia="Times New Roman"/>
          <w:spacing w:val="40"/>
          <w:rtl/>
        </w:rPr>
      </w:pPr>
      <w:r w:rsidRPr="00A210E9">
        <w:rPr>
          <w:rFonts w:eastAsia="Times New Roman" w:hint="cs"/>
          <w:spacing w:val="40"/>
          <w:rtl/>
        </w:rPr>
        <w:t xml:space="preserve">קביעת זכאות לפי סעיף 1 לחוק באמצעות ועדות רפואיות של הביטוח הלאומי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ביולי 2005, בעקבות דיונים קודמים, העביר מנכ"ל בט"ל למנכ"ל משרד התחבורה הסכמה עקרונית להוסיף לוועדות הרפואיות שבאחריות הביטוח הלאומי "נדבך נוסף, שבו תיבדק הזכאות לתו חניה ולפטור מאגרת רישוי". הסכמה זו לוותה בכמה תנאים ובהם: (א) הוועדות הרפואיות יבדקו רק אוכלוסייה המגיעה אליהן בהקשר של תביעות מכוח החוקים שעליהם מופקד בט"ל. לכן, לא ייבדקו אוכלוסיות אחרות (למשל, הרוב המוחלט של אוכלוסיית האזרחים הוותיקים וכן אנשים עובדים שאינם נפגעי עבודה שיש להם מוגבלות רפואית שאינה מזכה אותם בקצבה מבט"ל); (ב) הביטוח הלאומי לא יקיים עררים בנושא; (ג) הביטוח הלאומי יקבל תוספת תקציבית שנתית בגובה 2 מיליון ש"ח; (ד) הממשלה והכנסת יאשרו תיקון לחוק הביטוח הלאומי שישקף את האמור לעיל. במסגרת זו הציע הביטוח הלאומי קריטריונים שהוא גיבש לבחינת זכאות לתג ופטור מאגרת רישוי עבור האוכלוסייה המטופלת במסגרת הוועדות הרפואיות שהוא מפעיל, וזאת על פי קבוצות גיל ועל בסיס מוגבלות ביכולת ללכת מרחק שאינו עולה על 150 מטר.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בדוח מבקר המדינה משנת 2012 עלה כי קיימים ליקויים בטיפול של בט"ל ומשרד התחבורה</w:t>
      </w:r>
      <w:r w:rsidRPr="00A210E9">
        <w:rPr>
          <w:rFonts w:eastAsia="Calibri"/>
          <w:rtl/>
        </w:rPr>
        <w:t xml:space="preserve"> בצמצום הנטל</w:t>
      </w:r>
      <w:r w:rsidRPr="00A210E9">
        <w:rPr>
          <w:rFonts w:eastAsia="Calibri" w:hint="cs"/>
          <w:rtl/>
        </w:rPr>
        <w:t xml:space="preserve"> </w:t>
      </w:r>
      <w:r w:rsidRPr="00A210E9">
        <w:rPr>
          <w:rFonts w:eastAsia="Calibri"/>
          <w:rtl/>
        </w:rPr>
        <w:t>הבירוקרטי בשירות המדינה</w:t>
      </w:r>
      <w:r w:rsidRPr="00A210E9">
        <w:rPr>
          <w:rFonts w:eastAsia="Calibri" w:hint="cs"/>
          <w:rtl/>
        </w:rPr>
        <w:t xml:space="preserve"> </w:t>
      </w:r>
      <w:r w:rsidRPr="00A210E9">
        <w:rPr>
          <w:rFonts w:eastAsia="Calibri"/>
          <w:rtl/>
        </w:rPr>
        <w:t>ב</w:t>
      </w:r>
      <w:r w:rsidRPr="00A210E9">
        <w:rPr>
          <w:rFonts w:eastAsia="Calibri" w:hint="cs"/>
          <w:rtl/>
        </w:rPr>
        <w:t>נוגע לת</w:t>
      </w:r>
      <w:r w:rsidRPr="00A210E9">
        <w:rPr>
          <w:rFonts w:eastAsia="Calibri"/>
          <w:rtl/>
        </w:rPr>
        <w:t>הליכים לקבלת תג חניה</w:t>
      </w:r>
      <w:r w:rsidRPr="00A210E9">
        <w:rPr>
          <w:rFonts w:eastAsia="Calibri" w:hint="cs"/>
          <w:rtl/>
        </w:rPr>
        <w:t>, לדוגמה חלק מהוועדות הרפואיות שבאחריות הביטוח הלאומי אינן בודקות את זכאותם של הפונים אליהן לתג חניה ולפטור מאגרת רישוי, והם נאלצים להגיש למשרד התחבורה את הבקשה לקבלת תג ולפטור מאגרת רישוי. בהמשך לכך, קידם בט"ל את הנושא מול משרד התחבורה בהדרגה. בשנת 2011 ביצע</w:t>
      </w:r>
      <w:r w:rsidRPr="00A210E9">
        <w:rPr>
          <w:rFonts w:eastAsia="Calibri"/>
          <w:rtl/>
        </w:rPr>
        <w:t xml:space="preserve"> </w:t>
      </w:r>
      <w:r w:rsidRPr="00A210E9">
        <w:rPr>
          <w:rFonts w:eastAsia="Calibri" w:hint="cs"/>
          <w:rtl/>
        </w:rPr>
        <w:t xml:space="preserve">בט"ל </w:t>
      </w:r>
      <w:r w:rsidRPr="00A210E9">
        <w:rPr>
          <w:rFonts w:eastAsia="Calibri"/>
          <w:rtl/>
        </w:rPr>
        <w:t>בדיקה שמטרתה לקבוע את סוגי הליקויים המאובחנים במסגרת הוועדות הרפואיות שהוא מפעיל אשר מזכים בתג</w:t>
      </w:r>
      <w:r w:rsidRPr="00A210E9">
        <w:rPr>
          <w:rFonts w:eastAsia="Calibri" w:hint="cs"/>
          <w:rtl/>
        </w:rPr>
        <w:t>. מהשנים 2019 ו-2020, על פי סיכומים בין הגופים, אזרחים שהוכרו כזכאים לקצבאות מסוימות בוועדות הרפואיות מטעם הביטוח הלאומי ושהוכרה להם נכות מעל רמת סף מסוימת, הוכרו באופן אוטומטי כזכאים גם לתג חניה מטעם רשות הרישוי, לפי סעיף 1 לחוק (ראו לעיל בפרק "א</w:t>
      </w:r>
      <w:r w:rsidRPr="00A210E9">
        <w:rPr>
          <w:rFonts w:eastAsia="Calibri"/>
          <w:rtl/>
        </w:rPr>
        <w:t>ישור זכאות לתג חניה על ידי הגופים השונים</w:t>
      </w:r>
      <w:r w:rsidRPr="00A210E9">
        <w:rPr>
          <w:rFonts w:eastAsia="Calibri" w:hint="cs"/>
          <w:rtl/>
        </w:rPr>
        <w:t xml:space="preserve">"). בד בבד עם הדיגיטציה בתהליך הזכאות לתג חניה באגף הרישוי בתחילת 2022 החל הביטוח הלאומי להעביר לזכאים לתג מטעמו </w:t>
      </w:r>
      <w:r w:rsidRPr="00A210E9">
        <w:rPr>
          <w:rFonts w:eastAsia="Calibri"/>
          <w:rtl/>
        </w:rPr>
        <w:t>מסרון זכאות</w:t>
      </w:r>
      <w:r w:rsidRPr="00A210E9">
        <w:rPr>
          <w:rFonts w:eastAsia="Calibri" w:hint="cs"/>
          <w:rtl/>
        </w:rPr>
        <w:t xml:space="preserve"> אוטומטי</w:t>
      </w:r>
      <w:r>
        <w:rPr>
          <w:rFonts w:eastAsia="Calibri"/>
          <w:vertAlign w:val="superscript"/>
          <w:rtl/>
        </w:rPr>
        <w:footnoteReference w:id="206"/>
      </w:r>
      <w:r w:rsidRPr="00A210E9">
        <w:rPr>
          <w:rFonts w:eastAsia="Calibri" w:hint="cs"/>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בתחילת 2024 ביצע בט"ל בחינה פנימית כדי להרחיב את מעגל האוכלוסיות שיהיו זכאיות לתג חניה באופן אוטומטי, כך שייכללו במסגרת זו אוכלוסיות נוספות אשר נבדקות בוועדות הרפואיות שלו, ויש סיכוי גבוה שהן זכאיות לתג חניה</w:t>
      </w:r>
      <w:r>
        <w:rPr>
          <w:rFonts w:eastAsia="Calibri"/>
          <w:vertAlign w:val="superscript"/>
          <w:rtl/>
        </w:rPr>
        <w:footnoteReference w:id="207"/>
      </w:r>
      <w:r w:rsidRPr="00A210E9">
        <w:rPr>
          <w:rFonts w:eastAsia="Calibri" w:hint="cs"/>
          <w:rtl/>
        </w:rPr>
        <w:t>. בסך הכול דובר על כ-185,500 אנשים עם מוגבלות שעברו ועדות רפואיות בבט"ל, והם מתאימים לדעת בט"ל לקריטריונים המזכים בתג חניה</w:t>
      </w:r>
      <w:r>
        <w:rPr>
          <w:rFonts w:eastAsia="Calibri"/>
          <w:vertAlign w:val="superscript"/>
          <w:rtl/>
        </w:rPr>
        <w:footnoteReference w:id="208"/>
      </w:r>
      <w:r w:rsidRPr="00A210E9">
        <w:rPr>
          <w:rFonts w:eastAsia="Calibri" w:hint="cs"/>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 xml:space="preserve">הביקורת העלתה כי כבר לפני 20 שנים הציע בט"ל למשרד התחבורה להוסיף </w:t>
      </w:r>
      <w:r w:rsidRPr="00A210E9">
        <w:rPr>
          <w:rFonts w:eastAsia="Calibri"/>
          <w:b/>
          <w:bCs/>
          <w:rtl/>
        </w:rPr>
        <w:t xml:space="preserve">נדבך </w:t>
      </w:r>
      <w:r w:rsidRPr="00A210E9">
        <w:rPr>
          <w:rFonts w:eastAsia="Calibri" w:hint="cs"/>
          <w:b/>
          <w:bCs/>
          <w:rtl/>
        </w:rPr>
        <w:t>(בכפוף לתנאים מסוימים)</w:t>
      </w:r>
      <w:r w:rsidRPr="00A210E9">
        <w:rPr>
          <w:rFonts w:eastAsia="Calibri" w:hint="cs"/>
          <w:b/>
          <w:bCs/>
        </w:rPr>
        <w:t xml:space="preserve"> </w:t>
      </w:r>
      <w:r w:rsidRPr="00A210E9">
        <w:rPr>
          <w:rFonts w:eastAsia="Calibri" w:hint="cs"/>
          <w:b/>
          <w:bCs/>
          <w:rtl/>
        </w:rPr>
        <w:t>לוועדות הרפואיות מטעמו</w:t>
      </w:r>
      <w:r w:rsidRPr="00A210E9">
        <w:rPr>
          <w:rFonts w:eastAsia="Calibri"/>
          <w:b/>
          <w:bCs/>
          <w:rtl/>
        </w:rPr>
        <w:t>, שבו תיבדק הזכאות לת</w:t>
      </w:r>
      <w:r w:rsidRPr="00A210E9">
        <w:rPr>
          <w:rFonts w:eastAsia="Calibri" w:hint="cs"/>
          <w:b/>
          <w:bCs/>
          <w:rtl/>
        </w:rPr>
        <w:t>ג</w:t>
      </w:r>
      <w:r w:rsidRPr="00A210E9">
        <w:rPr>
          <w:rFonts w:eastAsia="Calibri"/>
          <w:b/>
          <w:bCs/>
          <w:rtl/>
        </w:rPr>
        <w:t xml:space="preserve"> חניה ולפטור מאגרת רישוי</w:t>
      </w:r>
      <w:r w:rsidRPr="00A210E9">
        <w:rPr>
          <w:rFonts w:eastAsia="Calibri" w:hint="cs"/>
          <w:b/>
          <w:bCs/>
          <w:rtl/>
        </w:rPr>
        <w:t xml:space="preserve"> עבור אוכלוסיות שנבדקות בוועדות האמורות, אולם ההצעה לא יושמה. בשנים 2019 - 2020 החל תהליך של קביעת זכאות אוטומטית עבור אוכלוסיות מסוימות המטופלות בוועדות הרפואיות של הביטוח הלאומי, אולם אף שבתחילת 2024 בחן בט"ל אפשרות להרחיב את מעגל האוכלוסיות שנבדקות באופן זה, ואף איתר אוכלוסיות אלה, לא קידם משרד התחבורה מהלך זה. משמעות הדבר היא שיש אנשים עם מוגבלות שמקבלים הכרה בנכות מהביטוח הלאומי, שעשויה לאפשר להם זכאות אוטומטית לתג ממשרד התחבורה, אולם הם נדרשים להעביר בקשה נפרדת למשרד התחבורה לבחינת זכאות, ובכך מוטל עליהם נטל בירוקרטי מיותר, כפי שהתריע משרד מבקר המדינה כבר בשנת 2012. בנוסף לכך התהליך הנוכחי מגדיל את העומס גם על משרד התחבורה.</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ascii="David" w:eastAsia="Calibri" w:hAnsi="David" w:hint="cs"/>
          <w:sz w:val="24"/>
          <w:rtl/>
        </w:rPr>
        <w:t>ה</w:t>
      </w:r>
      <w:r w:rsidRPr="00A210E9">
        <w:rPr>
          <w:rFonts w:ascii="David" w:eastAsia="Calibri" w:hAnsi="David"/>
          <w:sz w:val="24"/>
          <w:rtl/>
        </w:rPr>
        <w:t xml:space="preserve">ביטוח </w:t>
      </w:r>
      <w:r w:rsidRPr="00A210E9">
        <w:rPr>
          <w:rFonts w:ascii="David" w:eastAsia="Calibri" w:hAnsi="David" w:hint="cs"/>
          <w:sz w:val="24"/>
          <w:rtl/>
        </w:rPr>
        <w:t>ה</w:t>
      </w:r>
      <w:r w:rsidRPr="00A210E9">
        <w:rPr>
          <w:rFonts w:ascii="David" w:eastAsia="Calibri" w:hAnsi="David"/>
          <w:sz w:val="24"/>
          <w:rtl/>
        </w:rPr>
        <w:t xml:space="preserve">לאומי </w:t>
      </w:r>
      <w:r w:rsidRPr="00A210E9">
        <w:rPr>
          <w:rFonts w:ascii="David" w:eastAsia="Calibri" w:hAnsi="David" w:hint="cs"/>
          <w:sz w:val="24"/>
          <w:rtl/>
        </w:rPr>
        <w:t xml:space="preserve">כתב בתשובתו: "הביטוח הלאומי </w:t>
      </w:r>
      <w:r w:rsidRPr="00A210E9">
        <w:rPr>
          <w:rFonts w:ascii="David" w:eastAsia="Calibri" w:hAnsi="David"/>
          <w:sz w:val="24"/>
          <w:rtl/>
        </w:rPr>
        <w:t>מקיים שיח משותף עם משרד התחבורה במסגרתו יוחלט ע"י משרד התחבורה אלו אוכלוסיות שמוכרות כזכאיות לקצבאות מבט"ל יהיו זכאיות לתג חניה באופן אוטומטי. עם זאת, חשוב להדגיש כי החלטות הוועדות הרפואיות בביטוח הלאומי נעשות ללא נוכחות ועל סמך מסמכים רפואיים, רק במקרים מובהקים ובמידת האפשר. בכל המקרים האחרים נדרשת נוכחות ולעיתים טיפול בביטוח הלאומי אורך זמן - ובזמן הזה, לא יהיה מענה לבקשה לתג חניה</w:t>
      </w:r>
      <w:r w:rsidRPr="00A210E9">
        <w:rPr>
          <w:rFonts w:eastAsia="Calibri" w:hint="cs"/>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eastAsia"/>
          <w:rtl/>
        </w:rPr>
        <w:t>משרד</w:t>
      </w:r>
      <w:r w:rsidRPr="00A210E9">
        <w:rPr>
          <w:rFonts w:eastAsia="Calibri"/>
          <w:rtl/>
        </w:rPr>
        <w:t xml:space="preserve"> התחבורה מסר בתשובתו כי במסגרת המתווה החדש</w:t>
      </w:r>
      <w:r w:rsidRPr="00A210E9">
        <w:rPr>
          <w:rFonts w:eastAsia="Calibri" w:hint="cs"/>
          <w:rtl/>
        </w:rPr>
        <w:t xml:space="preserve"> המתגבש על ידי הצוות הבין-משרדי 2025</w:t>
      </w:r>
      <w:r w:rsidRPr="00A210E9">
        <w:rPr>
          <w:rFonts w:eastAsia="Calibri"/>
          <w:rtl/>
        </w:rPr>
        <w:t xml:space="preserve"> יחול שינוי יסודי ומערכתי שיאפשר הסתמכות על הבדיקות הרפואיות הנערכות על ידי הגורמים המוסמכים לכך כדין.</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 xml:space="preserve">על משרד התחבורה להדק את שיתוף הפעולה עם הביטוח הלאומי, לקיים שיח משותף עימו ולסכם לאילו אוכלוסיות שמוכרות כזכאיות לקצבאות מבט"ל ניתן לאשר זכאות לתג חניה באופן אוטומטי, כדי למצות את הפוטנציאל להרחבת מעגל אוכלוסיות אלה ולהפחית את מספר הפניות של מבקשי תג חניה למשרד התחבורה. יש לעשות זאת באופן שיקל את הנטל הבירוקרטי המוטל על אוכלוסיות אלה. </w:t>
      </w:r>
    </w:p>
    <w:p w:rsidR="00A210E9" w:rsidRPr="00A210E9" w:rsidP="00A210E9">
      <w:pPr>
        <w:spacing w:line="269" w:lineRule="auto"/>
        <w:rPr>
          <w:rFonts w:eastAsia="Calibri"/>
          <w:b/>
          <w:bCs/>
          <w:rtl/>
        </w:rPr>
      </w:pPr>
    </w:p>
    <w:p w:rsidR="00A210E9" w:rsidRPr="00A210E9" w:rsidP="00A210E9">
      <w:pPr>
        <w:keepNext/>
        <w:keepLines/>
        <w:spacing w:line="269" w:lineRule="auto"/>
        <w:outlineLvl w:val="5"/>
        <w:rPr>
          <w:rFonts w:eastAsia="Times New Roman"/>
          <w:spacing w:val="40"/>
          <w:rtl/>
        </w:rPr>
      </w:pPr>
      <w:bookmarkStart w:id="168" w:name="_Hlk218020731"/>
      <w:r w:rsidRPr="00A210E9">
        <w:rPr>
          <w:rFonts w:eastAsia="Times New Roman" w:hint="cs"/>
          <w:spacing w:val="40"/>
          <w:rtl/>
        </w:rPr>
        <w:t>קביעת זכאות לפי סעיף 1א לחוק</w:t>
      </w:r>
      <w:r w:rsidRPr="00A210E9">
        <w:rPr>
          <w:rFonts w:eastAsia="Times New Roman" w:hint="cs"/>
          <w:spacing w:val="40"/>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מאז שמשרד התחבורה קיבל לידיו את האחריות לבחינת תגי חניה על פי סעיף 1א לחוק בשנת 2008, הוא חזר וטען כי נוכח העובדה שמדובר בהחלטות רפואיות, אין בידיו כלים להחליט על דרגות חומרה של מוגבלויות רפואיות ולקבוע את הזכאות לתג חניה. הוא ציין בהזדמנויות שונות כי יש להעביר אחריות זו לביטוח הלאומי שהוא הגוף האמון על קביעת נכות במדינה, תוך השארת האחריות על הנפקת התגים בידי משרד התחבורה</w:t>
      </w:r>
      <w:r>
        <w:rPr>
          <w:rFonts w:eastAsia="Calibri"/>
          <w:vertAlign w:val="superscript"/>
          <w:rtl/>
        </w:rPr>
        <w:footnoteReference w:id="209"/>
      </w:r>
      <w:r w:rsidRPr="00A210E9">
        <w:rPr>
          <w:rFonts w:eastAsia="Calibri" w:hint="cs"/>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בדיונים של צוות 2022 מינואר ומרץ 2023 ציין יועץ רפואי של הביטוח הלאומי כי </w:t>
      </w:r>
      <w:r w:rsidRPr="00A210E9">
        <w:rPr>
          <w:rFonts w:eastAsia="Calibri"/>
          <w:rtl/>
        </w:rPr>
        <w:t>משרד הרישוי צריך להיות הגורם הארצי אשר יחליט בדבר הזכאות לאחר קבלת ממצאי הרופא וי</w:t>
      </w:r>
      <w:r w:rsidRPr="00A210E9">
        <w:rPr>
          <w:rFonts w:eastAsia="Calibri" w:hint="cs"/>
          <w:rtl/>
        </w:rPr>
        <w:t>נפיק</w:t>
      </w:r>
      <w:r w:rsidRPr="00A210E9">
        <w:rPr>
          <w:rFonts w:eastAsia="Calibri"/>
          <w:rtl/>
        </w:rPr>
        <w:t xml:space="preserve"> את הת</w:t>
      </w:r>
      <w:r w:rsidRPr="00A210E9">
        <w:rPr>
          <w:rFonts w:eastAsia="Calibri" w:hint="cs"/>
          <w:rtl/>
        </w:rPr>
        <w:t>ג. בתחילת ספטמבר 2024 התייחס מ"מ מנכ"ל הביטוח הלאומי, בדיון שהתקיים עם ראש מינהל תנועה במשרד התחבורה, לאתגרים של הביטוח הלאומי בנוגע לקבלת אחריות לקביעת זכאות לתג: (א) יש הבחנה בין קביעת נכות לקביעת זכאות לתג - לא כל מי שנקבעה לו נכות זכאי לתג; (ב) קביעת הנכות בבט"ל תלויה בהכנסות המבוטח; (ג) בט"ל אינו יכול להנחות רופאים שעוסקים בקביעת נכות בוועדות הרפואיות שלו בנוגע לקבלת החלטה על זכאות לתג חניה, שכן משרד הבריאות הוא שמנחה את הרופאים בכל הנוגע לקביעת נכות; (ד) יש עומס בוועדות הרפואיות ומחסור חמור ברופאים ולא ניתן להוסיף אוכלוסייה נוספת. לפיכך, על משרד התחבורה להסמיך רופאים או אחיות שיבצעו בקרה על זכאויות לתגי חניה והנפקתם.</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בסוף ספטמבר 2024 כתב סמנכ"ל תנועה של משרד התחבורה למ"מ מנכ"ל בט"ל כי "יש להטמיע את בדיקת הזכאות לתג חניה בקביעת נכות על פי דין על ידי הגורמים המוסמכים לכך, ובראשם הביטוח הלאומי, זאת בשים לב לכך שלפי החוק בדיקה על ידי רופא מטעם משרד התחבורה היא חלופה שיורית רק במצב שבו אין רופא המוסמך לקבוע נכות על פי דין". כמו כן, הוא הודיע כי על פי החלטת מנכ"ל משרד התחבורה, מאמצע נובמבר 2024 לא יבחן עוד אגף הרישוי בקשות לזכאות לתג חניה שיוגשו על ידי אוכלוסיות מסוימות, וזכאותם הרפואית תיבדק על ידי הביטוח הלאומי</w:t>
      </w:r>
      <w:r>
        <w:rPr>
          <w:rFonts w:eastAsia="Calibri"/>
          <w:vertAlign w:val="superscript"/>
          <w:rtl/>
        </w:rPr>
        <w:footnoteReference w:id="210"/>
      </w:r>
      <w:r w:rsidRPr="00A210E9">
        <w:rPr>
          <w:rFonts w:eastAsia="Calibri" w:hint="cs"/>
          <w:rtl/>
        </w:rPr>
        <w:t>. באוקטובר 2024 מסר מ"מ מקום מנכ"ל בט"ל כי קיבל בהפתעה גמורה את הפנייה להעביר לטיפול בט"ל סוגיה זו. הוא הבהיר כי האחריות להנפקת תגי חניה "הייתה ונותרה בידי שר התחבורה", וחברי הוועדות הרפואיות לפי חוק הביטוח הלאומי יוסיפו לקבוע את שיעורי הנכות למי שמבקשים גמלאות מהמוסד, ולהם בלבד, כפי שעשו עד כה. הוא הוסיף כי ה"תרגום" של קביעתם הרפואית לתג חניה ימשיך להיעשות על ידי משרד התחבורה.</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בעקבות דיון בהשתתפות משרד התחבורה ואגף החשכ"ל הוקם הצוות הבין-משרדי 2025. בדיוני הצוות הוצגו האוכלוסיות שעבורן מתבצעת בחינת זכאות לתגי חניה במשרד התחבורה, והוצע שהביטוח הלאומי יהיה הגורם הבוחן אותן. בדיון של הצוות ביולי 2025 ציינו הרופא הראשי של הביטוח הלאומי וסגנית מנהל אגף גמלאות נכות בביטוח הלאומי בנוגע להצעה להוסיף בדיקת ניידות לוועדות הרפואיות של הביטוח הלאומי כי קביעת המוגבלות בניידות אינה דבר של מה בכך, ולא ניתן לצפות שהוועדה של בט"ל תקבע כבדרך אגב גם אותה. כמו כן, הם הבהירו כי כדי לקבוע מוגבלות בניידות יש לגבש קריטריונים ברורים למוגבלות בניידות והאופן שבו יש לבחון אותה - קריטריונים רפואיים ובדיקה תפקודית של יכולת ההתניידו</w:t>
      </w:r>
      <w:r w:rsidRPr="00A210E9">
        <w:rPr>
          <w:rFonts w:eastAsia="Calibri" w:hint="eastAsia"/>
          <w:rtl/>
        </w:rPr>
        <w:t>ת</w:t>
      </w:r>
      <w:r w:rsidRPr="00A210E9">
        <w:rPr>
          <w:rFonts w:eastAsia="Calibri" w:hint="cs"/>
          <w:rtl/>
        </w:rPr>
        <w:t xml:space="preserve"> וההליכה של הנבדק. נוסף על כך, הם הדגישו כי לא הגיוני לדרוש מרופא עם מומחיות מסוימת לבדוק ניידות שדורשת מומחיות מסוג אחר. הם ציינו כי </w:t>
      </w:r>
      <w:r w:rsidRPr="00A210E9">
        <w:rPr>
          <w:rFonts w:eastAsia="Calibri"/>
          <w:rtl/>
        </w:rPr>
        <w:t xml:space="preserve">מעבר לכך שאין יכולת להעמיס על הוועדה של הביטוח הלאומי עבודה נוספת, </w:t>
      </w:r>
      <w:r w:rsidRPr="00A210E9">
        <w:rPr>
          <w:rFonts w:eastAsia="Calibri" w:hint="cs"/>
          <w:rtl/>
        </w:rPr>
        <w:t>החלטת הוועדה תגרור</w:t>
      </w:r>
      <w:r w:rsidRPr="00A210E9">
        <w:rPr>
          <w:rFonts w:eastAsia="Calibri"/>
          <w:rtl/>
        </w:rPr>
        <w:t xml:space="preserve"> </w:t>
      </w:r>
      <w:r w:rsidRPr="00A210E9">
        <w:rPr>
          <w:rFonts w:eastAsia="Calibri" w:hint="cs"/>
          <w:rtl/>
        </w:rPr>
        <w:t>ב</w:t>
      </w:r>
      <w:r w:rsidRPr="00A210E9">
        <w:rPr>
          <w:rFonts w:eastAsia="Calibri"/>
          <w:rtl/>
        </w:rPr>
        <w:t xml:space="preserve">מקרים רבים </w:t>
      </w:r>
      <w:r w:rsidRPr="00A210E9">
        <w:rPr>
          <w:rFonts w:eastAsia="Calibri" w:hint="cs"/>
          <w:rtl/>
        </w:rPr>
        <w:t xml:space="preserve">להגשת </w:t>
      </w:r>
      <w:r w:rsidRPr="00A210E9">
        <w:rPr>
          <w:rFonts w:eastAsia="Calibri"/>
          <w:rtl/>
        </w:rPr>
        <w:t>ערעורים, דבר שדורש מערך בפני עצמו.</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במסגרת דיוני הצוות הועלו שתי גישות שיש להחליט איזו מהן לנקוט: (א) גישה רפואית המכירה בשונות בין אנשים, ועל כן יש לבדוק כל מקרה ומקרה באופן אינדיווידואלי, בלי ליצור קבוצות בעלות מאפיינים דומים; (ב) גישה תפעולית שבה יוצרים הכללה מכיוון שאין יכולת לבדוק כל מקרה לגופו, ומאשרים זכאות למי שיש סבירות גבוהה שהוא זכאי.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נכון למאי 2026, הצוות הבין-משרדי 2025 לא גיבש עדיין את טיוטת המלצותיו, עם זאת בדצמבר 2025 הוצגה על ידי משרד האוצר "התוכנית הכלכלית לשנת 2026 - שינויים מבניים"</w:t>
      </w:r>
      <w:r>
        <w:rPr>
          <w:rFonts w:eastAsia="Calibri"/>
          <w:vertAlign w:val="superscript"/>
          <w:rtl/>
        </w:rPr>
        <w:footnoteReference w:id="211"/>
      </w:r>
      <w:r w:rsidRPr="00A210E9">
        <w:rPr>
          <w:rFonts w:eastAsia="Calibri" w:hint="cs"/>
          <w:rtl/>
        </w:rPr>
        <w:t xml:space="preserve"> ובמסגרתה התקבלה החלטת ממשלה 3584. בתוכנית הוצע להחיל, בהמשך לעבודת הצוות הבין-משרדי 2025, נוהל שיגובש במסגרת עבודת הצוות, ולפיו אישור תגי חניה יתבסס על בדיקות רפואיות שנערכות במשרדי הממשלה המוסמכים לאשר נכות לפי דין (סעיף 1 לחוק). צוין כי מדובר בעיקר בבדיקות של המוסד לביטוח לאומי, ושל משרדי הביטחון והרווחה. עוד צוין כי במסגרת הנוהל יינתן מענה, לפי סעיף 1א לחוק, לאוכלוסיות שלא ניתן לקבוע להן נכות לפי דין, ואין בהחלטה האמורה כדי לחייב את בט"ל לערוך סוגים נוספים של בדיקות; כל זאת, בניגוד לפרקטיקה הנוכחית שבה משרד התחבורה בוחן בקשות שהוגשו לו גם מפונים שפנייתם לביטוח הלאומי נבדקה והם לא נמצאו זכאים לקצבאות, וגם מפונים שלא פנו כלל לביטוח הלאומי מכיוון שהם אינם עומדים בתנאי הסף, למשל בשל גובה הכנסותיהם. נוסף על כך, צוין בתוכנית כי הצוות הבין-משרדי 2025 יבחן בין היתר אילו בדיקות קיימות יכולות לשמש בסיס לקביעת זכאות לתג. הוצע להטיל על משרד התחבורה לעגן זאת בנוהל האמור. יצוין כי השינוי המוצע בתוכנית לא כלל תוספת תקציב</w:t>
      </w:r>
      <w:r>
        <w:rPr>
          <w:rFonts w:eastAsia="Calibri"/>
          <w:vertAlign w:val="superscript"/>
          <w:rtl/>
        </w:rPr>
        <w:footnoteReference w:id="212"/>
      </w:r>
      <w:r w:rsidRPr="00A210E9">
        <w:rPr>
          <w:rFonts w:eastAsia="Calibri" w:hint="cs"/>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בסוף נובמבר 2025 פרסם בט"ל בתגובה כי משרד האוצר מעוניין להעביר החלטה שלפיה הטיפול בהנפקת תגי חניה יעבור בפועל ממשרד התחבורה לביטוח הלאומי. הוא ציין כי </w:t>
      </w:r>
      <w:r w:rsidRPr="00A210E9">
        <w:rPr>
          <w:rFonts w:eastAsia="Calibri"/>
          <w:rtl/>
        </w:rPr>
        <w:t xml:space="preserve">התקיימו </w:t>
      </w:r>
      <w:r w:rsidRPr="00A210E9">
        <w:rPr>
          <w:rFonts w:eastAsia="Calibri" w:hint="cs"/>
          <w:rtl/>
        </w:rPr>
        <w:t>כמה</w:t>
      </w:r>
      <w:r w:rsidRPr="00A210E9">
        <w:rPr>
          <w:rFonts w:eastAsia="Calibri"/>
          <w:rtl/>
        </w:rPr>
        <w:t xml:space="preserve"> ישיבות בנושא, תוך </w:t>
      </w:r>
      <w:r w:rsidRPr="00A210E9">
        <w:rPr>
          <w:rFonts w:eastAsia="Calibri" w:hint="cs"/>
          <w:rtl/>
        </w:rPr>
        <w:t xml:space="preserve">שבט"ל </w:t>
      </w:r>
      <w:r w:rsidRPr="00A210E9">
        <w:rPr>
          <w:rFonts w:eastAsia="Calibri"/>
          <w:rtl/>
        </w:rPr>
        <w:t>מתריע כי כבר כיום</w:t>
      </w:r>
      <w:r w:rsidRPr="00A210E9">
        <w:rPr>
          <w:rFonts w:eastAsia="Calibri" w:hint="cs"/>
          <w:rtl/>
        </w:rPr>
        <w:t>,</w:t>
      </w:r>
      <w:r w:rsidRPr="00A210E9">
        <w:rPr>
          <w:rFonts w:eastAsia="Calibri"/>
          <w:rtl/>
        </w:rPr>
        <w:t xml:space="preserve"> </w:t>
      </w:r>
      <w:r w:rsidRPr="00A210E9">
        <w:rPr>
          <w:rFonts w:eastAsia="Calibri" w:hint="cs"/>
          <w:rtl/>
        </w:rPr>
        <w:t>ובייחוד מאז אירועי שבעה</w:t>
      </w:r>
      <w:r w:rsidRPr="00A210E9">
        <w:rPr>
          <w:rFonts w:eastAsia="Calibri"/>
          <w:rtl/>
        </w:rPr>
        <w:t xml:space="preserve"> באוקטובר</w:t>
      </w:r>
      <w:r w:rsidRPr="00A210E9">
        <w:rPr>
          <w:rFonts w:eastAsia="Calibri" w:hint="cs"/>
          <w:rtl/>
        </w:rPr>
        <w:t>,</w:t>
      </w:r>
      <w:r w:rsidRPr="00A210E9">
        <w:rPr>
          <w:rFonts w:eastAsia="Calibri"/>
          <w:rtl/>
        </w:rPr>
        <w:t xml:space="preserve"> מוטל על הוועדות הרפואיות </w:t>
      </w:r>
      <w:r w:rsidRPr="00A210E9">
        <w:rPr>
          <w:rFonts w:eastAsia="Calibri" w:hint="cs"/>
          <w:rtl/>
        </w:rPr>
        <w:t>בבט"ל</w:t>
      </w:r>
      <w:r w:rsidRPr="00A210E9">
        <w:rPr>
          <w:rFonts w:eastAsia="Calibri"/>
          <w:rtl/>
        </w:rPr>
        <w:t xml:space="preserve"> </w:t>
      </w:r>
      <w:r w:rsidRPr="00A210E9">
        <w:rPr>
          <w:rFonts w:eastAsia="Calibri" w:hint="cs"/>
          <w:rtl/>
        </w:rPr>
        <w:t xml:space="preserve">עומס </w:t>
      </w:r>
      <w:r w:rsidRPr="00A210E9">
        <w:rPr>
          <w:rFonts w:eastAsia="Calibri"/>
          <w:rtl/>
        </w:rPr>
        <w:t>כבד</w:t>
      </w:r>
      <w:r w:rsidRPr="00A210E9">
        <w:rPr>
          <w:rFonts w:eastAsia="Calibri" w:hint="cs"/>
          <w:rtl/>
        </w:rPr>
        <w:t>, ו</w:t>
      </w:r>
      <w:r w:rsidRPr="00A210E9">
        <w:rPr>
          <w:rFonts w:eastAsia="Calibri"/>
          <w:rtl/>
        </w:rPr>
        <w:t>המשמעות</w:t>
      </w:r>
      <w:r w:rsidRPr="00A210E9">
        <w:rPr>
          <w:rFonts w:eastAsia="Calibri" w:hint="cs"/>
          <w:rtl/>
        </w:rPr>
        <w:t xml:space="preserve"> של החלטה זו</w:t>
      </w:r>
      <w:r w:rsidRPr="00A210E9">
        <w:rPr>
          <w:rFonts w:eastAsia="Calibri"/>
          <w:rtl/>
        </w:rPr>
        <w:t xml:space="preserve"> היא פגיעה מהותית בזכויות אזרחי ישראל, עיכוב </w:t>
      </w:r>
      <w:r w:rsidRPr="00A210E9">
        <w:rPr>
          <w:rFonts w:eastAsia="Calibri" w:hint="cs"/>
          <w:rtl/>
        </w:rPr>
        <w:t>של ממש</w:t>
      </w:r>
      <w:r w:rsidRPr="00A210E9">
        <w:rPr>
          <w:rFonts w:eastAsia="Calibri"/>
          <w:rtl/>
        </w:rPr>
        <w:t xml:space="preserve"> בזמני הטיפול ו</w:t>
      </w:r>
      <w:r w:rsidRPr="00A210E9">
        <w:rPr>
          <w:rFonts w:eastAsia="Calibri" w:hint="cs"/>
          <w:rtl/>
        </w:rPr>
        <w:t>ב</w:t>
      </w:r>
      <w:r w:rsidRPr="00A210E9">
        <w:rPr>
          <w:rFonts w:eastAsia="Calibri"/>
          <w:rtl/>
        </w:rPr>
        <w:t>העברת הזכויות לזכאים.</w:t>
      </w:r>
      <w:r w:rsidRPr="00A210E9">
        <w:rPr>
          <w:rFonts w:eastAsia="Calibri" w:hint="cs"/>
          <w:rtl/>
        </w:rPr>
        <w:t xml:space="preserve"> בט"ל הוסיף כי משרד</w:t>
      </w:r>
      <w:r w:rsidRPr="00A210E9">
        <w:rPr>
          <w:rFonts w:eastAsia="Calibri"/>
          <w:rtl/>
        </w:rPr>
        <w:t xml:space="preserve"> </w:t>
      </w:r>
      <w:r w:rsidRPr="00A210E9">
        <w:rPr>
          <w:rFonts w:eastAsia="Calibri" w:hint="cs"/>
          <w:rtl/>
        </w:rPr>
        <w:t>ה</w:t>
      </w:r>
      <w:r w:rsidRPr="00A210E9">
        <w:rPr>
          <w:rFonts w:eastAsia="Calibri"/>
          <w:rtl/>
        </w:rPr>
        <w:t>אוצר מסרב להכיר במשמעויות עבור האזרחים</w:t>
      </w:r>
      <w:r w:rsidRPr="00A210E9">
        <w:rPr>
          <w:rFonts w:eastAsia="Calibri" w:hint="cs"/>
          <w:rtl/>
        </w:rPr>
        <w:t>,</w:t>
      </w:r>
      <w:r w:rsidRPr="00A210E9">
        <w:rPr>
          <w:rFonts w:eastAsia="Calibri"/>
          <w:rtl/>
        </w:rPr>
        <w:t xml:space="preserve"> </w:t>
      </w:r>
      <w:r w:rsidRPr="00A210E9">
        <w:rPr>
          <w:rFonts w:eastAsia="Calibri" w:hint="cs"/>
          <w:rtl/>
        </w:rPr>
        <w:t xml:space="preserve">אך </w:t>
      </w:r>
      <w:r w:rsidRPr="00A210E9">
        <w:rPr>
          <w:rFonts w:eastAsia="Calibri"/>
          <w:rtl/>
        </w:rPr>
        <w:t>נציגי האוצר אמר</w:t>
      </w:r>
      <w:r w:rsidRPr="00A210E9">
        <w:rPr>
          <w:rFonts w:eastAsia="Calibri" w:hint="cs"/>
          <w:rtl/>
        </w:rPr>
        <w:t xml:space="preserve">ו </w:t>
      </w:r>
      <w:r w:rsidRPr="00A210E9">
        <w:rPr>
          <w:rFonts w:eastAsia="Calibri"/>
          <w:rtl/>
        </w:rPr>
        <w:t>כי ההצעה תקודם למרות הפגיעה המסתמנת.</w:t>
      </w:r>
      <w:r w:rsidRPr="00A210E9">
        <w:rPr>
          <w:rFonts w:eastAsia="Calibri" w:hint="cs"/>
          <w:rtl/>
        </w:rPr>
        <w:t xml:space="preserve"> זאת ועוד, פרויקטים</w:t>
      </w:r>
      <w:r w:rsidRPr="00A210E9">
        <w:rPr>
          <w:rFonts w:eastAsia="Calibri"/>
          <w:rtl/>
        </w:rPr>
        <w:t xml:space="preserve"> שמשרדי הממשלה השונים </w:t>
      </w:r>
      <w:r w:rsidRPr="00A210E9">
        <w:rPr>
          <w:rFonts w:eastAsia="Calibri" w:hint="cs"/>
          <w:rtl/>
        </w:rPr>
        <w:t>אינם</w:t>
      </w:r>
      <w:r w:rsidRPr="00A210E9">
        <w:rPr>
          <w:rFonts w:eastAsia="Calibri"/>
          <w:rtl/>
        </w:rPr>
        <w:t xml:space="preserve"> מצליחים להתמודד איתם מועבר</w:t>
      </w:r>
      <w:r w:rsidRPr="00A210E9">
        <w:rPr>
          <w:rFonts w:eastAsia="Calibri" w:hint="cs"/>
          <w:rtl/>
        </w:rPr>
        <w:t>ים</w:t>
      </w:r>
      <w:r w:rsidRPr="00A210E9">
        <w:rPr>
          <w:rFonts w:eastAsia="Calibri"/>
          <w:rtl/>
        </w:rPr>
        <w:t xml:space="preserve"> </w:t>
      </w:r>
      <w:r w:rsidRPr="00A210E9">
        <w:rPr>
          <w:rFonts w:eastAsia="Calibri" w:hint="cs"/>
          <w:rtl/>
        </w:rPr>
        <w:t xml:space="preserve">על ידי משרד האוצר </w:t>
      </w:r>
      <w:r w:rsidRPr="00A210E9">
        <w:rPr>
          <w:rFonts w:eastAsia="Calibri"/>
          <w:rtl/>
        </w:rPr>
        <w:t xml:space="preserve">כלאחר יד </w:t>
      </w:r>
      <w:r w:rsidRPr="00A210E9">
        <w:rPr>
          <w:rFonts w:eastAsia="Calibri" w:hint="cs"/>
          <w:rtl/>
        </w:rPr>
        <w:t xml:space="preserve">לבט"ל. </w:t>
      </w:r>
      <w:r w:rsidRPr="00A210E9">
        <w:rPr>
          <w:rFonts w:eastAsia="Calibri"/>
          <w:rtl/>
        </w:rPr>
        <w:t xml:space="preserve">הטיפול </w:t>
      </w:r>
      <w:r w:rsidRPr="00A210E9">
        <w:rPr>
          <w:rFonts w:eastAsia="Calibri" w:hint="cs"/>
          <w:rtl/>
        </w:rPr>
        <w:t xml:space="preserve">בתג חניה אינו </w:t>
      </w:r>
      <w:r w:rsidRPr="00A210E9">
        <w:rPr>
          <w:rFonts w:eastAsia="Calibri"/>
          <w:rtl/>
        </w:rPr>
        <w:t xml:space="preserve">יכול לעבור </w:t>
      </w:r>
      <w:r w:rsidRPr="00A210E9">
        <w:rPr>
          <w:rFonts w:eastAsia="Calibri" w:hint="cs"/>
          <w:rtl/>
        </w:rPr>
        <w:t>לבט"ל</w:t>
      </w:r>
      <w:r w:rsidRPr="00A210E9">
        <w:rPr>
          <w:rFonts w:eastAsia="Calibri"/>
          <w:rtl/>
        </w:rPr>
        <w:t xml:space="preserve"> ממשרד התחבורה שאחראי </w:t>
      </w:r>
      <w:r w:rsidRPr="00A210E9">
        <w:rPr>
          <w:rFonts w:eastAsia="Calibri" w:hint="cs"/>
          <w:rtl/>
        </w:rPr>
        <w:t>ל</w:t>
      </w:r>
      <w:r w:rsidRPr="00A210E9">
        <w:rPr>
          <w:rFonts w:eastAsia="Calibri"/>
          <w:rtl/>
        </w:rPr>
        <w:t>נושא, שכן משמעות הדבר תהיה פגיעה אנושה בעבודת הוועדות הרפואיות שכבר כיום חוצות רף</w:t>
      </w:r>
      <w:r w:rsidRPr="00A210E9">
        <w:rPr>
          <w:rFonts w:eastAsia="Calibri" w:hint="cs"/>
          <w:rtl/>
        </w:rPr>
        <w:t xml:space="preserve"> של</w:t>
      </w:r>
      <w:r w:rsidRPr="00A210E9">
        <w:rPr>
          <w:rFonts w:eastAsia="Calibri"/>
          <w:rtl/>
        </w:rPr>
        <w:t xml:space="preserve"> 600</w:t>
      </w:r>
      <w:r w:rsidRPr="00A210E9">
        <w:rPr>
          <w:rFonts w:eastAsia="Calibri" w:hint="cs"/>
          <w:rtl/>
        </w:rPr>
        <w:t>,000</w:t>
      </w:r>
      <w:r w:rsidRPr="00A210E9">
        <w:rPr>
          <w:rFonts w:eastAsia="Calibri"/>
          <w:rtl/>
        </w:rPr>
        <w:t xml:space="preserve"> ועדות בשנה</w:t>
      </w:r>
      <w:r>
        <w:rPr>
          <w:rFonts w:eastAsia="Calibri"/>
          <w:vertAlign w:val="superscript"/>
          <w:rtl/>
        </w:rPr>
        <w:footnoteReference w:id="213"/>
      </w:r>
      <w:r w:rsidRPr="00A210E9">
        <w:rPr>
          <w:rFonts w:eastAsia="Calibri" w:hint="cs"/>
          <w:rtl/>
        </w:rPr>
        <w:t>. בדצמבר 2025 ביצע בט"ל ניתוח ראשוני של הצעה שעלתה בצוות הבין-משרדי 2025</w:t>
      </w:r>
      <w:r>
        <w:rPr>
          <w:rFonts w:eastAsia="Calibri"/>
          <w:vertAlign w:val="superscript"/>
          <w:rtl/>
        </w:rPr>
        <w:footnoteReference w:id="214"/>
      </w:r>
      <w:r w:rsidRPr="00A210E9">
        <w:rPr>
          <w:rFonts w:eastAsia="Calibri" w:hint="cs"/>
          <w:rtl/>
        </w:rPr>
        <w:t>. לפי ניתוח זה, בעקבות יישום ההצעה תישלל זכאות לתג לבעלי תגי חניה רבים. גם במסגרת הצעת המחליטים הוצגה עמדתו של היועץ המשפטי של הביטוח הלאומי: "המוסד מתנגד לכל החלטה שיש בה כדי להעביר אליו את המטלה הזו. לטעמנו העברת המטלה מחייבת גם תיקוני חקיקה מפורטים, ואינה אפשרית בתשתית החוקית הקיימת".</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עמותת איל"ן כתבה בתשובתה:</w:t>
      </w:r>
      <w:r w:rsidRPr="00A210E9">
        <w:rPr>
          <w:rFonts w:eastAsia="Calibri" w:hint="cs"/>
        </w:rPr>
        <w:t xml:space="preserve"> </w:t>
      </w:r>
      <w:r w:rsidRPr="00A210E9">
        <w:rPr>
          <w:rFonts w:eastAsia="Calibri" w:hint="cs"/>
          <w:rtl/>
        </w:rPr>
        <w:t>"</w:t>
      </w:r>
      <w:r w:rsidRPr="00A210E9">
        <w:rPr>
          <w:rFonts w:eastAsia="Calibri"/>
          <w:rtl/>
        </w:rPr>
        <w:t xml:space="preserve">יש פער בין הקריטריונים של הביטוח הלאומי לקבלת קצבה לקריטריונים להוצאת </w:t>
      </w:r>
      <w:r w:rsidRPr="00A210E9">
        <w:rPr>
          <w:rFonts w:eastAsia="Calibri" w:hint="cs"/>
          <w:rtl/>
        </w:rPr>
        <w:t>[תג]</w:t>
      </w:r>
      <w:r w:rsidRPr="00A210E9">
        <w:rPr>
          <w:rFonts w:eastAsia="Calibri"/>
          <w:rtl/>
        </w:rPr>
        <w:t xml:space="preserve"> </w:t>
      </w:r>
      <w:r w:rsidRPr="00A210E9">
        <w:rPr>
          <w:rFonts w:eastAsia="Calibri" w:hint="cs"/>
          <w:rtl/>
        </w:rPr>
        <w:t>(...</w:t>
      </w:r>
      <w:r w:rsidRPr="00A210E9">
        <w:rPr>
          <w:rFonts w:eastAsia="Calibri"/>
          <w:rtl/>
        </w:rPr>
        <w:t xml:space="preserve">לדוגמא, אנשים בעלי הכנסה גבוהה, נפגעי אמצע החיים שפגיעתם קרתה בפתאומיות, גמלאים שהפגיעה בניידות התפתחה לאחר פרישה, אנשים שאינם מעוניינים לפנות לביטוח </w:t>
      </w:r>
      <w:r w:rsidRPr="00A210E9">
        <w:rPr>
          <w:rFonts w:eastAsia="Calibri" w:hint="cs"/>
          <w:rtl/>
        </w:rPr>
        <w:t>ה</w:t>
      </w:r>
      <w:r w:rsidRPr="00A210E9">
        <w:rPr>
          <w:rFonts w:eastAsia="Calibri"/>
          <w:rtl/>
        </w:rPr>
        <w:t>לאומי ולעבור ועדה רפואית</w:t>
      </w:r>
      <w:r w:rsidRPr="00A210E9">
        <w:rPr>
          <w:rFonts w:eastAsia="Calibri" w:hint="cs"/>
          <w:rtl/>
        </w:rPr>
        <w:t xml:space="preserve">) </w:t>
      </w:r>
      <w:r w:rsidRPr="00A210E9">
        <w:rPr>
          <w:rFonts w:eastAsia="Calibri"/>
          <w:rtl/>
        </w:rPr>
        <w:t xml:space="preserve">בנוסף, יש אנשים שאינם פונים לביטוח </w:t>
      </w:r>
      <w:r w:rsidRPr="00A210E9">
        <w:rPr>
          <w:rFonts w:eastAsia="Calibri" w:hint="cs"/>
          <w:rtl/>
        </w:rPr>
        <w:t>ה</w:t>
      </w:r>
      <w:r w:rsidRPr="00A210E9">
        <w:rPr>
          <w:rFonts w:eastAsia="Calibri"/>
          <w:rtl/>
        </w:rPr>
        <w:t>לאומי</w:t>
      </w:r>
      <w:r w:rsidRPr="00A210E9">
        <w:rPr>
          <w:rFonts w:eastAsia="Calibri" w:hint="cs"/>
          <w:rtl/>
        </w:rPr>
        <w:t xml:space="preserve">... </w:t>
      </w:r>
      <w:r w:rsidRPr="00A210E9">
        <w:rPr>
          <w:rFonts w:eastAsia="Calibri"/>
          <w:rtl/>
        </w:rPr>
        <w:t xml:space="preserve">המהלך המוצע יחריג אוכלוסיות שנפגעו ממוגבלות בניידות אך אינן עומדות בתנאי הסף של הביטוח הלאומי. החשש שאנשים יפלו בין הכיסאות. אנו חווים זאת מפניות רבות המגיעות אלינו למרכז מיצוי זכויות של איל"ן, כעת כשתהליך הנפקת התווים מוקפא במשרד התחבורה ומפנים את מקבלי השירות שלנו לביטוח </w:t>
      </w:r>
      <w:r w:rsidRPr="00A210E9">
        <w:rPr>
          <w:rFonts w:eastAsia="Calibri" w:hint="cs"/>
          <w:rtl/>
        </w:rPr>
        <w:t>ה</w:t>
      </w:r>
      <w:r w:rsidRPr="00A210E9">
        <w:rPr>
          <w:rFonts w:eastAsia="Calibri"/>
          <w:rtl/>
        </w:rPr>
        <w:t>לאומי.</w:t>
      </w:r>
      <w:r w:rsidRPr="00A210E9">
        <w:rPr>
          <w:rFonts w:eastAsia="Calibri" w:hint="cs"/>
          <w:rtl/>
        </w:rPr>
        <w:t>"</w:t>
      </w:r>
    </w:p>
    <w:p w:rsidR="0029344A">
      <w:pPr>
        <w:bidi w:val="0"/>
        <w:spacing w:after="200" w:line="276" w:lineRule="auto"/>
        <w:rPr>
          <w:rFonts w:eastAsia="Calibri"/>
          <w:rtl/>
        </w:rPr>
      </w:pPr>
      <w:r>
        <w:rPr>
          <w:rFonts w:eastAsia="Calibri"/>
          <w:rtl/>
        </w:rPr>
        <w:br w:type="page"/>
      </w:r>
    </w:p>
    <w:p w:rsidR="00A210E9" w:rsidRPr="00A210E9" w:rsidP="00A210E9">
      <w:pPr>
        <w:spacing w:line="269" w:lineRule="auto"/>
        <w:rPr>
          <w:rFonts w:eastAsia="Calibri"/>
        </w:rPr>
      </w:pPr>
      <w:r w:rsidRPr="00A210E9">
        <w:rPr>
          <w:rFonts w:eastAsia="Calibri" w:hint="cs"/>
          <w:rtl/>
        </w:rPr>
        <w:t>פורום צמיד כתב בתשובתו לגבי הוועדות של הביטוח הלאומי: "</w:t>
      </w:r>
      <w:r w:rsidRPr="00A210E9">
        <w:rPr>
          <w:rFonts w:eastAsia="Calibri"/>
          <w:rtl/>
        </w:rPr>
        <w:t>113 יום המתנה בממוצע בוועדת נכות מעבודה. מחסור רופאים. שונות חריפה בין סניפים. הביטוח הלאומי כבר מבצע מעל 600,000 ועדות בשנה; הוועדות הרפואיות של משרד הבריאות הן צוואר בקבוק קיים</w:t>
      </w:r>
      <w:r>
        <w:rPr>
          <w:rFonts w:eastAsia="Calibri"/>
          <w:vertAlign w:val="superscript"/>
          <w:rtl/>
        </w:rPr>
        <w:footnoteReference w:id="215"/>
      </w:r>
      <w:r w:rsidRPr="00A210E9">
        <w:rPr>
          <w:rFonts w:eastAsia="Calibri"/>
          <w:rtl/>
        </w:rPr>
        <w:t>.</w:t>
      </w:r>
      <w:r w:rsidRPr="00A210E9">
        <w:rPr>
          <w:rFonts w:eastAsia="Calibri" w:hint="cs"/>
          <w:rtl/>
        </w:rPr>
        <w:t xml:space="preserve"> </w:t>
      </w:r>
      <w:r w:rsidRPr="00A210E9">
        <w:rPr>
          <w:rFonts w:eastAsia="Calibri"/>
          <w:rtl/>
        </w:rPr>
        <w:t>להעביר לשם עוד כ-70,000 בקשות בשנה ללא תוספת תקציב משמעותה מוביל לקריסה של מערך הוועדות הרפואיות ופגיעה לא רק בתגי חניה, אלא גם בזכאות לקצבת ניידות, נכות כללית, שירותים מיוחדים, וקצבת ילד נכה</w:t>
      </w:r>
      <w:r w:rsidRPr="00A210E9">
        <w:rPr>
          <w:rFonts w:eastAsia="Calibri" w:hint="cs"/>
          <w:rtl/>
        </w:rPr>
        <w:t xml:space="preserve">". לפי עמדת הפורום, יש להתנות </w:t>
      </w:r>
      <w:r w:rsidRPr="00A210E9">
        <w:rPr>
          <w:rFonts w:eastAsia="Calibri"/>
          <w:rtl/>
        </w:rPr>
        <w:t xml:space="preserve">כל העברת סמכות ממשרד התחבורה לביטוח הלאומי </w:t>
      </w:r>
      <w:r w:rsidRPr="00A210E9">
        <w:rPr>
          <w:rFonts w:eastAsia="Calibri" w:hint="cs"/>
          <w:rtl/>
        </w:rPr>
        <w:t>ב</w:t>
      </w:r>
      <w:r w:rsidRPr="00A210E9">
        <w:rPr>
          <w:rFonts w:eastAsia="Calibri"/>
          <w:rtl/>
        </w:rPr>
        <w:t>תוספת תקציב ייעודית;</w:t>
      </w:r>
      <w:r w:rsidRPr="00A210E9">
        <w:rPr>
          <w:rFonts w:eastAsia="Calibri" w:hint="cs"/>
          <w:rtl/>
        </w:rPr>
        <w:t xml:space="preserve"> בהסדרה ב</w:t>
      </w:r>
      <w:r w:rsidRPr="00A210E9">
        <w:rPr>
          <w:rFonts w:eastAsia="Calibri"/>
          <w:rtl/>
        </w:rPr>
        <w:t>חקיקה ראשית</w:t>
      </w:r>
      <w:r w:rsidRPr="00A210E9">
        <w:rPr>
          <w:rFonts w:eastAsia="Calibri" w:hint="cs"/>
          <w:rtl/>
        </w:rPr>
        <w:t xml:space="preserve"> (בניגוד ל</w:t>
      </w:r>
      <w:r w:rsidRPr="00A210E9">
        <w:rPr>
          <w:rFonts w:eastAsia="Calibri"/>
          <w:rtl/>
        </w:rPr>
        <w:t>נוהל פנימי</w:t>
      </w:r>
      <w:r w:rsidRPr="00A210E9">
        <w:rPr>
          <w:rFonts w:eastAsia="Calibri" w:hint="cs"/>
          <w:rtl/>
        </w:rPr>
        <w:t>)</w:t>
      </w:r>
      <w:r w:rsidRPr="00A210E9">
        <w:rPr>
          <w:rFonts w:eastAsia="Calibri"/>
          <w:rtl/>
        </w:rPr>
        <w:t xml:space="preserve">; </w:t>
      </w:r>
      <w:r w:rsidRPr="00A210E9">
        <w:rPr>
          <w:rFonts w:eastAsia="Calibri" w:hint="cs"/>
          <w:rtl/>
        </w:rPr>
        <w:t>ב</w:t>
      </w:r>
      <w:r w:rsidRPr="00A210E9">
        <w:rPr>
          <w:rFonts w:eastAsia="Calibri"/>
          <w:rtl/>
        </w:rPr>
        <w:t xml:space="preserve">מנגנון השגה עצמאי; </w:t>
      </w:r>
      <w:r w:rsidRPr="00A210E9">
        <w:rPr>
          <w:rFonts w:eastAsia="Calibri" w:hint="cs"/>
          <w:rtl/>
        </w:rPr>
        <w:t>וב</w:t>
      </w:r>
      <w:r w:rsidRPr="00A210E9">
        <w:rPr>
          <w:rFonts w:eastAsia="Calibri"/>
          <w:rtl/>
        </w:rPr>
        <w:t>לוחות זמנים מחייבים ל</w:t>
      </w:r>
      <w:r w:rsidRPr="00A210E9">
        <w:rPr>
          <w:rFonts w:eastAsia="Calibri" w:hint="cs"/>
          <w:rtl/>
        </w:rPr>
        <w:t>קבלת ה</w:t>
      </w:r>
      <w:r w:rsidRPr="00A210E9">
        <w:rPr>
          <w:rFonts w:eastAsia="Calibri"/>
          <w:rtl/>
        </w:rPr>
        <w:t xml:space="preserve">החלטה, שאי-עמידה בהם </w:t>
      </w:r>
      <w:r w:rsidRPr="00A210E9">
        <w:rPr>
          <w:rFonts w:eastAsia="Calibri" w:hint="cs"/>
          <w:rtl/>
        </w:rPr>
        <w:t>תקנה לאנשים עם מוגבלות</w:t>
      </w:r>
      <w:r w:rsidRPr="00A210E9">
        <w:rPr>
          <w:rFonts w:eastAsia="Calibri"/>
          <w:rtl/>
        </w:rPr>
        <w:t xml:space="preserve"> זכאות אוטומטית</w:t>
      </w:r>
      <w:r w:rsidRPr="00A210E9">
        <w:rPr>
          <w:rFonts w:eastAsia="Calibri" w:hint="cs"/>
          <w:rtl/>
        </w:rPr>
        <w:t xml:space="preserve"> לתג</w:t>
      </w:r>
      <w:r w:rsidRPr="00A210E9">
        <w:rPr>
          <w:rFonts w:eastAsia="Calibri"/>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bookmarkStart w:id="169" w:name="_Hlk223952734"/>
      <w:bookmarkStart w:id="170" w:name="_Hlk231135914"/>
      <w:r w:rsidRPr="00A210E9">
        <w:rPr>
          <w:rFonts w:eastAsia="Calibri" w:hint="cs"/>
          <w:b/>
          <w:bCs/>
          <w:rtl/>
        </w:rPr>
        <w:t>עולה כי אף ש</w:t>
      </w:r>
      <w:r w:rsidRPr="00A210E9">
        <w:rPr>
          <w:rFonts w:eastAsia="Calibri"/>
          <w:b/>
          <w:bCs/>
          <w:rtl/>
        </w:rPr>
        <w:t xml:space="preserve">משרד התחבורה קיבל </w:t>
      </w:r>
      <w:r w:rsidRPr="00A210E9">
        <w:rPr>
          <w:rFonts w:eastAsia="Calibri" w:hint="cs"/>
          <w:b/>
          <w:bCs/>
          <w:rtl/>
        </w:rPr>
        <w:t xml:space="preserve">בשנת 2008 </w:t>
      </w:r>
      <w:r w:rsidRPr="00A210E9">
        <w:rPr>
          <w:rFonts w:eastAsia="Calibri"/>
          <w:b/>
          <w:bCs/>
          <w:rtl/>
        </w:rPr>
        <w:t xml:space="preserve">את האחריות לנושא </w:t>
      </w:r>
      <w:r w:rsidRPr="00A210E9">
        <w:rPr>
          <w:rFonts w:eastAsia="Calibri" w:hint="cs"/>
          <w:b/>
          <w:bCs/>
          <w:rtl/>
        </w:rPr>
        <w:t>קביעת זכאות ל</w:t>
      </w:r>
      <w:r w:rsidRPr="00A210E9">
        <w:rPr>
          <w:rFonts w:eastAsia="Calibri"/>
          <w:b/>
          <w:bCs/>
          <w:rtl/>
        </w:rPr>
        <w:t xml:space="preserve">תג חניה </w:t>
      </w:r>
      <w:r w:rsidRPr="00A210E9">
        <w:rPr>
          <w:rFonts w:eastAsia="Calibri" w:hint="cs"/>
          <w:b/>
          <w:bCs/>
          <w:rtl/>
        </w:rPr>
        <w:t>מכוח סעיף 1א לחוק</w:t>
      </w:r>
      <w:r w:rsidRPr="00A210E9">
        <w:rPr>
          <w:rFonts w:eastAsia="Calibri"/>
          <w:b/>
          <w:bCs/>
          <w:rtl/>
        </w:rPr>
        <w:t xml:space="preserve">, </w:t>
      </w:r>
      <w:r w:rsidRPr="00A210E9">
        <w:rPr>
          <w:rFonts w:eastAsia="Calibri" w:hint="cs"/>
          <w:b/>
          <w:bCs/>
          <w:rtl/>
        </w:rPr>
        <w:t xml:space="preserve">הוא </w:t>
      </w:r>
      <w:r w:rsidRPr="00A210E9">
        <w:rPr>
          <w:rFonts w:eastAsia="Calibri"/>
          <w:b/>
          <w:bCs/>
          <w:rtl/>
        </w:rPr>
        <w:t>לא הכריע באופן סופי ומחייב בסוגיות המרכזיות</w:t>
      </w:r>
      <w:r w:rsidRPr="00A210E9">
        <w:rPr>
          <w:rFonts w:eastAsia="Calibri" w:hint="cs"/>
          <w:b/>
          <w:bCs/>
          <w:rtl/>
        </w:rPr>
        <w:t>, כמו הקריטריונים לזכאות לתג.</w:t>
      </w:r>
      <w:r w:rsidRPr="00A210E9">
        <w:rPr>
          <w:rFonts w:eastAsia="Calibri"/>
          <w:b/>
          <w:bCs/>
          <w:rtl/>
        </w:rPr>
        <w:t xml:space="preserve"> </w:t>
      </w:r>
      <w:r w:rsidRPr="00A210E9">
        <w:rPr>
          <w:rFonts w:eastAsia="Calibri" w:hint="cs"/>
          <w:b/>
          <w:bCs/>
          <w:rtl/>
        </w:rPr>
        <w:t>במשך</w:t>
      </w:r>
      <w:r w:rsidRPr="00A210E9">
        <w:rPr>
          <w:rFonts w:eastAsia="Calibri"/>
          <w:b/>
          <w:bCs/>
          <w:rtl/>
        </w:rPr>
        <w:t xml:space="preserve"> השנים </w:t>
      </w:r>
      <w:r w:rsidRPr="00A210E9">
        <w:rPr>
          <w:rFonts w:eastAsia="Calibri" w:hint="cs"/>
          <w:b/>
          <w:bCs/>
          <w:rtl/>
        </w:rPr>
        <w:t xml:space="preserve">המשיך משרד התחבורה לנסות ולהעביר לידי </w:t>
      </w:r>
      <w:r w:rsidRPr="00A210E9">
        <w:rPr>
          <w:rFonts w:eastAsia="Calibri"/>
          <w:b/>
          <w:bCs/>
          <w:rtl/>
        </w:rPr>
        <w:t>הביטוח הלאומי</w:t>
      </w:r>
      <w:r w:rsidRPr="00A210E9">
        <w:rPr>
          <w:rFonts w:eastAsia="Calibri" w:hint="cs"/>
          <w:b/>
          <w:bCs/>
          <w:rtl/>
        </w:rPr>
        <w:t xml:space="preserve"> את האחריות לתהליך זה,</w:t>
      </w:r>
      <w:r w:rsidRPr="00A210E9">
        <w:rPr>
          <w:rFonts w:eastAsia="Calibri"/>
          <w:b/>
          <w:bCs/>
          <w:rtl/>
        </w:rPr>
        <w:t xml:space="preserve"> </w:t>
      </w:r>
      <w:r w:rsidRPr="00A210E9">
        <w:rPr>
          <w:rFonts w:eastAsia="Calibri" w:hint="cs"/>
          <w:b/>
          <w:bCs/>
          <w:rtl/>
        </w:rPr>
        <w:t xml:space="preserve">כולל הודעה לביטוח הלאומי על </w:t>
      </w:r>
      <w:r w:rsidRPr="00A210E9">
        <w:rPr>
          <w:rFonts w:eastAsia="Calibri"/>
          <w:b/>
          <w:bCs/>
          <w:rtl/>
        </w:rPr>
        <w:t>ביצ</w:t>
      </w:r>
      <w:r w:rsidRPr="00A210E9">
        <w:rPr>
          <w:rFonts w:eastAsia="Calibri" w:hint="cs"/>
          <w:b/>
          <w:bCs/>
          <w:rtl/>
        </w:rPr>
        <w:t>ו</w:t>
      </w:r>
      <w:r w:rsidRPr="00A210E9">
        <w:rPr>
          <w:rFonts w:eastAsia="Calibri"/>
          <w:b/>
          <w:bCs/>
          <w:rtl/>
        </w:rPr>
        <w:t>ע צעדים חד</w:t>
      </w:r>
      <w:r w:rsidRPr="00A210E9">
        <w:rPr>
          <w:rFonts w:eastAsia="Calibri" w:hint="cs"/>
          <w:b/>
          <w:bCs/>
          <w:rtl/>
        </w:rPr>
        <w:t>-</w:t>
      </w:r>
      <w:r w:rsidRPr="00A210E9">
        <w:rPr>
          <w:rFonts w:eastAsia="Calibri"/>
          <w:b/>
          <w:bCs/>
          <w:rtl/>
        </w:rPr>
        <w:t>צדדיים</w:t>
      </w:r>
      <w:r w:rsidRPr="00A210E9">
        <w:rPr>
          <w:rFonts w:eastAsia="Calibri" w:hint="cs"/>
          <w:b/>
          <w:bCs/>
          <w:rtl/>
        </w:rPr>
        <w:t xml:space="preserve"> בשנת 2024 בעניין זה</w:t>
      </w:r>
      <w:r w:rsidRPr="00A210E9">
        <w:rPr>
          <w:rFonts w:eastAsia="Calibri"/>
          <w:b/>
          <w:bCs/>
          <w:rtl/>
        </w:rPr>
        <w:t>.</w:t>
      </w:r>
      <w:r w:rsidRPr="00A210E9">
        <w:rPr>
          <w:rFonts w:eastAsia="Calibri" w:hint="cs"/>
          <w:b/>
          <w:bCs/>
          <w:rtl/>
        </w:rPr>
        <w:t xml:space="preserve"> הביטוח הלאומי התריע בשנים האחרונות כי אין ביכולתו לקבל עליו את האחריות לביצוע הבדיקות לקביעת זכאות לתגי חניה במסגרת הוועדות הרפואיות. בדצמבר 2025 הוצגה </w:t>
      </w:r>
      <w:r w:rsidRPr="00A210E9">
        <w:rPr>
          <w:rFonts w:eastAsia="Calibri"/>
          <w:b/>
          <w:bCs/>
          <w:rtl/>
        </w:rPr>
        <w:t>"התוכנית הכלכלית לשנת 2026 - שינויים מבניים</w:t>
      </w:r>
      <w:r w:rsidRPr="00A210E9">
        <w:rPr>
          <w:rFonts w:eastAsia="Calibri" w:hint="cs"/>
          <w:b/>
          <w:bCs/>
          <w:rtl/>
        </w:rPr>
        <w:t xml:space="preserve">", ובעקבותיה התקבלה החלטת הממשלה 3584 שעניינה "שיפור נגישות החניה לנכים". בהחלטה זו הוטל על הצוות הבין-משרדי 2025 לגבש נוהל חדש ולפיו רשות הרישוי תנפיק את תגי החניה בהתבסס על בדיקות רפואיות שיבצעו הגורמים המוסמכים לאשר נכות לפי דין. </w:t>
      </w:r>
      <w:bookmarkStart w:id="171" w:name="_Hlk231490616"/>
      <w:bookmarkEnd w:id="169"/>
      <w:r w:rsidRPr="00A210E9">
        <w:rPr>
          <w:rFonts w:eastAsia="Calibri" w:hint="cs"/>
          <w:b/>
          <w:bCs/>
          <w:rtl/>
        </w:rPr>
        <w:t xml:space="preserve">לצד זאת, בתוכנית הכלכלית צוין כי במסגרת הנוהל </w:t>
      </w:r>
      <w:r w:rsidRPr="00A210E9">
        <w:rPr>
          <w:rFonts w:eastAsia="Calibri"/>
          <w:b/>
          <w:bCs/>
          <w:rtl/>
        </w:rPr>
        <w:t xml:space="preserve">יינתן מענה, </w:t>
      </w:r>
      <w:r w:rsidRPr="00A210E9">
        <w:rPr>
          <w:rFonts w:eastAsia="Calibri" w:hint="cs"/>
          <w:b/>
          <w:bCs/>
          <w:rtl/>
        </w:rPr>
        <w:t>מכוח</w:t>
      </w:r>
      <w:r w:rsidRPr="00A210E9">
        <w:rPr>
          <w:rFonts w:eastAsia="Calibri"/>
          <w:b/>
          <w:bCs/>
          <w:rtl/>
        </w:rPr>
        <w:t xml:space="preserve"> סעיף 1א לחוק, לאוכלוסיות שלא ניתן לקבוע להן נכות לפי דין</w:t>
      </w:r>
      <w:r w:rsidRPr="00A210E9">
        <w:rPr>
          <w:rFonts w:eastAsia="Calibri" w:hint="cs"/>
          <w:b/>
          <w:bCs/>
          <w:rtl/>
        </w:rPr>
        <w:t xml:space="preserve">. נכון למאי 2026 עדיין לא גובש נוהל סופי על ידי הצוות הבין-משרדי 2025. </w:t>
      </w:r>
      <w:bookmarkEnd w:id="171"/>
    </w:p>
    <w:bookmarkEnd w:id="170"/>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eastAsia"/>
          <w:rtl/>
        </w:rPr>
        <w:t>החשכ</w:t>
      </w:r>
      <w:r w:rsidRPr="00A210E9">
        <w:rPr>
          <w:rFonts w:eastAsia="Calibri"/>
          <w:rtl/>
        </w:rPr>
        <w:t>"ל כתב בתשוב</w:t>
      </w:r>
      <w:r w:rsidRPr="00A210E9">
        <w:rPr>
          <w:rFonts w:eastAsia="Calibri" w:hint="cs"/>
          <w:rtl/>
        </w:rPr>
        <w:t xml:space="preserve">ותיו </w:t>
      </w:r>
      <w:r w:rsidRPr="00A210E9">
        <w:rPr>
          <w:rFonts w:eastAsia="Calibri"/>
          <w:rtl/>
        </w:rPr>
        <w:t xml:space="preserve">כי </w:t>
      </w:r>
      <w:r w:rsidRPr="00A210E9">
        <w:rPr>
          <w:rFonts w:eastAsia="Calibri" w:hint="cs"/>
          <w:rtl/>
        </w:rPr>
        <w:t>עבור</w:t>
      </w:r>
      <w:r w:rsidRPr="00A210E9">
        <w:rPr>
          <w:rFonts w:eastAsia="Calibri"/>
          <w:rtl/>
        </w:rPr>
        <w:t xml:space="preserve"> תושבי חוץ או מי שאינם זכאים לקצבה מטעמי הכנסה - </w:t>
      </w:r>
      <w:r w:rsidRPr="00A210E9">
        <w:rPr>
          <w:rFonts w:eastAsia="Calibri" w:hint="eastAsia"/>
          <w:rtl/>
        </w:rPr>
        <w:t>מקרים</w:t>
      </w:r>
      <w:r w:rsidRPr="00A210E9">
        <w:rPr>
          <w:rFonts w:eastAsia="Calibri"/>
          <w:rtl/>
        </w:rPr>
        <w:t xml:space="preserve"> </w:t>
      </w:r>
      <w:r w:rsidRPr="00A210E9">
        <w:rPr>
          <w:rFonts w:eastAsia="Calibri" w:hint="cs"/>
          <w:rtl/>
        </w:rPr>
        <w:t>ש</w:t>
      </w:r>
      <w:r w:rsidRPr="00A210E9">
        <w:rPr>
          <w:rFonts w:eastAsia="Calibri"/>
          <w:rtl/>
        </w:rPr>
        <w:t>בהם לא ניתן להסתמך על בדיקה רפואית של הביטוח הלאומי או של גוף ממשלתי מוסמך אחר -</w:t>
      </w:r>
      <w:r w:rsidRPr="00A210E9">
        <w:rPr>
          <w:rFonts w:eastAsia="Calibri" w:hint="cs"/>
          <w:rtl/>
        </w:rPr>
        <w:t xml:space="preserve"> יפעיל</w:t>
      </w:r>
      <w:r w:rsidRPr="00A210E9">
        <w:rPr>
          <w:rFonts w:eastAsia="Calibri"/>
          <w:rtl/>
        </w:rPr>
        <w:t xml:space="preserve"> משרד התחבורה מערך בדיקות רפואיות פרטני, מקצועי ומבוקר</w:t>
      </w:r>
      <w:r w:rsidRPr="00A210E9">
        <w:rPr>
          <w:rFonts w:eastAsia="Calibri" w:hint="cs"/>
          <w:rtl/>
        </w:rPr>
        <w:t>, זאת באמצעות הגורם המבצע את הבדיקות עבור הביטוח הלאומי</w:t>
      </w:r>
      <w:r w:rsidRPr="00A210E9">
        <w:rPr>
          <w:rFonts w:eastAsia="Calibri"/>
          <w:rtl/>
        </w:rPr>
        <w:t xml:space="preserve">. </w:t>
      </w:r>
      <w:r w:rsidRPr="00A210E9">
        <w:rPr>
          <w:rFonts w:eastAsia="Calibri" w:hint="eastAsia"/>
          <w:rtl/>
        </w:rPr>
        <w:t>החשכ</w:t>
      </w:r>
      <w:r w:rsidRPr="00A210E9">
        <w:rPr>
          <w:rFonts w:eastAsia="Calibri"/>
          <w:rtl/>
        </w:rPr>
        <w:t xml:space="preserve">"ל הוסיף כי מנגנון זה נועד לתת מענה למקרים חריגים בלבד, שבהם </w:t>
      </w:r>
      <w:r w:rsidRPr="00A210E9">
        <w:rPr>
          <w:rFonts w:eastAsia="Calibri" w:hint="cs"/>
          <w:rtl/>
        </w:rPr>
        <w:t>אי אפשר</w:t>
      </w:r>
      <w:r w:rsidRPr="00A210E9">
        <w:rPr>
          <w:rFonts w:eastAsia="Calibri"/>
          <w:rtl/>
        </w:rPr>
        <w:t xml:space="preserve"> לבסס את הזכאות על קביעה רפואית קיימת של גורם מוסמך לפי דין</w:t>
      </w:r>
      <w:r w:rsidRPr="00A210E9">
        <w:rPr>
          <w:rFonts w:eastAsia="Calibri" w:hint="cs"/>
          <w:rtl/>
        </w:rPr>
        <w:t>.</w:t>
      </w:r>
      <w:r w:rsidRPr="00A210E9">
        <w:rPr>
          <w:rFonts w:eastAsia="Calibri"/>
          <w:rtl/>
        </w:rPr>
        <w:t xml:space="preserve"> זאת בלי </w:t>
      </w:r>
      <w:r w:rsidRPr="00A210E9">
        <w:rPr>
          <w:rFonts w:eastAsia="Calibri" w:hint="cs"/>
          <w:rtl/>
        </w:rPr>
        <w:t>לפגוע ב</w:t>
      </w:r>
      <w:r w:rsidRPr="00A210E9">
        <w:rPr>
          <w:rFonts w:eastAsia="Calibri"/>
          <w:rtl/>
        </w:rPr>
        <w:t>עיקרון המרכזי שלפיו ההכרעה הרפואית תתבסס, ככל הניתן, על בדיקות של הגופים הממשלתיים</w:t>
      </w:r>
      <w:r w:rsidRPr="00A210E9">
        <w:rPr>
          <w:rFonts w:eastAsia="Calibri" w:hint="cs"/>
          <w:rtl/>
        </w:rPr>
        <w:t xml:space="preserve"> המוסמכים</w:t>
      </w:r>
      <w:r w:rsidRPr="00A210E9">
        <w:rPr>
          <w:rFonts w:eastAsia="Calibri"/>
          <w:rtl/>
        </w:rPr>
        <w:t xml:space="preserve"> בעלי המומחיות הרפואית המתאימה.</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rtl/>
        </w:rPr>
        <w:t xml:space="preserve">משרד התחבורה כתב בתשובתו כי הוא </w:t>
      </w:r>
      <w:r w:rsidRPr="00A210E9">
        <w:rPr>
          <w:rFonts w:eastAsia="Calibri" w:hint="cs"/>
          <w:rtl/>
        </w:rPr>
        <w:t>מסכים</w:t>
      </w:r>
      <w:r w:rsidRPr="00A210E9">
        <w:rPr>
          <w:rFonts w:eastAsia="Calibri"/>
          <w:rtl/>
        </w:rPr>
        <w:t xml:space="preserve"> כי האוכלוסיות השיוריות מחייבות פתרון ייעודי</w:t>
      </w:r>
      <w:r w:rsidRPr="00A210E9">
        <w:rPr>
          <w:rFonts w:eastAsia="Calibri" w:hint="cs"/>
          <w:rtl/>
        </w:rPr>
        <w:t xml:space="preserve"> </w:t>
      </w:r>
      <w:r w:rsidRPr="00A210E9">
        <w:rPr>
          <w:rFonts w:eastAsia="Calibri" w:hint="eastAsia"/>
          <w:rtl/>
        </w:rPr>
        <w:t>וכי</w:t>
      </w:r>
      <w:r w:rsidRPr="00A210E9">
        <w:rPr>
          <w:rFonts w:eastAsia="Calibri"/>
          <w:rtl/>
        </w:rPr>
        <w:t xml:space="preserve"> בהתאם לכך, במסגרת עבודת </w:t>
      </w:r>
      <w:r w:rsidRPr="00A210E9">
        <w:rPr>
          <w:rFonts w:eastAsia="Calibri" w:hint="cs"/>
          <w:rtl/>
        </w:rPr>
        <w:t>ה</w:t>
      </w:r>
      <w:r w:rsidRPr="00A210E9">
        <w:rPr>
          <w:rFonts w:eastAsia="Calibri"/>
          <w:rtl/>
        </w:rPr>
        <w:t xml:space="preserve">צוות </w:t>
      </w:r>
      <w:r w:rsidRPr="00A210E9">
        <w:rPr>
          <w:rFonts w:eastAsia="Calibri" w:hint="cs"/>
          <w:rtl/>
        </w:rPr>
        <w:t>ה</w:t>
      </w:r>
      <w:r w:rsidRPr="00A210E9">
        <w:rPr>
          <w:rFonts w:eastAsia="Calibri"/>
          <w:rtl/>
        </w:rPr>
        <w:t xml:space="preserve">בין-משרדי 2025 גובש מתווה </w:t>
      </w:r>
      <w:r w:rsidRPr="00A210E9">
        <w:rPr>
          <w:rFonts w:eastAsia="Calibri" w:hint="cs"/>
          <w:rtl/>
        </w:rPr>
        <w:t>ו</w:t>
      </w:r>
      <w:r w:rsidRPr="00A210E9">
        <w:rPr>
          <w:rFonts w:eastAsia="Calibri"/>
          <w:rtl/>
        </w:rPr>
        <w:t xml:space="preserve">לפיו ככלל גם ביחס לאוכלוסיות שאינן מטופלות ישירות על ידי המוסד לביטוח לאומי, ניתן יהיה להסתייע בחברה הפועלת מטעם הביטוח הלאומי לצורך ביצוע הבדיקות הרפואיות, </w:t>
      </w:r>
      <w:r w:rsidRPr="00A210E9">
        <w:rPr>
          <w:rFonts w:eastAsia="Calibri" w:hint="cs"/>
          <w:rtl/>
        </w:rPr>
        <w:t>כדי להבטיח</w:t>
      </w:r>
      <w:r w:rsidRPr="00A210E9">
        <w:rPr>
          <w:rFonts w:eastAsia="Calibri"/>
          <w:rtl/>
        </w:rPr>
        <w:t xml:space="preserve"> </w:t>
      </w:r>
      <w:r w:rsidRPr="00A210E9">
        <w:rPr>
          <w:rFonts w:eastAsia="Calibri" w:hint="cs"/>
          <w:rtl/>
        </w:rPr>
        <w:t>שהבדיקות</w:t>
      </w:r>
      <w:r w:rsidRPr="00A210E9">
        <w:rPr>
          <w:rFonts w:eastAsia="Calibri"/>
          <w:rtl/>
        </w:rPr>
        <w:t xml:space="preserve"> </w:t>
      </w:r>
      <w:r w:rsidRPr="00A210E9">
        <w:rPr>
          <w:rFonts w:eastAsia="Calibri" w:hint="cs"/>
          <w:rtl/>
        </w:rPr>
        <w:t>יתבצעו</w:t>
      </w:r>
      <w:r w:rsidRPr="00A210E9">
        <w:rPr>
          <w:rFonts w:eastAsia="Calibri"/>
          <w:rtl/>
        </w:rPr>
        <w:t xml:space="preserve"> לפי מתודולוגיה אחידה, סדורה ומבוקרת יותר, במקום </w:t>
      </w:r>
      <w:r w:rsidRPr="00A210E9">
        <w:rPr>
          <w:rFonts w:eastAsia="Calibri" w:hint="cs"/>
          <w:rtl/>
        </w:rPr>
        <w:t>להסתמך במידה כה רבה, כפי שהיה נהוג בעבר,</w:t>
      </w:r>
      <w:r w:rsidRPr="00A210E9">
        <w:rPr>
          <w:rFonts w:eastAsia="Calibri"/>
          <w:rtl/>
        </w:rPr>
        <w:t xml:space="preserve"> על רופאי רשות הרישוי.</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ascii="David" w:eastAsia="Calibri" w:hAnsi="David" w:hint="cs"/>
          <w:sz w:val="24"/>
          <w:rtl/>
        </w:rPr>
        <w:t xml:space="preserve">הביטוח הלאומי כתב בתשובתו: </w:t>
      </w:r>
      <w:r w:rsidRPr="00A210E9">
        <w:rPr>
          <w:rFonts w:eastAsia="Calibri" w:hint="cs"/>
          <w:rtl/>
        </w:rPr>
        <w:t>"</w:t>
      </w:r>
      <w:r w:rsidRPr="00A210E9">
        <w:rPr>
          <w:rFonts w:eastAsia="Calibri"/>
          <w:rtl/>
        </w:rPr>
        <w:t xml:space="preserve">הכללים לזכאות לתג חניה לרוב האנשים עם מוגבלות ייגזרו מהחלטות ועדות הביטוח הלאומי. יחד עם זאת, לאוכלוסייה שאינה מגיעה לביטוח </w:t>
      </w:r>
      <w:r w:rsidRPr="00A210E9">
        <w:rPr>
          <w:rFonts w:eastAsia="Calibri" w:hint="cs"/>
          <w:rtl/>
        </w:rPr>
        <w:t>ה</w:t>
      </w:r>
      <w:r w:rsidRPr="00A210E9">
        <w:rPr>
          <w:rFonts w:eastAsia="Calibri"/>
          <w:rtl/>
        </w:rPr>
        <w:t>לאומי הוצע למשרד התחבורה לרכוש שירותים מספק הנותן את השירות גם לביטוח הלאומי.</w:t>
      </w:r>
      <w:r w:rsidRPr="00A210E9">
        <w:rPr>
          <w:rFonts w:eastAsia="Calibri" w:hint="cs"/>
          <w:rtl/>
        </w:rPr>
        <w:t xml:space="preserve"> </w:t>
      </w:r>
      <w:r w:rsidRPr="00A210E9">
        <w:rPr>
          <w:rFonts w:eastAsia="Calibri"/>
          <w:rtl/>
        </w:rPr>
        <w:t>בכל החלטה שתתקבל חשוב לבחון את המשאבים העומדים בפני הארגון ואת יכולותיו. כמו כן, כל החלטה צריכה להיות מעוגנת בחקיקה.</w:t>
      </w:r>
      <w:r w:rsidRPr="00A210E9">
        <w:rPr>
          <w:rFonts w:eastAsia="Calibri" w:hint="cs"/>
          <w:rtl/>
        </w:rPr>
        <w:t xml:space="preserve">" הביטוח הלאומי הוסיף: </w:t>
      </w:r>
      <w:r w:rsidRPr="00A210E9">
        <w:rPr>
          <w:rFonts w:ascii="David" w:eastAsia="Calibri" w:hAnsi="David" w:hint="cs"/>
          <w:sz w:val="24"/>
          <w:rtl/>
        </w:rPr>
        <w:t>"</w:t>
      </w:r>
      <w:r w:rsidRPr="00A210E9">
        <w:rPr>
          <w:rFonts w:ascii="David" w:eastAsia="Calibri" w:hAnsi="David"/>
          <w:sz w:val="24"/>
          <w:rtl/>
        </w:rPr>
        <w:t>האחריות הבלעדית לקביעת הזכאות לתג חניה, להבחנה בין סוגי התגים (תג רגיל ותג כיסא גלגלים) ולקבלת ההחלטות בעניין תנאי הזכאות הינה של משרד התחבורה. תפקידו של הביטוח הלאומי מתמקד בהעברת נתוני זכאות קיימים (מכוח חוקי הביטוח הלאומי) על בסיס הקריטריונים שהגדיר משרד התחבורה. הביטוח הלאומי לא יקיים ועדות ערר לנושא התגים, לא יבחן מבוטחים שאינם זכאים לבדיקה מכוח חוקי הביטוח הלאומי ולא יוכל לקבוע מי זכאי לתג עם כיסא הגלגלים.</w:t>
      </w:r>
      <w:r w:rsidRPr="00A210E9">
        <w:rPr>
          <w:rFonts w:ascii="David" w:eastAsia="Calibri" w:hAnsi="David" w:hint="cs"/>
          <w:sz w:val="24"/>
          <w:rtl/>
        </w:rPr>
        <w:t xml:space="preserve"> </w:t>
      </w:r>
      <w:r w:rsidRPr="00A210E9">
        <w:rPr>
          <w:rFonts w:ascii="David" w:eastAsia="Calibri" w:hAnsi="David"/>
          <w:sz w:val="24"/>
          <w:rtl/>
        </w:rPr>
        <w:t>עם זאת, הביטוח הלאומי נרתם לסיוע, חשיבה וביצוע פיתוחים מחשוביים בכל עת שהוא מתבקש לכך, ע"י משרד התחבורה</w:t>
      </w:r>
      <w:r w:rsidRPr="00A210E9">
        <w:rPr>
          <w:rFonts w:ascii="David" w:eastAsia="Calibri" w:hAnsi="David" w:hint="cs"/>
          <w:sz w:val="24"/>
          <w:rtl/>
        </w:rPr>
        <w:t>".</w:t>
      </w:r>
      <w:r w:rsidRPr="00A210E9">
        <w:rPr>
          <w:rFonts w:eastAsia="Calibri" w:hint="cs"/>
          <w:rtl/>
        </w:rPr>
        <w:t xml:space="preserve"> </w:t>
      </w:r>
    </w:p>
    <w:p w:rsidR="00A210E9" w:rsidRPr="00A210E9" w:rsidP="00A210E9">
      <w:pPr>
        <w:spacing w:line="269" w:lineRule="auto"/>
        <w:rPr>
          <w:rFonts w:eastAsia="Calibri"/>
          <w:rtl/>
        </w:rPr>
      </w:pPr>
      <w:bookmarkStart w:id="172" w:name="_Hlk223607277"/>
      <w:r w:rsidRPr="00A210E9">
        <w:rPr>
          <w:rFonts w:eastAsia="Calibri" w:hint="cs"/>
          <w:b/>
          <w:bCs/>
          <w:rtl/>
        </w:rPr>
        <w:t>משרד מבקר המדינה ממליץ למשרדי התחבורה והאוצר ולביטוח הלאומי לה</w:t>
      </w:r>
      <w:r w:rsidR="00245E55">
        <w:rPr>
          <w:rFonts w:eastAsia="Calibri" w:hint="cs"/>
          <w:b/>
          <w:bCs/>
          <w:rtl/>
        </w:rPr>
        <w:t>י</w:t>
      </w:r>
      <w:r w:rsidRPr="00A210E9">
        <w:rPr>
          <w:rFonts w:eastAsia="Calibri" w:hint="cs"/>
          <w:b/>
          <w:bCs/>
          <w:rtl/>
        </w:rPr>
        <w:t xml:space="preserve">ערך בהקדם ולקבוע את תהליכי העבודה והממשקים ביניהם תוך התחשבות באילוצים השונים של הגופים, במטרה לתת מענה הולם לכלל אוכלוסיות האנשים עם מוגבלות הנזקקים לתג. </w:t>
      </w:r>
    </w:p>
    <w:p w:rsidR="00A210E9" w:rsidRPr="00A210E9" w:rsidP="00A210E9">
      <w:pPr>
        <w:spacing w:line="269" w:lineRule="auto"/>
        <w:rPr>
          <w:rFonts w:eastAsia="Calibri"/>
          <w:rtl/>
        </w:rPr>
      </w:pPr>
    </w:p>
    <w:bookmarkEnd w:id="168"/>
    <w:bookmarkEnd w:id="172"/>
    <w:p w:rsidR="00A210E9" w:rsidRPr="00A210E9" w:rsidP="00C41BD9">
      <w:pPr>
        <w:keepNext/>
        <w:keepLines/>
        <w:spacing w:before="120" w:line="269" w:lineRule="auto"/>
        <w:outlineLvl w:val="3"/>
        <w:rPr>
          <w:rFonts w:eastAsia="Times New Roman"/>
          <w:bCs/>
          <w:szCs w:val="26"/>
        </w:rPr>
      </w:pPr>
      <w:r w:rsidRPr="00A210E9">
        <w:rPr>
          <w:rFonts w:eastAsia="Times New Roman"/>
          <w:bCs/>
          <w:szCs w:val="26"/>
          <w:rtl/>
        </w:rPr>
        <w:t>מערכות מידע</w:t>
      </w:r>
      <w:r w:rsidRPr="00A210E9">
        <w:rPr>
          <w:rFonts w:eastAsia="Times New Roman" w:hint="cs"/>
          <w:bCs/>
          <w:szCs w:val="26"/>
          <w:rtl/>
        </w:rPr>
        <w:t>,</w:t>
      </w:r>
      <w:r w:rsidRPr="00A210E9">
        <w:rPr>
          <w:rFonts w:eastAsia="Times New Roman"/>
          <w:bCs/>
          <w:szCs w:val="26"/>
          <w:rtl/>
        </w:rPr>
        <w:t xml:space="preserve"> שירות לציבור ודיגיטציה</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ascii="David" w:eastAsia="Times New Roman" w:hAnsi="David"/>
          <w:sz w:val="24"/>
          <w:rtl/>
        </w:rPr>
      </w:pPr>
      <w:r w:rsidRPr="00A210E9">
        <w:rPr>
          <w:rFonts w:ascii="David" w:eastAsia="Times New Roman" w:hAnsi="David"/>
          <w:sz w:val="24"/>
          <w:rtl/>
        </w:rPr>
        <w:t xml:space="preserve">אגף טכנולוגיות דיגיטליות ומידע </w:t>
      </w:r>
      <w:r w:rsidRPr="00A210E9">
        <w:rPr>
          <w:rFonts w:ascii="David" w:eastAsia="Times New Roman" w:hAnsi="David" w:hint="cs"/>
          <w:sz w:val="24"/>
          <w:rtl/>
        </w:rPr>
        <w:t xml:space="preserve">במשרד התחבורה (להלן - אגף מערכות מידע) </w:t>
      </w:r>
      <w:r w:rsidRPr="00A210E9">
        <w:rPr>
          <w:rFonts w:ascii="David" w:eastAsia="Times New Roman" w:hAnsi="David"/>
          <w:sz w:val="24"/>
          <w:rtl/>
        </w:rPr>
        <w:t xml:space="preserve">משמש זרוע מטה </w:t>
      </w:r>
      <w:r w:rsidRPr="00A210E9">
        <w:rPr>
          <w:rFonts w:ascii="David" w:eastAsia="Times New Roman" w:hAnsi="David" w:hint="cs"/>
          <w:sz w:val="24"/>
          <w:rtl/>
        </w:rPr>
        <w:t>ה</w:t>
      </w:r>
      <w:r w:rsidRPr="00A210E9">
        <w:rPr>
          <w:rFonts w:ascii="David" w:eastAsia="Times New Roman" w:hAnsi="David"/>
          <w:sz w:val="24"/>
          <w:rtl/>
        </w:rPr>
        <w:t xml:space="preserve">מתאמת </w:t>
      </w:r>
      <w:r w:rsidRPr="00A210E9">
        <w:rPr>
          <w:rFonts w:ascii="David" w:eastAsia="Times New Roman" w:hAnsi="David" w:hint="cs"/>
          <w:sz w:val="24"/>
          <w:rtl/>
        </w:rPr>
        <w:t xml:space="preserve">תהליכים שונים כמו </w:t>
      </w:r>
      <w:r w:rsidRPr="00A210E9">
        <w:rPr>
          <w:rFonts w:ascii="David" w:eastAsia="Times New Roman" w:hAnsi="David"/>
          <w:sz w:val="24"/>
          <w:rtl/>
        </w:rPr>
        <w:t>אפיון, הקמה והפעלה של מערך המידע התומך ב</w:t>
      </w:r>
      <w:r w:rsidRPr="00A210E9">
        <w:rPr>
          <w:rFonts w:ascii="David" w:eastAsia="Times New Roman" w:hAnsi="David" w:hint="cs"/>
          <w:sz w:val="24"/>
          <w:rtl/>
        </w:rPr>
        <w:t xml:space="preserve">תהליך הטכני הכולל של תג חניה (להלן - </w:t>
      </w:r>
      <w:r w:rsidRPr="00A210E9">
        <w:rPr>
          <w:rFonts w:ascii="David" w:eastAsia="Times New Roman" w:hAnsi="David"/>
          <w:sz w:val="24"/>
          <w:rtl/>
        </w:rPr>
        <w:t>מחזור חיי התג</w:t>
      </w:r>
      <w:r w:rsidRPr="00A210E9">
        <w:rPr>
          <w:rFonts w:ascii="David" w:eastAsia="Times New Roman" w:hAnsi="David" w:hint="cs"/>
          <w:sz w:val="24"/>
          <w:rtl/>
        </w:rPr>
        <w:t>)</w:t>
      </w:r>
      <w:r w:rsidRPr="00A210E9">
        <w:rPr>
          <w:rFonts w:ascii="David" w:eastAsia="Times New Roman" w:hAnsi="David"/>
          <w:sz w:val="24"/>
          <w:rtl/>
        </w:rPr>
        <w:t xml:space="preserve"> - </w:t>
      </w:r>
      <w:r w:rsidRPr="00A210E9">
        <w:rPr>
          <w:rFonts w:ascii="David" w:eastAsia="Times New Roman" w:hAnsi="David" w:hint="cs"/>
          <w:sz w:val="24"/>
          <w:rtl/>
        </w:rPr>
        <w:t xml:space="preserve">בחינת הבקשות לתג או לחידושו, </w:t>
      </w:r>
      <w:r w:rsidRPr="00A210E9">
        <w:rPr>
          <w:rFonts w:ascii="David" w:eastAsia="Times New Roman" w:hAnsi="David"/>
          <w:sz w:val="24"/>
          <w:rtl/>
        </w:rPr>
        <w:t>עדכון כלי רכב</w:t>
      </w:r>
      <w:r w:rsidRPr="00A210E9">
        <w:rPr>
          <w:rFonts w:ascii="David" w:eastAsia="Times New Roman" w:hAnsi="David" w:hint="cs"/>
          <w:sz w:val="24"/>
          <w:rtl/>
        </w:rPr>
        <w:t xml:space="preserve"> המשויכים לתג, </w:t>
      </w:r>
      <w:r w:rsidRPr="00A210E9">
        <w:rPr>
          <w:rFonts w:ascii="David" w:eastAsia="Times New Roman" w:hAnsi="David"/>
          <w:sz w:val="24"/>
          <w:rtl/>
        </w:rPr>
        <w:t xml:space="preserve">ניהול מאגרי מידע </w:t>
      </w:r>
      <w:r w:rsidRPr="00A210E9">
        <w:rPr>
          <w:rFonts w:ascii="David" w:eastAsia="Times New Roman" w:hAnsi="David" w:hint="cs"/>
          <w:sz w:val="24"/>
          <w:rtl/>
        </w:rPr>
        <w:t>(למשל, מאגר כלי רכב עם</w:t>
      </w:r>
      <w:r w:rsidRPr="00A210E9">
        <w:rPr>
          <w:rFonts w:ascii="David" w:eastAsia="Times New Roman" w:hAnsi="David"/>
          <w:sz w:val="24"/>
          <w:rtl/>
        </w:rPr>
        <w:t xml:space="preserve"> תג חניה</w:t>
      </w:r>
      <w:r w:rsidRPr="00A210E9">
        <w:rPr>
          <w:rFonts w:ascii="David" w:eastAsia="Times New Roman" w:hAnsi="David" w:hint="cs"/>
          <w:sz w:val="24"/>
          <w:rtl/>
        </w:rPr>
        <w:t>);</w:t>
      </w:r>
      <w:r w:rsidRPr="00A210E9">
        <w:rPr>
          <w:rFonts w:ascii="David" w:eastAsia="Times New Roman" w:hAnsi="David"/>
          <w:sz w:val="24"/>
          <w:rtl/>
        </w:rPr>
        <w:t xml:space="preserve"> הרשאות גישה לגופים </w:t>
      </w:r>
      <w:r w:rsidRPr="00A210E9">
        <w:rPr>
          <w:rFonts w:ascii="David" w:eastAsia="Times New Roman" w:hAnsi="David" w:hint="cs"/>
          <w:sz w:val="24"/>
          <w:rtl/>
        </w:rPr>
        <w:t>אחרים (למשל, רשות האוכלוסין),</w:t>
      </w:r>
      <w:r w:rsidRPr="00A210E9">
        <w:rPr>
          <w:rFonts w:ascii="David" w:eastAsia="Times New Roman" w:hAnsi="David"/>
          <w:sz w:val="24"/>
          <w:rtl/>
        </w:rPr>
        <w:t xml:space="preserve"> אבטחת </w:t>
      </w:r>
      <w:r w:rsidRPr="00A210E9">
        <w:rPr>
          <w:rFonts w:ascii="David" w:eastAsia="Times New Roman" w:hAnsi="David" w:hint="cs"/>
          <w:sz w:val="24"/>
          <w:rtl/>
        </w:rPr>
        <w:t xml:space="preserve">המידע במערכות, </w:t>
      </w:r>
      <w:r w:rsidRPr="00A210E9">
        <w:rPr>
          <w:rFonts w:ascii="David" w:eastAsia="Times New Roman" w:hAnsi="David"/>
          <w:sz w:val="24"/>
          <w:rtl/>
        </w:rPr>
        <w:t xml:space="preserve">רציפות תפקודית </w:t>
      </w:r>
      <w:r w:rsidRPr="00A210E9">
        <w:rPr>
          <w:rFonts w:ascii="David" w:eastAsia="Times New Roman" w:hAnsi="David" w:hint="cs"/>
          <w:sz w:val="24"/>
          <w:rtl/>
        </w:rPr>
        <w:t xml:space="preserve">בתהליכים הרלוונטיים </w:t>
      </w:r>
      <w:r w:rsidRPr="00A210E9">
        <w:rPr>
          <w:rFonts w:ascii="David" w:eastAsia="Times New Roman" w:hAnsi="David"/>
          <w:sz w:val="24"/>
          <w:rtl/>
        </w:rPr>
        <w:t>והיערכות ל</w:t>
      </w:r>
      <w:r w:rsidRPr="00A210E9">
        <w:rPr>
          <w:rFonts w:ascii="David" w:eastAsia="Times New Roman" w:hAnsi="David" w:hint="cs"/>
          <w:sz w:val="24"/>
          <w:rtl/>
        </w:rPr>
        <w:t xml:space="preserve">מעבר לשירותי </w:t>
      </w:r>
      <w:r w:rsidRPr="00A210E9">
        <w:rPr>
          <w:rFonts w:ascii="David" w:eastAsia="Times New Roman" w:hAnsi="David"/>
          <w:sz w:val="24"/>
          <w:rtl/>
        </w:rPr>
        <w:t xml:space="preserve">ענן. </w:t>
      </w:r>
      <w:r w:rsidRPr="00A210E9">
        <w:rPr>
          <w:rFonts w:ascii="David" w:eastAsia="Times New Roman" w:hAnsi="David" w:hint="cs"/>
          <w:sz w:val="24"/>
          <w:rtl/>
        </w:rPr>
        <w:t xml:space="preserve">התהליכים שאגף מערכות מידע אחראי להם נעשים בממשק עם מינהל התנועה ואגף הרישוי וגם בסיוע </w:t>
      </w:r>
      <w:r w:rsidRPr="00A210E9">
        <w:rPr>
          <w:rFonts w:ascii="David" w:eastAsia="Times New Roman" w:hAnsi="David"/>
          <w:sz w:val="24"/>
          <w:rtl/>
        </w:rPr>
        <w:t>חטיבת השירות</w:t>
      </w:r>
      <w:r w:rsidRPr="00A210E9">
        <w:rPr>
          <w:rFonts w:ascii="David" w:eastAsia="Times New Roman" w:hAnsi="David" w:hint="cs"/>
          <w:sz w:val="24"/>
          <w:rtl/>
        </w:rPr>
        <w:t xml:space="preserve"> במשרד התחבורה</w:t>
      </w:r>
      <w:r w:rsidRPr="00A210E9">
        <w:rPr>
          <w:rFonts w:ascii="David" w:eastAsia="Times New Roman" w:hAnsi="David"/>
          <w:sz w:val="24"/>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מערכות המידע המרכזיות במחזור חיי התג במשרד התחבורה הן: המערכת הרפואית - המערכת קולטת את הבקשות לתג שמוגשות דרך הממשק הדיגיטלי במרשתת, ובה מתנהל תהליך הבחינה הרפואית של הבקשה וקבלת ההחלטה על הזכאות לתג; מערכת נכים - המערכת קולטת את ההחלטה לזכאות לתג ומייצרת מאגר נתונים של בעלי תג והרכבים המשויכים לכל תג.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בסקר סיכונים 2023 מופה סיכון הקשור לאימות מידע רפואי שהתקבל ממגיש הבקשה לזכאות לתג, וצוין בו כי לא היו בידי רופאי חברה ב' כלים לאימות מסמכים רפואיים שהוגשו על ידי מבקשי התגים (רמת סיכון 13.5). נוסף על כך, מופה סיכון נוסף הקשור בתהליכים ידניים במערכות המידע באגף הרישוי - בשל מצבים של ניגוד עניינים, קבלת טובות הנאה או לחצים ואיומים המופעלים עליו עלול פקיד רישוי להזין באופן ידני במערכת נכים החלטה על אישור תג חניה, בניגוד לכך שרק רופא אמור להחליט על זכאות לתג (רמת סיכון 9</w:t>
      </w:r>
      <w:r>
        <w:rPr>
          <w:rFonts w:eastAsia="Calibri"/>
          <w:vertAlign w:val="superscript"/>
          <w:rtl/>
        </w:rPr>
        <w:footnoteReference w:id="216"/>
      </w:r>
      <w:r w:rsidRPr="00A210E9">
        <w:rPr>
          <w:rFonts w:eastAsia="Calibri" w:hint="cs"/>
          <w:rtl/>
        </w:rPr>
        <w:t>). כאמור בפרק "ההונאות שהתגלו בתהליך ההנפקה - טיפול והפקת לקחים", שני הסיכונים התממשו בשנים האחרונות כשהתגלו הונאות בתהליכי מתן זכאות לתג.</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במסגרת תיקון לחוק </w:t>
      </w:r>
      <w:r w:rsidRPr="00A210E9">
        <w:rPr>
          <w:rFonts w:eastAsia="Calibri"/>
          <w:rtl/>
        </w:rPr>
        <w:t xml:space="preserve">ניוד מידע רפואי, </w:t>
      </w:r>
      <w:r w:rsidRPr="00A210E9">
        <w:rPr>
          <w:rFonts w:eastAsia="Calibri" w:hint="cs"/>
          <w:rtl/>
        </w:rPr>
        <w:t>ה</w:t>
      </w:r>
      <w:r w:rsidRPr="00A210E9">
        <w:rPr>
          <w:rFonts w:eastAsia="Calibri"/>
          <w:rtl/>
        </w:rPr>
        <w:t>תשפ"ד-2024</w:t>
      </w:r>
      <w:r w:rsidRPr="00A210E9">
        <w:rPr>
          <w:rFonts w:eastAsia="Calibri" w:hint="cs"/>
          <w:rtl/>
        </w:rPr>
        <w:t xml:space="preserve">, הורחב </w:t>
      </w:r>
      <w:r w:rsidRPr="00A210E9">
        <w:rPr>
          <w:rFonts w:eastAsia="Calibri"/>
          <w:rtl/>
        </w:rPr>
        <w:t>מעגל הגופים שיכולים לקבל מידע רפואי באופן מוסדר ובהסכמת המטופל</w:t>
      </w:r>
      <w:r w:rsidRPr="00A210E9">
        <w:rPr>
          <w:rFonts w:eastAsia="Calibri" w:hint="cs"/>
          <w:rtl/>
        </w:rPr>
        <w:t xml:space="preserve">, ובהם גם הביטוח הלאומי ומשרד התחבורה. תיקון זה אמור לאפשר לרופאי אגף הרישוי גישה למסמכים רפואיים מאומתים, ובכך להפחית את הסיכון למתן תגים לאנשים שאינם זכאים להם. משרד התחבורה נערך ליישם החלטה זו גם לצורך הטיפול בתגי חניה, ובין היתר במסגרת המערכת הרפואית החדשה שמתוכננת עבור טיפול בבקשות לתגים.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על פי מסמך ייזום למערכת הרפואית החדשה מאפריל 2025 - "</w:t>
      </w:r>
      <w:r w:rsidRPr="00A210E9">
        <w:rPr>
          <w:rFonts w:eastAsia="Calibri"/>
          <w:rtl/>
        </w:rPr>
        <w:t>מערכת לניהול כשירות רפואית למתן שירותי רישוי ונהיגה בענפי התחבורה</w:t>
      </w:r>
      <w:r w:rsidRPr="00A210E9">
        <w:rPr>
          <w:rFonts w:eastAsia="Calibri" w:hint="cs"/>
          <w:rtl/>
        </w:rPr>
        <w:t>" -</w:t>
      </w:r>
      <w:r w:rsidRPr="00A210E9">
        <w:rPr>
          <w:rFonts w:eastAsia="Calibri"/>
          <w:rtl/>
        </w:rPr>
        <w:t xml:space="preserve"> חלק מהתהליכים</w:t>
      </w:r>
      <w:r w:rsidRPr="00A210E9">
        <w:rPr>
          <w:rFonts w:eastAsia="Calibri" w:hint="cs"/>
          <w:rtl/>
        </w:rPr>
        <w:t xml:space="preserve">, בין היתר של מחזור חיי התג, </w:t>
      </w:r>
      <w:r w:rsidRPr="00A210E9">
        <w:rPr>
          <w:rFonts w:eastAsia="Calibri"/>
          <w:rtl/>
        </w:rPr>
        <w:t xml:space="preserve">מתבצעים </w:t>
      </w:r>
      <w:r w:rsidRPr="00A210E9">
        <w:rPr>
          <w:rFonts w:eastAsia="Calibri" w:hint="cs"/>
          <w:rtl/>
        </w:rPr>
        <w:t xml:space="preserve">כאמור באופן </w:t>
      </w:r>
      <w:r w:rsidRPr="00A210E9">
        <w:rPr>
          <w:rFonts w:eastAsia="Calibri"/>
          <w:rtl/>
        </w:rPr>
        <w:t>ידני</w:t>
      </w:r>
      <w:r w:rsidRPr="00A210E9">
        <w:rPr>
          <w:rFonts w:eastAsia="Calibri" w:hint="cs"/>
          <w:rtl/>
        </w:rPr>
        <w:t xml:space="preserve"> במשרדי אגף הרישוי. </w:t>
      </w:r>
      <w:r w:rsidRPr="00A210E9">
        <w:rPr>
          <w:rFonts w:eastAsia="Calibri"/>
          <w:rtl/>
        </w:rPr>
        <w:t>חלק</w:t>
      </w:r>
      <w:r w:rsidRPr="00A210E9">
        <w:rPr>
          <w:rFonts w:eastAsia="Calibri" w:hint="cs"/>
          <w:rtl/>
        </w:rPr>
        <w:t xml:space="preserve"> אחר של התהליכים </w:t>
      </w:r>
      <w:r w:rsidRPr="00A210E9">
        <w:rPr>
          <w:rFonts w:eastAsia="Calibri"/>
          <w:rtl/>
        </w:rPr>
        <w:t>מתנהל במערכות שונות</w:t>
      </w:r>
      <w:r w:rsidRPr="00A210E9">
        <w:rPr>
          <w:rFonts w:eastAsia="Calibri" w:hint="cs"/>
          <w:rtl/>
        </w:rPr>
        <w:t xml:space="preserve">, למשל </w:t>
      </w:r>
      <w:r w:rsidRPr="00A210E9">
        <w:rPr>
          <w:rFonts w:eastAsia="Calibri"/>
          <w:rtl/>
        </w:rPr>
        <w:t>הגשת טפסים ידניים</w:t>
      </w:r>
      <w:r w:rsidRPr="00A210E9">
        <w:rPr>
          <w:rFonts w:eastAsia="Calibri" w:hint="cs"/>
          <w:rtl/>
        </w:rPr>
        <w:t xml:space="preserve"> על ידי מגישי הבקשות לתג;</w:t>
      </w:r>
      <w:r w:rsidRPr="00A210E9">
        <w:rPr>
          <w:rFonts w:eastAsia="Calibri"/>
          <w:rtl/>
        </w:rPr>
        <w:t xml:space="preserve"> ממשקים לא מסונכרנים בין הגורמים המעורבים</w:t>
      </w:r>
      <w:r w:rsidRPr="00A210E9">
        <w:rPr>
          <w:rFonts w:eastAsia="Calibri" w:hint="cs"/>
          <w:rtl/>
        </w:rPr>
        <w:t xml:space="preserve"> -</w:t>
      </w:r>
      <w:r w:rsidRPr="00A210E9">
        <w:rPr>
          <w:rFonts w:eastAsia="Calibri"/>
          <w:rtl/>
        </w:rPr>
        <w:t xml:space="preserve"> רופאים, ועדות רפואיות ו</w:t>
      </w:r>
      <w:r w:rsidRPr="00A210E9">
        <w:rPr>
          <w:rFonts w:eastAsia="Calibri" w:hint="cs"/>
          <w:rtl/>
        </w:rPr>
        <w:t>אגף</w:t>
      </w:r>
      <w:r w:rsidRPr="00A210E9">
        <w:rPr>
          <w:rFonts w:eastAsia="Calibri"/>
          <w:rtl/>
        </w:rPr>
        <w:t xml:space="preserve"> הרישוי</w:t>
      </w:r>
      <w:r w:rsidRPr="00A210E9">
        <w:rPr>
          <w:rFonts w:eastAsia="Calibri" w:hint="cs"/>
          <w:rtl/>
        </w:rPr>
        <w:t xml:space="preserve"> -</w:t>
      </w:r>
      <w:r w:rsidRPr="00A210E9">
        <w:rPr>
          <w:rFonts w:eastAsia="Calibri"/>
          <w:rtl/>
        </w:rPr>
        <w:t xml:space="preserve"> היוצרים פערי מידע ועיכובים במתן השירות ובקבלת החלטות. </w:t>
      </w:r>
      <w:r w:rsidRPr="00A210E9">
        <w:rPr>
          <w:rFonts w:eastAsia="Calibri" w:hint="cs"/>
          <w:rtl/>
        </w:rPr>
        <w:t xml:space="preserve">נוסף על כך, צוין כי </w:t>
      </w:r>
      <w:r w:rsidRPr="00A210E9">
        <w:rPr>
          <w:rFonts w:eastAsia="Calibri"/>
          <w:rtl/>
        </w:rPr>
        <w:t>מערכ</w:t>
      </w:r>
      <w:r w:rsidRPr="00A210E9">
        <w:rPr>
          <w:rFonts w:eastAsia="Calibri" w:hint="cs"/>
          <w:rtl/>
        </w:rPr>
        <w:t>ו</w:t>
      </w:r>
      <w:r w:rsidRPr="00A210E9">
        <w:rPr>
          <w:rFonts w:eastAsia="Calibri"/>
          <w:rtl/>
        </w:rPr>
        <w:t>ת</w:t>
      </w:r>
      <w:r w:rsidRPr="00A210E9">
        <w:rPr>
          <w:rFonts w:eastAsia="Calibri" w:hint="cs"/>
          <w:rtl/>
        </w:rPr>
        <w:t xml:space="preserve"> המידע</w:t>
      </w:r>
      <w:r w:rsidRPr="00A210E9">
        <w:rPr>
          <w:rFonts w:eastAsia="Calibri"/>
          <w:rtl/>
        </w:rPr>
        <w:t xml:space="preserve"> </w:t>
      </w:r>
      <w:r w:rsidRPr="00A210E9">
        <w:rPr>
          <w:rFonts w:eastAsia="Calibri" w:hint="cs"/>
          <w:rtl/>
        </w:rPr>
        <w:t>הנוכחיות</w:t>
      </w:r>
      <w:r w:rsidRPr="00A210E9">
        <w:rPr>
          <w:rFonts w:eastAsia="Calibri"/>
          <w:rtl/>
        </w:rPr>
        <w:t xml:space="preserve"> </w:t>
      </w:r>
      <w:r w:rsidRPr="00A210E9">
        <w:rPr>
          <w:rFonts w:eastAsia="Calibri" w:hint="cs"/>
          <w:rtl/>
        </w:rPr>
        <w:t>אינן</w:t>
      </w:r>
      <w:r w:rsidRPr="00A210E9">
        <w:rPr>
          <w:rFonts w:eastAsia="Calibri"/>
          <w:rtl/>
        </w:rPr>
        <w:t xml:space="preserve"> מאפשרות לתת מענה </w:t>
      </w:r>
      <w:r w:rsidRPr="00A210E9">
        <w:rPr>
          <w:rFonts w:eastAsia="Calibri" w:hint="cs"/>
          <w:rtl/>
        </w:rPr>
        <w:t>ע</w:t>
      </w:r>
      <w:r w:rsidRPr="00A210E9">
        <w:rPr>
          <w:rFonts w:eastAsia="Calibri"/>
          <w:rtl/>
        </w:rPr>
        <w:t>ל</w:t>
      </w:r>
      <w:r w:rsidRPr="00A210E9">
        <w:rPr>
          <w:rFonts w:eastAsia="Calibri" w:hint="cs"/>
          <w:rtl/>
        </w:rPr>
        <w:t xml:space="preserve"> ה</w:t>
      </w:r>
      <w:r w:rsidRPr="00A210E9">
        <w:rPr>
          <w:rFonts w:eastAsia="Calibri"/>
          <w:rtl/>
        </w:rPr>
        <w:t xml:space="preserve">צרכים החדשים </w:t>
      </w:r>
      <w:r w:rsidRPr="00A210E9">
        <w:rPr>
          <w:rFonts w:eastAsia="Calibri" w:hint="cs"/>
          <w:rtl/>
        </w:rPr>
        <w:t>שעלו</w:t>
      </w:r>
      <w:r w:rsidRPr="00A210E9">
        <w:rPr>
          <w:rFonts w:eastAsia="Calibri"/>
          <w:rtl/>
        </w:rPr>
        <w:t xml:space="preserve"> </w:t>
      </w:r>
      <w:r w:rsidRPr="00A210E9">
        <w:rPr>
          <w:rFonts w:eastAsia="Calibri" w:hint="cs"/>
          <w:rtl/>
        </w:rPr>
        <w:t>ב</w:t>
      </w:r>
      <w:r w:rsidRPr="00A210E9">
        <w:rPr>
          <w:rFonts w:eastAsia="Calibri"/>
          <w:rtl/>
        </w:rPr>
        <w:t>משרד</w:t>
      </w:r>
      <w:r w:rsidRPr="00A210E9">
        <w:rPr>
          <w:rFonts w:eastAsia="Calibri" w:hint="cs"/>
          <w:rtl/>
        </w:rPr>
        <w:t xml:space="preserve"> התחבורה,</w:t>
      </w:r>
      <w:r w:rsidRPr="00A210E9">
        <w:rPr>
          <w:rFonts w:eastAsia="Calibri"/>
          <w:rtl/>
        </w:rPr>
        <w:t xml:space="preserve"> ב</w:t>
      </w:r>
      <w:r w:rsidRPr="00A210E9">
        <w:rPr>
          <w:rFonts w:eastAsia="Calibri" w:hint="cs"/>
          <w:rtl/>
        </w:rPr>
        <w:t>ין היתר ב</w:t>
      </w:r>
      <w:r w:rsidRPr="00A210E9">
        <w:rPr>
          <w:rFonts w:eastAsia="Calibri"/>
          <w:rtl/>
        </w:rPr>
        <w:t>נו</w:t>
      </w:r>
      <w:r w:rsidRPr="00A210E9">
        <w:rPr>
          <w:rFonts w:eastAsia="Calibri" w:hint="cs"/>
          <w:rtl/>
        </w:rPr>
        <w:t>גע</w:t>
      </w:r>
      <w:r w:rsidRPr="00A210E9">
        <w:rPr>
          <w:rFonts w:eastAsia="Calibri"/>
          <w:rtl/>
        </w:rPr>
        <w:t xml:space="preserve"> </w:t>
      </w:r>
      <w:r w:rsidRPr="00A210E9">
        <w:rPr>
          <w:rFonts w:eastAsia="Calibri" w:hint="cs"/>
          <w:rtl/>
        </w:rPr>
        <w:t>לבחינת בקשות לזכאות</w:t>
      </w:r>
      <w:r w:rsidRPr="00A210E9">
        <w:rPr>
          <w:rFonts w:eastAsia="Calibri"/>
          <w:rtl/>
        </w:rPr>
        <w:t xml:space="preserve"> </w:t>
      </w:r>
      <w:r w:rsidRPr="00A210E9">
        <w:rPr>
          <w:rFonts w:eastAsia="Calibri" w:hint="cs"/>
          <w:rtl/>
        </w:rPr>
        <w:t>ל</w:t>
      </w:r>
      <w:r w:rsidRPr="00A210E9">
        <w:rPr>
          <w:rFonts w:eastAsia="Calibri"/>
          <w:rtl/>
        </w:rPr>
        <w:t>תג</w:t>
      </w:r>
      <w:r w:rsidRPr="00A210E9">
        <w:rPr>
          <w:rFonts w:eastAsia="Calibri" w:hint="cs"/>
          <w:rtl/>
        </w:rPr>
        <w:t xml:space="preserve">, למשל לאפשר </w:t>
      </w:r>
      <w:r w:rsidRPr="00A210E9">
        <w:rPr>
          <w:rFonts w:eastAsia="Calibri"/>
          <w:rtl/>
        </w:rPr>
        <w:t xml:space="preserve">שילוב מנגנוני בקרה </w:t>
      </w:r>
      <w:r w:rsidRPr="00A210E9">
        <w:rPr>
          <w:rFonts w:eastAsia="Calibri" w:hint="cs"/>
          <w:rtl/>
        </w:rPr>
        <w:t>על</w:t>
      </w:r>
      <w:r w:rsidRPr="00A210E9">
        <w:rPr>
          <w:rFonts w:eastAsia="Calibri"/>
          <w:rtl/>
        </w:rPr>
        <w:t xml:space="preserve"> מסמכים רפואיים</w:t>
      </w:r>
      <w:r w:rsidRPr="00A210E9">
        <w:rPr>
          <w:rFonts w:eastAsia="Calibri" w:hint="cs"/>
          <w:rtl/>
        </w:rPr>
        <w:t xml:space="preserve"> שנדרשים בתהליך</w:t>
      </w:r>
      <w:r w:rsidRPr="00A210E9">
        <w:rPr>
          <w:rFonts w:eastAsia="Calibri"/>
          <w:rtl/>
        </w:rPr>
        <w:t>.</w:t>
      </w:r>
      <w:r w:rsidRPr="00A210E9">
        <w:rPr>
          <w:rFonts w:eastAsia="Calibri" w:hint="cs"/>
          <w:rtl/>
        </w:rPr>
        <w:t xml:space="preserve"> כמו כן, המערכות אינן מאפשרות גם לעקוב אחר נתונים היסטוריים על מספר תגי חניה ועל שאר הנתונים ההיסטוריים במחזור חיי התג. תוכנית העבודה של אגף מערכות מידע לשנת 2025 כוללת שלבי התארגנות בפיתוח המערכת: </w:t>
      </w:r>
      <w:r w:rsidRPr="00A210E9">
        <w:rPr>
          <w:rFonts w:eastAsia="Calibri"/>
          <w:rtl/>
        </w:rPr>
        <w:t xml:space="preserve">כתיבת אפיון, בחירת ספק, פיתוח </w:t>
      </w:r>
      <w:r w:rsidRPr="00A210E9">
        <w:rPr>
          <w:rFonts w:eastAsia="Calibri" w:hint="cs"/>
          <w:rtl/>
        </w:rPr>
        <w:t>ה</w:t>
      </w:r>
      <w:r w:rsidRPr="00A210E9">
        <w:rPr>
          <w:rFonts w:eastAsia="Calibri"/>
          <w:rtl/>
        </w:rPr>
        <w:t>מערכת ובדיקות</w:t>
      </w:r>
      <w:r w:rsidRPr="00A210E9">
        <w:rPr>
          <w:rFonts w:eastAsia="Calibri" w:hint="cs"/>
          <w:rtl/>
        </w:rPr>
        <w:t>. מועד מתוכנן לסיום פיתוח המערכת הוא יוני 2026 בתקציב של 10 מיליון ש"ח ובשיתוף אגף הרישוי ובעלי עניין נוספים כמו חטיבת השירות.</w:t>
      </w:r>
    </w:p>
    <w:p w:rsidR="00E0724A">
      <w:pPr>
        <w:bidi w:val="0"/>
        <w:spacing w:after="200" w:line="276" w:lineRule="auto"/>
        <w:rPr>
          <w:rFonts w:eastAsia="Calibri"/>
          <w:b/>
          <w:bCs/>
          <w:rtl/>
        </w:rPr>
      </w:pPr>
      <w:r>
        <w:rPr>
          <w:rFonts w:eastAsia="Calibri"/>
          <w:b/>
          <w:bCs/>
          <w:rtl/>
        </w:rPr>
        <w:br w:type="page"/>
      </w:r>
    </w:p>
    <w:p w:rsidR="00A210E9" w:rsidRPr="00A210E9" w:rsidP="00A210E9">
      <w:pPr>
        <w:spacing w:line="269" w:lineRule="auto"/>
        <w:rPr>
          <w:rFonts w:ascii="David" w:eastAsia="Calibri" w:hAnsi="David"/>
          <w:b/>
          <w:bCs/>
          <w:rtl/>
        </w:rPr>
      </w:pPr>
      <w:r w:rsidRPr="00A210E9">
        <w:rPr>
          <w:rFonts w:eastAsia="Calibri" w:hint="cs"/>
          <w:b/>
          <w:bCs/>
          <w:rtl/>
        </w:rPr>
        <w:t>נמצא כי מערכות המידע הנוכחיות לניהול מחזור חיי התג כוללות תהליכים ידניים וממשקים לא מסונכרנים בין גורמים מעורבים, המביאים לעיכובים במתן שירות ובקבלת החלטות, והן אינן</w:t>
      </w:r>
      <w:r w:rsidRPr="00A210E9">
        <w:rPr>
          <w:rFonts w:ascii="David" w:eastAsia="Calibri" w:hAnsi="David" w:hint="cs"/>
          <w:b/>
          <w:bCs/>
          <w:rtl/>
        </w:rPr>
        <w:t xml:space="preserve"> נותנות מענה מלא על הצרכים הנדרשים של אגף הרישוי. צרכים אלה נוגעים בין היתר ליכולות החדשות שנדרשות, במסגרת התיקון לחוק ניוד מידע רפואי, התשפ"ד-2024, באשר לניוד מידע בין משרד התחבורה לגופים המאשרים, וגם נוכח היעדר יכולת מעקב אחר נתונים היסטוריים במחזור חיי התג, כמו מספר תגי חניה ומספר רכבים המשויכים לתגי החניה.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ascii="David" w:eastAsia="Calibri" w:hAnsi="David"/>
          <w:b/>
          <w:bCs/>
          <w:rtl/>
        </w:rPr>
      </w:pPr>
      <w:r w:rsidRPr="00A210E9">
        <w:rPr>
          <w:rFonts w:eastAsia="Calibri" w:hint="eastAsia"/>
          <w:rtl/>
        </w:rPr>
        <w:t>משרד</w:t>
      </w:r>
      <w:r w:rsidRPr="00A210E9">
        <w:rPr>
          <w:rFonts w:eastAsia="Calibri"/>
          <w:rtl/>
        </w:rPr>
        <w:t xml:space="preserve"> התחבורה כתב בתשובתו כי בשנת 2025 המערכת </w:t>
      </w:r>
      <w:r w:rsidRPr="00A210E9">
        <w:rPr>
          <w:rFonts w:eastAsia="Calibri" w:hint="cs"/>
          <w:rtl/>
        </w:rPr>
        <w:t>הו</w:t>
      </w:r>
      <w:r w:rsidRPr="00A210E9">
        <w:rPr>
          <w:rFonts w:eastAsia="Calibri"/>
          <w:rtl/>
        </w:rPr>
        <w:t xml:space="preserve">עלתה לענן </w:t>
      </w:r>
      <w:r w:rsidRPr="00A210E9">
        <w:rPr>
          <w:rFonts w:eastAsia="Calibri" w:hint="eastAsia"/>
          <w:rtl/>
        </w:rPr>
        <w:t>ובוצע</w:t>
      </w:r>
      <w:r w:rsidRPr="00A210E9">
        <w:rPr>
          <w:rFonts w:eastAsia="Calibri"/>
          <w:rtl/>
        </w:rPr>
        <w:t xml:space="preserve"> שדרוג טכנולוגי של התוכנה ובסיס הנתונים לגרסאות עדכניות. </w:t>
      </w:r>
      <w:r w:rsidRPr="00A210E9">
        <w:rPr>
          <w:rFonts w:eastAsia="Calibri" w:hint="cs"/>
          <w:rtl/>
        </w:rPr>
        <w:t>כמו כן המשרד</w:t>
      </w:r>
      <w:r w:rsidRPr="00A210E9">
        <w:rPr>
          <w:rFonts w:eastAsia="Calibri"/>
          <w:rtl/>
        </w:rPr>
        <w:t xml:space="preserve"> ציין כי המערכת </w:t>
      </w:r>
      <w:r w:rsidRPr="00A210E9">
        <w:rPr>
          <w:rFonts w:eastAsia="Calibri" w:hint="eastAsia"/>
          <w:rtl/>
        </w:rPr>
        <w:t>הרפואית</w:t>
      </w:r>
      <w:r w:rsidRPr="00A210E9">
        <w:rPr>
          <w:rFonts w:eastAsia="Calibri"/>
          <w:rtl/>
        </w:rPr>
        <w:t xml:space="preserve"> החדשה תפותח </w:t>
      </w:r>
      <w:r w:rsidRPr="00A210E9">
        <w:rPr>
          <w:rFonts w:eastAsia="Calibri" w:hint="cs"/>
          <w:rtl/>
        </w:rPr>
        <w:t xml:space="preserve">גם היא </w:t>
      </w:r>
      <w:r w:rsidRPr="00A210E9">
        <w:rPr>
          <w:rFonts w:eastAsia="Calibri"/>
          <w:rtl/>
        </w:rPr>
        <w:t xml:space="preserve">על פלטפורמת </w:t>
      </w:r>
      <w:r w:rsidRPr="00A210E9">
        <w:rPr>
          <w:rFonts w:eastAsia="Calibri" w:hint="eastAsia"/>
          <w:rtl/>
        </w:rPr>
        <w:t>ענן</w:t>
      </w:r>
      <w:r w:rsidRPr="00A210E9">
        <w:rPr>
          <w:rFonts w:eastAsia="Calibri" w:hint="cs"/>
          <w:rtl/>
        </w:rPr>
        <w:t>,</w:t>
      </w:r>
      <w:r w:rsidRPr="00A210E9">
        <w:rPr>
          <w:rFonts w:eastAsia="Calibri"/>
          <w:rtl/>
        </w:rPr>
        <w:t xml:space="preserve"> </w:t>
      </w:r>
      <w:r w:rsidRPr="00A210E9">
        <w:rPr>
          <w:rFonts w:eastAsia="Calibri" w:hint="cs"/>
          <w:rtl/>
        </w:rPr>
        <w:t>וכי היא תאפשר שימוש</w:t>
      </w:r>
      <w:r w:rsidRPr="00A210E9">
        <w:rPr>
          <w:rFonts w:eastAsia="Calibri"/>
          <w:rtl/>
        </w:rPr>
        <w:t xml:space="preserve"> בכלים מתקדמים ובבינה מלאכותית </w:t>
      </w:r>
      <w:r w:rsidRPr="00A210E9">
        <w:rPr>
          <w:rFonts w:eastAsia="Calibri" w:hint="eastAsia"/>
          <w:rtl/>
        </w:rPr>
        <w:t>לצורך</w:t>
      </w:r>
      <w:r w:rsidRPr="00A210E9">
        <w:rPr>
          <w:rFonts w:eastAsia="Calibri"/>
          <w:rtl/>
        </w:rPr>
        <w:t xml:space="preserve"> בדיק</w:t>
      </w:r>
      <w:r w:rsidRPr="00A210E9">
        <w:rPr>
          <w:rFonts w:eastAsia="Calibri" w:hint="cs"/>
          <w:rtl/>
        </w:rPr>
        <w:t>ה מילולית ותחבירית של</w:t>
      </w:r>
      <w:r w:rsidRPr="00A210E9">
        <w:rPr>
          <w:rFonts w:eastAsia="Calibri"/>
          <w:rtl/>
        </w:rPr>
        <w:t xml:space="preserve"> </w:t>
      </w:r>
      <w:r w:rsidRPr="00A210E9">
        <w:rPr>
          <w:rFonts w:eastAsia="Calibri" w:hint="cs"/>
          <w:rtl/>
        </w:rPr>
        <w:t>ה</w:t>
      </w:r>
      <w:r w:rsidRPr="00A210E9">
        <w:rPr>
          <w:rFonts w:eastAsia="Calibri"/>
          <w:rtl/>
        </w:rPr>
        <w:t xml:space="preserve">החלטות </w:t>
      </w:r>
      <w:r w:rsidRPr="00A210E9">
        <w:rPr>
          <w:rFonts w:eastAsia="Calibri" w:hint="cs"/>
          <w:rtl/>
        </w:rPr>
        <w:t xml:space="preserve">והנימוקים של </w:t>
      </w:r>
      <w:r w:rsidRPr="00A210E9">
        <w:rPr>
          <w:rFonts w:eastAsia="Calibri"/>
          <w:rtl/>
        </w:rPr>
        <w:t>הרופאים בהתאם לנהלים</w:t>
      </w:r>
      <w:r w:rsidRPr="00A210E9">
        <w:rPr>
          <w:rFonts w:eastAsia="Calibri" w:hint="cs"/>
          <w:rtl/>
        </w:rPr>
        <w:t>;</w:t>
      </w:r>
      <w:r w:rsidRPr="00A210E9">
        <w:rPr>
          <w:rFonts w:eastAsia="Calibri"/>
          <w:rtl/>
        </w:rPr>
        <w:t xml:space="preserve"> ו</w:t>
      </w:r>
      <w:r w:rsidRPr="00A210E9">
        <w:rPr>
          <w:rFonts w:eastAsia="Calibri" w:hint="cs"/>
          <w:rtl/>
        </w:rPr>
        <w:t xml:space="preserve">לצורך </w:t>
      </w:r>
      <w:r w:rsidRPr="00A210E9">
        <w:rPr>
          <w:rFonts w:eastAsia="Calibri"/>
          <w:rtl/>
        </w:rPr>
        <w:t xml:space="preserve">בדיקת הליך ההחלטה והמסמכים הרפואיים לזיהוי חריגות </w:t>
      </w:r>
      <w:r w:rsidRPr="00A210E9">
        <w:rPr>
          <w:rFonts w:eastAsia="Calibri" w:hint="cs"/>
          <w:rtl/>
        </w:rPr>
        <w:t>ו</w:t>
      </w:r>
      <w:r w:rsidRPr="00A210E9">
        <w:rPr>
          <w:rFonts w:eastAsia="Calibri"/>
          <w:rtl/>
        </w:rPr>
        <w:t>דפוסי התנהג</w:t>
      </w:r>
      <w:r w:rsidRPr="00A210E9">
        <w:rPr>
          <w:rFonts w:eastAsia="Calibri" w:hint="eastAsia"/>
          <w:rtl/>
        </w:rPr>
        <w:t>ו</w:t>
      </w:r>
      <w:r w:rsidRPr="00A210E9">
        <w:rPr>
          <w:rFonts w:eastAsia="Calibri"/>
          <w:rtl/>
        </w:rPr>
        <w:t>ת ו</w:t>
      </w:r>
      <w:r w:rsidRPr="00A210E9">
        <w:rPr>
          <w:rFonts w:eastAsia="Calibri" w:hint="cs"/>
          <w:rtl/>
        </w:rPr>
        <w:t xml:space="preserve">כן לצורך </w:t>
      </w:r>
      <w:r w:rsidRPr="00A210E9">
        <w:rPr>
          <w:rFonts w:eastAsia="Calibri" w:hint="eastAsia"/>
          <w:rtl/>
        </w:rPr>
        <w:t>בחינת</w:t>
      </w:r>
      <w:r w:rsidRPr="00A210E9">
        <w:rPr>
          <w:rFonts w:eastAsia="Calibri"/>
          <w:rtl/>
        </w:rPr>
        <w:t xml:space="preserve"> </w:t>
      </w:r>
      <w:r w:rsidRPr="00A210E9">
        <w:rPr>
          <w:rFonts w:eastAsia="Calibri" w:hint="cs"/>
          <w:rtl/>
        </w:rPr>
        <w:t>ה</w:t>
      </w:r>
      <w:r w:rsidRPr="00A210E9">
        <w:rPr>
          <w:rFonts w:eastAsia="Calibri"/>
          <w:rtl/>
        </w:rPr>
        <w:t xml:space="preserve">מהימנות </w:t>
      </w:r>
      <w:r w:rsidRPr="00A210E9">
        <w:rPr>
          <w:rFonts w:eastAsia="Calibri" w:hint="eastAsia"/>
          <w:rtl/>
        </w:rPr>
        <w:t>של</w:t>
      </w:r>
      <w:r w:rsidRPr="00A210E9">
        <w:rPr>
          <w:rFonts w:eastAsia="Calibri"/>
          <w:rtl/>
        </w:rPr>
        <w:t xml:space="preserve"> הבדיקה הרפואי</w:t>
      </w:r>
      <w:r w:rsidRPr="00A210E9">
        <w:rPr>
          <w:rFonts w:eastAsia="Calibri" w:hint="eastAsia"/>
          <w:rtl/>
        </w:rPr>
        <w:t>ת</w:t>
      </w:r>
      <w:r w:rsidRPr="00A210E9">
        <w:rPr>
          <w:rFonts w:eastAsia="Calibri" w:hint="cs"/>
          <w:rtl/>
        </w:rPr>
        <w:t xml:space="preserve"> שבהתבסס עליה התקבלה ההחלטה</w:t>
      </w:r>
      <w:r w:rsidRPr="00A210E9">
        <w:rPr>
          <w:rFonts w:eastAsia="Calibri"/>
        </w:rPr>
        <w:t>.</w:t>
      </w:r>
      <w:r w:rsidRPr="00A210E9">
        <w:rPr>
          <w:rFonts w:eastAsia="Calibri"/>
          <w:rtl/>
        </w:rPr>
        <w:t xml:space="preserve"> </w:t>
      </w:r>
      <w:r w:rsidRPr="00A210E9">
        <w:rPr>
          <w:rFonts w:eastAsia="Calibri" w:hint="eastAsia"/>
          <w:rtl/>
        </w:rPr>
        <w:t>המשרד</w:t>
      </w:r>
      <w:r w:rsidRPr="00A210E9">
        <w:rPr>
          <w:rFonts w:eastAsia="Calibri"/>
          <w:rtl/>
        </w:rPr>
        <w:t xml:space="preserve"> </w:t>
      </w:r>
      <w:r w:rsidRPr="00A210E9">
        <w:rPr>
          <w:rFonts w:eastAsia="Calibri" w:hint="eastAsia"/>
          <w:rtl/>
        </w:rPr>
        <w:t>הדגיש</w:t>
      </w:r>
      <w:r w:rsidRPr="00A210E9">
        <w:rPr>
          <w:rFonts w:eastAsia="Calibri"/>
          <w:rtl/>
        </w:rPr>
        <w:t xml:space="preserve"> כי </w:t>
      </w:r>
      <w:r w:rsidRPr="00A210E9">
        <w:rPr>
          <w:rFonts w:eastAsia="Calibri" w:hint="cs"/>
          <w:rtl/>
        </w:rPr>
        <w:t>גורמי הפיקוח והבקרה יקבלו התראה בזמן אמת על</w:t>
      </w:r>
      <w:r w:rsidRPr="00A210E9">
        <w:rPr>
          <w:rFonts w:eastAsia="Calibri"/>
          <w:rtl/>
        </w:rPr>
        <w:t xml:space="preserve"> החלטות שיזוהו כחשודות או </w:t>
      </w:r>
      <w:r w:rsidRPr="00A210E9">
        <w:rPr>
          <w:rFonts w:eastAsia="Calibri" w:hint="cs"/>
          <w:rtl/>
        </w:rPr>
        <w:t xml:space="preserve">ככאלה שהתקבלו </w:t>
      </w:r>
      <w:r w:rsidRPr="00A210E9">
        <w:rPr>
          <w:rFonts w:eastAsia="Calibri"/>
          <w:rtl/>
        </w:rPr>
        <w:t xml:space="preserve">שלא על פי הנהלים. </w:t>
      </w:r>
      <w:r w:rsidRPr="00A210E9">
        <w:rPr>
          <w:rFonts w:eastAsia="Calibri" w:hint="cs"/>
          <w:rtl/>
        </w:rPr>
        <w:t>המשרד</w:t>
      </w:r>
      <w:r w:rsidRPr="00A210E9">
        <w:rPr>
          <w:rFonts w:eastAsia="Calibri"/>
          <w:rtl/>
        </w:rPr>
        <w:t xml:space="preserve"> הוסיף</w:t>
      </w:r>
      <w:r w:rsidRPr="00A210E9">
        <w:rPr>
          <w:rFonts w:eastAsia="Calibri" w:hint="cs"/>
          <w:rtl/>
        </w:rPr>
        <w:t xml:space="preserve"> כי </w:t>
      </w:r>
      <w:r w:rsidRPr="00A210E9">
        <w:rPr>
          <w:rFonts w:eastAsia="Calibri"/>
          <w:rtl/>
        </w:rPr>
        <w:t>במערכת הרפואית החדשה לא תהיה הגבלה על משאבי</w:t>
      </w:r>
      <w:r w:rsidRPr="00A210E9">
        <w:rPr>
          <w:rFonts w:eastAsia="Calibri" w:hint="cs"/>
          <w:rtl/>
        </w:rPr>
        <w:t xml:space="preserve"> </w:t>
      </w:r>
      <w:r w:rsidRPr="00A210E9">
        <w:rPr>
          <w:rFonts w:eastAsia="Calibri"/>
          <w:rtl/>
        </w:rPr>
        <w:t>האחסון ותתאפשר הצלבה של מידע ונתונים לאורך מחזור חיי התג</w:t>
      </w:r>
      <w:r w:rsidRPr="00A210E9">
        <w:rPr>
          <w:rFonts w:eastAsia="Calibri" w:hint="cs"/>
          <w:rtl/>
        </w:rPr>
        <w:t>, לרבות מעקב אחר שינויים ב</w:t>
      </w:r>
      <w:r w:rsidRPr="00A210E9">
        <w:rPr>
          <w:rFonts w:eastAsia="Calibri"/>
          <w:rtl/>
        </w:rPr>
        <w:t xml:space="preserve">מספר </w:t>
      </w:r>
      <w:r w:rsidRPr="00A210E9">
        <w:rPr>
          <w:rFonts w:eastAsia="Calibri" w:hint="cs"/>
          <w:rtl/>
        </w:rPr>
        <w:t xml:space="preserve">התגים </w:t>
      </w:r>
      <w:r w:rsidRPr="00A210E9">
        <w:rPr>
          <w:rFonts w:eastAsia="Calibri"/>
          <w:rtl/>
        </w:rPr>
        <w:t>ובמספר הרכבים המשויכים אליהם לאורך זמן.</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ascii="David" w:eastAsia="Times New Roman" w:hAnsi="David"/>
          <w:b/>
          <w:bCs/>
          <w:sz w:val="24"/>
          <w:rtl/>
        </w:rPr>
      </w:pPr>
      <w:r w:rsidRPr="00A210E9">
        <w:rPr>
          <w:rFonts w:ascii="David" w:eastAsia="Times New Roman" w:hAnsi="David" w:hint="cs"/>
          <w:b/>
          <w:bCs/>
          <w:sz w:val="24"/>
          <w:rtl/>
        </w:rPr>
        <w:t xml:space="preserve">על משרד התחבורה להמשיך ולקדם את פיתוח מערכות המידע על פי תוכנית העבודה שהוצגה, וליישם ולהטמיע את המערכת הרפואית החדשה כדי לתת מענה על כל הצרכים ולעמוד באתגרים שעימם מתמודד אגף הרישוי. </w:t>
      </w:r>
    </w:p>
    <w:p w:rsidR="00A210E9" w:rsidRPr="00A210E9" w:rsidP="00A210E9">
      <w:pPr>
        <w:spacing w:line="269" w:lineRule="auto"/>
        <w:rPr>
          <w:rFonts w:ascii="David" w:eastAsia="Times New Roman" w:hAnsi="David"/>
          <w:b/>
          <w:bCs/>
          <w:sz w:val="24"/>
          <w:rtl/>
        </w:rPr>
      </w:pPr>
    </w:p>
    <w:p w:rsidR="00A210E9" w:rsidRPr="00A210E9" w:rsidP="00C41BD9">
      <w:pPr>
        <w:keepNext/>
        <w:keepLines/>
        <w:spacing w:before="100" w:beforeAutospacing="1" w:line="269" w:lineRule="auto"/>
        <w:outlineLvl w:val="2"/>
        <w:rPr>
          <w:rFonts w:eastAsia="Times New Roman"/>
          <w:bCs/>
          <w:szCs w:val="28"/>
          <w:u w:val="single"/>
          <w:rtl/>
        </w:rPr>
      </w:pPr>
      <w:r w:rsidRPr="00A210E9">
        <w:rPr>
          <w:rFonts w:eastAsia="Times New Roman" w:hint="eastAsia"/>
          <w:bCs/>
          <w:szCs w:val="28"/>
          <w:u w:val="single"/>
          <w:rtl/>
        </w:rPr>
        <w:t>שיתוף</w:t>
      </w:r>
      <w:r w:rsidRPr="00A210E9">
        <w:rPr>
          <w:rFonts w:eastAsia="Times New Roman"/>
          <w:bCs/>
          <w:szCs w:val="28"/>
          <w:u w:val="single"/>
          <w:rtl/>
        </w:rPr>
        <w:t xml:space="preserve"> </w:t>
      </w:r>
      <w:r w:rsidRPr="00A210E9">
        <w:rPr>
          <w:rFonts w:eastAsia="Times New Roman" w:hint="eastAsia"/>
          <w:bCs/>
          <w:szCs w:val="28"/>
          <w:u w:val="single"/>
          <w:rtl/>
        </w:rPr>
        <w:t>גופים</w:t>
      </w:r>
      <w:r w:rsidRPr="00A210E9">
        <w:rPr>
          <w:rFonts w:eastAsia="Times New Roman"/>
          <w:bCs/>
          <w:szCs w:val="28"/>
          <w:u w:val="single"/>
          <w:rtl/>
        </w:rPr>
        <w:t xml:space="preserve"> </w:t>
      </w:r>
      <w:r w:rsidRPr="00A210E9">
        <w:rPr>
          <w:rFonts w:eastAsia="Times New Roman" w:hint="eastAsia"/>
          <w:bCs/>
          <w:szCs w:val="28"/>
          <w:u w:val="single"/>
          <w:rtl/>
        </w:rPr>
        <w:t>נוספים</w:t>
      </w:r>
      <w:r w:rsidRPr="00A210E9">
        <w:rPr>
          <w:rFonts w:eastAsia="Times New Roman"/>
          <w:bCs/>
          <w:szCs w:val="28"/>
          <w:u w:val="single"/>
          <w:rtl/>
        </w:rPr>
        <w:t xml:space="preserve"> </w:t>
      </w:r>
      <w:r w:rsidRPr="00A210E9">
        <w:rPr>
          <w:rFonts w:eastAsia="Times New Roman" w:hint="eastAsia"/>
          <w:bCs/>
          <w:szCs w:val="28"/>
          <w:u w:val="single"/>
          <w:rtl/>
        </w:rPr>
        <w:t>הרלוונטי</w:t>
      </w:r>
      <w:r w:rsidRPr="00A210E9">
        <w:rPr>
          <w:rFonts w:eastAsia="Times New Roman" w:hint="cs"/>
          <w:bCs/>
          <w:szCs w:val="28"/>
          <w:u w:val="single"/>
          <w:rtl/>
        </w:rPr>
        <w:t>י</w:t>
      </w:r>
      <w:r w:rsidRPr="00A210E9">
        <w:rPr>
          <w:rFonts w:eastAsia="Times New Roman" w:hint="eastAsia"/>
          <w:bCs/>
          <w:szCs w:val="28"/>
          <w:u w:val="single"/>
          <w:rtl/>
        </w:rPr>
        <w:t>ם</w:t>
      </w:r>
      <w:r w:rsidRPr="00A210E9">
        <w:rPr>
          <w:rFonts w:eastAsia="Times New Roman" w:hint="cs"/>
          <w:bCs/>
          <w:szCs w:val="28"/>
          <w:u w:val="single"/>
          <w:rtl/>
        </w:rPr>
        <w:t xml:space="preserve"> </w:t>
      </w:r>
      <w:r w:rsidRPr="00A210E9">
        <w:rPr>
          <w:rFonts w:eastAsia="Times New Roman" w:hint="eastAsia"/>
          <w:bCs/>
          <w:szCs w:val="28"/>
          <w:u w:val="single"/>
          <w:rtl/>
        </w:rPr>
        <w:t>למתן</w:t>
      </w:r>
      <w:r w:rsidRPr="00A210E9">
        <w:rPr>
          <w:rFonts w:eastAsia="Times New Roman"/>
          <w:bCs/>
          <w:szCs w:val="28"/>
          <w:u w:val="single"/>
          <w:rtl/>
        </w:rPr>
        <w:t xml:space="preserve"> </w:t>
      </w:r>
      <w:r w:rsidRPr="00A210E9">
        <w:rPr>
          <w:rFonts w:eastAsia="Times New Roman" w:hint="eastAsia"/>
          <w:bCs/>
          <w:szCs w:val="28"/>
          <w:u w:val="single"/>
          <w:rtl/>
        </w:rPr>
        <w:t>תגי</w:t>
      </w:r>
      <w:r w:rsidRPr="00A210E9">
        <w:rPr>
          <w:rFonts w:eastAsia="Times New Roman"/>
          <w:bCs/>
          <w:szCs w:val="28"/>
          <w:u w:val="single"/>
          <w:rtl/>
        </w:rPr>
        <w:t xml:space="preserve"> </w:t>
      </w:r>
      <w:r w:rsidRPr="00A210E9">
        <w:rPr>
          <w:rFonts w:eastAsia="Times New Roman" w:hint="eastAsia"/>
          <w:bCs/>
          <w:szCs w:val="28"/>
          <w:u w:val="single"/>
          <w:rtl/>
        </w:rPr>
        <w:t>חניה</w:t>
      </w:r>
      <w:r w:rsidRPr="00A210E9">
        <w:rPr>
          <w:rFonts w:eastAsia="Times New Roman" w:hint="cs"/>
          <w:bCs/>
          <w:szCs w:val="28"/>
          <w:u w:val="single"/>
          <w:rtl/>
        </w:rPr>
        <w:t xml:space="preserve"> והשימוש בהם</w:t>
      </w:r>
    </w:p>
    <w:p w:rsidR="00A210E9" w:rsidRPr="00673C9C" w:rsidP="00673C9C">
      <w:pPr>
        <w:spacing w:line="269" w:lineRule="auto"/>
        <w:rPr>
          <w:rFonts w:eastAsia="Calibri"/>
          <w:rtl/>
        </w:rPr>
      </w:pPr>
    </w:p>
    <w:p w:rsidR="00A210E9" w:rsidRPr="00A210E9" w:rsidP="00A210E9">
      <w:pPr>
        <w:keepNext/>
        <w:keepLines/>
        <w:spacing w:line="269" w:lineRule="auto"/>
        <w:outlineLvl w:val="3"/>
        <w:rPr>
          <w:rFonts w:eastAsia="Calibri"/>
          <w:bCs/>
          <w:szCs w:val="26"/>
          <w:rtl/>
        </w:rPr>
      </w:pPr>
      <w:r w:rsidRPr="00A210E9">
        <w:rPr>
          <w:rFonts w:eastAsia="Calibri" w:hint="cs"/>
          <w:bCs/>
          <w:szCs w:val="26"/>
          <w:rtl/>
        </w:rPr>
        <w:t xml:space="preserve">נציבות שוויון זכויות לאנשים עם מוגבלות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נציבות שוויון זכויות לאנשים עם מוגבלות היא יחידה הפועלת במשרד המשפטים, והיא המאסדר הלאומי בתחום זכויותיהם של אנשים עם מוגבלות בישראל</w:t>
      </w:r>
      <w:r w:rsidRPr="00A210E9">
        <w:rPr>
          <w:rFonts w:eastAsia="Calibri"/>
          <w:rtl/>
        </w:rPr>
        <w:t>.</w:t>
      </w:r>
      <w:r w:rsidRPr="00A210E9">
        <w:rPr>
          <w:rFonts w:eastAsia="Calibri" w:hint="cs"/>
          <w:rtl/>
        </w:rPr>
        <w:t xml:space="preserve"> הנציבות הוקמה בשנת 2000 מכוח חוק שוויון זכויות לאנשים עם מוגבלות, והיא הממונה על יישומו של חוק זה. בין יתר פעילויותיה הנציבות היא הגוף האחראי לאכיפת חוק שוויון זכויות לאנשים עם מוגבלות, והיא גם שותפה לעיצוב מדיניות ציבורית, לגיבוש חקיקה ולמתן חוות דעת משפטיות בנושאים שבתחומי אחריותה</w:t>
      </w:r>
      <w:r>
        <w:rPr>
          <w:rFonts w:eastAsia="Calibri"/>
          <w:vertAlign w:val="superscript"/>
          <w:rtl/>
        </w:rPr>
        <w:footnoteReference w:id="217"/>
      </w:r>
      <w:r w:rsidRPr="00A210E9">
        <w:rPr>
          <w:rFonts w:eastAsia="Calibri" w:hint="cs"/>
          <w:rtl/>
        </w:rPr>
        <w:t>. מתוקף תפקידה פועלת הנציבות למען כלל האנשים עם מוגבלות, ועל כן היא</w:t>
      </w:r>
      <w:r w:rsidRPr="00A210E9">
        <w:rPr>
          <w:rFonts w:eastAsia="Calibri"/>
          <w:rtl/>
        </w:rPr>
        <w:t xml:space="preserve"> </w:t>
      </w:r>
      <w:r w:rsidRPr="00A210E9">
        <w:rPr>
          <w:rFonts w:eastAsia="Calibri" w:hint="cs"/>
          <w:rtl/>
        </w:rPr>
        <w:t>גוף</w:t>
      </w:r>
      <w:r w:rsidRPr="00A210E9">
        <w:rPr>
          <w:rFonts w:eastAsia="Calibri"/>
          <w:rtl/>
        </w:rPr>
        <w:t xml:space="preserve"> </w:t>
      </w:r>
      <w:r w:rsidRPr="00A210E9">
        <w:rPr>
          <w:rFonts w:eastAsia="Calibri" w:hint="cs"/>
          <w:rtl/>
        </w:rPr>
        <w:t>שיכול</w:t>
      </w:r>
      <w:r w:rsidRPr="00A210E9">
        <w:rPr>
          <w:rFonts w:eastAsia="Calibri"/>
          <w:rtl/>
        </w:rPr>
        <w:t xml:space="preserve"> </w:t>
      </w:r>
      <w:r w:rsidRPr="00A210E9">
        <w:rPr>
          <w:rFonts w:eastAsia="Calibri" w:hint="eastAsia"/>
          <w:rtl/>
        </w:rPr>
        <w:t>לתרום</w:t>
      </w:r>
      <w:r w:rsidRPr="00A210E9">
        <w:rPr>
          <w:rFonts w:eastAsia="Calibri"/>
          <w:rtl/>
        </w:rPr>
        <w:t xml:space="preserve"> </w:t>
      </w:r>
      <w:r w:rsidRPr="00A210E9">
        <w:rPr>
          <w:rFonts w:eastAsia="Calibri" w:hint="eastAsia"/>
          <w:rtl/>
        </w:rPr>
        <w:t>מנ</w:t>
      </w:r>
      <w:r w:rsidRPr="00A210E9">
        <w:rPr>
          <w:rFonts w:eastAsia="Calibri" w:hint="cs"/>
          <w:rtl/>
        </w:rPr>
        <w:t>י</w:t>
      </w:r>
      <w:r w:rsidRPr="00A210E9">
        <w:rPr>
          <w:rFonts w:eastAsia="Calibri" w:hint="eastAsia"/>
          <w:rtl/>
        </w:rPr>
        <w:t>סיונו</w:t>
      </w:r>
      <w:r w:rsidRPr="00A210E9">
        <w:rPr>
          <w:rFonts w:eastAsia="Calibri"/>
          <w:rtl/>
        </w:rPr>
        <w:t xml:space="preserve"> ו</w:t>
      </w:r>
      <w:r w:rsidRPr="00A210E9">
        <w:rPr>
          <w:rFonts w:eastAsia="Calibri" w:hint="cs"/>
          <w:rtl/>
        </w:rPr>
        <w:t>לסייע</w:t>
      </w:r>
      <w:r w:rsidRPr="00A210E9">
        <w:rPr>
          <w:rFonts w:eastAsia="Calibri"/>
          <w:rtl/>
        </w:rPr>
        <w:t xml:space="preserve"> </w:t>
      </w:r>
      <w:r w:rsidRPr="00A210E9">
        <w:rPr>
          <w:rFonts w:eastAsia="Calibri" w:hint="cs"/>
          <w:rtl/>
        </w:rPr>
        <w:t>למשרד</w:t>
      </w:r>
      <w:r w:rsidRPr="00A210E9">
        <w:rPr>
          <w:rFonts w:eastAsia="Calibri"/>
          <w:rtl/>
        </w:rPr>
        <w:t xml:space="preserve"> </w:t>
      </w:r>
      <w:r w:rsidRPr="00A210E9">
        <w:rPr>
          <w:rFonts w:eastAsia="Calibri" w:hint="cs"/>
          <w:rtl/>
        </w:rPr>
        <w:t>התחבורה</w:t>
      </w:r>
      <w:r w:rsidRPr="00A210E9">
        <w:rPr>
          <w:rFonts w:eastAsia="Calibri"/>
          <w:rtl/>
        </w:rPr>
        <w:t xml:space="preserve"> לבחון באופן </w:t>
      </w:r>
      <w:r w:rsidRPr="00A210E9">
        <w:rPr>
          <w:rFonts w:eastAsia="Calibri" w:hint="cs"/>
          <w:rtl/>
        </w:rPr>
        <w:t>מתכלל</w:t>
      </w:r>
      <w:r w:rsidRPr="00A210E9">
        <w:rPr>
          <w:rFonts w:eastAsia="Calibri"/>
          <w:rtl/>
        </w:rPr>
        <w:t xml:space="preserve"> את הסוגיות העולות בהקשר לתגי חניה </w:t>
      </w:r>
      <w:r w:rsidRPr="00A210E9">
        <w:rPr>
          <w:rFonts w:eastAsia="Calibri" w:hint="cs"/>
          <w:rtl/>
        </w:rPr>
        <w:t>ו</w:t>
      </w:r>
      <w:r w:rsidRPr="00A210E9">
        <w:rPr>
          <w:rFonts w:eastAsia="Calibri"/>
          <w:rtl/>
        </w:rPr>
        <w:t xml:space="preserve">לאזן בין שלל </w:t>
      </w:r>
      <w:r w:rsidRPr="00A210E9">
        <w:rPr>
          <w:rFonts w:eastAsia="Calibri" w:hint="cs"/>
          <w:rtl/>
        </w:rPr>
        <w:t>השיקולים</w:t>
      </w:r>
      <w:r w:rsidRPr="00A210E9">
        <w:rPr>
          <w:rFonts w:eastAsia="Calibri"/>
          <w:rtl/>
        </w:rPr>
        <w:t xml:space="preserve"> </w:t>
      </w:r>
      <w:r w:rsidRPr="00A210E9">
        <w:rPr>
          <w:rFonts w:eastAsia="Calibri" w:hint="cs"/>
          <w:rtl/>
        </w:rPr>
        <w:t>והאינטרסים</w:t>
      </w:r>
      <w:r w:rsidRPr="00A210E9">
        <w:rPr>
          <w:rFonts w:eastAsia="Calibri"/>
          <w:rtl/>
        </w:rPr>
        <w:t xml:space="preserve">, ובכך לסייע </w:t>
      </w:r>
      <w:r w:rsidRPr="00A210E9">
        <w:rPr>
          <w:rFonts w:eastAsia="Calibri" w:hint="cs"/>
          <w:rtl/>
        </w:rPr>
        <w:t>בידו</w:t>
      </w:r>
      <w:r w:rsidRPr="00A210E9">
        <w:rPr>
          <w:rFonts w:eastAsia="Calibri"/>
          <w:rtl/>
        </w:rPr>
        <w:t xml:space="preserve"> לגבש מדיניות מתאימה ומאוזנת, בין היתר בהקשר של גיבוש קריטריונים מתאימים לזכאות </w:t>
      </w:r>
      <w:r w:rsidRPr="00A210E9">
        <w:rPr>
          <w:rFonts w:eastAsia="Calibri" w:hint="cs"/>
          <w:rtl/>
        </w:rPr>
        <w:t>ודיוק</w:t>
      </w:r>
      <w:r w:rsidRPr="00A210E9">
        <w:rPr>
          <w:rFonts w:eastAsia="Calibri"/>
          <w:rtl/>
        </w:rPr>
        <w:t xml:space="preserve"> </w:t>
      </w:r>
      <w:r w:rsidRPr="00A210E9">
        <w:rPr>
          <w:rFonts w:eastAsia="Calibri" w:hint="cs"/>
          <w:rtl/>
        </w:rPr>
        <w:t>של</w:t>
      </w:r>
      <w:r w:rsidRPr="00A210E9">
        <w:rPr>
          <w:rFonts w:eastAsia="Calibri"/>
          <w:rtl/>
        </w:rPr>
        <w:t xml:space="preserve"> </w:t>
      </w:r>
      <w:r w:rsidRPr="00A210E9">
        <w:rPr>
          <w:rFonts w:eastAsia="Calibri" w:hint="cs"/>
          <w:rtl/>
        </w:rPr>
        <w:t>הזכויות</w:t>
      </w:r>
      <w:r w:rsidRPr="00A210E9">
        <w:rPr>
          <w:rFonts w:eastAsia="Calibri"/>
          <w:rtl/>
        </w:rPr>
        <w:t xml:space="preserve"> </w:t>
      </w:r>
      <w:r w:rsidRPr="00A210E9">
        <w:rPr>
          <w:rFonts w:eastAsia="Calibri" w:hint="eastAsia"/>
          <w:rtl/>
        </w:rPr>
        <w:t>הנלוות</w:t>
      </w:r>
      <w:r w:rsidRPr="00A210E9">
        <w:rPr>
          <w:rFonts w:eastAsia="Calibri"/>
          <w:rtl/>
        </w:rPr>
        <w:t xml:space="preserve"> </w:t>
      </w:r>
      <w:r w:rsidRPr="00A210E9">
        <w:rPr>
          <w:rFonts w:eastAsia="Calibri" w:hint="eastAsia"/>
          <w:rtl/>
        </w:rPr>
        <w:t>לתגי</w:t>
      </w:r>
      <w:r w:rsidRPr="00A210E9">
        <w:rPr>
          <w:rFonts w:eastAsia="Calibri"/>
          <w:rtl/>
        </w:rPr>
        <w:t xml:space="preserve"> </w:t>
      </w:r>
      <w:r w:rsidRPr="00A210E9">
        <w:rPr>
          <w:rFonts w:eastAsia="Calibri" w:hint="eastAsia"/>
          <w:rtl/>
        </w:rPr>
        <w:t>החניה</w:t>
      </w:r>
      <w:r w:rsidRPr="00A210E9">
        <w:rPr>
          <w:rFonts w:eastAsia="Calibri"/>
          <w:rtl/>
        </w:rPr>
        <w:t>.</w:t>
      </w:r>
      <w:r w:rsidRPr="00A210E9">
        <w:rPr>
          <w:rFonts w:eastAsia="Calibri" w:hint="cs"/>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בתחום שוויון הזכויות לאנשים עם מוגבלויות, בעמדות של עמותות שונות הפועלות בתחום בא לידי ביטוי מגוון של שיקולים ואינטרסים של אוכלוסיות שונות. למשל, אחת העמותות גורסת כי יש לבסס את הזכאות לתג על מגבלה בניידות פיזית בפועל. ולטענתה, הרחבת הזכאות למי שאינם מתמודדים עם מוגבלות פיזית עלולה להביא לכך שיינתנו תגי חניה רבים למי שאינם זקוקים לכך בהכרח, והדבר יגרום למחסור במקומות חניה לנכים, אף מדובר במשאב מוגבל מאוד. מנגד יש המדגישים צרכים של אוכלוסיות נוספות, כגון </w:t>
      </w:r>
      <w:r w:rsidRPr="00A210E9">
        <w:rPr>
          <w:rFonts w:eastAsia="Calibri"/>
          <w:sz w:val="16"/>
          <w:rtl/>
        </w:rPr>
        <w:t>אנשים על הרצף האוטיסטי ברמת תפקוד נמוכה</w:t>
      </w:r>
      <w:r w:rsidRPr="00A210E9">
        <w:rPr>
          <w:rFonts w:eastAsia="Calibri" w:hint="cs"/>
          <w:rtl/>
        </w:rPr>
        <w:t xml:space="preserve"> או אנשים עם מחלות גסטרולוגיות קשות. מכאן שחשוב כי הנציבות, כגוף בעל ראייה רחבה, תוכל לתכלל את העמדות השונות של עמותות אלה ולסייע לקבל החלטות מאוזנות. </w:t>
      </w:r>
    </w:p>
    <w:p w:rsidR="00A210E9" w:rsidRPr="00A210E9" w:rsidP="00A210E9">
      <w:pPr>
        <w:spacing w:line="269" w:lineRule="auto"/>
        <w:rPr>
          <w:rFonts w:eastAsia="Calibri"/>
          <w:rtl/>
        </w:rPr>
      </w:pPr>
      <w:r w:rsidRPr="00A210E9">
        <w:rPr>
          <w:rFonts w:eastAsia="Calibri" w:hint="cs"/>
          <w:rtl/>
        </w:rPr>
        <w:t xml:space="preserve">בביקורת עלה כי נציבות שוויון זכויות הייתה חברה בצוות בין-משרדי שהקים משרד התחבורה בשנת 2006. הצוות האמור גיבש את תזכיר חוק 2008 שכאמור אף כלל קריטריונים רפואיים מפורטים לזכאות. במהלך השנים שלאחר מכן לא הייתה הנציבות שותפה לעבודת המטה </w:t>
      </w:r>
      <w:r w:rsidRPr="00A210E9">
        <w:rPr>
          <w:rFonts w:eastAsia="Calibri" w:hint="eastAsia"/>
          <w:rtl/>
        </w:rPr>
        <w:t>שהוביל</w:t>
      </w:r>
      <w:r w:rsidRPr="00A210E9">
        <w:rPr>
          <w:rFonts w:eastAsia="Calibri" w:hint="cs"/>
          <w:rtl/>
        </w:rPr>
        <w:t xml:space="preserve"> משרד התחבורה</w:t>
      </w:r>
      <w:r w:rsidRPr="00A210E9">
        <w:rPr>
          <w:rFonts w:eastAsia="Calibri"/>
          <w:rtl/>
        </w:rPr>
        <w:t xml:space="preserve"> בהקשר של תגי חניה, מלבד השתתפות </w:t>
      </w:r>
      <w:r w:rsidRPr="00A210E9">
        <w:rPr>
          <w:rFonts w:eastAsia="Calibri" w:hint="eastAsia"/>
          <w:rtl/>
        </w:rPr>
        <w:t>בדיון</w:t>
      </w:r>
      <w:r w:rsidRPr="00A210E9">
        <w:rPr>
          <w:rFonts w:eastAsia="Calibri"/>
          <w:rtl/>
        </w:rPr>
        <w:t xml:space="preserve"> אחד </w:t>
      </w:r>
      <w:r w:rsidRPr="00A210E9">
        <w:rPr>
          <w:rFonts w:eastAsia="Calibri" w:hint="eastAsia"/>
          <w:rtl/>
        </w:rPr>
        <w:t>בלבד</w:t>
      </w:r>
      <w:r w:rsidRPr="00A210E9">
        <w:rPr>
          <w:rFonts w:eastAsia="Calibri"/>
          <w:rtl/>
        </w:rPr>
        <w:t xml:space="preserve"> </w:t>
      </w:r>
      <w:r w:rsidRPr="00A210E9">
        <w:rPr>
          <w:rFonts w:eastAsia="Calibri" w:hint="eastAsia"/>
          <w:rtl/>
        </w:rPr>
        <w:t>של</w:t>
      </w:r>
      <w:r w:rsidRPr="00A210E9">
        <w:rPr>
          <w:rFonts w:eastAsia="Calibri"/>
          <w:rtl/>
        </w:rPr>
        <w:t xml:space="preserve"> צוות </w:t>
      </w:r>
      <w:r w:rsidRPr="00A210E9">
        <w:rPr>
          <w:rFonts w:eastAsia="Calibri" w:hint="cs"/>
          <w:rtl/>
        </w:rPr>
        <w:t>2022 (במרץ 2023)</w:t>
      </w:r>
      <w:r w:rsidRPr="00A210E9">
        <w:rPr>
          <w:rFonts w:eastAsia="Calibri"/>
          <w:rtl/>
        </w:rPr>
        <w:t xml:space="preserve"> </w:t>
      </w:r>
      <w:r w:rsidRPr="00A210E9">
        <w:rPr>
          <w:rFonts w:eastAsia="Calibri" w:hint="eastAsia"/>
          <w:rtl/>
        </w:rPr>
        <w:t>שמונה</w:t>
      </w:r>
      <w:r w:rsidRPr="00A210E9">
        <w:rPr>
          <w:rFonts w:eastAsia="Calibri"/>
          <w:rtl/>
        </w:rPr>
        <w:t xml:space="preserve"> </w:t>
      </w:r>
      <w:r w:rsidRPr="00A210E9">
        <w:rPr>
          <w:rFonts w:eastAsia="Calibri" w:hint="eastAsia"/>
          <w:rtl/>
        </w:rPr>
        <w:t>על</w:t>
      </w:r>
      <w:r w:rsidRPr="00A210E9">
        <w:rPr>
          <w:rFonts w:eastAsia="Calibri"/>
          <w:rtl/>
        </w:rPr>
        <w:t xml:space="preserve"> </w:t>
      </w:r>
      <w:r w:rsidRPr="00A210E9">
        <w:rPr>
          <w:rFonts w:eastAsia="Calibri" w:hint="eastAsia"/>
          <w:rtl/>
        </w:rPr>
        <w:t>ידי</w:t>
      </w:r>
      <w:r w:rsidRPr="00A210E9">
        <w:rPr>
          <w:rFonts w:eastAsia="Calibri"/>
          <w:rtl/>
        </w:rPr>
        <w:t xml:space="preserve"> </w:t>
      </w:r>
      <w:r w:rsidRPr="00A210E9">
        <w:rPr>
          <w:rFonts w:eastAsia="Calibri" w:hint="eastAsia"/>
          <w:rtl/>
        </w:rPr>
        <w:t>משרד</w:t>
      </w:r>
      <w:r w:rsidRPr="00A210E9">
        <w:rPr>
          <w:rFonts w:eastAsia="Calibri"/>
          <w:rtl/>
        </w:rPr>
        <w:t xml:space="preserve"> </w:t>
      </w:r>
      <w:r w:rsidRPr="00A210E9">
        <w:rPr>
          <w:rFonts w:eastAsia="Calibri" w:hint="eastAsia"/>
          <w:rtl/>
        </w:rPr>
        <w:t>התחבורה</w:t>
      </w:r>
      <w:r w:rsidRPr="00A210E9">
        <w:rPr>
          <w:rFonts w:eastAsia="Calibri"/>
          <w:rtl/>
        </w:rPr>
        <w:t xml:space="preserve">. יצוין כי </w:t>
      </w:r>
      <w:r w:rsidRPr="00A210E9">
        <w:rPr>
          <w:rFonts w:eastAsia="Calibri" w:hint="eastAsia"/>
          <w:rtl/>
        </w:rPr>
        <w:t>הנציבות</w:t>
      </w:r>
      <w:r w:rsidRPr="00A210E9">
        <w:rPr>
          <w:rFonts w:eastAsia="Calibri"/>
          <w:rtl/>
        </w:rPr>
        <w:t xml:space="preserve"> </w:t>
      </w:r>
      <w:r w:rsidRPr="00A210E9">
        <w:rPr>
          <w:rFonts w:eastAsia="Calibri" w:hint="cs"/>
          <w:rtl/>
        </w:rPr>
        <w:t xml:space="preserve">אינה </w:t>
      </w:r>
      <w:r w:rsidRPr="00A210E9">
        <w:rPr>
          <w:rFonts w:eastAsia="Calibri"/>
          <w:rtl/>
        </w:rPr>
        <w:t xml:space="preserve">שותפה </w:t>
      </w:r>
      <w:r w:rsidRPr="00A210E9">
        <w:rPr>
          <w:rFonts w:eastAsia="Calibri" w:hint="eastAsia"/>
          <w:rtl/>
        </w:rPr>
        <w:t>גם</w:t>
      </w:r>
      <w:r w:rsidRPr="00A210E9">
        <w:rPr>
          <w:rFonts w:eastAsia="Calibri"/>
          <w:rtl/>
        </w:rPr>
        <w:t xml:space="preserve"> </w:t>
      </w:r>
      <w:r w:rsidRPr="00A210E9">
        <w:rPr>
          <w:rFonts w:eastAsia="Calibri" w:hint="eastAsia"/>
          <w:rtl/>
        </w:rPr>
        <w:t xml:space="preserve">בצוות </w:t>
      </w:r>
      <w:r w:rsidRPr="00A210E9">
        <w:rPr>
          <w:rFonts w:eastAsia="Calibri" w:hint="cs"/>
          <w:rtl/>
        </w:rPr>
        <w:t>ה</w:t>
      </w:r>
      <w:r w:rsidRPr="00A210E9">
        <w:rPr>
          <w:rFonts w:eastAsia="Calibri" w:hint="eastAsia"/>
          <w:rtl/>
        </w:rPr>
        <w:t>בין-משרדי 2025</w:t>
      </w:r>
      <w:r w:rsidRPr="00A210E9">
        <w:rPr>
          <w:rFonts w:eastAsia="Calibri"/>
          <w:rtl/>
        </w:rPr>
        <w:t xml:space="preserve"> שמ</w:t>
      </w:r>
      <w:r w:rsidRPr="00A210E9">
        <w:rPr>
          <w:rFonts w:eastAsia="Calibri" w:hint="cs"/>
          <w:rtl/>
        </w:rPr>
        <w:t>י</w:t>
      </w:r>
      <w:r w:rsidRPr="00A210E9">
        <w:rPr>
          <w:rFonts w:eastAsia="Calibri"/>
          <w:rtl/>
        </w:rPr>
        <w:t>נ</w:t>
      </w:r>
      <w:r w:rsidRPr="00A210E9">
        <w:rPr>
          <w:rFonts w:eastAsia="Calibri" w:hint="cs"/>
          <w:rtl/>
        </w:rPr>
        <w:t>ו</w:t>
      </w:r>
      <w:r w:rsidRPr="00A210E9">
        <w:rPr>
          <w:rFonts w:eastAsia="Calibri"/>
          <w:rtl/>
        </w:rPr>
        <w:t xml:space="preserve"> </w:t>
      </w:r>
      <w:r w:rsidRPr="00A210E9">
        <w:rPr>
          <w:rFonts w:eastAsia="Calibri" w:hint="eastAsia"/>
          <w:rtl/>
        </w:rPr>
        <w:t>החשכ</w:t>
      </w:r>
      <w:r w:rsidRPr="00A210E9">
        <w:rPr>
          <w:rFonts w:eastAsia="Calibri"/>
          <w:rtl/>
        </w:rPr>
        <w:t xml:space="preserve">"ל, </w:t>
      </w:r>
      <w:r w:rsidRPr="00A210E9">
        <w:rPr>
          <w:rFonts w:eastAsia="Calibri" w:hint="eastAsia"/>
          <w:rtl/>
        </w:rPr>
        <w:t>מנכ</w:t>
      </w:r>
      <w:r w:rsidRPr="00A210E9">
        <w:rPr>
          <w:rFonts w:eastAsia="Calibri"/>
          <w:rtl/>
        </w:rPr>
        <w:t xml:space="preserve">"ל </w:t>
      </w:r>
      <w:r w:rsidRPr="00A210E9">
        <w:rPr>
          <w:rFonts w:eastAsia="Calibri" w:hint="eastAsia"/>
          <w:rtl/>
        </w:rPr>
        <w:t>משרד</w:t>
      </w:r>
      <w:r w:rsidRPr="00A210E9">
        <w:rPr>
          <w:rFonts w:eastAsia="Calibri"/>
          <w:rtl/>
        </w:rPr>
        <w:t xml:space="preserve"> </w:t>
      </w:r>
      <w:r w:rsidRPr="00A210E9">
        <w:rPr>
          <w:rFonts w:eastAsia="Calibri" w:hint="eastAsia"/>
          <w:rtl/>
        </w:rPr>
        <w:t>התחבורה</w:t>
      </w:r>
      <w:r w:rsidRPr="00A210E9">
        <w:rPr>
          <w:rFonts w:eastAsia="Calibri"/>
          <w:rtl/>
        </w:rPr>
        <w:t xml:space="preserve">, </w:t>
      </w:r>
      <w:r w:rsidRPr="00A210E9">
        <w:rPr>
          <w:rFonts w:eastAsia="Calibri" w:hint="eastAsia"/>
          <w:rtl/>
        </w:rPr>
        <w:t>מנכ</w:t>
      </w:r>
      <w:r w:rsidRPr="00A210E9">
        <w:rPr>
          <w:rFonts w:eastAsia="Calibri"/>
          <w:rtl/>
        </w:rPr>
        <w:t xml:space="preserve">"ל </w:t>
      </w:r>
      <w:r w:rsidRPr="00A210E9">
        <w:rPr>
          <w:rFonts w:eastAsia="Calibri" w:hint="eastAsia"/>
          <w:rtl/>
        </w:rPr>
        <w:t>הביטוח הלאומי</w:t>
      </w:r>
      <w:r w:rsidRPr="00A210E9">
        <w:rPr>
          <w:rFonts w:eastAsia="Calibri"/>
          <w:rtl/>
        </w:rPr>
        <w:t xml:space="preserve"> </w:t>
      </w:r>
      <w:r w:rsidRPr="00A210E9">
        <w:rPr>
          <w:rFonts w:eastAsia="Calibri" w:hint="eastAsia"/>
          <w:rtl/>
        </w:rPr>
        <w:t>והממונה</w:t>
      </w:r>
      <w:r w:rsidRPr="00A210E9">
        <w:rPr>
          <w:rFonts w:eastAsia="Calibri"/>
          <w:rtl/>
        </w:rPr>
        <w:t xml:space="preserve"> </w:t>
      </w:r>
      <w:r w:rsidRPr="00A210E9">
        <w:rPr>
          <w:rFonts w:eastAsia="Calibri" w:hint="eastAsia"/>
          <w:rtl/>
        </w:rPr>
        <w:t>על</w:t>
      </w:r>
      <w:r w:rsidRPr="00A210E9">
        <w:rPr>
          <w:rFonts w:eastAsia="Calibri"/>
          <w:rtl/>
        </w:rPr>
        <w:t xml:space="preserve"> </w:t>
      </w:r>
      <w:r w:rsidRPr="00A210E9">
        <w:rPr>
          <w:rFonts w:eastAsia="Calibri" w:hint="eastAsia"/>
          <w:rtl/>
        </w:rPr>
        <w:t>התקציבים</w:t>
      </w:r>
      <w:r w:rsidRPr="00A210E9">
        <w:rPr>
          <w:rFonts w:eastAsia="Calibri"/>
          <w:rtl/>
        </w:rPr>
        <w:t xml:space="preserve"> </w:t>
      </w:r>
      <w:r w:rsidRPr="00A210E9">
        <w:rPr>
          <w:rFonts w:eastAsia="Calibri" w:hint="eastAsia"/>
          <w:rtl/>
        </w:rPr>
        <w:t>במשרד</w:t>
      </w:r>
      <w:r w:rsidRPr="00A210E9">
        <w:rPr>
          <w:rFonts w:eastAsia="Calibri"/>
          <w:rtl/>
        </w:rPr>
        <w:t xml:space="preserve"> </w:t>
      </w:r>
      <w:r w:rsidRPr="00A210E9">
        <w:rPr>
          <w:rFonts w:eastAsia="Calibri" w:hint="eastAsia"/>
          <w:rtl/>
        </w:rPr>
        <w:t>האוצר</w:t>
      </w:r>
      <w:r w:rsidRPr="00A210E9">
        <w:rPr>
          <w:rFonts w:eastAsia="Calibri" w:hint="cs"/>
          <w:rtl/>
        </w:rPr>
        <w:t>, והיא אינה שותפה להחלטות הנוגעות לאוכלוסיות שיושפעו מיישום התוכנית הכלכלית לשנת 2026</w:t>
      </w:r>
      <w:r w:rsidRPr="00A210E9">
        <w:rPr>
          <w:rFonts w:eastAsia="Calibri"/>
          <w:rtl/>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אשר למימוש ההטבות הנלוות לתגי החניה, נציבות שוויון זכויות מעורבת בכתיבת טיוטת תקנות דרכים נגישות העוסקת בהסדרת ההקצאה של חניות לאנשים עם מוגבלות ליד המדרכות שבאחריות שר הפנים (נכון למועד סיום הביקורת לא הותקנו התקנות). עם זאת, לא הייתה הנציבות מעורבת בנושאים אחרים שבהם הייתה יכולה להיות לה אמירה, כגון בשאלה למי לתת את הזכות לחנות בחניות לרכב עם מעלון או בקביעת קריטריונים לחניה אישית לאדם עם מוגבלות.</w:t>
      </w:r>
    </w:p>
    <w:p w:rsidR="00A210E9" w:rsidRPr="00A210E9" w:rsidP="00A210E9">
      <w:pPr>
        <w:keepNext/>
        <w:keepLines/>
        <w:spacing w:line="269" w:lineRule="auto"/>
        <w:ind w:left="-567"/>
        <w:rPr>
          <w:rFonts w:eastAsia="Calibri"/>
          <w:szCs w:val="20"/>
          <w:rtl/>
        </w:rPr>
      </w:pPr>
      <w:r w:rsidRPr="00A210E9">
        <w:rPr>
          <w:rFonts w:eastAsia="Calibri" w:hint="cs"/>
          <w:szCs w:val="20"/>
          <w:rtl/>
        </w:rPr>
        <w:t xml:space="preserve"> </w:t>
      </w:r>
    </w:p>
    <w:p w:rsidR="00A210E9" w:rsidRPr="00A210E9" w:rsidP="00A210E9">
      <w:pPr>
        <w:spacing w:line="269" w:lineRule="auto"/>
        <w:rPr>
          <w:rFonts w:eastAsia="Calibri"/>
          <w:b/>
          <w:bCs/>
          <w:rtl/>
        </w:rPr>
      </w:pPr>
      <w:r w:rsidRPr="00A210E9">
        <w:rPr>
          <w:rFonts w:eastAsia="Calibri"/>
          <w:b/>
          <w:bCs/>
          <w:rtl/>
        </w:rPr>
        <w:t xml:space="preserve">בביקורת עלה כי </w:t>
      </w:r>
      <w:r w:rsidRPr="00A210E9">
        <w:rPr>
          <w:rFonts w:eastAsia="Calibri" w:hint="eastAsia"/>
          <w:b/>
          <w:bCs/>
          <w:rtl/>
        </w:rPr>
        <w:t>משנת</w:t>
      </w:r>
      <w:r w:rsidRPr="00A210E9">
        <w:rPr>
          <w:rFonts w:eastAsia="Calibri"/>
          <w:b/>
          <w:bCs/>
          <w:rtl/>
        </w:rPr>
        <w:t xml:space="preserve"> 2008 משרד התחבורה כמעט שלא </w:t>
      </w:r>
      <w:r w:rsidRPr="00A210E9">
        <w:rPr>
          <w:rFonts w:eastAsia="Calibri" w:hint="eastAsia"/>
          <w:b/>
          <w:bCs/>
          <w:rtl/>
        </w:rPr>
        <w:t>שיתף</w:t>
      </w:r>
      <w:r w:rsidRPr="00A210E9">
        <w:rPr>
          <w:rFonts w:eastAsia="Calibri"/>
          <w:b/>
          <w:bCs/>
          <w:rtl/>
        </w:rPr>
        <w:t xml:space="preserve"> </w:t>
      </w:r>
      <w:r w:rsidRPr="00A210E9">
        <w:rPr>
          <w:rFonts w:eastAsia="Calibri" w:hint="eastAsia"/>
          <w:b/>
          <w:bCs/>
          <w:rtl/>
        </w:rPr>
        <w:t>את</w:t>
      </w:r>
      <w:r w:rsidRPr="00A210E9">
        <w:rPr>
          <w:rFonts w:eastAsia="Calibri"/>
          <w:b/>
          <w:bCs/>
          <w:rtl/>
        </w:rPr>
        <w:t xml:space="preserve"> </w:t>
      </w:r>
      <w:r w:rsidRPr="00A210E9">
        <w:rPr>
          <w:rFonts w:eastAsia="Calibri" w:hint="eastAsia"/>
          <w:b/>
          <w:bCs/>
          <w:rtl/>
        </w:rPr>
        <w:t>נציבות</w:t>
      </w:r>
      <w:r w:rsidRPr="00A210E9">
        <w:rPr>
          <w:rFonts w:eastAsia="Calibri"/>
          <w:b/>
          <w:bCs/>
          <w:rtl/>
        </w:rPr>
        <w:t xml:space="preserve"> </w:t>
      </w:r>
      <w:r w:rsidRPr="00A210E9">
        <w:rPr>
          <w:rFonts w:eastAsia="Calibri" w:hint="eastAsia"/>
          <w:b/>
          <w:bCs/>
          <w:rtl/>
        </w:rPr>
        <w:t>שוויון</w:t>
      </w:r>
      <w:r w:rsidRPr="00A210E9">
        <w:rPr>
          <w:rFonts w:eastAsia="Calibri"/>
          <w:b/>
          <w:bCs/>
          <w:rtl/>
        </w:rPr>
        <w:t xml:space="preserve"> </w:t>
      </w:r>
      <w:r w:rsidRPr="00A210E9">
        <w:rPr>
          <w:rFonts w:eastAsia="Calibri" w:hint="eastAsia"/>
          <w:b/>
          <w:bCs/>
          <w:rtl/>
        </w:rPr>
        <w:t>זכויות</w:t>
      </w:r>
      <w:r w:rsidRPr="00A210E9">
        <w:rPr>
          <w:rFonts w:eastAsia="Calibri"/>
          <w:b/>
          <w:bCs/>
          <w:rtl/>
        </w:rPr>
        <w:t xml:space="preserve"> </w:t>
      </w:r>
      <w:r w:rsidRPr="00A210E9">
        <w:rPr>
          <w:rFonts w:eastAsia="Calibri" w:hint="eastAsia"/>
          <w:b/>
          <w:bCs/>
          <w:rtl/>
        </w:rPr>
        <w:t>בתהליכי</w:t>
      </w:r>
      <w:r w:rsidRPr="00A210E9">
        <w:rPr>
          <w:rFonts w:eastAsia="Calibri"/>
          <w:b/>
          <w:bCs/>
          <w:rtl/>
        </w:rPr>
        <w:t xml:space="preserve"> </w:t>
      </w:r>
      <w:r w:rsidRPr="00A210E9">
        <w:rPr>
          <w:rFonts w:eastAsia="Calibri" w:hint="eastAsia"/>
          <w:b/>
          <w:bCs/>
          <w:rtl/>
        </w:rPr>
        <w:t>קבלת</w:t>
      </w:r>
      <w:r w:rsidRPr="00A210E9">
        <w:rPr>
          <w:rFonts w:eastAsia="Calibri"/>
          <w:b/>
          <w:bCs/>
          <w:rtl/>
        </w:rPr>
        <w:t xml:space="preserve"> </w:t>
      </w:r>
      <w:r w:rsidRPr="00A210E9">
        <w:rPr>
          <w:rFonts w:eastAsia="Calibri" w:hint="eastAsia"/>
          <w:b/>
          <w:bCs/>
          <w:rtl/>
        </w:rPr>
        <w:t>ההחלטות</w:t>
      </w:r>
      <w:r w:rsidRPr="00A210E9">
        <w:rPr>
          <w:rFonts w:eastAsia="Calibri"/>
          <w:b/>
          <w:bCs/>
          <w:rtl/>
        </w:rPr>
        <w:t xml:space="preserve"> ובדיונים מקצועיים </w:t>
      </w:r>
      <w:r w:rsidRPr="00A210E9">
        <w:rPr>
          <w:rFonts w:eastAsia="Calibri" w:hint="eastAsia"/>
          <w:b/>
          <w:bCs/>
          <w:rtl/>
        </w:rPr>
        <w:t>שבהם</w:t>
      </w:r>
      <w:r w:rsidRPr="00A210E9">
        <w:rPr>
          <w:rFonts w:eastAsia="Calibri"/>
          <w:b/>
          <w:bCs/>
          <w:rtl/>
        </w:rPr>
        <w:t xml:space="preserve"> </w:t>
      </w:r>
      <w:r w:rsidRPr="00A210E9">
        <w:rPr>
          <w:rFonts w:eastAsia="Calibri" w:hint="eastAsia"/>
          <w:b/>
          <w:bCs/>
          <w:rtl/>
        </w:rPr>
        <w:t>אמורה</w:t>
      </w:r>
      <w:r w:rsidRPr="00A210E9">
        <w:rPr>
          <w:rFonts w:eastAsia="Calibri"/>
          <w:b/>
          <w:bCs/>
          <w:rtl/>
        </w:rPr>
        <w:t xml:space="preserve"> </w:t>
      </w:r>
      <w:r w:rsidRPr="00A210E9">
        <w:rPr>
          <w:rFonts w:eastAsia="Calibri" w:hint="eastAsia"/>
          <w:b/>
          <w:bCs/>
          <w:rtl/>
        </w:rPr>
        <w:t>הייתה</w:t>
      </w:r>
      <w:r w:rsidRPr="00A210E9">
        <w:rPr>
          <w:rFonts w:eastAsia="Calibri"/>
          <w:b/>
          <w:bCs/>
          <w:rtl/>
        </w:rPr>
        <w:t xml:space="preserve"> </w:t>
      </w:r>
      <w:r w:rsidRPr="00A210E9">
        <w:rPr>
          <w:rFonts w:eastAsia="Calibri" w:hint="eastAsia"/>
          <w:b/>
          <w:bCs/>
          <w:rtl/>
        </w:rPr>
        <w:t>להיקבע</w:t>
      </w:r>
      <w:r w:rsidRPr="00A210E9">
        <w:rPr>
          <w:rFonts w:eastAsia="Calibri"/>
          <w:b/>
          <w:bCs/>
          <w:rtl/>
        </w:rPr>
        <w:t xml:space="preserve"> </w:t>
      </w:r>
      <w:r w:rsidRPr="00A210E9">
        <w:rPr>
          <w:rFonts w:eastAsia="Calibri" w:hint="eastAsia"/>
          <w:b/>
          <w:bCs/>
          <w:rtl/>
        </w:rPr>
        <w:t>המדיניות</w:t>
      </w:r>
      <w:r w:rsidRPr="00A210E9">
        <w:rPr>
          <w:rFonts w:eastAsia="Calibri"/>
          <w:b/>
          <w:bCs/>
          <w:rtl/>
        </w:rPr>
        <w:t xml:space="preserve"> </w:t>
      </w:r>
      <w:r w:rsidRPr="00A210E9">
        <w:rPr>
          <w:rFonts w:eastAsia="Calibri" w:hint="eastAsia"/>
          <w:b/>
          <w:bCs/>
          <w:rtl/>
        </w:rPr>
        <w:t>בתחום</w:t>
      </w:r>
      <w:r w:rsidRPr="00A210E9">
        <w:rPr>
          <w:rFonts w:eastAsia="Calibri"/>
          <w:b/>
          <w:bCs/>
          <w:rtl/>
        </w:rPr>
        <w:t xml:space="preserve"> </w:t>
      </w:r>
      <w:r w:rsidRPr="00A210E9">
        <w:rPr>
          <w:rFonts w:eastAsia="Calibri" w:hint="eastAsia"/>
          <w:b/>
          <w:bCs/>
          <w:rtl/>
        </w:rPr>
        <w:t>תגי</w:t>
      </w:r>
      <w:r w:rsidRPr="00A210E9">
        <w:rPr>
          <w:rFonts w:eastAsia="Calibri"/>
          <w:b/>
          <w:bCs/>
          <w:rtl/>
        </w:rPr>
        <w:t xml:space="preserve"> </w:t>
      </w:r>
      <w:r w:rsidRPr="00A210E9">
        <w:rPr>
          <w:rFonts w:eastAsia="Calibri" w:hint="eastAsia"/>
          <w:b/>
          <w:bCs/>
          <w:rtl/>
        </w:rPr>
        <w:t>החניה</w:t>
      </w:r>
      <w:r w:rsidRPr="00A210E9">
        <w:rPr>
          <w:rFonts w:eastAsia="Calibri"/>
          <w:b/>
          <w:bCs/>
          <w:rtl/>
        </w:rPr>
        <w:t xml:space="preserve">, </w:t>
      </w:r>
      <w:r w:rsidRPr="00A210E9">
        <w:rPr>
          <w:rFonts w:eastAsia="Calibri" w:hint="eastAsia"/>
          <w:b/>
          <w:bCs/>
          <w:rtl/>
        </w:rPr>
        <w:t>אף</w:t>
      </w:r>
      <w:r w:rsidRPr="00A210E9">
        <w:rPr>
          <w:rFonts w:eastAsia="Calibri"/>
          <w:b/>
          <w:bCs/>
          <w:rtl/>
        </w:rPr>
        <w:t xml:space="preserve"> ש</w:t>
      </w:r>
      <w:r w:rsidRPr="00A210E9">
        <w:rPr>
          <w:rFonts w:eastAsia="Calibri" w:hint="eastAsia"/>
          <w:b/>
          <w:bCs/>
          <w:rtl/>
        </w:rPr>
        <w:t>המשרד</w:t>
      </w:r>
      <w:r w:rsidRPr="00A210E9">
        <w:rPr>
          <w:rFonts w:eastAsia="Calibri"/>
          <w:b/>
          <w:bCs/>
          <w:rtl/>
        </w:rPr>
        <w:t xml:space="preserve"> נתקל </w:t>
      </w:r>
      <w:r w:rsidRPr="00A210E9">
        <w:rPr>
          <w:rFonts w:eastAsia="Calibri" w:hint="eastAsia"/>
          <w:b/>
          <w:bCs/>
          <w:rtl/>
        </w:rPr>
        <w:t>פעם</w:t>
      </w:r>
      <w:r w:rsidRPr="00A210E9">
        <w:rPr>
          <w:rFonts w:eastAsia="Calibri"/>
          <w:b/>
          <w:bCs/>
          <w:rtl/>
        </w:rPr>
        <w:t xml:space="preserve"> אחר פעם בקשיים </w:t>
      </w:r>
      <w:r w:rsidRPr="00A210E9">
        <w:rPr>
          <w:rFonts w:eastAsia="Calibri" w:hint="eastAsia"/>
          <w:b/>
          <w:bCs/>
          <w:rtl/>
        </w:rPr>
        <w:t>בגיבוש</w:t>
      </w:r>
      <w:r w:rsidRPr="00A210E9">
        <w:rPr>
          <w:rFonts w:eastAsia="Calibri"/>
          <w:b/>
          <w:bCs/>
          <w:rtl/>
        </w:rPr>
        <w:t xml:space="preserve"> </w:t>
      </w:r>
      <w:r w:rsidRPr="00A210E9">
        <w:rPr>
          <w:rFonts w:eastAsia="Calibri" w:hint="eastAsia"/>
          <w:b/>
          <w:bCs/>
          <w:rtl/>
        </w:rPr>
        <w:t>מדיניות</w:t>
      </w:r>
      <w:r w:rsidRPr="00A210E9">
        <w:rPr>
          <w:rFonts w:eastAsia="Calibri"/>
          <w:b/>
          <w:bCs/>
          <w:rtl/>
        </w:rPr>
        <w:t xml:space="preserve"> </w:t>
      </w:r>
      <w:r w:rsidRPr="00A210E9">
        <w:rPr>
          <w:rFonts w:eastAsia="Calibri" w:hint="eastAsia"/>
          <w:b/>
          <w:bCs/>
          <w:rtl/>
        </w:rPr>
        <w:t>וביישומה</w:t>
      </w:r>
      <w:r w:rsidRPr="00A210E9">
        <w:rPr>
          <w:rFonts w:eastAsia="Calibri"/>
          <w:b/>
          <w:bCs/>
          <w:rtl/>
        </w:rPr>
        <w:t xml:space="preserve">. </w:t>
      </w:r>
      <w:r w:rsidRPr="00A210E9">
        <w:rPr>
          <w:rFonts w:eastAsia="Calibri" w:hint="eastAsia"/>
          <w:b/>
          <w:bCs/>
          <w:rtl/>
        </w:rPr>
        <w:t>הנציבות</w:t>
      </w:r>
      <w:r w:rsidRPr="00A210E9">
        <w:rPr>
          <w:rFonts w:eastAsia="Calibri"/>
          <w:b/>
          <w:bCs/>
          <w:rtl/>
        </w:rPr>
        <w:t xml:space="preserve"> </w:t>
      </w:r>
      <w:r w:rsidRPr="00A210E9">
        <w:rPr>
          <w:rFonts w:eastAsia="Calibri" w:hint="cs"/>
          <w:b/>
          <w:bCs/>
          <w:rtl/>
        </w:rPr>
        <w:t>אינה</w:t>
      </w:r>
      <w:r w:rsidRPr="00A210E9">
        <w:rPr>
          <w:rFonts w:eastAsia="Calibri"/>
          <w:b/>
          <w:bCs/>
          <w:rtl/>
        </w:rPr>
        <w:t xml:space="preserve"> שותפה </w:t>
      </w:r>
      <w:r w:rsidRPr="00A210E9">
        <w:rPr>
          <w:rFonts w:eastAsia="Calibri" w:hint="eastAsia"/>
          <w:b/>
          <w:bCs/>
          <w:rtl/>
        </w:rPr>
        <w:t>גם</w:t>
      </w:r>
      <w:r w:rsidRPr="00A210E9">
        <w:rPr>
          <w:rFonts w:eastAsia="Calibri"/>
          <w:b/>
          <w:bCs/>
          <w:rtl/>
        </w:rPr>
        <w:t xml:space="preserve"> </w:t>
      </w:r>
      <w:r w:rsidRPr="00A210E9">
        <w:rPr>
          <w:rFonts w:eastAsia="Calibri" w:hint="eastAsia"/>
          <w:b/>
          <w:bCs/>
          <w:rtl/>
        </w:rPr>
        <w:t xml:space="preserve">בצוות </w:t>
      </w:r>
      <w:r w:rsidRPr="00A210E9">
        <w:rPr>
          <w:rFonts w:eastAsia="Calibri" w:hint="cs"/>
          <w:b/>
          <w:bCs/>
          <w:rtl/>
        </w:rPr>
        <w:t>ה</w:t>
      </w:r>
      <w:r w:rsidRPr="00A210E9">
        <w:rPr>
          <w:rFonts w:eastAsia="Calibri" w:hint="eastAsia"/>
          <w:b/>
          <w:bCs/>
          <w:rtl/>
        </w:rPr>
        <w:t>בין-משרדי 2025</w:t>
      </w:r>
      <w:r w:rsidRPr="00A210E9">
        <w:rPr>
          <w:rFonts w:eastAsia="Calibri"/>
          <w:b/>
          <w:bCs/>
          <w:rtl/>
        </w:rPr>
        <w:t xml:space="preserve"> שמ</w:t>
      </w:r>
      <w:r w:rsidRPr="00A210E9">
        <w:rPr>
          <w:rFonts w:eastAsia="Calibri" w:hint="cs"/>
          <w:b/>
          <w:bCs/>
          <w:rtl/>
        </w:rPr>
        <w:t>י</w:t>
      </w:r>
      <w:r w:rsidRPr="00A210E9">
        <w:rPr>
          <w:rFonts w:eastAsia="Calibri"/>
          <w:b/>
          <w:bCs/>
          <w:rtl/>
        </w:rPr>
        <w:t>נ</w:t>
      </w:r>
      <w:r w:rsidRPr="00A210E9">
        <w:rPr>
          <w:rFonts w:eastAsia="Calibri" w:hint="cs"/>
          <w:b/>
          <w:bCs/>
          <w:rtl/>
        </w:rPr>
        <w:t>ו</w:t>
      </w:r>
      <w:r w:rsidRPr="00A210E9">
        <w:rPr>
          <w:rFonts w:eastAsia="Calibri"/>
          <w:b/>
          <w:bCs/>
          <w:rtl/>
        </w:rPr>
        <w:t xml:space="preserve"> </w:t>
      </w:r>
      <w:r w:rsidRPr="00A210E9">
        <w:rPr>
          <w:rFonts w:eastAsia="Calibri" w:hint="eastAsia"/>
          <w:b/>
          <w:bCs/>
          <w:rtl/>
        </w:rPr>
        <w:t>החשכ</w:t>
      </w:r>
      <w:r w:rsidRPr="00A210E9">
        <w:rPr>
          <w:rFonts w:eastAsia="Calibri"/>
          <w:b/>
          <w:bCs/>
          <w:rtl/>
        </w:rPr>
        <w:t xml:space="preserve">"ל, </w:t>
      </w:r>
      <w:r w:rsidRPr="00A210E9">
        <w:rPr>
          <w:rFonts w:eastAsia="Calibri" w:hint="eastAsia"/>
          <w:b/>
          <w:bCs/>
          <w:rtl/>
        </w:rPr>
        <w:t>מנכ</w:t>
      </w:r>
      <w:r w:rsidRPr="00A210E9">
        <w:rPr>
          <w:rFonts w:eastAsia="Calibri"/>
          <w:b/>
          <w:bCs/>
          <w:rtl/>
        </w:rPr>
        <w:t xml:space="preserve">"ל </w:t>
      </w:r>
      <w:r w:rsidRPr="00A210E9">
        <w:rPr>
          <w:rFonts w:eastAsia="Calibri" w:hint="eastAsia"/>
          <w:b/>
          <w:bCs/>
          <w:rtl/>
        </w:rPr>
        <w:t>משרד</w:t>
      </w:r>
      <w:r w:rsidRPr="00A210E9">
        <w:rPr>
          <w:rFonts w:eastAsia="Calibri"/>
          <w:b/>
          <w:bCs/>
          <w:rtl/>
        </w:rPr>
        <w:t xml:space="preserve"> </w:t>
      </w:r>
      <w:r w:rsidRPr="00A210E9">
        <w:rPr>
          <w:rFonts w:eastAsia="Calibri" w:hint="eastAsia"/>
          <w:b/>
          <w:bCs/>
          <w:rtl/>
        </w:rPr>
        <w:t>התחבורה</w:t>
      </w:r>
      <w:r w:rsidRPr="00A210E9">
        <w:rPr>
          <w:rFonts w:eastAsia="Calibri"/>
          <w:b/>
          <w:bCs/>
          <w:rtl/>
        </w:rPr>
        <w:t xml:space="preserve">, </w:t>
      </w:r>
      <w:r w:rsidRPr="00A210E9">
        <w:rPr>
          <w:rFonts w:eastAsia="Calibri" w:hint="eastAsia"/>
          <w:b/>
          <w:bCs/>
          <w:rtl/>
        </w:rPr>
        <w:t>מנכ</w:t>
      </w:r>
      <w:r w:rsidRPr="00A210E9">
        <w:rPr>
          <w:rFonts w:eastAsia="Calibri"/>
          <w:b/>
          <w:bCs/>
          <w:rtl/>
        </w:rPr>
        <w:t xml:space="preserve">"ל </w:t>
      </w:r>
      <w:r w:rsidRPr="00A210E9">
        <w:rPr>
          <w:rFonts w:eastAsia="Calibri" w:hint="eastAsia"/>
          <w:b/>
          <w:bCs/>
          <w:rtl/>
        </w:rPr>
        <w:t>הביטוח הלאומי</w:t>
      </w:r>
      <w:r w:rsidRPr="00A210E9">
        <w:rPr>
          <w:rFonts w:eastAsia="Calibri"/>
          <w:b/>
          <w:bCs/>
          <w:rtl/>
        </w:rPr>
        <w:t xml:space="preserve"> </w:t>
      </w:r>
      <w:r w:rsidRPr="00A210E9">
        <w:rPr>
          <w:rFonts w:eastAsia="Calibri" w:hint="eastAsia"/>
          <w:b/>
          <w:bCs/>
          <w:rtl/>
        </w:rPr>
        <w:t>והממונה</w:t>
      </w:r>
      <w:r w:rsidRPr="00A210E9">
        <w:rPr>
          <w:rFonts w:eastAsia="Calibri"/>
          <w:b/>
          <w:bCs/>
          <w:rtl/>
        </w:rPr>
        <w:t xml:space="preserve"> </w:t>
      </w:r>
      <w:r w:rsidRPr="00A210E9">
        <w:rPr>
          <w:rFonts w:eastAsia="Calibri" w:hint="eastAsia"/>
          <w:b/>
          <w:bCs/>
          <w:rtl/>
        </w:rPr>
        <w:t>על</w:t>
      </w:r>
      <w:r w:rsidRPr="00A210E9">
        <w:rPr>
          <w:rFonts w:eastAsia="Calibri"/>
          <w:b/>
          <w:bCs/>
          <w:rtl/>
        </w:rPr>
        <w:t xml:space="preserve"> </w:t>
      </w:r>
      <w:r w:rsidRPr="00A210E9">
        <w:rPr>
          <w:rFonts w:eastAsia="Calibri" w:hint="eastAsia"/>
          <w:b/>
          <w:bCs/>
          <w:rtl/>
        </w:rPr>
        <w:t>התקציבים</w:t>
      </w:r>
      <w:r w:rsidRPr="00A210E9">
        <w:rPr>
          <w:rFonts w:eastAsia="Calibri"/>
          <w:b/>
          <w:bCs/>
          <w:rtl/>
        </w:rPr>
        <w:t xml:space="preserve"> </w:t>
      </w:r>
      <w:r w:rsidRPr="00A210E9">
        <w:rPr>
          <w:rFonts w:eastAsia="Calibri" w:hint="eastAsia"/>
          <w:b/>
          <w:bCs/>
          <w:rtl/>
        </w:rPr>
        <w:t>במשרד</w:t>
      </w:r>
      <w:r w:rsidRPr="00A210E9">
        <w:rPr>
          <w:rFonts w:eastAsia="Calibri"/>
          <w:b/>
          <w:bCs/>
          <w:rtl/>
        </w:rPr>
        <w:t xml:space="preserve"> </w:t>
      </w:r>
      <w:r w:rsidRPr="00A210E9">
        <w:rPr>
          <w:rFonts w:eastAsia="Calibri" w:hint="eastAsia"/>
          <w:b/>
          <w:bCs/>
          <w:rtl/>
        </w:rPr>
        <w:t>האוצר</w:t>
      </w:r>
      <w:r w:rsidRPr="00A210E9">
        <w:rPr>
          <w:rFonts w:eastAsia="Calibri"/>
          <w:b/>
          <w:bCs/>
          <w:rtl/>
        </w:rPr>
        <w:t>.</w:t>
      </w:r>
      <w:r w:rsidRPr="00A210E9">
        <w:rPr>
          <w:rFonts w:eastAsia="Calibri" w:hint="cs"/>
          <w:b/>
          <w:bCs/>
          <w:rtl/>
        </w:rPr>
        <w:t xml:space="preserve"> </w:t>
      </w:r>
      <w:r w:rsidRPr="00A210E9">
        <w:rPr>
          <w:rFonts w:eastAsia="Calibri" w:hint="eastAsia"/>
          <w:b/>
          <w:bCs/>
          <w:rtl/>
        </w:rPr>
        <w:t>היעדר</w:t>
      </w:r>
      <w:r w:rsidRPr="00A210E9">
        <w:rPr>
          <w:rFonts w:eastAsia="Calibri"/>
          <w:b/>
          <w:bCs/>
          <w:rtl/>
        </w:rPr>
        <w:t xml:space="preserve"> ייצוג מספ</w:t>
      </w:r>
      <w:r w:rsidRPr="00A210E9">
        <w:rPr>
          <w:rFonts w:eastAsia="Calibri" w:hint="cs"/>
          <w:b/>
          <w:bCs/>
          <w:rtl/>
        </w:rPr>
        <w:t>י</w:t>
      </w:r>
      <w:r w:rsidRPr="00A210E9">
        <w:rPr>
          <w:rFonts w:eastAsia="Calibri"/>
          <w:b/>
          <w:bCs/>
          <w:rtl/>
        </w:rPr>
        <w:t xml:space="preserve">ק של הנציבות בדיונים </w:t>
      </w:r>
      <w:r w:rsidRPr="00A210E9">
        <w:rPr>
          <w:rFonts w:eastAsia="Calibri" w:hint="eastAsia"/>
          <w:b/>
          <w:bCs/>
          <w:rtl/>
        </w:rPr>
        <w:t>אלה</w:t>
      </w:r>
      <w:r w:rsidRPr="00A210E9">
        <w:rPr>
          <w:rFonts w:eastAsia="Calibri"/>
          <w:b/>
          <w:bCs/>
          <w:rtl/>
        </w:rPr>
        <w:t xml:space="preserve">, </w:t>
      </w:r>
      <w:r w:rsidRPr="00A210E9">
        <w:rPr>
          <w:rFonts w:eastAsia="Calibri" w:hint="eastAsia"/>
          <w:b/>
          <w:bCs/>
          <w:rtl/>
        </w:rPr>
        <w:t>בפרט</w:t>
      </w:r>
      <w:r w:rsidRPr="00A210E9">
        <w:rPr>
          <w:rFonts w:eastAsia="Calibri"/>
          <w:b/>
          <w:bCs/>
          <w:rtl/>
        </w:rPr>
        <w:t xml:space="preserve"> </w:t>
      </w:r>
      <w:r w:rsidRPr="00A210E9">
        <w:rPr>
          <w:rFonts w:eastAsia="Calibri" w:hint="eastAsia"/>
          <w:b/>
          <w:bCs/>
          <w:rtl/>
        </w:rPr>
        <w:t>בנוגע</w:t>
      </w:r>
      <w:r w:rsidRPr="00A210E9">
        <w:rPr>
          <w:rFonts w:eastAsia="Calibri"/>
          <w:b/>
          <w:bCs/>
          <w:rtl/>
        </w:rPr>
        <w:t xml:space="preserve"> </w:t>
      </w:r>
      <w:r w:rsidRPr="00A210E9">
        <w:rPr>
          <w:rFonts w:eastAsia="Calibri" w:hint="eastAsia"/>
          <w:b/>
          <w:bCs/>
          <w:rtl/>
        </w:rPr>
        <w:t>לתנאי</w:t>
      </w:r>
      <w:r w:rsidRPr="00A210E9">
        <w:rPr>
          <w:rFonts w:eastAsia="Calibri"/>
          <w:b/>
          <w:bCs/>
          <w:rtl/>
        </w:rPr>
        <w:t xml:space="preserve"> הזכאות </w:t>
      </w:r>
      <w:r w:rsidRPr="00A210E9">
        <w:rPr>
          <w:rFonts w:eastAsia="Calibri" w:hint="cs"/>
          <w:b/>
          <w:bCs/>
          <w:rtl/>
        </w:rPr>
        <w:t>ול</w:t>
      </w:r>
      <w:r w:rsidRPr="00A210E9">
        <w:rPr>
          <w:rFonts w:eastAsia="Calibri" w:hint="eastAsia"/>
          <w:b/>
          <w:bCs/>
          <w:rtl/>
        </w:rPr>
        <w:t>הטבות</w:t>
      </w:r>
      <w:r w:rsidRPr="00A210E9">
        <w:rPr>
          <w:rFonts w:eastAsia="Calibri"/>
          <w:b/>
          <w:bCs/>
          <w:rtl/>
        </w:rPr>
        <w:t xml:space="preserve"> </w:t>
      </w:r>
      <w:r w:rsidRPr="00A210E9">
        <w:rPr>
          <w:rFonts w:eastAsia="Calibri" w:hint="eastAsia"/>
          <w:b/>
          <w:bCs/>
          <w:rtl/>
        </w:rPr>
        <w:t>הנלוות</w:t>
      </w:r>
      <w:r w:rsidRPr="00A210E9">
        <w:rPr>
          <w:rFonts w:eastAsia="Calibri"/>
          <w:b/>
          <w:bCs/>
          <w:rtl/>
        </w:rPr>
        <w:t xml:space="preserve"> </w:t>
      </w:r>
      <w:r w:rsidRPr="00A210E9">
        <w:rPr>
          <w:rFonts w:eastAsia="Calibri" w:hint="eastAsia"/>
          <w:b/>
          <w:bCs/>
          <w:rtl/>
        </w:rPr>
        <w:t>לתג</w:t>
      </w:r>
      <w:r w:rsidRPr="00A210E9">
        <w:rPr>
          <w:rFonts w:eastAsia="Calibri"/>
          <w:b/>
          <w:bCs/>
          <w:rtl/>
        </w:rPr>
        <w:t xml:space="preserve">, </w:t>
      </w:r>
      <w:r w:rsidRPr="00A210E9">
        <w:rPr>
          <w:rFonts w:eastAsia="Calibri" w:hint="eastAsia"/>
          <w:b/>
          <w:bCs/>
          <w:rtl/>
        </w:rPr>
        <w:t>עלול</w:t>
      </w:r>
      <w:r w:rsidRPr="00A210E9">
        <w:rPr>
          <w:rFonts w:eastAsia="Calibri"/>
          <w:b/>
          <w:bCs/>
          <w:rtl/>
        </w:rPr>
        <w:t xml:space="preserve"> להוביל למדיניות שאינה משקפת נאמנה </w:t>
      </w:r>
      <w:r w:rsidRPr="00A210E9">
        <w:rPr>
          <w:rFonts w:eastAsia="Calibri" w:hint="cs"/>
          <w:b/>
          <w:bCs/>
          <w:rtl/>
        </w:rPr>
        <w:t>ובאופן</w:t>
      </w:r>
      <w:r w:rsidRPr="00A210E9">
        <w:rPr>
          <w:rFonts w:eastAsia="Calibri"/>
          <w:b/>
          <w:bCs/>
          <w:rtl/>
        </w:rPr>
        <w:t xml:space="preserve"> מאוז</w:t>
      </w:r>
      <w:r w:rsidRPr="00A210E9">
        <w:rPr>
          <w:rFonts w:eastAsia="Calibri" w:hint="cs"/>
          <w:b/>
          <w:bCs/>
          <w:rtl/>
        </w:rPr>
        <w:t>ן</w:t>
      </w:r>
      <w:r w:rsidRPr="00A210E9">
        <w:rPr>
          <w:rFonts w:eastAsia="Calibri"/>
          <w:b/>
          <w:bCs/>
          <w:rtl/>
        </w:rPr>
        <w:t xml:space="preserve"> </w:t>
      </w:r>
      <w:r w:rsidRPr="00A210E9">
        <w:rPr>
          <w:rFonts w:eastAsia="Calibri" w:hint="eastAsia"/>
          <w:b/>
          <w:bCs/>
          <w:rtl/>
        </w:rPr>
        <w:t>את</w:t>
      </w:r>
      <w:r w:rsidRPr="00A210E9">
        <w:rPr>
          <w:rFonts w:eastAsia="Calibri"/>
          <w:b/>
          <w:bCs/>
          <w:rtl/>
        </w:rPr>
        <w:t xml:space="preserve"> הצרכים המגוונים והמורכבים של </w:t>
      </w:r>
      <w:r w:rsidRPr="00A210E9">
        <w:rPr>
          <w:rFonts w:eastAsia="Calibri" w:hint="eastAsia"/>
          <w:b/>
          <w:bCs/>
          <w:rtl/>
        </w:rPr>
        <w:t>האוכלוסייה</w:t>
      </w:r>
      <w:r w:rsidRPr="00A210E9">
        <w:rPr>
          <w:rFonts w:eastAsia="Calibri"/>
          <w:b/>
          <w:bCs/>
          <w:rtl/>
        </w:rPr>
        <w:t xml:space="preserve"> </w:t>
      </w:r>
      <w:r w:rsidRPr="00A210E9">
        <w:rPr>
          <w:rFonts w:eastAsia="Calibri" w:hint="eastAsia"/>
          <w:b/>
          <w:bCs/>
          <w:rtl/>
        </w:rPr>
        <w:t>הנזקקת</w:t>
      </w:r>
      <w:r w:rsidRPr="00A210E9">
        <w:rPr>
          <w:rFonts w:eastAsia="Calibri"/>
          <w:b/>
          <w:bCs/>
          <w:rtl/>
        </w:rPr>
        <w:t xml:space="preserve"> </w:t>
      </w:r>
      <w:r w:rsidRPr="00A210E9">
        <w:rPr>
          <w:rFonts w:eastAsia="Calibri" w:hint="eastAsia"/>
          <w:b/>
          <w:bCs/>
          <w:rtl/>
        </w:rPr>
        <w:t>לתגים</w:t>
      </w:r>
      <w:r w:rsidRPr="00A210E9">
        <w:rPr>
          <w:rFonts w:eastAsia="Calibri"/>
          <w:b/>
          <w:bCs/>
          <w:rtl/>
        </w:rPr>
        <w:t xml:space="preserve"> </w:t>
      </w:r>
      <w:r w:rsidRPr="00A210E9">
        <w:rPr>
          <w:rFonts w:eastAsia="Calibri" w:hint="eastAsia"/>
          <w:b/>
          <w:bCs/>
          <w:rtl/>
        </w:rPr>
        <w:t>בשל</w:t>
      </w:r>
      <w:r w:rsidRPr="00A210E9">
        <w:rPr>
          <w:rFonts w:eastAsia="Calibri"/>
          <w:b/>
          <w:bCs/>
          <w:rtl/>
        </w:rPr>
        <w:t xml:space="preserve"> </w:t>
      </w:r>
      <w:r w:rsidRPr="00A210E9">
        <w:rPr>
          <w:rFonts w:eastAsia="Calibri" w:hint="eastAsia"/>
          <w:b/>
          <w:bCs/>
          <w:rtl/>
        </w:rPr>
        <w:t>מוגבלותה</w:t>
      </w:r>
      <w:r w:rsidRPr="00A210E9">
        <w:rPr>
          <w:rFonts w:eastAsia="Calibri"/>
          <w:b/>
          <w:bCs/>
          <w:rtl/>
        </w:rPr>
        <w:t>.</w:t>
      </w:r>
      <w:r w:rsidRPr="00A210E9">
        <w:rPr>
          <w:rFonts w:eastAsia="Calibri" w:hint="cs"/>
          <w:b/>
          <w:bCs/>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eastAsia"/>
          <w:rtl/>
        </w:rPr>
        <w:t>נציבות</w:t>
      </w:r>
      <w:r w:rsidRPr="00A210E9">
        <w:rPr>
          <w:rFonts w:eastAsia="Calibri"/>
          <w:rtl/>
        </w:rPr>
        <w:t xml:space="preserve"> </w:t>
      </w:r>
      <w:r w:rsidRPr="00A210E9">
        <w:rPr>
          <w:rFonts w:eastAsia="Calibri" w:hint="eastAsia"/>
          <w:rtl/>
        </w:rPr>
        <w:t>שוויון</w:t>
      </w:r>
      <w:r w:rsidRPr="00A210E9">
        <w:rPr>
          <w:rFonts w:eastAsia="Calibri"/>
          <w:rtl/>
        </w:rPr>
        <w:t xml:space="preserve"> </w:t>
      </w:r>
      <w:r w:rsidRPr="00A210E9">
        <w:rPr>
          <w:rFonts w:eastAsia="Calibri" w:hint="eastAsia"/>
          <w:rtl/>
        </w:rPr>
        <w:t>זכויות</w:t>
      </w:r>
      <w:r w:rsidRPr="00A210E9">
        <w:rPr>
          <w:rFonts w:eastAsia="Calibri"/>
          <w:rtl/>
        </w:rPr>
        <w:t xml:space="preserve"> </w:t>
      </w:r>
      <w:r w:rsidRPr="00A210E9">
        <w:rPr>
          <w:rFonts w:eastAsia="Calibri" w:hint="eastAsia"/>
          <w:rtl/>
        </w:rPr>
        <w:t>כתבה</w:t>
      </w:r>
      <w:r w:rsidRPr="00A210E9">
        <w:rPr>
          <w:rFonts w:eastAsia="Calibri"/>
          <w:rtl/>
        </w:rPr>
        <w:t xml:space="preserve"> </w:t>
      </w:r>
      <w:r w:rsidRPr="00A210E9">
        <w:rPr>
          <w:rFonts w:eastAsia="Calibri" w:hint="eastAsia"/>
          <w:rtl/>
        </w:rPr>
        <w:t>בתשובתה</w:t>
      </w:r>
      <w:r w:rsidRPr="00A210E9">
        <w:rPr>
          <w:rFonts w:eastAsia="Calibri"/>
          <w:rtl/>
        </w:rPr>
        <w:t>: "חרף ניסיונות חוזרים של הנציבות לאורך השנים לקחת חלק בתהליך, פניותינו לא זכו למענה הולם, ובחלק מהמקרים אף הובהר באופן מפורש כי אין כוונה לשלב את הנציבות בנושא."</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eastAsia"/>
          <w:b/>
          <w:bCs/>
          <w:rtl/>
        </w:rPr>
        <w:t>משרד</w:t>
      </w:r>
      <w:r w:rsidRPr="00A210E9">
        <w:rPr>
          <w:rFonts w:eastAsia="Calibri"/>
          <w:b/>
          <w:bCs/>
          <w:rtl/>
        </w:rPr>
        <w:t xml:space="preserve"> מבקר המדינה ממליץ למשרד התחבורה </w:t>
      </w:r>
      <w:r w:rsidRPr="00A210E9">
        <w:rPr>
          <w:rFonts w:eastAsia="Calibri" w:hint="eastAsia"/>
          <w:b/>
          <w:bCs/>
          <w:rtl/>
        </w:rPr>
        <w:t>להגביר</w:t>
      </w:r>
      <w:r w:rsidRPr="00A210E9">
        <w:rPr>
          <w:rFonts w:eastAsia="Calibri"/>
          <w:b/>
          <w:bCs/>
          <w:rtl/>
        </w:rPr>
        <w:t xml:space="preserve"> את מעורבותה של </w:t>
      </w:r>
      <w:r w:rsidRPr="00A210E9">
        <w:rPr>
          <w:rFonts w:eastAsia="Calibri" w:hint="eastAsia"/>
          <w:b/>
          <w:bCs/>
          <w:rtl/>
        </w:rPr>
        <w:t>נציבות</w:t>
      </w:r>
      <w:r w:rsidRPr="00A210E9">
        <w:rPr>
          <w:rFonts w:eastAsia="Calibri"/>
          <w:b/>
          <w:bCs/>
          <w:rtl/>
        </w:rPr>
        <w:t xml:space="preserve"> </w:t>
      </w:r>
      <w:r w:rsidRPr="00A210E9">
        <w:rPr>
          <w:rFonts w:eastAsia="Calibri" w:hint="eastAsia"/>
          <w:b/>
          <w:bCs/>
          <w:rtl/>
        </w:rPr>
        <w:t>שוויון</w:t>
      </w:r>
      <w:r w:rsidRPr="00A210E9">
        <w:rPr>
          <w:rFonts w:eastAsia="Calibri"/>
          <w:b/>
          <w:bCs/>
          <w:rtl/>
        </w:rPr>
        <w:t xml:space="preserve"> </w:t>
      </w:r>
      <w:r w:rsidRPr="00A210E9">
        <w:rPr>
          <w:rFonts w:eastAsia="Calibri" w:hint="eastAsia"/>
          <w:b/>
          <w:bCs/>
          <w:rtl/>
        </w:rPr>
        <w:t>זכויות</w:t>
      </w:r>
      <w:r w:rsidRPr="00A210E9">
        <w:rPr>
          <w:rFonts w:eastAsia="Calibri" w:hint="cs"/>
          <w:b/>
          <w:bCs/>
          <w:rtl/>
        </w:rPr>
        <w:t xml:space="preserve"> בדיונים ובתהליכי קבלת ההחלטות בכל הנוגע לקביעת מדיניות בסוגיות הנוגעות לתגי חניה, וזאת מתוך הבנה כי שיתוף פעיל של הנציבות בוועדות ובצוותי עבודה עשוי לחזק את הראייה המערכתית בייצוגם של אנשים עם מוגבלות, </w:t>
      </w:r>
      <w:r w:rsidRPr="00A210E9">
        <w:rPr>
          <w:rFonts w:eastAsia="Calibri" w:hint="eastAsia"/>
          <w:b/>
          <w:bCs/>
          <w:rtl/>
        </w:rPr>
        <w:t>ולסייע</w:t>
      </w:r>
      <w:r w:rsidRPr="00A210E9">
        <w:rPr>
          <w:rFonts w:eastAsia="Calibri"/>
          <w:b/>
          <w:bCs/>
          <w:rtl/>
        </w:rPr>
        <w:t xml:space="preserve"> </w:t>
      </w:r>
      <w:r w:rsidRPr="00A210E9">
        <w:rPr>
          <w:rFonts w:eastAsia="Calibri" w:hint="eastAsia"/>
          <w:b/>
          <w:bCs/>
          <w:rtl/>
        </w:rPr>
        <w:t>למשרד</w:t>
      </w:r>
      <w:r w:rsidRPr="00A210E9">
        <w:rPr>
          <w:rFonts w:eastAsia="Calibri"/>
          <w:b/>
          <w:bCs/>
          <w:rtl/>
        </w:rPr>
        <w:t xml:space="preserve"> </w:t>
      </w:r>
      <w:r w:rsidRPr="00A210E9">
        <w:rPr>
          <w:rFonts w:eastAsia="Calibri" w:hint="eastAsia"/>
          <w:b/>
          <w:bCs/>
          <w:rtl/>
        </w:rPr>
        <w:t>התחבורה</w:t>
      </w:r>
      <w:r w:rsidRPr="00A210E9">
        <w:rPr>
          <w:rFonts w:eastAsia="Calibri"/>
          <w:b/>
          <w:bCs/>
          <w:rtl/>
        </w:rPr>
        <w:t xml:space="preserve"> </w:t>
      </w:r>
      <w:r w:rsidRPr="00A210E9">
        <w:rPr>
          <w:rFonts w:eastAsia="Calibri" w:hint="eastAsia"/>
          <w:b/>
          <w:bCs/>
          <w:rtl/>
        </w:rPr>
        <w:t>בגיבוש</w:t>
      </w:r>
      <w:r w:rsidRPr="00A210E9">
        <w:rPr>
          <w:rFonts w:eastAsia="Calibri"/>
          <w:b/>
          <w:bCs/>
          <w:rtl/>
        </w:rPr>
        <w:t xml:space="preserve"> </w:t>
      </w:r>
      <w:r w:rsidRPr="00A210E9">
        <w:rPr>
          <w:rFonts w:eastAsia="Calibri" w:hint="eastAsia"/>
          <w:b/>
          <w:bCs/>
          <w:rtl/>
        </w:rPr>
        <w:t>מדיניות</w:t>
      </w:r>
      <w:r w:rsidRPr="00A210E9">
        <w:rPr>
          <w:rFonts w:eastAsia="Calibri"/>
          <w:b/>
          <w:bCs/>
          <w:rtl/>
        </w:rPr>
        <w:t xml:space="preserve"> </w:t>
      </w:r>
      <w:r w:rsidRPr="00A210E9">
        <w:rPr>
          <w:rFonts w:eastAsia="Calibri" w:hint="eastAsia"/>
          <w:b/>
          <w:bCs/>
          <w:rtl/>
        </w:rPr>
        <w:t>מאוזנת</w:t>
      </w:r>
      <w:r w:rsidRPr="00A210E9">
        <w:rPr>
          <w:rFonts w:eastAsia="Calibri"/>
          <w:b/>
          <w:bCs/>
          <w:rtl/>
        </w:rPr>
        <w:t xml:space="preserve"> </w:t>
      </w:r>
      <w:r w:rsidRPr="00A210E9">
        <w:rPr>
          <w:rFonts w:eastAsia="Calibri" w:hint="eastAsia"/>
          <w:b/>
          <w:bCs/>
          <w:rtl/>
        </w:rPr>
        <w:t>שתהיה</w:t>
      </w:r>
      <w:r w:rsidRPr="00A210E9">
        <w:rPr>
          <w:rFonts w:eastAsia="Calibri"/>
          <w:b/>
          <w:bCs/>
          <w:rtl/>
        </w:rPr>
        <w:t xml:space="preserve"> </w:t>
      </w:r>
      <w:r w:rsidRPr="00A210E9">
        <w:rPr>
          <w:rFonts w:eastAsia="Calibri" w:hint="eastAsia"/>
          <w:b/>
          <w:bCs/>
          <w:rtl/>
        </w:rPr>
        <w:t>מקובלת</w:t>
      </w:r>
      <w:r w:rsidRPr="00A210E9">
        <w:rPr>
          <w:rFonts w:eastAsia="Calibri"/>
          <w:b/>
          <w:bCs/>
          <w:rtl/>
        </w:rPr>
        <w:t xml:space="preserve"> </w:t>
      </w:r>
      <w:r w:rsidRPr="00A210E9">
        <w:rPr>
          <w:rFonts w:eastAsia="Calibri" w:hint="eastAsia"/>
          <w:b/>
          <w:bCs/>
          <w:rtl/>
        </w:rPr>
        <w:t>על</w:t>
      </w:r>
      <w:r w:rsidRPr="00A210E9">
        <w:rPr>
          <w:rFonts w:eastAsia="Calibri"/>
          <w:b/>
          <w:bCs/>
          <w:rtl/>
        </w:rPr>
        <w:t xml:space="preserve"> </w:t>
      </w:r>
      <w:r w:rsidRPr="00A210E9">
        <w:rPr>
          <w:rFonts w:eastAsia="Calibri" w:hint="eastAsia"/>
          <w:b/>
          <w:bCs/>
          <w:rtl/>
        </w:rPr>
        <w:t>כלל</w:t>
      </w:r>
      <w:r w:rsidRPr="00A210E9">
        <w:rPr>
          <w:rFonts w:eastAsia="Calibri"/>
          <w:b/>
          <w:bCs/>
          <w:rtl/>
        </w:rPr>
        <w:t xml:space="preserve"> </w:t>
      </w:r>
      <w:r w:rsidRPr="00A210E9">
        <w:rPr>
          <w:rFonts w:eastAsia="Calibri" w:hint="eastAsia"/>
          <w:b/>
          <w:bCs/>
          <w:rtl/>
        </w:rPr>
        <w:t>בעלי</w:t>
      </w:r>
      <w:r w:rsidRPr="00A210E9">
        <w:rPr>
          <w:rFonts w:eastAsia="Calibri"/>
          <w:b/>
          <w:bCs/>
          <w:rtl/>
        </w:rPr>
        <w:t xml:space="preserve"> </w:t>
      </w:r>
      <w:r w:rsidRPr="00A210E9">
        <w:rPr>
          <w:rFonts w:eastAsia="Calibri" w:hint="eastAsia"/>
          <w:b/>
          <w:bCs/>
          <w:rtl/>
        </w:rPr>
        <w:t>העניין</w:t>
      </w:r>
      <w:r w:rsidRPr="00A210E9">
        <w:rPr>
          <w:rFonts w:eastAsia="Calibri"/>
          <w:b/>
          <w:bCs/>
          <w:rtl/>
        </w:rPr>
        <w:t xml:space="preserve"> </w:t>
      </w:r>
      <w:r w:rsidRPr="00A210E9">
        <w:rPr>
          <w:rFonts w:eastAsia="Calibri" w:hint="eastAsia"/>
          <w:b/>
          <w:bCs/>
          <w:rtl/>
        </w:rPr>
        <w:t>וביישומה</w:t>
      </w:r>
      <w:r w:rsidRPr="00A210E9">
        <w:rPr>
          <w:rFonts w:eastAsia="Calibri"/>
          <w:b/>
          <w:bCs/>
          <w:rtl/>
        </w:rPr>
        <w:t xml:space="preserve">. </w:t>
      </w:r>
    </w:p>
    <w:p w:rsidR="00A210E9" w:rsidRPr="00A210E9" w:rsidP="00A210E9">
      <w:pPr>
        <w:spacing w:line="269" w:lineRule="auto"/>
        <w:rPr>
          <w:rFonts w:eastAsia="Calibri"/>
          <w:rtl/>
        </w:rPr>
      </w:pPr>
    </w:p>
    <w:p w:rsidR="00A210E9" w:rsidRPr="00A210E9" w:rsidP="00A210E9">
      <w:pPr>
        <w:keepNext/>
        <w:keepLines/>
        <w:spacing w:line="269" w:lineRule="auto"/>
        <w:outlineLvl w:val="3"/>
        <w:rPr>
          <w:rFonts w:eastAsia="Times New Roman"/>
          <w:bCs/>
          <w:szCs w:val="26"/>
          <w:rtl/>
        </w:rPr>
      </w:pPr>
      <w:r w:rsidRPr="00A210E9">
        <w:rPr>
          <w:rFonts w:eastAsia="Times New Roman" w:hint="cs"/>
          <w:bCs/>
          <w:szCs w:val="26"/>
          <w:rtl/>
        </w:rPr>
        <w:t>גופי השלטון המקומי</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יישום הזכויות הנוגעות לחניה הניתנות לבעלי תג חניה מוטל בעיקרו על השלטון המקומי. כאמור בפרק "אכיפה של הרשויות המקומיות ומשטרת ישראל בנוגע לשימוש בתג חניה", הבעיה של חוסר זמינות בחניות נכים הולכת ומחריפה מזה שנים וכן רווחת תופעה של שימוש לרעה בתגים שהרשויות המקומיות אינן מצליחות לאכוף. </w:t>
      </w:r>
      <w:r w:rsidRPr="00A210E9">
        <w:rPr>
          <w:rFonts w:eastAsia="Calibri"/>
          <w:rtl/>
        </w:rPr>
        <w:t>בישיבת ועדת העבודה והרווחה</w:t>
      </w:r>
      <w:r w:rsidRPr="00A210E9">
        <w:rPr>
          <w:rFonts w:eastAsia="Calibri"/>
        </w:rPr>
        <w:t xml:space="preserve"> </w:t>
      </w:r>
      <w:r w:rsidRPr="00A210E9">
        <w:rPr>
          <w:rFonts w:eastAsia="Calibri" w:hint="cs"/>
          <w:rtl/>
        </w:rPr>
        <w:t>של הכנסת</w:t>
      </w:r>
      <w:r>
        <w:rPr>
          <w:rFonts w:eastAsia="Calibri"/>
          <w:vertAlign w:val="superscript"/>
          <w:rtl/>
        </w:rPr>
        <w:footnoteReference w:id="218"/>
      </w:r>
      <w:r w:rsidRPr="00A210E9">
        <w:rPr>
          <w:rFonts w:eastAsia="Calibri" w:hint="cs"/>
          <w:rtl/>
        </w:rPr>
        <w:t xml:space="preserve"> בפברואר 2022</w:t>
      </w:r>
      <w:r w:rsidRPr="00A210E9">
        <w:rPr>
          <w:rFonts w:eastAsia="Calibri"/>
          <w:rtl/>
        </w:rPr>
        <w:t xml:space="preserve"> סיכמה יו"ר הוועדה, את הדברים שנאמרו במהלך הישיבה</w:t>
      </w:r>
      <w:r w:rsidRPr="00A210E9">
        <w:rPr>
          <w:rFonts w:eastAsia="Calibri" w:hint="cs"/>
          <w:rtl/>
        </w:rPr>
        <w:t xml:space="preserve"> בזו הלשון: "</w:t>
      </w:r>
      <w:r w:rsidRPr="00A210E9">
        <w:rPr>
          <w:rFonts w:eastAsia="Calibri"/>
          <w:rtl/>
        </w:rPr>
        <w:t>כל נושא חניות הנכים</w:t>
      </w:r>
      <w:r w:rsidRPr="00A210E9">
        <w:rPr>
          <w:rFonts w:eastAsia="Calibri" w:hint="cs"/>
          <w:rtl/>
        </w:rPr>
        <w:t>,</w:t>
      </w:r>
      <w:r w:rsidRPr="00A210E9">
        <w:rPr>
          <w:rFonts w:eastAsia="Calibri"/>
          <w:rtl/>
        </w:rPr>
        <w:t xml:space="preserve"> הפיקוח</w:t>
      </w:r>
      <w:r w:rsidRPr="00A210E9">
        <w:rPr>
          <w:rFonts w:eastAsia="Calibri" w:hint="cs"/>
          <w:rtl/>
        </w:rPr>
        <w:t>,</w:t>
      </w:r>
      <w:r w:rsidRPr="00A210E9">
        <w:rPr>
          <w:rFonts w:eastAsia="Calibri"/>
          <w:rtl/>
        </w:rPr>
        <w:t xml:space="preserve"> האכיפה</w:t>
      </w:r>
      <w:r w:rsidRPr="00A210E9">
        <w:rPr>
          <w:rFonts w:eastAsia="Calibri" w:hint="cs"/>
          <w:rtl/>
        </w:rPr>
        <w:t>,</w:t>
      </w:r>
      <w:r w:rsidRPr="00A210E9">
        <w:rPr>
          <w:rFonts w:eastAsia="Calibri"/>
          <w:rtl/>
        </w:rPr>
        <w:t xml:space="preserve"> </w:t>
      </w:r>
      <w:r w:rsidRPr="00A210E9">
        <w:rPr>
          <w:rFonts w:eastAsia="Calibri" w:hint="cs"/>
          <w:rtl/>
        </w:rPr>
        <w:t>ה</w:t>
      </w:r>
      <w:r w:rsidRPr="00A210E9">
        <w:rPr>
          <w:rFonts w:eastAsia="Calibri"/>
          <w:rtl/>
        </w:rPr>
        <w:t>הסדרה</w:t>
      </w:r>
      <w:r w:rsidRPr="00A210E9">
        <w:rPr>
          <w:rFonts w:eastAsia="Calibri" w:hint="cs"/>
          <w:rtl/>
        </w:rPr>
        <w:t>,</w:t>
      </w:r>
      <w:r w:rsidRPr="00A210E9">
        <w:rPr>
          <w:rFonts w:eastAsia="Calibri"/>
          <w:rtl/>
        </w:rPr>
        <w:t xml:space="preserve"> פשוט לא קיים</w:t>
      </w:r>
      <w:r w:rsidRPr="00A210E9">
        <w:rPr>
          <w:rFonts w:eastAsia="Calibri" w:hint="cs"/>
          <w:rtl/>
        </w:rPr>
        <w:t>. אין</w:t>
      </w:r>
      <w:r w:rsidRPr="00A210E9">
        <w:rPr>
          <w:rFonts w:eastAsia="Calibri"/>
          <w:rtl/>
        </w:rPr>
        <w:t xml:space="preserve"> אבא ואימא לתחום</w:t>
      </w:r>
      <w:r w:rsidRPr="00A210E9">
        <w:rPr>
          <w:rFonts w:eastAsia="Calibri" w:hint="cs"/>
          <w:rtl/>
        </w:rPr>
        <w:t>.</w:t>
      </w:r>
      <w:r w:rsidRPr="00A210E9">
        <w:rPr>
          <w:rFonts w:eastAsia="Calibri"/>
          <w:rtl/>
        </w:rPr>
        <w:t xml:space="preserve"> אין אף </w:t>
      </w:r>
      <w:r w:rsidRPr="00A210E9">
        <w:rPr>
          <w:rFonts w:eastAsia="Calibri" w:hint="cs"/>
          <w:rtl/>
        </w:rPr>
        <w:t xml:space="preserve">אחד </w:t>
      </w:r>
      <w:r w:rsidRPr="00A210E9">
        <w:rPr>
          <w:rFonts w:eastAsia="Calibri"/>
          <w:rtl/>
        </w:rPr>
        <w:t>שעומד ברשותו ש</w:t>
      </w:r>
      <w:r w:rsidRPr="00A210E9">
        <w:rPr>
          <w:rFonts w:eastAsia="Calibri" w:hint="cs"/>
          <w:rtl/>
        </w:rPr>
        <w:t>א</w:t>
      </w:r>
      <w:r w:rsidRPr="00A210E9">
        <w:rPr>
          <w:rFonts w:eastAsia="Calibri"/>
          <w:rtl/>
        </w:rPr>
        <w:t>ומר</w:t>
      </w:r>
      <w:r w:rsidRPr="00A210E9">
        <w:rPr>
          <w:rFonts w:eastAsia="Calibri" w:hint="cs"/>
          <w:rtl/>
        </w:rPr>
        <w:t>:</w:t>
      </w:r>
      <w:r w:rsidRPr="00A210E9">
        <w:rPr>
          <w:rFonts w:eastAsia="Calibri"/>
          <w:rtl/>
        </w:rPr>
        <w:t xml:space="preserve"> אני אחראי על חניות הנכים</w:t>
      </w:r>
      <w:r w:rsidRPr="00A210E9">
        <w:rPr>
          <w:rFonts w:eastAsia="Calibri" w:hint="cs"/>
          <w:rtl/>
        </w:rPr>
        <w:t xml:space="preserve">. אחד אחראי רק על הנפקת [תגים], אחד </w:t>
      </w:r>
      <w:r w:rsidRPr="00A210E9">
        <w:rPr>
          <w:rFonts w:eastAsia="Calibri"/>
          <w:rtl/>
        </w:rPr>
        <w:t>על השילוט</w:t>
      </w:r>
      <w:r w:rsidRPr="00A210E9">
        <w:rPr>
          <w:rFonts w:eastAsia="Calibri" w:hint="cs"/>
          <w:rtl/>
        </w:rPr>
        <w:t>, אחד על</w:t>
      </w:r>
      <w:r w:rsidRPr="00A210E9">
        <w:rPr>
          <w:rFonts w:eastAsia="Calibri"/>
          <w:rtl/>
        </w:rPr>
        <w:t xml:space="preserve"> הדיווח</w:t>
      </w:r>
      <w:r w:rsidRPr="00A210E9">
        <w:rPr>
          <w:rFonts w:eastAsia="Calibri" w:hint="cs"/>
          <w:rtl/>
        </w:rPr>
        <w:t>,</w:t>
      </w:r>
      <w:r w:rsidRPr="00A210E9">
        <w:rPr>
          <w:rFonts w:eastAsia="Calibri"/>
          <w:rtl/>
        </w:rPr>
        <w:t xml:space="preserve"> יש</w:t>
      </w:r>
      <w:r w:rsidRPr="00A210E9">
        <w:rPr>
          <w:rFonts w:eastAsia="Calibri" w:hint="cs"/>
          <w:rtl/>
        </w:rPr>
        <w:t xml:space="preserve"> אלף ואחד</w:t>
      </w:r>
      <w:r w:rsidRPr="00A210E9">
        <w:rPr>
          <w:rFonts w:eastAsia="Calibri"/>
          <w:rtl/>
        </w:rPr>
        <w:t xml:space="preserve"> גורמים שכל </w:t>
      </w:r>
      <w:r w:rsidRPr="00A210E9">
        <w:rPr>
          <w:rFonts w:eastAsia="Calibri" w:hint="cs"/>
          <w:rtl/>
        </w:rPr>
        <w:t xml:space="preserve">אחד </w:t>
      </w:r>
      <w:r w:rsidRPr="00A210E9">
        <w:rPr>
          <w:rFonts w:eastAsia="Calibri"/>
          <w:rtl/>
        </w:rPr>
        <w:t>רואה חצי פאזל</w:t>
      </w:r>
      <w:r w:rsidRPr="00A210E9">
        <w:rPr>
          <w:rFonts w:eastAsia="Calibri" w:hint="cs"/>
          <w:rtl/>
        </w:rPr>
        <w:t xml:space="preserve">. </w:t>
      </w:r>
      <w:r w:rsidRPr="00A210E9">
        <w:rPr>
          <w:rFonts w:eastAsia="Calibri"/>
          <w:rtl/>
        </w:rPr>
        <w:t>לא ברור לנו כמה חניות נכים יש ברחבי הארץ ו</w:t>
      </w:r>
      <w:r w:rsidRPr="00A210E9">
        <w:rPr>
          <w:rFonts w:eastAsia="Calibri" w:hint="cs"/>
          <w:rtl/>
        </w:rPr>
        <w:t>ב</w:t>
      </w:r>
      <w:r w:rsidRPr="00A210E9">
        <w:rPr>
          <w:rFonts w:eastAsia="Calibri"/>
          <w:rtl/>
        </w:rPr>
        <w:t>כל עיר</w:t>
      </w:r>
      <w:r w:rsidRPr="00A210E9">
        <w:rPr>
          <w:rFonts w:eastAsia="Calibri" w:hint="cs"/>
          <w:rtl/>
        </w:rPr>
        <w:t>,</w:t>
      </w:r>
      <w:r w:rsidRPr="00A210E9">
        <w:rPr>
          <w:rFonts w:eastAsia="Calibri"/>
          <w:rtl/>
        </w:rPr>
        <w:t xml:space="preserve"> לא ברור לנו כמה באמת חניות </w:t>
      </w:r>
      <w:r w:rsidRPr="00A210E9">
        <w:rPr>
          <w:rFonts w:eastAsia="Calibri" w:hint="cs"/>
          <w:rtl/>
        </w:rPr>
        <w:t>נאכפות</w:t>
      </w:r>
      <w:r w:rsidRPr="00A210E9">
        <w:rPr>
          <w:rFonts w:eastAsia="Calibri"/>
          <w:rtl/>
        </w:rPr>
        <w:t xml:space="preserve"> כשיש חניה לא כחוק</w:t>
      </w:r>
      <w:r w:rsidRPr="00A210E9">
        <w:rPr>
          <w:rFonts w:eastAsia="Calibri" w:hint="cs"/>
          <w:rtl/>
        </w:rPr>
        <w:t>.</w:t>
      </w:r>
      <w:r w:rsidRPr="00A210E9">
        <w:rPr>
          <w:rFonts w:eastAsia="Calibri"/>
          <w:rtl/>
        </w:rPr>
        <w:t xml:space="preserve"> כמובן שגובה הקנס לא מרתיע היום</w:t>
      </w:r>
      <w:r w:rsidRPr="00A210E9">
        <w:rPr>
          <w:rFonts w:eastAsia="Calibri" w:hint="cs"/>
          <w:rtl/>
        </w:rPr>
        <w:t>".</w:t>
      </w:r>
    </w:p>
    <w:p w:rsidR="00E0724A">
      <w:pPr>
        <w:bidi w:val="0"/>
        <w:spacing w:after="200" w:line="276" w:lineRule="auto"/>
        <w:rPr>
          <w:rFonts w:eastAsia="Calibri"/>
          <w:rtl/>
        </w:rPr>
      </w:pPr>
      <w:r>
        <w:rPr>
          <w:rFonts w:eastAsia="Calibri"/>
          <w:rtl/>
        </w:rPr>
        <w:br w:type="page"/>
      </w:r>
    </w:p>
    <w:p w:rsidR="00A210E9" w:rsidRPr="00A210E9" w:rsidP="00A210E9">
      <w:pPr>
        <w:spacing w:line="269" w:lineRule="auto"/>
        <w:rPr>
          <w:rFonts w:eastAsia="Calibri"/>
          <w:rtl/>
        </w:rPr>
      </w:pPr>
      <w:r w:rsidRPr="00A210E9">
        <w:rPr>
          <w:rFonts w:eastAsia="Calibri" w:hint="cs"/>
          <w:rtl/>
        </w:rPr>
        <w:t xml:space="preserve">השלטון המקומי בישראל פועל באמצעות 259 רשויות מקומיות - עיריות, מועצות מקומיות ומועצות אזוריות. כפי שעלה בדוח, בנושאים רבים הנוגעים להקצאת חניות למחזיקי תג חניה ולאכיפה, כל רשות מקומית פועלת על פי שיקול דעתה ויש שונות רבה בין הרשויות - כל רשות מיישמת קריטריונים ושיקולים שונים; למשל, בנוגע לקריטריונים להקצאת חניה אישית והקצאת חניות נכים ליד מדרכות. כמו כן, כל רשות מקומית מתמודדת לבד עם אתגרי האכיפה בנושא חניה בחניות נכים. אומנם קיימת שונות רבה במאפייני הרשויות השונות, וייתכן שיש הצדקה מסוימת ליישום של מדיניות שונה, אולם חלק מהאתגרים הם גנריים ונוגעים לכלל הרשויות המקומיות. זאת ועוד, יש רשויות מקומיות שיכולות להשקיע משאבים בנושאים הללו כדי למצוא פתרונות לסוגיות שעולות בעוד שאין ברשותן של רשויות אחרות היכולת להשקיע משאבים למציאת פתרונות לסוגיות אלו.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eastAsia"/>
          <w:rtl/>
        </w:rPr>
        <w:t>עיריית</w:t>
      </w:r>
      <w:r w:rsidRPr="00A210E9">
        <w:rPr>
          <w:rFonts w:eastAsia="Calibri"/>
          <w:rtl/>
        </w:rPr>
        <w:t xml:space="preserve"> ירושלים </w:t>
      </w:r>
      <w:r w:rsidRPr="00A210E9">
        <w:rPr>
          <w:rFonts w:eastAsia="Calibri" w:hint="eastAsia"/>
          <w:rtl/>
        </w:rPr>
        <w:t>כתבה</w:t>
      </w:r>
      <w:r w:rsidRPr="00A210E9">
        <w:rPr>
          <w:rFonts w:eastAsia="Calibri"/>
          <w:rtl/>
        </w:rPr>
        <w:t xml:space="preserve"> </w:t>
      </w:r>
      <w:r w:rsidRPr="00A210E9">
        <w:rPr>
          <w:rFonts w:eastAsia="Calibri" w:hint="eastAsia"/>
          <w:rtl/>
        </w:rPr>
        <w:t>בתשובתה</w:t>
      </w:r>
      <w:r w:rsidRPr="00A210E9">
        <w:rPr>
          <w:rFonts w:eastAsia="Calibri"/>
          <w:rtl/>
        </w:rPr>
        <w:t>: "</w:t>
      </w:r>
      <w:r w:rsidRPr="00A210E9">
        <w:rPr>
          <w:rFonts w:eastAsia="Calibri" w:hint="eastAsia"/>
          <w:rtl/>
        </w:rPr>
        <w:t>לצד</w:t>
      </w:r>
      <w:r w:rsidRPr="00A210E9">
        <w:rPr>
          <w:rFonts w:eastAsia="Calibri"/>
          <w:rtl/>
        </w:rPr>
        <w:t xml:space="preserve"> הפעולות העירוניות [</w:t>
      </w:r>
      <w:r w:rsidRPr="00A210E9">
        <w:rPr>
          <w:rFonts w:eastAsia="Calibri" w:hint="cs"/>
          <w:rtl/>
        </w:rPr>
        <w:t>שהעירייה</w:t>
      </w:r>
      <w:r w:rsidRPr="00A210E9">
        <w:rPr>
          <w:rFonts w:eastAsia="Calibri"/>
          <w:rtl/>
        </w:rPr>
        <w:t xml:space="preserve"> </w:t>
      </w:r>
      <w:r w:rsidRPr="00A210E9">
        <w:rPr>
          <w:rFonts w:eastAsia="Calibri" w:hint="eastAsia"/>
          <w:rtl/>
        </w:rPr>
        <w:t>נוקטת</w:t>
      </w:r>
      <w:r w:rsidRPr="00A210E9">
        <w:rPr>
          <w:rFonts w:eastAsia="Calibri"/>
          <w:rtl/>
        </w:rPr>
        <w:t xml:space="preserve">], </w:t>
      </w:r>
      <w:r w:rsidRPr="00A210E9">
        <w:rPr>
          <w:rFonts w:eastAsia="Calibri" w:hint="eastAsia"/>
          <w:rtl/>
        </w:rPr>
        <w:t>אנו</w:t>
      </w:r>
      <w:r w:rsidRPr="00A210E9">
        <w:rPr>
          <w:rFonts w:eastAsia="Calibri"/>
          <w:rtl/>
        </w:rPr>
        <w:t xml:space="preserve"> סבורים כי </w:t>
      </w:r>
      <w:r w:rsidRPr="00A210E9">
        <w:rPr>
          <w:rFonts w:eastAsia="Calibri" w:hint="eastAsia"/>
          <w:rtl/>
        </w:rPr>
        <w:t>נדרש</w:t>
      </w:r>
      <w:r w:rsidRPr="00A210E9">
        <w:rPr>
          <w:rFonts w:eastAsia="Calibri"/>
          <w:rtl/>
        </w:rPr>
        <w:t xml:space="preserve"> גם מענה רגולטורי רחב ברמה הארצית ובפרט קידום </w:t>
      </w:r>
      <w:r w:rsidRPr="00A210E9">
        <w:rPr>
          <w:rFonts w:eastAsia="Calibri" w:hint="eastAsia"/>
          <w:rtl/>
        </w:rPr>
        <w:t>תקנות</w:t>
      </w:r>
      <w:r w:rsidRPr="00A210E9">
        <w:rPr>
          <w:rFonts w:eastAsia="Calibri"/>
          <w:rtl/>
        </w:rPr>
        <w:t xml:space="preserve"> </w:t>
      </w:r>
      <w:r w:rsidRPr="00A210E9">
        <w:rPr>
          <w:rFonts w:eastAsia="Calibri" w:hint="eastAsia"/>
          <w:rtl/>
        </w:rPr>
        <w:t>אחידות</w:t>
      </w:r>
      <w:r w:rsidRPr="00A210E9">
        <w:rPr>
          <w:rFonts w:eastAsia="Calibri"/>
          <w:rtl/>
        </w:rPr>
        <w:t xml:space="preserve">, </w:t>
      </w:r>
      <w:r w:rsidRPr="00A210E9">
        <w:rPr>
          <w:rFonts w:eastAsia="Calibri" w:hint="eastAsia"/>
          <w:rtl/>
        </w:rPr>
        <w:t>הבחנה</w:t>
      </w:r>
      <w:r w:rsidRPr="00A210E9">
        <w:rPr>
          <w:rFonts w:eastAsia="Calibri"/>
          <w:rtl/>
        </w:rPr>
        <w:t xml:space="preserve"> </w:t>
      </w:r>
      <w:r w:rsidRPr="00A210E9">
        <w:rPr>
          <w:rFonts w:eastAsia="Calibri" w:hint="eastAsia"/>
          <w:rtl/>
        </w:rPr>
        <w:t>ברורה</w:t>
      </w:r>
      <w:r w:rsidRPr="00A210E9">
        <w:rPr>
          <w:rFonts w:eastAsia="Calibri"/>
          <w:rtl/>
        </w:rPr>
        <w:t xml:space="preserve"> </w:t>
      </w:r>
      <w:r w:rsidRPr="00A210E9">
        <w:rPr>
          <w:rFonts w:eastAsia="Calibri" w:hint="eastAsia"/>
          <w:rtl/>
        </w:rPr>
        <w:t>בין</w:t>
      </w:r>
      <w:r w:rsidRPr="00A210E9">
        <w:rPr>
          <w:rFonts w:eastAsia="Calibri"/>
          <w:rtl/>
        </w:rPr>
        <w:t xml:space="preserve"> </w:t>
      </w:r>
      <w:r w:rsidRPr="00A210E9">
        <w:rPr>
          <w:rFonts w:eastAsia="Calibri" w:hint="eastAsia"/>
          <w:rtl/>
        </w:rPr>
        <w:t>סוגי</w:t>
      </w:r>
      <w:r w:rsidRPr="00A210E9">
        <w:rPr>
          <w:rFonts w:eastAsia="Calibri"/>
          <w:rtl/>
        </w:rPr>
        <w:t xml:space="preserve"> </w:t>
      </w:r>
      <w:r w:rsidRPr="00A210E9">
        <w:rPr>
          <w:rFonts w:eastAsia="Calibri" w:hint="eastAsia"/>
          <w:rtl/>
        </w:rPr>
        <w:t>חניות</w:t>
      </w:r>
      <w:r w:rsidRPr="00A210E9">
        <w:rPr>
          <w:rFonts w:eastAsia="Calibri"/>
          <w:rtl/>
        </w:rPr>
        <w:t xml:space="preserve"> </w:t>
      </w:r>
      <w:r w:rsidRPr="00A210E9">
        <w:rPr>
          <w:rFonts w:eastAsia="Calibri" w:hint="eastAsia"/>
          <w:rtl/>
        </w:rPr>
        <w:t>ותגים</w:t>
      </w:r>
      <w:r w:rsidRPr="00A210E9">
        <w:rPr>
          <w:rFonts w:eastAsia="Calibri"/>
          <w:rtl/>
        </w:rPr>
        <w:t xml:space="preserve">, </w:t>
      </w:r>
      <w:r w:rsidRPr="00A210E9">
        <w:rPr>
          <w:rFonts w:eastAsia="Calibri" w:hint="eastAsia"/>
          <w:rtl/>
        </w:rPr>
        <w:t>והרחבת</w:t>
      </w:r>
      <w:r w:rsidRPr="00A210E9">
        <w:rPr>
          <w:rFonts w:eastAsia="Calibri"/>
          <w:rtl/>
        </w:rPr>
        <w:t xml:space="preserve"> </w:t>
      </w:r>
      <w:r w:rsidRPr="00A210E9">
        <w:rPr>
          <w:rFonts w:eastAsia="Calibri" w:hint="eastAsia"/>
          <w:rtl/>
        </w:rPr>
        <w:t>כלי</w:t>
      </w:r>
      <w:r w:rsidRPr="00A210E9">
        <w:rPr>
          <w:rFonts w:eastAsia="Calibri"/>
          <w:rtl/>
        </w:rPr>
        <w:t xml:space="preserve"> </w:t>
      </w:r>
      <w:r w:rsidRPr="00A210E9">
        <w:rPr>
          <w:rFonts w:eastAsia="Calibri" w:hint="eastAsia"/>
          <w:rtl/>
        </w:rPr>
        <w:t>האכיפה</w:t>
      </w:r>
      <w:r w:rsidRPr="00A210E9">
        <w:rPr>
          <w:rFonts w:eastAsia="Calibri"/>
          <w:rtl/>
        </w:rPr>
        <w:t xml:space="preserve"> </w:t>
      </w:r>
      <w:r w:rsidRPr="00A210E9">
        <w:rPr>
          <w:rFonts w:eastAsia="Calibri" w:hint="eastAsia"/>
          <w:rtl/>
        </w:rPr>
        <w:t>העומדים</w:t>
      </w:r>
      <w:r w:rsidRPr="00A210E9">
        <w:rPr>
          <w:rFonts w:eastAsia="Calibri"/>
          <w:rtl/>
        </w:rPr>
        <w:t xml:space="preserve"> </w:t>
      </w:r>
      <w:r w:rsidRPr="00A210E9">
        <w:rPr>
          <w:rFonts w:eastAsia="Calibri" w:hint="eastAsia"/>
          <w:rtl/>
        </w:rPr>
        <w:t>לרשות</w:t>
      </w:r>
      <w:r w:rsidRPr="00A210E9">
        <w:rPr>
          <w:rFonts w:eastAsia="Calibri"/>
          <w:rtl/>
        </w:rPr>
        <w:t xml:space="preserve"> </w:t>
      </w:r>
      <w:r w:rsidRPr="00A210E9">
        <w:rPr>
          <w:rFonts w:eastAsia="Calibri" w:hint="eastAsia"/>
          <w:rtl/>
        </w:rPr>
        <w:t>הרשויות</w:t>
      </w:r>
      <w:r w:rsidRPr="00A210E9">
        <w:rPr>
          <w:rFonts w:eastAsia="Calibri"/>
          <w:rtl/>
        </w:rPr>
        <w:t xml:space="preserve"> </w:t>
      </w:r>
      <w:r w:rsidRPr="00A210E9">
        <w:rPr>
          <w:rFonts w:eastAsia="Calibri" w:hint="eastAsia"/>
          <w:rtl/>
        </w:rPr>
        <w:t>המקומיות</w:t>
      </w:r>
      <w:r w:rsidRPr="00A210E9">
        <w:rPr>
          <w:rFonts w:eastAsia="Calibri" w:hint="cs"/>
          <w:rtl/>
        </w:rPr>
        <w:t>".</w:t>
      </w:r>
    </w:p>
    <w:p w:rsidR="00A210E9" w:rsidRPr="00A210E9" w:rsidP="00A210E9">
      <w:pPr>
        <w:spacing w:line="269" w:lineRule="auto"/>
        <w:rPr>
          <w:rFonts w:eastAsia="Calibri"/>
          <w:rtl/>
        </w:rPr>
      </w:pPr>
    </w:p>
    <w:p w:rsidR="00A210E9" w:rsidRPr="00A210E9" w:rsidP="00A210E9">
      <w:pPr>
        <w:keepNext/>
        <w:keepLines/>
        <w:spacing w:line="269" w:lineRule="auto"/>
        <w:outlineLvl w:val="4"/>
        <w:rPr>
          <w:rFonts w:eastAsia="Times New Roman"/>
          <w:bCs/>
          <w:spacing w:val="40"/>
          <w:rtl/>
        </w:rPr>
      </w:pPr>
      <w:r w:rsidRPr="00A210E9">
        <w:rPr>
          <w:rFonts w:eastAsia="Times New Roman" w:hint="cs"/>
          <w:bCs/>
          <w:spacing w:val="40"/>
          <w:rtl/>
        </w:rPr>
        <w:t xml:space="preserve">משרד הפנים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ascii="Rubik" w:eastAsia="Calibri" w:hAnsi="Rubik"/>
          <w:shd w:val="clear" w:color="auto" w:fill="FFFFFF"/>
          <w:rtl/>
        </w:rPr>
      </w:pPr>
      <w:r w:rsidRPr="00A210E9">
        <w:rPr>
          <w:rFonts w:ascii="Rubik" w:eastAsia="Calibri" w:hAnsi="Rubik" w:hint="cs"/>
          <w:shd w:val="clear" w:color="auto" w:fill="FFFFFF"/>
          <w:rtl/>
        </w:rPr>
        <w:t xml:space="preserve">באתר </w:t>
      </w:r>
      <w:r w:rsidRPr="00A210E9">
        <w:rPr>
          <w:rFonts w:ascii="Rubik" w:eastAsia="Calibri" w:hAnsi="Rubik"/>
          <w:shd w:val="clear" w:color="auto" w:fill="FFFFFF"/>
          <w:rtl/>
        </w:rPr>
        <w:t xml:space="preserve">משרד הפנים </w:t>
      </w:r>
      <w:r w:rsidRPr="00A210E9">
        <w:rPr>
          <w:rFonts w:ascii="Rubik" w:eastAsia="Calibri" w:hAnsi="Rubik" w:hint="cs"/>
          <w:shd w:val="clear" w:color="auto" w:fill="FFFFFF"/>
          <w:rtl/>
        </w:rPr>
        <w:t>במרשתת צוין כי המשרד אחראי מטעם הממשלה ל</w:t>
      </w:r>
      <w:r w:rsidRPr="00A210E9">
        <w:rPr>
          <w:rFonts w:ascii="Rubik" w:eastAsia="Calibri" w:hAnsi="Rubik"/>
          <w:shd w:val="clear" w:color="auto" w:fill="FFFFFF"/>
          <w:rtl/>
        </w:rPr>
        <w:t>קידום ו</w:t>
      </w:r>
      <w:r w:rsidRPr="00A210E9">
        <w:rPr>
          <w:rFonts w:ascii="Rubik" w:eastAsia="Calibri" w:hAnsi="Rubik" w:hint="cs"/>
          <w:shd w:val="clear" w:color="auto" w:fill="FFFFFF"/>
          <w:rtl/>
        </w:rPr>
        <w:t>ל</w:t>
      </w:r>
      <w:r w:rsidRPr="00A210E9">
        <w:rPr>
          <w:rFonts w:ascii="Rubik" w:eastAsia="Calibri" w:hAnsi="Rubik"/>
          <w:shd w:val="clear" w:color="auto" w:fill="FFFFFF"/>
          <w:rtl/>
        </w:rPr>
        <w:t xml:space="preserve">יישום </w:t>
      </w:r>
      <w:r w:rsidRPr="00A210E9">
        <w:rPr>
          <w:rFonts w:ascii="Rubik" w:eastAsia="Calibri" w:hAnsi="Rubik" w:hint="cs"/>
          <w:shd w:val="clear" w:color="auto" w:fill="FFFFFF"/>
          <w:rtl/>
        </w:rPr>
        <w:t xml:space="preserve">של </w:t>
      </w:r>
      <w:r w:rsidRPr="00A210E9">
        <w:rPr>
          <w:rFonts w:ascii="Rubik" w:eastAsia="Calibri" w:hAnsi="Rubik"/>
          <w:shd w:val="clear" w:color="auto" w:fill="FFFFFF"/>
          <w:rtl/>
        </w:rPr>
        <w:t xml:space="preserve">המדיניות בכל הקשור לפיקוח ובקרה על השלטון המקומי והרשויות המקומיות בישראל, </w:t>
      </w:r>
      <w:r w:rsidRPr="00A210E9">
        <w:rPr>
          <w:rFonts w:ascii="Rubik" w:eastAsia="Calibri" w:hAnsi="Rubik" w:hint="cs"/>
          <w:shd w:val="clear" w:color="auto" w:fill="FFFFFF"/>
          <w:rtl/>
        </w:rPr>
        <w:t xml:space="preserve">וכי הוא אחראי גם </w:t>
      </w:r>
      <w:r w:rsidRPr="00A210E9">
        <w:rPr>
          <w:rFonts w:ascii="Rubik" w:eastAsia="Calibri" w:hAnsi="Rubik"/>
          <w:shd w:val="clear" w:color="auto" w:fill="FFFFFF"/>
          <w:rtl/>
        </w:rPr>
        <w:t>לפיתוח</w:t>
      </w:r>
      <w:r w:rsidRPr="00A210E9">
        <w:rPr>
          <w:rFonts w:ascii="Rubik" w:eastAsia="Calibri" w:hAnsi="Rubik" w:hint="cs"/>
          <w:shd w:val="clear" w:color="auto" w:fill="FFFFFF"/>
          <w:rtl/>
        </w:rPr>
        <w:t>ם</w:t>
      </w:r>
      <w:r w:rsidRPr="00A210E9">
        <w:rPr>
          <w:rFonts w:ascii="Rubik" w:eastAsia="Calibri" w:hAnsi="Rubik"/>
          <w:shd w:val="clear" w:color="auto" w:fill="FFFFFF"/>
          <w:rtl/>
        </w:rPr>
        <w:t xml:space="preserve"> ולחיזוק</w:t>
      </w:r>
      <w:r w:rsidRPr="00A210E9">
        <w:rPr>
          <w:rFonts w:ascii="Rubik" w:eastAsia="Calibri" w:hAnsi="Rubik" w:hint="cs"/>
          <w:shd w:val="clear" w:color="auto" w:fill="FFFFFF"/>
          <w:rtl/>
        </w:rPr>
        <w:t>ם</w:t>
      </w:r>
      <w:r w:rsidRPr="00A210E9">
        <w:rPr>
          <w:rFonts w:ascii="Rubik" w:eastAsia="Calibri" w:hAnsi="Rubik"/>
          <w:shd w:val="clear" w:color="auto" w:fill="FFFFFF"/>
          <w:rtl/>
        </w:rPr>
        <w:t xml:space="preserve">, וזאת </w:t>
      </w:r>
      <w:r w:rsidRPr="00A210E9">
        <w:rPr>
          <w:rFonts w:ascii="Rubik" w:eastAsia="Calibri" w:hAnsi="Rubik" w:hint="cs"/>
          <w:shd w:val="clear" w:color="auto" w:fill="FFFFFF"/>
          <w:rtl/>
        </w:rPr>
        <w:t>כדי</w:t>
      </w:r>
      <w:r w:rsidRPr="00A210E9">
        <w:rPr>
          <w:rFonts w:ascii="Rubik" w:eastAsia="Calibri" w:hAnsi="Rubik"/>
          <w:shd w:val="clear" w:color="auto" w:fill="FFFFFF"/>
          <w:rtl/>
        </w:rPr>
        <w:t xml:space="preserve"> להוביל לשינוי </w:t>
      </w:r>
      <w:r w:rsidRPr="00A210E9">
        <w:rPr>
          <w:rFonts w:ascii="Rubik" w:eastAsia="Calibri" w:hAnsi="Rubik" w:hint="cs"/>
          <w:shd w:val="clear" w:color="auto" w:fill="FFFFFF"/>
          <w:rtl/>
        </w:rPr>
        <w:t>של ממש</w:t>
      </w:r>
      <w:r w:rsidRPr="00A210E9">
        <w:rPr>
          <w:rFonts w:ascii="Rubik" w:eastAsia="Calibri" w:hAnsi="Rubik"/>
          <w:shd w:val="clear" w:color="auto" w:fill="FFFFFF"/>
          <w:rtl/>
        </w:rPr>
        <w:t xml:space="preserve"> באיכות החיים של תושבי המדינה ו</w:t>
      </w:r>
      <w:r w:rsidRPr="00A210E9">
        <w:rPr>
          <w:rFonts w:ascii="Rubik" w:eastAsia="Calibri" w:hAnsi="Rubik" w:hint="cs"/>
          <w:shd w:val="clear" w:color="auto" w:fill="FFFFFF"/>
          <w:rtl/>
        </w:rPr>
        <w:t>ל</w:t>
      </w:r>
      <w:r w:rsidRPr="00A210E9">
        <w:rPr>
          <w:rFonts w:ascii="Rubik" w:eastAsia="Calibri" w:hAnsi="Rubik"/>
          <w:shd w:val="clear" w:color="auto" w:fill="FFFFFF"/>
          <w:rtl/>
        </w:rPr>
        <w:t>שיפור השירות הניתן להם.</w:t>
      </w:r>
      <w:r w:rsidRPr="00A210E9">
        <w:rPr>
          <w:rFonts w:ascii="Rubik" w:eastAsia="Calibri" w:hAnsi="Rubik" w:hint="cs"/>
          <w:shd w:val="clear" w:color="auto" w:fill="FFFFFF"/>
          <w:rtl/>
        </w:rPr>
        <w:t xml:space="preserve"> עוד צוין כי בין תפקידיו של משרד הפנים ניתן למנות תכנון מדיניות לאומית בנושאי השלטון המקומי, ליווי והכוונה של פעילות הרשויות המקומיות ופיקוח ובקרה על פעילותן. </w:t>
      </w:r>
      <w:r w:rsidRPr="00A210E9">
        <w:rPr>
          <w:rFonts w:ascii="Rubik" w:eastAsia="Calibri" w:hAnsi="Rubik" w:hint="eastAsia"/>
          <w:shd w:val="clear" w:color="auto" w:fill="FFFFFF"/>
          <w:rtl/>
        </w:rPr>
        <w:t>כמו</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כן</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המשרד</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אחראי</w:t>
      </w:r>
      <w:r w:rsidRPr="00A210E9">
        <w:rPr>
          <w:rFonts w:ascii="Rubik" w:eastAsia="Calibri" w:hAnsi="Rubik"/>
          <w:shd w:val="clear" w:color="auto" w:fill="FFFFFF"/>
          <w:rtl/>
        </w:rPr>
        <w:t xml:space="preserve"> </w:t>
      </w:r>
      <w:r w:rsidRPr="00A210E9">
        <w:rPr>
          <w:rFonts w:ascii="Rubik" w:eastAsia="Calibri" w:hAnsi="Rubik" w:hint="cs"/>
          <w:shd w:val="clear" w:color="auto" w:fill="FFFFFF"/>
          <w:rtl/>
        </w:rPr>
        <w:t>ל</w:t>
      </w:r>
      <w:r w:rsidRPr="00A210E9">
        <w:rPr>
          <w:rFonts w:ascii="Rubik" w:eastAsia="Calibri" w:hAnsi="Rubik" w:hint="eastAsia"/>
          <w:shd w:val="clear" w:color="auto" w:fill="FFFFFF"/>
          <w:rtl/>
        </w:rPr>
        <w:t>התווי</w:t>
      </w:r>
      <w:r w:rsidRPr="00A210E9">
        <w:rPr>
          <w:rFonts w:ascii="Rubik" w:eastAsia="Calibri" w:hAnsi="Rubik" w:hint="cs"/>
          <w:shd w:val="clear" w:color="auto" w:fill="FFFFFF"/>
          <w:rtl/>
        </w:rPr>
        <w:t>י</w:t>
      </w:r>
      <w:r w:rsidRPr="00A210E9">
        <w:rPr>
          <w:rFonts w:ascii="Rubik" w:eastAsia="Calibri" w:hAnsi="Rubik" w:hint="eastAsia"/>
          <w:shd w:val="clear" w:color="auto" w:fill="FFFFFF"/>
          <w:rtl/>
        </w:rPr>
        <w:t>ת</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מדיניות</w:t>
      </w:r>
      <w:r w:rsidRPr="00A210E9">
        <w:rPr>
          <w:rFonts w:ascii="Rubik" w:eastAsia="Calibri" w:hAnsi="Rubik"/>
          <w:shd w:val="clear" w:color="auto" w:fill="FFFFFF"/>
          <w:rtl/>
        </w:rPr>
        <w:t xml:space="preserve"> </w:t>
      </w:r>
      <w:r w:rsidRPr="00A210E9">
        <w:rPr>
          <w:rFonts w:ascii="Rubik" w:eastAsia="Calibri" w:hAnsi="Rubik" w:hint="cs"/>
          <w:shd w:val="clear" w:color="auto" w:fill="FFFFFF"/>
          <w:rtl/>
        </w:rPr>
        <w:t xml:space="preserve">בתחומי התכנון והבניה </w:t>
      </w:r>
      <w:r w:rsidRPr="00A210E9">
        <w:rPr>
          <w:rFonts w:ascii="Rubik" w:eastAsia="Calibri" w:hAnsi="Rubik" w:hint="eastAsia"/>
          <w:shd w:val="clear" w:color="auto" w:fill="FFFFFF"/>
          <w:rtl/>
        </w:rPr>
        <w:t>ו</w:t>
      </w:r>
      <w:r w:rsidRPr="00A210E9">
        <w:rPr>
          <w:rFonts w:ascii="Rubik" w:eastAsia="Calibri" w:hAnsi="Rubik" w:hint="cs"/>
          <w:shd w:val="clear" w:color="auto" w:fill="FFFFFF"/>
          <w:rtl/>
        </w:rPr>
        <w:t>ל</w:t>
      </w:r>
      <w:r w:rsidRPr="00A210E9">
        <w:rPr>
          <w:rFonts w:ascii="Rubik" w:eastAsia="Calibri" w:hAnsi="Rubik" w:hint="eastAsia"/>
          <w:shd w:val="clear" w:color="auto" w:fill="FFFFFF"/>
          <w:rtl/>
        </w:rPr>
        <w:t>פיקוח</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על</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הרשויות</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המקומיות</w:t>
      </w:r>
      <w:r w:rsidRPr="00A210E9">
        <w:rPr>
          <w:rFonts w:ascii="Rubik" w:eastAsia="Calibri" w:hAnsi="Rubik"/>
          <w:shd w:val="clear" w:color="auto" w:fill="FFFFFF"/>
          <w:rtl/>
        </w:rPr>
        <w:t xml:space="preserve"> </w:t>
      </w:r>
      <w:r w:rsidRPr="00A210E9">
        <w:rPr>
          <w:rFonts w:ascii="Rubik" w:eastAsia="Calibri" w:hAnsi="Rubik" w:hint="cs"/>
          <w:shd w:val="clear" w:color="auto" w:fill="FFFFFF"/>
          <w:rtl/>
        </w:rPr>
        <w:t>בתחומים אלה</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לתפקידים</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אלה</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יש</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נגיעה</w:t>
      </w:r>
      <w:r w:rsidRPr="00A210E9">
        <w:rPr>
          <w:rFonts w:ascii="Rubik" w:eastAsia="Calibri" w:hAnsi="Rubik"/>
          <w:shd w:val="clear" w:color="auto" w:fill="FFFFFF"/>
          <w:rtl/>
        </w:rPr>
        <w:t xml:space="preserve"> </w:t>
      </w:r>
      <w:r w:rsidRPr="00A210E9">
        <w:rPr>
          <w:rFonts w:ascii="Rubik" w:eastAsia="Calibri" w:hAnsi="Rubik" w:hint="cs"/>
          <w:shd w:val="clear" w:color="auto" w:fill="FFFFFF"/>
          <w:rtl/>
        </w:rPr>
        <w:t>לסוגיות שעניינן</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הקצאת</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מקומות</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חניה</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לאנשים</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עם</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מוגבלות</w:t>
      </w:r>
      <w:r w:rsidRPr="00A210E9">
        <w:rPr>
          <w:rFonts w:ascii="Rubik" w:eastAsia="Calibri" w:hAnsi="Rubik"/>
          <w:shd w:val="clear" w:color="auto" w:fill="FFFFFF"/>
          <w:rtl/>
        </w:rPr>
        <w:t xml:space="preserve"> (</w:t>
      </w:r>
      <w:r w:rsidRPr="00A210E9">
        <w:rPr>
          <w:rFonts w:ascii="Rubik" w:eastAsia="Calibri" w:hAnsi="Rubik" w:hint="cs"/>
          <w:shd w:val="clear" w:color="auto" w:fill="FFFFFF"/>
          <w:rtl/>
        </w:rPr>
        <w:t>שמתבצעת</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בהתאם</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לחוקי</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התכנון</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והבנ</w:t>
      </w:r>
      <w:r w:rsidRPr="00A210E9">
        <w:rPr>
          <w:rFonts w:ascii="Rubik" w:eastAsia="Calibri" w:hAnsi="Rubik" w:hint="cs"/>
          <w:shd w:val="clear" w:color="auto" w:fill="FFFFFF"/>
          <w:rtl/>
        </w:rPr>
        <w:t>י</w:t>
      </w:r>
      <w:r w:rsidRPr="00A210E9">
        <w:rPr>
          <w:rFonts w:ascii="Rubik" w:eastAsia="Calibri" w:hAnsi="Rubik" w:hint="eastAsia"/>
          <w:shd w:val="clear" w:color="auto" w:fill="FFFFFF"/>
          <w:rtl/>
        </w:rPr>
        <w:t>ה</w:t>
      </w:r>
      <w:r w:rsidRPr="00A210E9">
        <w:rPr>
          <w:rFonts w:ascii="Rubik" w:eastAsia="Calibri" w:hAnsi="Rubik"/>
          <w:shd w:val="clear" w:color="auto" w:fill="FFFFFF"/>
          <w:rtl/>
        </w:rPr>
        <w:t xml:space="preserve"> </w:t>
      </w:r>
      <w:r w:rsidRPr="00A210E9">
        <w:rPr>
          <w:rFonts w:ascii="Rubik" w:eastAsia="Calibri" w:hAnsi="Rubik" w:hint="cs"/>
          <w:shd w:val="clear" w:color="auto" w:fill="FFFFFF"/>
          <w:rtl/>
        </w:rPr>
        <w:t>ול</w:t>
      </w:r>
      <w:r w:rsidRPr="00A210E9">
        <w:rPr>
          <w:rFonts w:ascii="Rubik" w:eastAsia="Calibri" w:hAnsi="Rubik" w:hint="eastAsia"/>
          <w:shd w:val="clear" w:color="auto" w:fill="FFFFFF"/>
          <w:rtl/>
        </w:rPr>
        <w:t>תקנות</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שנקבעו</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מכוח</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חוק</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שוויון</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זכויות</w:t>
      </w:r>
      <w:r w:rsidRPr="00A210E9">
        <w:rPr>
          <w:rFonts w:ascii="Rubik" w:eastAsia="Calibri" w:hAnsi="Rubik"/>
          <w:shd w:val="clear" w:color="auto" w:fill="FFFFFF"/>
          <w:rtl/>
        </w:rPr>
        <w:t>)</w:t>
      </w:r>
      <w:r w:rsidRPr="00A210E9">
        <w:rPr>
          <w:rFonts w:ascii="Rubik" w:eastAsia="Calibri" w:hAnsi="Rubik"/>
          <w:shd w:val="clear" w:color="auto" w:fill="FFFFFF"/>
        </w:rPr>
        <w:t xml:space="preserve"> </w:t>
      </w:r>
      <w:r w:rsidRPr="00A210E9">
        <w:rPr>
          <w:rFonts w:ascii="Rubik" w:eastAsia="Calibri" w:hAnsi="Rubik" w:hint="eastAsia"/>
          <w:shd w:val="clear" w:color="auto" w:fill="FFFFFF"/>
          <w:rtl/>
        </w:rPr>
        <w:t>והן</w:t>
      </w:r>
      <w:r w:rsidRPr="00A210E9">
        <w:rPr>
          <w:rFonts w:ascii="Rubik" w:eastAsia="Calibri" w:hAnsi="Rubik"/>
          <w:shd w:val="clear" w:color="auto" w:fill="FFFFFF"/>
          <w:rtl/>
        </w:rPr>
        <w:t xml:space="preserve"> </w:t>
      </w:r>
      <w:r w:rsidRPr="00A210E9">
        <w:rPr>
          <w:rFonts w:ascii="Rubik" w:eastAsia="Calibri" w:hAnsi="Rubik" w:hint="cs"/>
          <w:shd w:val="clear" w:color="auto" w:fill="FFFFFF"/>
          <w:rtl/>
        </w:rPr>
        <w:t xml:space="preserve">סוגיות שעניינן </w:t>
      </w:r>
      <w:r w:rsidRPr="00A210E9">
        <w:rPr>
          <w:rFonts w:ascii="Rubik" w:eastAsia="Calibri" w:hAnsi="Rubik" w:hint="eastAsia"/>
          <w:shd w:val="clear" w:color="auto" w:fill="FFFFFF"/>
          <w:rtl/>
        </w:rPr>
        <w:t>אכיפת</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השימוש</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ב</w:t>
      </w:r>
      <w:r w:rsidRPr="00A210E9">
        <w:rPr>
          <w:rFonts w:ascii="Rubik" w:eastAsia="Calibri" w:hAnsi="Rubik" w:hint="cs"/>
          <w:shd w:val="clear" w:color="auto" w:fill="FFFFFF"/>
          <w:rtl/>
        </w:rPr>
        <w:t>חניות נכים</w:t>
      </w:r>
      <w:r w:rsidRPr="00A210E9">
        <w:rPr>
          <w:rFonts w:ascii="Rubik" w:eastAsia="Calibri" w:hAnsi="Rubik"/>
          <w:shd w:val="clear" w:color="auto" w:fill="FFFFFF"/>
          <w:rtl/>
        </w:rPr>
        <w:t>.</w:t>
      </w:r>
      <w:r w:rsidRPr="00A210E9">
        <w:rPr>
          <w:rFonts w:ascii="Rubik" w:eastAsia="Calibri" w:hAnsi="Rubik" w:hint="cs"/>
          <w:shd w:val="clear" w:color="auto" w:fill="FFFFFF"/>
          <w:rtl/>
        </w:rPr>
        <w:t xml:space="preserve"> </w:t>
      </w:r>
      <w:r w:rsidRPr="00A210E9">
        <w:rPr>
          <w:rFonts w:ascii="Rubik" w:eastAsia="Calibri" w:hAnsi="Rubik" w:hint="eastAsia"/>
          <w:shd w:val="clear" w:color="auto" w:fill="FFFFFF"/>
          <w:rtl/>
        </w:rPr>
        <w:t>כמו</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כן</w:t>
      </w:r>
      <w:r w:rsidRPr="00A210E9">
        <w:rPr>
          <w:rFonts w:ascii="Rubik" w:eastAsia="Calibri" w:hAnsi="Rubik"/>
          <w:shd w:val="clear" w:color="auto" w:fill="FFFFFF"/>
          <w:rtl/>
        </w:rPr>
        <w:t>,</w:t>
      </w:r>
      <w:r w:rsidRPr="00A210E9">
        <w:rPr>
          <w:rFonts w:ascii="Rubik" w:eastAsia="Calibri" w:hAnsi="Rubik" w:hint="cs"/>
          <w:shd w:val="clear" w:color="auto" w:fill="FFFFFF"/>
          <w:rtl/>
        </w:rPr>
        <w:t xml:space="preserve"> מכוח </w:t>
      </w:r>
      <w:r w:rsidRPr="00A210E9">
        <w:rPr>
          <w:rFonts w:ascii="Rubik" w:eastAsia="Calibri" w:hAnsi="Rubik" w:hint="eastAsia"/>
          <w:shd w:val="clear" w:color="auto" w:fill="FFFFFF"/>
          <w:rtl/>
        </w:rPr>
        <w:t>חוק</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שוויון</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זכויות</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חלק</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מהתקנות</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שמותקנות</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מכוחו</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בנושאי</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נגישות</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וחלות</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על</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רשויות</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מקומיות</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צריכות</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להיקבע</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בהסכמת</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שר</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הפנים</w:t>
      </w:r>
      <w:r>
        <w:rPr>
          <w:rFonts w:ascii="Rubik" w:eastAsia="Calibri" w:hAnsi="Rubik"/>
          <w:shd w:val="clear" w:color="auto" w:fill="FFFFFF"/>
          <w:vertAlign w:val="superscript"/>
          <w:rtl/>
        </w:rPr>
        <w:footnoteReference w:id="219"/>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והחוק</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אף</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מטיל</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על</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שר</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הפנים</w:t>
      </w:r>
      <w:r w:rsidRPr="00A210E9">
        <w:rPr>
          <w:rFonts w:ascii="Rubik" w:eastAsia="Calibri" w:hAnsi="Rubik"/>
          <w:shd w:val="clear" w:color="auto" w:fill="FFFFFF"/>
          <w:rtl/>
        </w:rPr>
        <w:t xml:space="preserve"> </w:t>
      </w:r>
      <w:r w:rsidRPr="00A210E9">
        <w:rPr>
          <w:rFonts w:ascii="Rubik" w:eastAsia="Calibri" w:hAnsi="Rubik" w:hint="cs"/>
          <w:shd w:val="clear" w:color="auto" w:fill="FFFFFF"/>
          <w:rtl/>
        </w:rPr>
        <w:t xml:space="preserve">את האחריות </w:t>
      </w:r>
      <w:r w:rsidRPr="00A210E9">
        <w:rPr>
          <w:rFonts w:ascii="Rubik" w:eastAsia="Calibri" w:hAnsi="Rubik" w:hint="eastAsia"/>
          <w:shd w:val="clear" w:color="auto" w:fill="FFFFFF"/>
          <w:rtl/>
        </w:rPr>
        <w:t>להתקין</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תקנות</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בנושא</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דרכים</w:t>
      </w:r>
      <w:r w:rsidRPr="00A210E9">
        <w:rPr>
          <w:rFonts w:ascii="Rubik" w:eastAsia="Calibri" w:hAnsi="Rubik"/>
          <w:shd w:val="clear" w:color="auto" w:fill="FFFFFF"/>
          <w:rtl/>
        </w:rPr>
        <w:t xml:space="preserve"> </w:t>
      </w:r>
      <w:r w:rsidRPr="00A210E9">
        <w:rPr>
          <w:rFonts w:ascii="Rubik" w:eastAsia="Calibri" w:hAnsi="Rubik" w:hint="eastAsia"/>
          <w:shd w:val="clear" w:color="auto" w:fill="FFFFFF"/>
          <w:rtl/>
        </w:rPr>
        <w:t>נגישות</w:t>
      </w:r>
      <w:r w:rsidRPr="00A210E9">
        <w:rPr>
          <w:rFonts w:ascii="Rubik" w:eastAsia="Calibri" w:hAnsi="Rubik"/>
          <w:shd w:val="clear" w:color="auto" w:fill="FFFFFF"/>
          <w:rtl/>
        </w:rPr>
        <w:t>.</w:t>
      </w:r>
    </w:p>
    <w:p w:rsidR="00A210E9" w:rsidRPr="00A210E9" w:rsidP="00A210E9">
      <w:pPr>
        <w:keepNext/>
        <w:keepLines/>
        <w:spacing w:line="269" w:lineRule="auto"/>
        <w:ind w:left="-567"/>
        <w:rPr>
          <w:rFonts w:eastAsia="Calibri"/>
          <w:szCs w:val="20"/>
          <w:shd w:val="clear" w:color="auto" w:fill="FFFFFF"/>
          <w:rtl/>
        </w:rPr>
      </w:pPr>
    </w:p>
    <w:p w:rsidR="00A210E9" w:rsidRPr="00A210E9" w:rsidP="00A210E9">
      <w:pPr>
        <w:spacing w:line="269" w:lineRule="auto"/>
        <w:rPr>
          <w:rFonts w:ascii="David" w:eastAsia="Calibri" w:hAnsi="David"/>
          <w:b/>
          <w:bCs/>
          <w:sz w:val="24"/>
          <w:rtl/>
        </w:rPr>
      </w:pPr>
      <w:r w:rsidRPr="00A210E9">
        <w:rPr>
          <w:rFonts w:ascii="David" w:eastAsia="Calibri" w:hAnsi="David" w:hint="cs"/>
          <w:b/>
          <w:bCs/>
          <w:sz w:val="24"/>
          <w:rtl/>
        </w:rPr>
        <w:t xml:space="preserve">בביקורת עלה כי </w:t>
      </w:r>
      <w:r w:rsidRPr="00A210E9">
        <w:rPr>
          <w:rFonts w:ascii="David" w:eastAsia="Calibri" w:hAnsi="David"/>
          <w:b/>
          <w:bCs/>
          <w:sz w:val="24"/>
          <w:rtl/>
        </w:rPr>
        <w:t>למעט מעורבותו של משרד הפנים בהתקנת תקנות הנגישות</w:t>
      </w:r>
      <w:r w:rsidRPr="00A210E9">
        <w:rPr>
          <w:rFonts w:ascii="David" w:eastAsia="Calibri" w:hAnsi="David" w:hint="cs"/>
          <w:b/>
          <w:bCs/>
          <w:sz w:val="24"/>
          <w:rtl/>
        </w:rPr>
        <w:t xml:space="preserve">, </w:t>
      </w:r>
      <w:r w:rsidRPr="00A210E9">
        <w:rPr>
          <w:rFonts w:ascii="David" w:eastAsia="Calibri" w:hAnsi="David"/>
          <w:b/>
          <w:bCs/>
          <w:sz w:val="24"/>
          <w:rtl/>
        </w:rPr>
        <w:t xml:space="preserve">המשרד אינו שותף לסוגיות הנוגעות להקצאת חניות נכים. למרות תפקידו </w:t>
      </w:r>
      <w:r w:rsidRPr="00A210E9">
        <w:rPr>
          <w:rFonts w:ascii="David" w:eastAsia="Calibri" w:hAnsi="David" w:hint="cs"/>
          <w:b/>
          <w:bCs/>
          <w:sz w:val="24"/>
          <w:rtl/>
        </w:rPr>
        <w:t>כמאסדר של השלטון המקומי בישראל, ובכלל זאת ה</w:t>
      </w:r>
      <w:r w:rsidRPr="00A210E9">
        <w:rPr>
          <w:rFonts w:ascii="David" w:eastAsia="Calibri" w:hAnsi="David"/>
          <w:b/>
          <w:bCs/>
          <w:sz w:val="24"/>
          <w:rtl/>
        </w:rPr>
        <w:t>משרד האמון על</w:t>
      </w:r>
      <w:r w:rsidRPr="00A210E9">
        <w:rPr>
          <w:rFonts w:ascii="David" w:eastAsia="Calibri" w:hAnsi="David" w:hint="cs"/>
          <w:b/>
          <w:bCs/>
          <w:sz w:val="24"/>
          <w:rtl/>
        </w:rPr>
        <w:t xml:space="preserve"> תכנון מדיניות לאומית בנושאי השלטון המקומי, על </w:t>
      </w:r>
      <w:r w:rsidRPr="00A210E9">
        <w:rPr>
          <w:rFonts w:ascii="David" w:eastAsia="Calibri" w:hAnsi="David"/>
          <w:b/>
          <w:bCs/>
          <w:sz w:val="24"/>
          <w:rtl/>
        </w:rPr>
        <w:t>ליווי והכוונ</w:t>
      </w:r>
      <w:r w:rsidRPr="00A210E9">
        <w:rPr>
          <w:rFonts w:ascii="David" w:eastAsia="Calibri" w:hAnsi="David" w:hint="cs"/>
          <w:b/>
          <w:bCs/>
          <w:sz w:val="24"/>
          <w:rtl/>
        </w:rPr>
        <w:t>ה של</w:t>
      </w:r>
      <w:r w:rsidRPr="00A210E9">
        <w:rPr>
          <w:rFonts w:ascii="David" w:eastAsia="Calibri" w:hAnsi="David"/>
          <w:b/>
          <w:bCs/>
          <w:sz w:val="24"/>
          <w:rtl/>
        </w:rPr>
        <w:t xml:space="preserve"> הרשויות המקומיות</w:t>
      </w:r>
      <w:r w:rsidRPr="00A210E9">
        <w:rPr>
          <w:rFonts w:ascii="David" w:eastAsia="Calibri" w:hAnsi="David" w:hint="cs"/>
          <w:b/>
          <w:bCs/>
          <w:sz w:val="24"/>
          <w:rtl/>
        </w:rPr>
        <w:t xml:space="preserve"> ועל פיקוח ובקרה על פעילותן</w:t>
      </w:r>
      <w:r w:rsidRPr="00A210E9">
        <w:rPr>
          <w:rFonts w:ascii="David" w:eastAsia="Calibri" w:hAnsi="David"/>
          <w:b/>
          <w:bCs/>
          <w:sz w:val="24"/>
          <w:rtl/>
        </w:rPr>
        <w:t>, הוא אינו ממלא כיום תפקיד</w:t>
      </w:r>
      <w:r w:rsidRPr="00A210E9">
        <w:rPr>
          <w:rFonts w:ascii="David" w:eastAsia="Calibri" w:hAnsi="David" w:hint="cs"/>
          <w:b/>
          <w:bCs/>
          <w:sz w:val="24"/>
          <w:rtl/>
        </w:rPr>
        <w:t xml:space="preserve">ים אלה בהקשרים של </w:t>
      </w:r>
      <w:r w:rsidRPr="00A210E9">
        <w:rPr>
          <w:rFonts w:ascii="David" w:eastAsia="Calibri" w:hAnsi="David"/>
          <w:b/>
          <w:bCs/>
          <w:sz w:val="24"/>
          <w:rtl/>
        </w:rPr>
        <w:t>תהליכי קבלת החלטות והתמודדות עם הדילמות המתעוררות בעת הקצאת חניות לאנשים עם מוגבלות</w:t>
      </w:r>
      <w:r w:rsidRPr="00A210E9">
        <w:rPr>
          <w:rFonts w:ascii="David" w:eastAsia="Calibri" w:hAnsi="David" w:hint="cs"/>
          <w:b/>
          <w:bCs/>
          <w:sz w:val="24"/>
          <w:rtl/>
        </w:rPr>
        <w:t xml:space="preserve"> ובהקשר של סוגיות הכרוכות באכיפת השימוש בחניות נכים</w:t>
      </w:r>
      <w:r w:rsidRPr="00A210E9">
        <w:rPr>
          <w:rFonts w:ascii="David" w:eastAsia="Calibri" w:hAnsi="David"/>
          <w:b/>
          <w:bCs/>
          <w:sz w:val="24"/>
        </w:rPr>
        <w:t>.</w:t>
      </w:r>
    </w:p>
    <w:p w:rsidR="00A210E9" w:rsidRPr="00A210E9" w:rsidP="00A210E9">
      <w:pPr>
        <w:spacing w:line="269" w:lineRule="auto"/>
        <w:rPr>
          <w:rFonts w:eastAsia="Calibri"/>
          <w:rtl/>
        </w:rPr>
      </w:pPr>
    </w:p>
    <w:p w:rsidR="00A210E9" w:rsidRPr="00A210E9" w:rsidP="00A210E9">
      <w:pPr>
        <w:keepNext/>
        <w:keepLines/>
        <w:spacing w:line="269" w:lineRule="auto"/>
        <w:outlineLvl w:val="4"/>
        <w:rPr>
          <w:rFonts w:eastAsia="Times New Roman"/>
          <w:bCs/>
          <w:spacing w:val="40"/>
          <w:szCs w:val="20"/>
          <w:rtl/>
        </w:rPr>
      </w:pPr>
      <w:r w:rsidRPr="00A210E9">
        <w:rPr>
          <w:rFonts w:eastAsia="Times New Roman" w:hint="cs"/>
          <w:bCs/>
          <w:spacing w:val="40"/>
          <w:rtl/>
        </w:rPr>
        <w:t>מרכז השלטון המקומי</w:t>
      </w:r>
      <w:r w:rsidRPr="00A210E9">
        <w:rPr>
          <w:rFonts w:eastAsia="Times New Roman" w:hint="cs"/>
          <w:bCs/>
          <w:spacing w:val="40"/>
          <w:szCs w:val="20"/>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מרכז השלטון המקומי בישראל הוא ארגון גג המאגד את כל הרשויות המקומיות בישראל, למעט המועצות האזוריות המאוגדות על ידי מרכז השלטון האזורי. תפקידו העיקרי הוא להנחות את הרשויות המקומיות, לייצגן ולקדם את ענייניהן בפני הכנסת מול גורמי הממשלה השונים ובפני מוסדות ציבוריים וארגונים בארץ וברחבי העולם</w:t>
      </w:r>
      <w:r>
        <w:rPr>
          <w:rFonts w:eastAsia="Calibri"/>
          <w:vertAlign w:val="superscript"/>
          <w:rtl/>
        </w:rPr>
        <w:footnoteReference w:id="220"/>
      </w:r>
      <w:r w:rsidRPr="00A210E9">
        <w:rPr>
          <w:rFonts w:eastAsia="Calibri" w:hint="cs"/>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אחד התחומים שבהם מש"ם מעורב הוא סיוע לרשויות המקומיות בסוגיית יישום תקנות "הנגשת מבנה ציבור קיים ומקום שאינו בניין"</w:t>
      </w:r>
      <w:r>
        <w:rPr>
          <w:rFonts w:eastAsia="Calibri"/>
          <w:vertAlign w:val="superscript"/>
          <w:rtl/>
        </w:rPr>
        <w:footnoteReference w:id="221"/>
      </w:r>
      <w:r w:rsidRPr="00A210E9">
        <w:rPr>
          <w:rFonts w:eastAsia="Calibri" w:hint="cs"/>
          <w:rtl/>
        </w:rPr>
        <w:t>. במכתב מספטמבר 2020 ממנכ"ל מש"ם לנציגי הרשויות המקומיות צוין שההערכה היא שיישום התקנות על ידי כלל הרשויות הוא בחתך ממוצע של 40% - 50%. בשל כך, בספטמבר 2020 הקימו מש"ם ומרכז השלטון האזורי מינהלת משותפת במטרה לסייע מהבחינה המקצועית לרשויות המקומיות להשלים את יישום התקנות. המינהלת מורכבת מוועדת היגוי שחבריה הם נציגים מהשלטון המקומי וממשרדי הממשלה, ובהם משרד הפנים ונציבות שוויון זכויות לאנשים עם מוגבלות, וכן מנהל מיזם (פרויקטור) שתפקידו לשמש זרוע הביצוע של המינהלת בעבודתה עם הרשויות המקומיות</w:t>
      </w:r>
      <w:r>
        <w:rPr>
          <w:rFonts w:eastAsia="Calibri"/>
          <w:vertAlign w:val="superscript"/>
          <w:rtl/>
        </w:rPr>
        <w:footnoteReference w:id="222"/>
      </w:r>
      <w:r w:rsidRPr="00A210E9">
        <w:rPr>
          <w:rFonts w:eastAsia="Calibri" w:hint="cs"/>
          <w:rtl/>
        </w:rPr>
        <w:t xml:space="preserve">. אולם המינהלת לא עסקה בנושאים הנוגעים להקצאת חניות נכים. מש"ם היה מעורב בכתיבת טיוטת תקנות דרכים נגישות העוסקת בהסדרת ההקצאה של חניות לאנשים עם מוגבלות ליד המדרכות שבאחריות שר הפנים </w:t>
      </w:r>
      <w:r w:rsidRPr="00A210E9">
        <w:rPr>
          <w:rFonts w:eastAsia="Calibri"/>
          <w:rtl/>
        </w:rPr>
        <w:t>(</w:t>
      </w:r>
      <w:r w:rsidRPr="00A210E9">
        <w:rPr>
          <w:rFonts w:eastAsia="Calibri" w:hint="cs"/>
          <w:rtl/>
        </w:rPr>
        <w:t xml:space="preserve">נכון למועד סיום הביקורת לא הותקנו התקנות). עם זאת, הוא לא היה מעורב בנושאים אחרים שבהם היה יכול לסייע לרשויות המקומיות ולהנחות אותן.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ascii="David" w:eastAsia="Calibri" w:hAnsi="David"/>
          <w:b/>
          <w:bCs/>
          <w:sz w:val="24"/>
          <w:rtl/>
        </w:rPr>
      </w:pPr>
      <w:r w:rsidRPr="00A210E9">
        <w:rPr>
          <w:rFonts w:ascii="David" w:eastAsia="Calibri" w:hAnsi="David" w:hint="cs"/>
          <w:b/>
          <w:bCs/>
          <w:sz w:val="24"/>
          <w:rtl/>
        </w:rPr>
        <w:t xml:space="preserve">למרות הסוגיות הרבות שהרשויות המקומיות מתמודדות עימן בהקשר של תגי חניה, </w:t>
      </w:r>
      <w:r w:rsidRPr="00A210E9">
        <w:rPr>
          <w:rFonts w:eastAsia="Calibri" w:hint="eastAsia"/>
          <w:b/>
          <w:bCs/>
          <w:rtl/>
        </w:rPr>
        <w:t>נמצא</w:t>
      </w:r>
      <w:r w:rsidRPr="00A210E9">
        <w:rPr>
          <w:rFonts w:eastAsia="Calibri"/>
          <w:b/>
          <w:bCs/>
          <w:rtl/>
        </w:rPr>
        <w:t xml:space="preserve"> כי </w:t>
      </w:r>
      <w:r w:rsidRPr="00A210E9">
        <w:rPr>
          <w:rFonts w:eastAsia="Calibri" w:hint="cs"/>
          <w:b/>
          <w:bCs/>
          <w:rtl/>
        </w:rPr>
        <w:t>מש"ם</w:t>
      </w:r>
      <w:r w:rsidRPr="00A210E9">
        <w:rPr>
          <w:rFonts w:eastAsia="Calibri"/>
          <w:b/>
          <w:bCs/>
          <w:rtl/>
        </w:rPr>
        <w:t xml:space="preserve"> </w:t>
      </w:r>
      <w:r w:rsidRPr="00A210E9">
        <w:rPr>
          <w:rFonts w:eastAsia="Calibri" w:hint="cs"/>
          <w:b/>
          <w:bCs/>
          <w:rtl/>
        </w:rPr>
        <w:t xml:space="preserve">היה מעורב </w:t>
      </w:r>
      <w:r w:rsidRPr="00A210E9">
        <w:rPr>
          <w:rFonts w:eastAsia="Calibri" w:hint="eastAsia"/>
          <w:b/>
          <w:bCs/>
          <w:rtl/>
        </w:rPr>
        <w:t>עד</w:t>
      </w:r>
      <w:r w:rsidRPr="00A210E9">
        <w:rPr>
          <w:rFonts w:eastAsia="Calibri"/>
          <w:b/>
          <w:bCs/>
          <w:rtl/>
        </w:rPr>
        <w:t xml:space="preserve"> כה </w:t>
      </w:r>
      <w:r w:rsidRPr="00A210E9">
        <w:rPr>
          <w:rFonts w:eastAsia="Calibri" w:hint="cs"/>
          <w:b/>
          <w:bCs/>
          <w:rtl/>
        </w:rPr>
        <w:t xml:space="preserve">רק בהסדרה של תקנות דרכים נגישות, והוא אינו שותף </w:t>
      </w:r>
      <w:r w:rsidRPr="00A210E9">
        <w:rPr>
          <w:rFonts w:eastAsia="Calibri" w:hint="eastAsia"/>
          <w:b/>
          <w:bCs/>
          <w:rtl/>
        </w:rPr>
        <w:t>בסוגי</w:t>
      </w:r>
      <w:r w:rsidRPr="00A210E9">
        <w:rPr>
          <w:rFonts w:eastAsia="Calibri" w:hint="cs"/>
          <w:b/>
          <w:bCs/>
          <w:rtl/>
        </w:rPr>
        <w:t>ו</w:t>
      </w:r>
      <w:r w:rsidRPr="00A210E9">
        <w:rPr>
          <w:rFonts w:eastAsia="Calibri" w:hint="eastAsia"/>
          <w:b/>
          <w:bCs/>
          <w:rtl/>
        </w:rPr>
        <w:t>ת</w:t>
      </w:r>
      <w:r w:rsidRPr="00A210E9">
        <w:rPr>
          <w:rFonts w:eastAsia="Calibri" w:hint="cs"/>
          <w:b/>
          <w:bCs/>
          <w:rtl/>
        </w:rPr>
        <w:t xml:space="preserve"> אחרות הנוגעות להקצאת חניות נכים ואכיפת השימוש בהן.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מרכז השלטון האזורי כתב בתשובתו כי הוא רואה חשיבות עקרונית בשילוב נציגים מטעמו בדיונים של צוותי הדיונים הבין-משרדיים העוסקים בשינויים ובהתאמות בתחום הנגישות, כדי להבטיח כי בדיונים אלה יבואו לידי ביטוי מאפייני השלטון האזורי.</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ascii="David" w:eastAsia="Calibri" w:hAnsi="David"/>
          <w:b/>
          <w:bCs/>
          <w:sz w:val="24"/>
          <w:rtl/>
        </w:rPr>
      </w:pPr>
      <w:r w:rsidRPr="00A210E9">
        <w:rPr>
          <w:rFonts w:ascii="David" w:eastAsia="Calibri" w:hAnsi="David" w:hint="cs"/>
          <w:b/>
          <w:bCs/>
          <w:sz w:val="24"/>
          <w:rtl/>
        </w:rPr>
        <w:t xml:space="preserve">משרד מבקר המדינה ממליץ למשרד התחבורה ולמשרד הפנים להתייעץ עם מש"ם ועם מרכז השלטון האזורי בנושאים הנוגעים </w:t>
      </w:r>
      <w:r w:rsidRPr="00A210E9">
        <w:rPr>
          <w:rFonts w:ascii="David" w:eastAsia="Calibri" w:hAnsi="David"/>
          <w:b/>
          <w:bCs/>
          <w:sz w:val="24"/>
          <w:rtl/>
        </w:rPr>
        <w:t xml:space="preserve">למימוש סמכויות משרדים אלה על פי דין ביחס לשלטון המקומי, בסוגיות הנוגעות להקצאת חניות נכים ואכיפת </w:t>
      </w:r>
      <w:r w:rsidRPr="00A210E9">
        <w:rPr>
          <w:rFonts w:ascii="David" w:eastAsia="Calibri" w:hAnsi="David" w:hint="cs"/>
          <w:b/>
          <w:bCs/>
          <w:sz w:val="24"/>
          <w:rtl/>
        </w:rPr>
        <w:t xml:space="preserve">החוק בעניין </w:t>
      </w:r>
      <w:r w:rsidRPr="00A210E9">
        <w:rPr>
          <w:rFonts w:ascii="David" w:eastAsia="Calibri" w:hAnsi="David"/>
          <w:b/>
          <w:bCs/>
          <w:sz w:val="24"/>
          <w:rtl/>
        </w:rPr>
        <w:t>השימוש בהן</w:t>
      </w:r>
      <w:r w:rsidRPr="00A210E9">
        <w:rPr>
          <w:rFonts w:ascii="David" w:eastAsia="Calibri" w:hAnsi="David" w:hint="cs"/>
          <w:b/>
          <w:bCs/>
          <w:sz w:val="24"/>
          <w:rtl/>
        </w:rPr>
        <w:t>.</w:t>
      </w:r>
    </w:p>
    <w:p w:rsidR="00A210E9" w:rsidRPr="00A210E9" w:rsidP="00A210E9">
      <w:pPr>
        <w:keepNext/>
        <w:keepLines/>
        <w:spacing w:line="269" w:lineRule="auto"/>
        <w:ind w:left="-567"/>
        <w:rPr>
          <w:rFonts w:eastAsia="Calibri"/>
          <w:sz w:val="24"/>
          <w:rtl/>
        </w:rPr>
      </w:pPr>
    </w:p>
    <w:p w:rsidR="00A210E9" w:rsidRPr="00A210E9" w:rsidP="00A210E9">
      <w:pPr>
        <w:spacing w:line="269" w:lineRule="auto"/>
        <w:rPr>
          <w:rFonts w:ascii="David" w:eastAsia="Calibri" w:hAnsi="David"/>
          <w:b/>
          <w:bCs/>
          <w:sz w:val="24"/>
          <w:rtl/>
        </w:rPr>
      </w:pPr>
      <w:r w:rsidRPr="00A210E9">
        <w:rPr>
          <w:rFonts w:eastAsia="Times New Roman"/>
          <w:b/>
          <w:bCs/>
          <w:noProof/>
          <w:sz w:val="24"/>
          <w:rtl/>
          <w:lang w:eastAsia="he-IL"/>
        </w:rPr>
        <w:t xml:space="preserve">משרד התחבורה </w:t>
      </w:r>
      <w:r w:rsidRPr="00A210E9">
        <w:rPr>
          <w:rFonts w:eastAsia="Times New Roman" w:hint="eastAsia"/>
          <w:b/>
          <w:bCs/>
          <w:noProof/>
          <w:sz w:val="24"/>
          <w:rtl/>
          <w:lang w:eastAsia="he-IL"/>
        </w:rPr>
        <w:t>כתב</w:t>
      </w:r>
      <w:r w:rsidRPr="00A210E9">
        <w:rPr>
          <w:rFonts w:eastAsia="Times New Roman"/>
          <w:b/>
          <w:bCs/>
          <w:noProof/>
          <w:sz w:val="24"/>
          <w:rtl/>
          <w:lang w:eastAsia="he-IL"/>
        </w:rPr>
        <w:t xml:space="preserve"> </w:t>
      </w:r>
      <w:r w:rsidRPr="00A210E9">
        <w:rPr>
          <w:rFonts w:eastAsia="Times New Roman" w:hint="eastAsia"/>
          <w:b/>
          <w:bCs/>
          <w:noProof/>
          <w:sz w:val="24"/>
          <w:rtl/>
          <w:lang w:eastAsia="he-IL"/>
        </w:rPr>
        <w:t>בתשובתו</w:t>
      </w:r>
      <w:r w:rsidRPr="00A210E9">
        <w:rPr>
          <w:rFonts w:eastAsia="Times New Roman"/>
          <w:b/>
          <w:bCs/>
          <w:noProof/>
          <w:sz w:val="24"/>
          <w:rtl/>
          <w:lang w:eastAsia="he-IL"/>
        </w:rPr>
        <w:t xml:space="preserve"> </w:t>
      </w:r>
      <w:r w:rsidRPr="00A210E9">
        <w:rPr>
          <w:rFonts w:eastAsia="Times New Roman" w:hint="eastAsia"/>
          <w:b/>
          <w:bCs/>
          <w:noProof/>
          <w:sz w:val="24"/>
          <w:rtl/>
          <w:lang w:eastAsia="he-IL"/>
        </w:rPr>
        <w:t>כי</w:t>
      </w:r>
      <w:r w:rsidRPr="00A210E9">
        <w:rPr>
          <w:rFonts w:eastAsia="Times New Roman"/>
          <w:b/>
          <w:bCs/>
          <w:noProof/>
          <w:sz w:val="24"/>
          <w:rtl/>
          <w:lang w:eastAsia="he-IL"/>
        </w:rPr>
        <w:t xml:space="preserve"> </w:t>
      </w:r>
      <w:r w:rsidRPr="00A210E9">
        <w:rPr>
          <w:rFonts w:eastAsia="Times New Roman" w:hint="eastAsia"/>
          <w:b/>
          <w:bCs/>
          <w:noProof/>
          <w:sz w:val="24"/>
          <w:rtl/>
          <w:lang w:eastAsia="he-IL"/>
        </w:rPr>
        <w:t>הוא</w:t>
      </w:r>
      <w:r w:rsidRPr="00A210E9">
        <w:rPr>
          <w:rFonts w:eastAsia="Times New Roman"/>
          <w:b/>
          <w:bCs/>
          <w:noProof/>
          <w:sz w:val="24"/>
          <w:rtl/>
          <w:lang w:eastAsia="he-IL"/>
        </w:rPr>
        <w:t xml:space="preserve"> נכון להגביר את שיתוף הפעולה עם כלל הגורמים הרלוונטיים, לרבות נציבות שוויון זכויות, משרד הפנים, המשטרה והשלטון המקומי, כדי להבטיח שההסדרה תהיה מאוזנת, ישימה ומבוססת על ראייה מערכתית רחבה.</w:t>
      </w:r>
    </w:p>
    <w:p w:rsidR="00A210E9" w:rsidRPr="00A210E9" w:rsidP="00A210E9">
      <w:pPr>
        <w:keepNext/>
        <w:keepLines/>
        <w:spacing w:line="269" w:lineRule="auto"/>
        <w:outlineLvl w:val="3"/>
        <w:rPr>
          <w:rFonts w:eastAsia="Calibri"/>
          <w:bCs/>
          <w:szCs w:val="26"/>
          <w:rtl/>
        </w:rPr>
      </w:pPr>
      <w:r w:rsidRPr="00A210E9">
        <w:rPr>
          <w:rFonts w:eastAsia="Calibri" w:hint="cs"/>
          <w:bCs/>
          <w:szCs w:val="26"/>
          <w:rtl/>
        </w:rPr>
        <w:t>הסברה</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נמצא כי</w:t>
      </w:r>
      <w:r w:rsidRPr="00A210E9">
        <w:rPr>
          <w:rFonts w:eastAsia="Calibri"/>
          <w:b/>
          <w:bCs/>
          <w:rtl/>
        </w:rPr>
        <w:t xml:space="preserve"> </w:t>
      </w:r>
      <w:r w:rsidRPr="00A210E9">
        <w:rPr>
          <w:rFonts w:eastAsia="Calibri" w:hint="cs"/>
          <w:b/>
          <w:bCs/>
          <w:rtl/>
        </w:rPr>
        <w:t xml:space="preserve">כמעט שלא מתבצעות פעולות </w:t>
      </w:r>
      <w:r w:rsidRPr="00A210E9">
        <w:rPr>
          <w:rFonts w:eastAsia="Calibri"/>
          <w:b/>
          <w:bCs/>
          <w:rtl/>
        </w:rPr>
        <w:t xml:space="preserve">הסברה בתקשורת וברשתות החברתיות </w:t>
      </w:r>
      <w:r w:rsidRPr="00A210E9">
        <w:rPr>
          <w:rFonts w:eastAsia="Calibri" w:hint="cs"/>
          <w:b/>
          <w:bCs/>
          <w:rtl/>
        </w:rPr>
        <w:t>בדבר חשיבות ההימנעות משימוש לרעה בתגי חניה</w:t>
      </w:r>
      <w:r w:rsidRPr="00A210E9">
        <w:rPr>
          <w:rFonts w:eastAsia="Calibri"/>
          <w:b/>
          <w:bCs/>
          <w:rtl/>
        </w:rPr>
        <w:t xml:space="preserve">. ההסברה בנושא </w:t>
      </w:r>
      <w:r w:rsidRPr="00A210E9">
        <w:rPr>
          <w:rFonts w:eastAsia="Calibri" w:hint="eastAsia"/>
          <w:b/>
          <w:bCs/>
          <w:rtl/>
        </w:rPr>
        <w:t>זה</w:t>
      </w:r>
      <w:r w:rsidRPr="00A210E9">
        <w:rPr>
          <w:rFonts w:eastAsia="Calibri"/>
          <w:b/>
          <w:bCs/>
          <w:rtl/>
        </w:rPr>
        <w:t xml:space="preserve"> חשובה, שכן מדובר בזכות שנועדה להקל על אנשים עם מוגבלו</w:t>
      </w:r>
      <w:r w:rsidRPr="00A210E9">
        <w:rPr>
          <w:rFonts w:eastAsia="Calibri" w:hint="cs"/>
          <w:b/>
          <w:bCs/>
          <w:rtl/>
        </w:rPr>
        <w:t>ת</w:t>
      </w:r>
      <w:r w:rsidRPr="00A210E9">
        <w:rPr>
          <w:rFonts w:eastAsia="Calibri"/>
          <w:b/>
          <w:bCs/>
          <w:rtl/>
        </w:rPr>
        <w:t xml:space="preserve"> ולא </w:t>
      </w:r>
      <w:r w:rsidRPr="00A210E9">
        <w:rPr>
          <w:rFonts w:eastAsia="Calibri" w:hint="cs"/>
          <w:b/>
          <w:bCs/>
          <w:rtl/>
        </w:rPr>
        <w:t>בזכות יתר (</w:t>
      </w:r>
      <w:r w:rsidRPr="00A210E9">
        <w:rPr>
          <w:rFonts w:eastAsia="Calibri"/>
          <w:b/>
          <w:bCs/>
          <w:rtl/>
        </w:rPr>
        <w:t>פרי</w:t>
      </w:r>
      <w:r w:rsidRPr="00A210E9">
        <w:rPr>
          <w:rFonts w:eastAsia="Calibri" w:hint="cs"/>
          <w:b/>
          <w:bCs/>
          <w:rtl/>
        </w:rPr>
        <w:t>וו</w:t>
      </w:r>
      <w:r w:rsidRPr="00A210E9">
        <w:rPr>
          <w:rFonts w:eastAsia="Calibri"/>
          <w:b/>
          <w:bCs/>
          <w:rtl/>
        </w:rPr>
        <w:t>ילגיה</w:t>
      </w:r>
      <w:r w:rsidRPr="00A210E9">
        <w:rPr>
          <w:rFonts w:eastAsia="Calibri" w:hint="cs"/>
          <w:b/>
          <w:bCs/>
          <w:rtl/>
        </w:rPr>
        <w:t>)</w:t>
      </w:r>
      <w:r w:rsidRPr="00A210E9">
        <w:rPr>
          <w:rFonts w:eastAsia="Calibri"/>
          <w:b/>
          <w:bCs/>
          <w:rtl/>
        </w:rPr>
        <w:t xml:space="preserve"> שנועדה לנוחות כללית. שימוש </w:t>
      </w:r>
      <w:r w:rsidRPr="00A210E9">
        <w:rPr>
          <w:rFonts w:eastAsia="Calibri" w:hint="eastAsia"/>
          <w:b/>
          <w:bCs/>
          <w:rtl/>
        </w:rPr>
        <w:t>לרעה</w:t>
      </w:r>
      <w:r w:rsidRPr="00A210E9">
        <w:rPr>
          <w:rFonts w:eastAsia="Calibri"/>
          <w:b/>
          <w:bCs/>
          <w:rtl/>
        </w:rPr>
        <w:t xml:space="preserve"> בתג </w:t>
      </w:r>
      <w:r w:rsidRPr="00A210E9">
        <w:rPr>
          <w:rFonts w:eastAsia="Calibri" w:hint="cs"/>
          <w:b/>
          <w:bCs/>
          <w:rtl/>
        </w:rPr>
        <w:t>חניה -</w:t>
      </w:r>
      <w:r w:rsidRPr="00A210E9">
        <w:rPr>
          <w:rFonts w:eastAsia="Calibri"/>
          <w:b/>
          <w:bCs/>
          <w:rtl/>
        </w:rPr>
        <w:t xml:space="preserve"> </w:t>
      </w:r>
      <w:r w:rsidRPr="00A210E9">
        <w:rPr>
          <w:rFonts w:eastAsia="Calibri" w:hint="eastAsia"/>
          <w:b/>
          <w:bCs/>
          <w:rtl/>
        </w:rPr>
        <w:t>חניה</w:t>
      </w:r>
      <w:r w:rsidRPr="00A210E9">
        <w:rPr>
          <w:rFonts w:eastAsia="Calibri"/>
          <w:b/>
          <w:bCs/>
          <w:rtl/>
        </w:rPr>
        <w:t xml:space="preserve"> </w:t>
      </w:r>
      <w:r w:rsidRPr="00A210E9">
        <w:rPr>
          <w:rFonts w:eastAsia="Calibri" w:hint="eastAsia"/>
          <w:b/>
          <w:bCs/>
          <w:rtl/>
        </w:rPr>
        <w:t>בחניית</w:t>
      </w:r>
      <w:r w:rsidRPr="00A210E9">
        <w:rPr>
          <w:rFonts w:eastAsia="Calibri"/>
          <w:b/>
          <w:bCs/>
          <w:rtl/>
        </w:rPr>
        <w:t xml:space="preserve"> </w:t>
      </w:r>
      <w:r w:rsidRPr="00A210E9">
        <w:rPr>
          <w:rFonts w:eastAsia="Calibri" w:hint="eastAsia"/>
          <w:b/>
          <w:bCs/>
          <w:rtl/>
        </w:rPr>
        <w:t>נכים</w:t>
      </w:r>
      <w:r w:rsidRPr="00A210E9">
        <w:rPr>
          <w:rFonts w:eastAsia="Calibri"/>
          <w:b/>
          <w:bCs/>
          <w:rtl/>
        </w:rPr>
        <w:t xml:space="preserve"> </w:t>
      </w:r>
      <w:r w:rsidRPr="00A210E9">
        <w:rPr>
          <w:rFonts w:eastAsia="Calibri" w:hint="eastAsia"/>
          <w:b/>
          <w:bCs/>
          <w:rtl/>
        </w:rPr>
        <w:t>כאשר</w:t>
      </w:r>
      <w:r w:rsidRPr="00A210E9">
        <w:rPr>
          <w:rFonts w:eastAsia="Calibri"/>
          <w:b/>
          <w:bCs/>
          <w:rtl/>
        </w:rPr>
        <w:t xml:space="preserve"> </w:t>
      </w:r>
      <w:r w:rsidRPr="00A210E9">
        <w:rPr>
          <w:rFonts w:eastAsia="Calibri" w:hint="cs"/>
          <w:b/>
          <w:bCs/>
          <w:rtl/>
        </w:rPr>
        <w:t>האדם עם המוגבלות</w:t>
      </w:r>
      <w:r w:rsidRPr="00A210E9">
        <w:rPr>
          <w:rFonts w:eastAsia="Calibri"/>
          <w:b/>
          <w:bCs/>
          <w:rtl/>
        </w:rPr>
        <w:t xml:space="preserve"> </w:t>
      </w:r>
      <w:r w:rsidRPr="00A210E9">
        <w:rPr>
          <w:rFonts w:eastAsia="Calibri" w:hint="cs"/>
          <w:b/>
          <w:bCs/>
          <w:rtl/>
        </w:rPr>
        <w:t>אינו</w:t>
      </w:r>
      <w:r w:rsidRPr="00A210E9">
        <w:rPr>
          <w:rFonts w:eastAsia="Calibri"/>
          <w:b/>
          <w:bCs/>
          <w:rtl/>
        </w:rPr>
        <w:t xml:space="preserve"> </w:t>
      </w:r>
      <w:r w:rsidRPr="00A210E9">
        <w:rPr>
          <w:rFonts w:eastAsia="Calibri" w:hint="eastAsia"/>
          <w:b/>
          <w:bCs/>
          <w:rtl/>
        </w:rPr>
        <w:t>נוכח</w:t>
      </w:r>
      <w:r w:rsidRPr="00A210E9">
        <w:rPr>
          <w:rFonts w:eastAsia="Calibri"/>
          <w:b/>
          <w:bCs/>
          <w:rtl/>
        </w:rPr>
        <w:t xml:space="preserve"> </w:t>
      </w:r>
      <w:r w:rsidRPr="00A210E9">
        <w:rPr>
          <w:rFonts w:eastAsia="Calibri" w:hint="eastAsia"/>
          <w:b/>
          <w:bCs/>
          <w:rtl/>
        </w:rPr>
        <w:t>פיזית</w:t>
      </w:r>
      <w:r w:rsidRPr="00A210E9">
        <w:rPr>
          <w:rFonts w:eastAsia="Calibri"/>
          <w:b/>
          <w:bCs/>
          <w:rtl/>
        </w:rPr>
        <w:t xml:space="preserve"> </w:t>
      </w:r>
      <w:r w:rsidRPr="00A210E9">
        <w:rPr>
          <w:rFonts w:eastAsia="Calibri" w:hint="eastAsia"/>
          <w:b/>
          <w:bCs/>
          <w:rtl/>
        </w:rPr>
        <w:t>ברכב</w:t>
      </w:r>
      <w:r w:rsidRPr="00A210E9">
        <w:rPr>
          <w:rFonts w:eastAsia="Calibri" w:hint="cs"/>
          <w:b/>
          <w:bCs/>
          <w:rtl/>
        </w:rPr>
        <w:t xml:space="preserve"> -</w:t>
      </w:r>
      <w:r w:rsidRPr="00A210E9">
        <w:rPr>
          <w:rFonts w:eastAsia="Calibri"/>
          <w:b/>
          <w:bCs/>
          <w:rtl/>
        </w:rPr>
        <w:t xml:space="preserve"> פוגע ישירות באנשים הזקוקים לכך ומגביל את נגישותם. הסברה יעילה </w:t>
      </w:r>
      <w:r w:rsidRPr="00A210E9">
        <w:rPr>
          <w:rFonts w:eastAsia="Calibri" w:hint="eastAsia"/>
          <w:b/>
          <w:bCs/>
          <w:rtl/>
        </w:rPr>
        <w:t>עשויה</w:t>
      </w:r>
      <w:r w:rsidRPr="00A210E9">
        <w:rPr>
          <w:rFonts w:eastAsia="Calibri"/>
          <w:b/>
          <w:bCs/>
          <w:rtl/>
        </w:rPr>
        <w:t xml:space="preserve"> להעלות את המודעות הציבורית למשמעות האמיתית של התג, לעודד אחריות חברתית ולחזק את ההבנה כי שמירה על הכללים אינה רק חובה חוקית, אלא ביטוי לערבות הדדית ולחברה מתחשבת וצודקת יותר</w:t>
      </w:r>
      <w:r w:rsidRPr="00A210E9">
        <w:rPr>
          <w:rFonts w:eastAsia="Calibri"/>
          <w:b/>
          <w:bCs/>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rtl/>
        </w:rPr>
        <w:t xml:space="preserve">נציבות </w:t>
      </w:r>
      <w:r w:rsidRPr="00A210E9">
        <w:rPr>
          <w:rFonts w:eastAsia="Calibri" w:hint="eastAsia"/>
          <w:rtl/>
        </w:rPr>
        <w:t>שוויון</w:t>
      </w:r>
      <w:r w:rsidRPr="00A210E9">
        <w:rPr>
          <w:rFonts w:eastAsia="Calibri"/>
          <w:rtl/>
        </w:rPr>
        <w:t xml:space="preserve"> זכויות כתבה בתשובתה כי היא רואה חשיבות בקידום פעולות הסברה </w:t>
      </w:r>
      <w:r w:rsidRPr="00A210E9">
        <w:rPr>
          <w:rFonts w:eastAsia="Calibri" w:hint="cs"/>
          <w:rtl/>
        </w:rPr>
        <w:t xml:space="preserve">להעמקת ההבנה </w:t>
      </w:r>
      <w:r w:rsidRPr="00A210E9">
        <w:rPr>
          <w:rFonts w:eastAsia="Calibri"/>
          <w:rtl/>
        </w:rPr>
        <w:t>הציבורית ב</w:t>
      </w:r>
      <w:r w:rsidRPr="00A210E9">
        <w:rPr>
          <w:rFonts w:eastAsia="Calibri" w:hint="cs"/>
          <w:rtl/>
        </w:rPr>
        <w:t>נוגע</w:t>
      </w:r>
      <w:r w:rsidRPr="00A210E9">
        <w:rPr>
          <w:rFonts w:eastAsia="Calibri"/>
          <w:rtl/>
        </w:rPr>
        <w:t xml:space="preserve"> למהותו של תג החניה ולצורך בשמירה עליו עבור מי שזקוקים לו </w:t>
      </w:r>
      <w:r w:rsidRPr="00A210E9">
        <w:rPr>
          <w:rFonts w:eastAsia="Calibri" w:hint="cs"/>
          <w:rtl/>
        </w:rPr>
        <w:t>באמת</w:t>
      </w:r>
      <w:r w:rsidRPr="00A210E9">
        <w:rPr>
          <w:rFonts w:eastAsia="Calibri"/>
          <w:rtl/>
        </w:rPr>
        <w:t>, וכן בהגברת המודעות למשמעותם ו</w:t>
      </w:r>
      <w:r w:rsidRPr="00A210E9">
        <w:rPr>
          <w:rFonts w:eastAsia="Calibri" w:hint="cs"/>
          <w:rtl/>
        </w:rPr>
        <w:t>ל</w:t>
      </w:r>
      <w:r w:rsidRPr="00A210E9">
        <w:rPr>
          <w:rFonts w:eastAsia="Calibri"/>
          <w:rtl/>
        </w:rPr>
        <w:t xml:space="preserve">תכליתם של תגי חניה </w:t>
      </w:r>
      <w:r w:rsidRPr="00A210E9">
        <w:rPr>
          <w:rFonts w:eastAsia="Calibri" w:hint="cs"/>
          <w:rtl/>
        </w:rPr>
        <w:t xml:space="preserve">מבחינתם של </w:t>
      </w:r>
      <w:r w:rsidRPr="00A210E9">
        <w:rPr>
          <w:rFonts w:eastAsia="Calibri"/>
          <w:rtl/>
        </w:rPr>
        <w:t xml:space="preserve">אנשים עם מוגבלות, ככלי שנועד לאפשר </w:t>
      </w:r>
      <w:r w:rsidRPr="00A210E9">
        <w:rPr>
          <w:rFonts w:eastAsia="Calibri" w:hint="cs"/>
          <w:rtl/>
        </w:rPr>
        <w:t xml:space="preserve">להם </w:t>
      </w:r>
      <w:r w:rsidRPr="00A210E9">
        <w:rPr>
          <w:rFonts w:eastAsia="Calibri"/>
          <w:rtl/>
        </w:rPr>
        <w:t>נגישות, עצמאות והשתתפות שוויונית במרחב הציבורי. הנציבות ציינה כי ב</w:t>
      </w:r>
      <w:r w:rsidRPr="00A210E9">
        <w:rPr>
          <w:rFonts w:eastAsia="Calibri" w:hint="cs"/>
          <w:rtl/>
        </w:rPr>
        <w:t xml:space="preserve">מסגרת </w:t>
      </w:r>
      <w:r w:rsidRPr="00A210E9">
        <w:rPr>
          <w:rFonts w:eastAsia="Calibri"/>
          <w:rtl/>
        </w:rPr>
        <w:t xml:space="preserve">פעילותה השוטפת </w:t>
      </w:r>
      <w:r w:rsidRPr="00A210E9">
        <w:rPr>
          <w:rFonts w:eastAsia="Calibri" w:hint="eastAsia"/>
          <w:rtl/>
        </w:rPr>
        <w:t>היא</w:t>
      </w:r>
      <w:r w:rsidRPr="00A210E9">
        <w:rPr>
          <w:rFonts w:eastAsia="Calibri"/>
          <w:rtl/>
        </w:rPr>
        <w:t xml:space="preserve"> מקדמת בערוצי הדיגיטל פעילויות הסברה בנושאים מגוונים, ובהם גם תכנים הנוגעים לחניות נגישות ולתגי חניה לאנשים עם מוגבלות.</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sz w:val="24"/>
          <w:rtl/>
        </w:rPr>
      </w:pPr>
      <w:r w:rsidRPr="00A210E9">
        <w:rPr>
          <w:rFonts w:eastAsia="Calibri" w:hint="eastAsia"/>
          <w:b/>
          <w:bCs/>
          <w:sz w:val="24"/>
          <w:rtl/>
        </w:rPr>
        <w:t>מומלץ</w:t>
      </w:r>
      <w:r w:rsidRPr="00A210E9">
        <w:rPr>
          <w:rFonts w:eastAsia="Calibri"/>
          <w:b/>
          <w:bCs/>
          <w:sz w:val="24"/>
          <w:rtl/>
        </w:rPr>
        <w:t xml:space="preserve"> שנציבות שוויון זכויות תמשיך </w:t>
      </w:r>
      <w:r w:rsidRPr="00A210E9">
        <w:rPr>
          <w:rFonts w:eastAsia="Calibri" w:hint="cs"/>
          <w:b/>
          <w:bCs/>
          <w:sz w:val="24"/>
          <w:rtl/>
        </w:rPr>
        <w:t>לקיים</w:t>
      </w:r>
      <w:r w:rsidRPr="00A210E9">
        <w:rPr>
          <w:rFonts w:eastAsia="Calibri"/>
          <w:b/>
          <w:bCs/>
          <w:sz w:val="24"/>
          <w:rtl/>
        </w:rPr>
        <w:t xml:space="preserve"> פעילות הסברה בנושא </w:t>
      </w:r>
      <w:r w:rsidRPr="00A210E9">
        <w:rPr>
          <w:rFonts w:eastAsia="Calibri" w:hint="eastAsia"/>
          <w:b/>
          <w:bCs/>
          <w:sz w:val="24"/>
          <w:rtl/>
        </w:rPr>
        <w:t>תגי</w:t>
      </w:r>
      <w:r w:rsidRPr="00A210E9">
        <w:rPr>
          <w:rFonts w:eastAsia="Calibri"/>
          <w:b/>
          <w:bCs/>
          <w:sz w:val="24"/>
          <w:rtl/>
        </w:rPr>
        <w:t xml:space="preserve"> </w:t>
      </w:r>
      <w:r w:rsidRPr="00A210E9">
        <w:rPr>
          <w:rFonts w:eastAsia="Calibri" w:hint="eastAsia"/>
          <w:b/>
          <w:bCs/>
          <w:sz w:val="24"/>
          <w:rtl/>
        </w:rPr>
        <w:t>חניה</w:t>
      </w:r>
      <w:r w:rsidRPr="00A210E9">
        <w:rPr>
          <w:rFonts w:eastAsia="Calibri"/>
          <w:b/>
          <w:bCs/>
          <w:sz w:val="24"/>
          <w:rtl/>
        </w:rPr>
        <w:t xml:space="preserve"> </w:t>
      </w:r>
      <w:r w:rsidRPr="00A210E9">
        <w:rPr>
          <w:rFonts w:eastAsia="Calibri" w:hint="eastAsia"/>
          <w:b/>
          <w:bCs/>
          <w:sz w:val="24"/>
          <w:rtl/>
        </w:rPr>
        <w:t>לנכים</w:t>
      </w:r>
      <w:r w:rsidRPr="00A210E9">
        <w:rPr>
          <w:rFonts w:eastAsia="Calibri"/>
          <w:b/>
          <w:bCs/>
          <w:sz w:val="24"/>
          <w:rtl/>
        </w:rPr>
        <w:t xml:space="preserve">. </w:t>
      </w:r>
      <w:r w:rsidRPr="00A210E9">
        <w:rPr>
          <w:rFonts w:eastAsia="Calibri" w:hint="eastAsia"/>
          <w:b/>
          <w:bCs/>
          <w:sz w:val="24"/>
          <w:rtl/>
        </w:rPr>
        <w:t>כמו</w:t>
      </w:r>
      <w:r w:rsidRPr="00A210E9">
        <w:rPr>
          <w:rFonts w:eastAsia="Calibri"/>
          <w:b/>
          <w:bCs/>
          <w:sz w:val="24"/>
          <w:rtl/>
        </w:rPr>
        <w:t xml:space="preserve"> כן מומלץ </w:t>
      </w:r>
      <w:r w:rsidRPr="00A210E9">
        <w:rPr>
          <w:rFonts w:eastAsia="Calibri" w:hint="eastAsia"/>
          <w:b/>
          <w:bCs/>
          <w:sz w:val="24"/>
          <w:rtl/>
        </w:rPr>
        <w:t>ש</w:t>
      </w:r>
      <w:r w:rsidRPr="00A210E9">
        <w:rPr>
          <w:rFonts w:eastAsia="Calibri"/>
          <w:b/>
          <w:bCs/>
          <w:sz w:val="24"/>
          <w:rtl/>
        </w:rPr>
        <w:t>משרד</w:t>
      </w:r>
      <w:r w:rsidRPr="00A210E9">
        <w:rPr>
          <w:rFonts w:eastAsia="Calibri" w:hint="eastAsia"/>
          <w:b/>
          <w:bCs/>
          <w:sz w:val="24"/>
          <w:rtl/>
        </w:rPr>
        <w:t>י</w:t>
      </w:r>
      <w:r w:rsidRPr="00A210E9">
        <w:rPr>
          <w:rFonts w:eastAsia="Calibri"/>
          <w:b/>
          <w:bCs/>
          <w:sz w:val="24"/>
          <w:rtl/>
        </w:rPr>
        <w:t xml:space="preserve"> התחבורה</w:t>
      </w:r>
      <w:r>
        <w:rPr>
          <w:rFonts w:eastAsia="Calibri"/>
          <w:b/>
          <w:bCs/>
          <w:vertAlign w:val="superscript"/>
          <w:rtl/>
        </w:rPr>
        <w:footnoteReference w:id="223"/>
      </w:r>
      <w:r w:rsidRPr="00A210E9">
        <w:rPr>
          <w:rFonts w:eastAsia="Calibri"/>
          <w:b/>
          <w:bCs/>
          <w:sz w:val="24"/>
          <w:rtl/>
        </w:rPr>
        <w:t xml:space="preserve"> והפנים</w:t>
      </w:r>
      <w:r>
        <w:rPr>
          <w:rFonts w:eastAsia="Calibri"/>
          <w:b/>
          <w:bCs/>
          <w:vertAlign w:val="superscript"/>
          <w:rtl/>
        </w:rPr>
        <w:footnoteReference w:id="224"/>
      </w:r>
      <w:r w:rsidRPr="00A210E9">
        <w:rPr>
          <w:rFonts w:eastAsia="Calibri" w:hint="cs"/>
          <w:b/>
          <w:bCs/>
          <w:sz w:val="24"/>
          <w:rtl/>
        </w:rPr>
        <w:t xml:space="preserve"> והרשויות המקומיות</w:t>
      </w:r>
      <w:r w:rsidRPr="00A210E9">
        <w:rPr>
          <w:rFonts w:eastAsia="Calibri"/>
          <w:b/>
          <w:bCs/>
          <w:sz w:val="24"/>
          <w:rtl/>
        </w:rPr>
        <w:t xml:space="preserve">, בהתייעצות עם </w:t>
      </w:r>
      <w:r w:rsidRPr="00A210E9">
        <w:rPr>
          <w:rFonts w:eastAsia="Calibri" w:hint="eastAsia"/>
          <w:b/>
          <w:bCs/>
          <w:sz w:val="24"/>
          <w:rtl/>
        </w:rPr>
        <w:t>מש</w:t>
      </w:r>
      <w:r w:rsidRPr="00A210E9">
        <w:rPr>
          <w:rFonts w:eastAsia="Calibri"/>
          <w:b/>
          <w:bCs/>
          <w:sz w:val="24"/>
          <w:rtl/>
        </w:rPr>
        <w:t xml:space="preserve">"ם, </w:t>
      </w:r>
      <w:r w:rsidRPr="00A210E9">
        <w:rPr>
          <w:rFonts w:eastAsia="Calibri" w:hint="eastAsia"/>
          <w:b/>
          <w:bCs/>
          <w:sz w:val="24"/>
          <w:rtl/>
        </w:rPr>
        <w:t>יפעלו</w:t>
      </w:r>
      <w:r w:rsidRPr="00A210E9">
        <w:rPr>
          <w:rFonts w:eastAsia="Calibri"/>
          <w:b/>
          <w:bCs/>
          <w:sz w:val="24"/>
          <w:rtl/>
        </w:rPr>
        <w:t xml:space="preserve"> אף הם </w:t>
      </w:r>
      <w:r w:rsidRPr="00A210E9">
        <w:rPr>
          <w:rFonts w:eastAsia="Calibri" w:hint="eastAsia"/>
          <w:b/>
          <w:bCs/>
          <w:sz w:val="24"/>
          <w:rtl/>
        </w:rPr>
        <w:t>ל</w:t>
      </w:r>
      <w:r w:rsidRPr="00A210E9">
        <w:rPr>
          <w:rFonts w:eastAsia="Calibri" w:hint="cs"/>
          <w:b/>
          <w:bCs/>
          <w:sz w:val="24"/>
          <w:rtl/>
        </w:rPr>
        <w:t>קיום</w:t>
      </w:r>
      <w:r w:rsidRPr="00A210E9">
        <w:rPr>
          <w:rFonts w:eastAsia="Calibri"/>
          <w:b/>
          <w:bCs/>
          <w:sz w:val="24"/>
          <w:rtl/>
        </w:rPr>
        <w:t xml:space="preserve"> הסברה </w:t>
      </w:r>
      <w:r w:rsidRPr="00A210E9">
        <w:rPr>
          <w:rFonts w:eastAsia="Calibri" w:hint="cs"/>
          <w:b/>
          <w:bCs/>
          <w:sz w:val="24"/>
          <w:rtl/>
        </w:rPr>
        <w:t>בקרב ה</w:t>
      </w:r>
      <w:r w:rsidRPr="00A210E9">
        <w:rPr>
          <w:rFonts w:eastAsia="Calibri"/>
          <w:b/>
          <w:bCs/>
          <w:sz w:val="24"/>
          <w:rtl/>
        </w:rPr>
        <w:t xml:space="preserve">ציבור הרחב בנוגע לבעייתיות </w:t>
      </w:r>
      <w:r w:rsidRPr="00A210E9">
        <w:rPr>
          <w:rFonts w:eastAsia="Calibri" w:hint="eastAsia"/>
          <w:b/>
          <w:bCs/>
          <w:sz w:val="24"/>
          <w:rtl/>
        </w:rPr>
        <w:t>ה</w:t>
      </w:r>
      <w:r w:rsidRPr="00A210E9">
        <w:rPr>
          <w:rFonts w:eastAsia="Calibri" w:hint="cs"/>
          <w:b/>
          <w:bCs/>
          <w:sz w:val="24"/>
          <w:rtl/>
        </w:rPr>
        <w:t>גלומה</w:t>
      </w:r>
      <w:r w:rsidRPr="00A210E9">
        <w:rPr>
          <w:rFonts w:eastAsia="Calibri"/>
          <w:b/>
          <w:bCs/>
          <w:sz w:val="24"/>
          <w:rtl/>
        </w:rPr>
        <w:t xml:space="preserve"> בשימוש בתגי </w:t>
      </w:r>
      <w:r w:rsidRPr="00A210E9">
        <w:rPr>
          <w:rFonts w:eastAsia="Calibri" w:hint="eastAsia"/>
          <w:b/>
          <w:bCs/>
          <w:sz w:val="24"/>
          <w:rtl/>
        </w:rPr>
        <w:t>חניה</w:t>
      </w:r>
      <w:r w:rsidRPr="00A210E9">
        <w:rPr>
          <w:rFonts w:eastAsia="Calibri"/>
          <w:b/>
          <w:bCs/>
          <w:sz w:val="24"/>
          <w:rtl/>
        </w:rPr>
        <w:t xml:space="preserve"> </w:t>
      </w:r>
      <w:r w:rsidRPr="00A210E9">
        <w:rPr>
          <w:rFonts w:eastAsia="Calibri" w:hint="eastAsia"/>
          <w:b/>
          <w:bCs/>
          <w:sz w:val="24"/>
          <w:rtl/>
        </w:rPr>
        <w:t>ש</w:t>
      </w:r>
      <w:r w:rsidRPr="00A210E9">
        <w:rPr>
          <w:rFonts w:eastAsia="Calibri"/>
          <w:b/>
          <w:bCs/>
          <w:sz w:val="24"/>
          <w:rtl/>
        </w:rPr>
        <w:t xml:space="preserve">לא כדין. הסברה ברורה ונרחבת </w:t>
      </w:r>
      <w:r w:rsidRPr="00A210E9">
        <w:rPr>
          <w:rFonts w:eastAsia="Calibri" w:hint="cs"/>
          <w:b/>
          <w:bCs/>
          <w:sz w:val="24"/>
          <w:rtl/>
        </w:rPr>
        <w:t>עשויה</w:t>
      </w:r>
      <w:r w:rsidRPr="00A210E9">
        <w:rPr>
          <w:rFonts w:eastAsia="Calibri"/>
          <w:b/>
          <w:bCs/>
          <w:sz w:val="24"/>
          <w:rtl/>
        </w:rPr>
        <w:t xml:space="preserve"> </w:t>
      </w:r>
      <w:r w:rsidRPr="00A210E9">
        <w:rPr>
          <w:rFonts w:eastAsia="Calibri" w:hint="eastAsia"/>
          <w:b/>
          <w:bCs/>
          <w:sz w:val="24"/>
          <w:rtl/>
        </w:rPr>
        <w:t>לתרום</w:t>
      </w:r>
      <w:r w:rsidRPr="00A210E9">
        <w:rPr>
          <w:rFonts w:eastAsia="Calibri"/>
          <w:b/>
          <w:bCs/>
          <w:sz w:val="24"/>
          <w:rtl/>
        </w:rPr>
        <w:t xml:space="preserve"> </w:t>
      </w:r>
      <w:r w:rsidRPr="00A210E9">
        <w:rPr>
          <w:rFonts w:eastAsia="Calibri" w:hint="eastAsia"/>
          <w:b/>
          <w:bCs/>
          <w:sz w:val="24"/>
          <w:rtl/>
        </w:rPr>
        <w:t>להפחתת</w:t>
      </w:r>
      <w:r w:rsidRPr="00A210E9">
        <w:rPr>
          <w:rFonts w:eastAsia="Calibri"/>
          <w:b/>
          <w:bCs/>
          <w:sz w:val="24"/>
          <w:rtl/>
        </w:rPr>
        <w:t xml:space="preserve"> </w:t>
      </w:r>
      <w:r w:rsidRPr="00A210E9">
        <w:rPr>
          <w:rFonts w:eastAsia="Calibri" w:hint="eastAsia"/>
          <w:b/>
          <w:bCs/>
          <w:sz w:val="24"/>
          <w:rtl/>
        </w:rPr>
        <w:t>השימוש</w:t>
      </w:r>
      <w:r w:rsidRPr="00A210E9">
        <w:rPr>
          <w:rFonts w:eastAsia="Calibri"/>
          <w:b/>
          <w:bCs/>
          <w:sz w:val="24"/>
          <w:rtl/>
        </w:rPr>
        <w:t xml:space="preserve"> </w:t>
      </w:r>
      <w:r w:rsidRPr="00A210E9">
        <w:rPr>
          <w:rFonts w:eastAsia="Calibri" w:hint="eastAsia"/>
          <w:b/>
          <w:bCs/>
          <w:sz w:val="24"/>
          <w:rtl/>
        </w:rPr>
        <w:t>לרעה</w:t>
      </w:r>
      <w:r w:rsidRPr="00A210E9">
        <w:rPr>
          <w:rFonts w:eastAsia="Calibri"/>
          <w:b/>
          <w:bCs/>
          <w:sz w:val="24"/>
          <w:rtl/>
        </w:rPr>
        <w:t xml:space="preserve"> </w:t>
      </w:r>
      <w:r w:rsidRPr="00A210E9">
        <w:rPr>
          <w:rFonts w:eastAsia="Calibri" w:hint="eastAsia"/>
          <w:b/>
          <w:bCs/>
          <w:sz w:val="24"/>
          <w:rtl/>
        </w:rPr>
        <w:t>בתגים</w:t>
      </w:r>
      <w:r w:rsidRPr="00A210E9">
        <w:rPr>
          <w:rFonts w:eastAsia="Calibri"/>
          <w:b/>
          <w:bCs/>
          <w:sz w:val="24"/>
          <w:rtl/>
        </w:rPr>
        <w:t xml:space="preserve"> </w:t>
      </w:r>
      <w:r w:rsidRPr="00A210E9">
        <w:rPr>
          <w:rFonts w:eastAsia="Calibri" w:hint="eastAsia"/>
          <w:b/>
          <w:bCs/>
          <w:sz w:val="24"/>
          <w:rtl/>
        </w:rPr>
        <w:t>אלו</w:t>
      </w:r>
      <w:r w:rsidRPr="00A210E9">
        <w:rPr>
          <w:rFonts w:eastAsia="Calibri"/>
          <w:b/>
          <w:bCs/>
          <w:sz w:val="24"/>
          <w:rtl/>
        </w:rPr>
        <w:t xml:space="preserve"> </w:t>
      </w:r>
      <w:r w:rsidRPr="00A210E9">
        <w:rPr>
          <w:rFonts w:eastAsia="Calibri" w:hint="cs"/>
          <w:b/>
          <w:bCs/>
          <w:sz w:val="24"/>
          <w:rtl/>
        </w:rPr>
        <w:t xml:space="preserve">באמצעות </w:t>
      </w:r>
      <w:r w:rsidRPr="00A210E9">
        <w:rPr>
          <w:rFonts w:eastAsia="Calibri" w:hint="eastAsia"/>
          <w:b/>
          <w:bCs/>
          <w:sz w:val="24"/>
          <w:rtl/>
        </w:rPr>
        <w:t>העלאת</w:t>
      </w:r>
      <w:r w:rsidRPr="00A210E9">
        <w:rPr>
          <w:rFonts w:eastAsia="Calibri"/>
          <w:b/>
          <w:bCs/>
          <w:sz w:val="24"/>
          <w:rtl/>
        </w:rPr>
        <w:t xml:space="preserve"> </w:t>
      </w:r>
      <w:r w:rsidRPr="00A210E9">
        <w:rPr>
          <w:rFonts w:eastAsia="Calibri" w:hint="eastAsia"/>
          <w:b/>
          <w:bCs/>
          <w:sz w:val="24"/>
          <w:rtl/>
        </w:rPr>
        <w:t>המודעות</w:t>
      </w:r>
      <w:r w:rsidRPr="00A210E9">
        <w:rPr>
          <w:rFonts w:eastAsia="Calibri"/>
          <w:b/>
          <w:bCs/>
          <w:sz w:val="24"/>
          <w:rtl/>
        </w:rPr>
        <w:t xml:space="preserve"> </w:t>
      </w:r>
      <w:r w:rsidRPr="00A210E9">
        <w:rPr>
          <w:rFonts w:eastAsia="Calibri" w:hint="eastAsia"/>
          <w:b/>
          <w:bCs/>
          <w:sz w:val="24"/>
          <w:rtl/>
        </w:rPr>
        <w:t>לפגיעה</w:t>
      </w:r>
      <w:r w:rsidRPr="00A210E9">
        <w:rPr>
          <w:rFonts w:eastAsia="Calibri"/>
          <w:b/>
          <w:bCs/>
          <w:sz w:val="24"/>
          <w:rtl/>
        </w:rPr>
        <w:t xml:space="preserve"> </w:t>
      </w:r>
      <w:r w:rsidRPr="00A210E9">
        <w:rPr>
          <w:rFonts w:eastAsia="Calibri" w:hint="eastAsia"/>
          <w:b/>
          <w:bCs/>
          <w:sz w:val="24"/>
          <w:rtl/>
        </w:rPr>
        <w:t>החמורה</w:t>
      </w:r>
      <w:r w:rsidRPr="00A210E9">
        <w:rPr>
          <w:rFonts w:eastAsia="Calibri"/>
          <w:b/>
          <w:bCs/>
          <w:sz w:val="24"/>
          <w:rtl/>
        </w:rPr>
        <w:t xml:space="preserve"> </w:t>
      </w:r>
      <w:r w:rsidRPr="00A210E9">
        <w:rPr>
          <w:rFonts w:eastAsia="Calibri" w:hint="eastAsia"/>
          <w:b/>
          <w:bCs/>
          <w:sz w:val="24"/>
          <w:rtl/>
        </w:rPr>
        <w:t>ש</w:t>
      </w:r>
      <w:r w:rsidRPr="00A210E9">
        <w:rPr>
          <w:rFonts w:eastAsia="Calibri" w:hint="cs"/>
          <w:b/>
          <w:bCs/>
          <w:sz w:val="24"/>
          <w:rtl/>
        </w:rPr>
        <w:t>הוא</w:t>
      </w:r>
      <w:r w:rsidRPr="00A210E9">
        <w:rPr>
          <w:rFonts w:eastAsia="Calibri"/>
          <w:b/>
          <w:bCs/>
          <w:sz w:val="24"/>
          <w:rtl/>
        </w:rPr>
        <w:t xml:space="preserve"> </w:t>
      </w:r>
      <w:r w:rsidRPr="00A210E9">
        <w:rPr>
          <w:rFonts w:eastAsia="Calibri" w:hint="eastAsia"/>
          <w:b/>
          <w:bCs/>
          <w:sz w:val="24"/>
          <w:rtl/>
        </w:rPr>
        <w:t>גור</w:t>
      </w:r>
      <w:r w:rsidRPr="00A210E9">
        <w:rPr>
          <w:rFonts w:eastAsia="Calibri" w:hint="cs"/>
          <w:b/>
          <w:bCs/>
          <w:sz w:val="24"/>
          <w:rtl/>
        </w:rPr>
        <w:t>ם</w:t>
      </w:r>
      <w:r w:rsidRPr="00A210E9">
        <w:rPr>
          <w:rFonts w:eastAsia="Calibri"/>
          <w:b/>
          <w:bCs/>
          <w:sz w:val="24"/>
          <w:rtl/>
        </w:rPr>
        <w:t xml:space="preserve"> </w:t>
      </w:r>
      <w:r w:rsidRPr="00A210E9">
        <w:rPr>
          <w:rFonts w:eastAsia="Calibri" w:hint="eastAsia"/>
          <w:b/>
          <w:bCs/>
          <w:sz w:val="24"/>
          <w:rtl/>
        </w:rPr>
        <w:t>לאנשים</w:t>
      </w:r>
      <w:r w:rsidRPr="00A210E9">
        <w:rPr>
          <w:rFonts w:eastAsia="Calibri"/>
          <w:b/>
          <w:bCs/>
          <w:sz w:val="24"/>
          <w:rtl/>
        </w:rPr>
        <w:t xml:space="preserve"> </w:t>
      </w:r>
      <w:r w:rsidRPr="00A210E9">
        <w:rPr>
          <w:rFonts w:eastAsia="Calibri" w:hint="eastAsia"/>
          <w:b/>
          <w:bCs/>
          <w:sz w:val="24"/>
          <w:rtl/>
        </w:rPr>
        <w:t>עם</w:t>
      </w:r>
      <w:r w:rsidRPr="00A210E9">
        <w:rPr>
          <w:rFonts w:eastAsia="Calibri"/>
          <w:b/>
          <w:bCs/>
          <w:sz w:val="24"/>
          <w:rtl/>
        </w:rPr>
        <w:t xml:space="preserve"> </w:t>
      </w:r>
      <w:r w:rsidRPr="00A210E9">
        <w:rPr>
          <w:rFonts w:eastAsia="Calibri" w:hint="eastAsia"/>
          <w:b/>
          <w:bCs/>
          <w:sz w:val="24"/>
          <w:rtl/>
        </w:rPr>
        <w:t>מוגבלות</w:t>
      </w:r>
      <w:r w:rsidRPr="00A210E9">
        <w:rPr>
          <w:rFonts w:eastAsia="Calibri" w:hint="cs"/>
          <w:b/>
          <w:bCs/>
          <w:sz w:val="24"/>
          <w:rtl/>
        </w:rPr>
        <w:t xml:space="preserve"> בפרט</w:t>
      </w:r>
      <w:r w:rsidRPr="00A210E9">
        <w:rPr>
          <w:rFonts w:eastAsia="Calibri"/>
          <w:b/>
          <w:bCs/>
          <w:sz w:val="24"/>
          <w:rtl/>
        </w:rPr>
        <w:t xml:space="preserve"> </w:t>
      </w:r>
      <w:r w:rsidRPr="00A210E9">
        <w:rPr>
          <w:rFonts w:eastAsia="Calibri" w:hint="eastAsia"/>
          <w:b/>
          <w:bCs/>
          <w:sz w:val="24"/>
          <w:rtl/>
        </w:rPr>
        <w:t>ולציבור</w:t>
      </w:r>
      <w:r w:rsidRPr="00A210E9">
        <w:rPr>
          <w:rFonts w:eastAsia="Calibri"/>
          <w:b/>
          <w:bCs/>
          <w:sz w:val="24"/>
          <w:rtl/>
        </w:rPr>
        <w:t xml:space="preserve"> </w:t>
      </w:r>
      <w:r w:rsidRPr="00A210E9">
        <w:rPr>
          <w:rFonts w:eastAsia="Calibri" w:hint="eastAsia"/>
          <w:b/>
          <w:bCs/>
          <w:sz w:val="24"/>
          <w:rtl/>
        </w:rPr>
        <w:t>בכלל</w:t>
      </w:r>
      <w:r w:rsidRPr="00A210E9">
        <w:rPr>
          <w:rFonts w:eastAsia="Calibri" w:hint="cs"/>
          <w:b/>
          <w:bCs/>
          <w:sz w:val="24"/>
          <w:rtl/>
        </w:rPr>
        <w:t>.</w:t>
      </w:r>
      <w:r w:rsidRPr="00A210E9">
        <w:rPr>
          <w:rFonts w:eastAsia="Calibri"/>
          <w:b/>
          <w:bCs/>
          <w:sz w:val="24"/>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rtl/>
        </w:rPr>
      </w:pPr>
      <w:r w:rsidRPr="00A210E9">
        <w:rPr>
          <w:rFonts w:eastAsia="Calibri" w:hint="cs"/>
          <w:rtl/>
        </w:rPr>
        <w:t xml:space="preserve">מש"ם כתב בתשובתו כי הוא סבור שיש לבצע קמפיין ארצי להסברה, בהובלת משרד התחבורה ובשיתוף עם מש"ם ועם יתר הגופים. </w:t>
      </w:r>
    </w:p>
    <w:p w:rsidR="00A210E9" w:rsidRPr="00A210E9" w:rsidP="00A210E9">
      <w:pPr>
        <w:spacing w:line="269" w:lineRule="auto"/>
        <w:rPr>
          <w:rFonts w:eastAsia="Calibri"/>
          <w:b/>
          <w:bCs/>
          <w:sz w:val="24"/>
        </w:rPr>
      </w:pPr>
    </w:p>
    <w:p w:rsidR="00A210E9" w:rsidRPr="00A210E9" w:rsidP="00C41BD9">
      <w:pPr>
        <w:keepNext/>
        <w:keepLines/>
        <w:spacing w:before="120" w:line="269" w:lineRule="auto"/>
        <w:outlineLvl w:val="2"/>
        <w:rPr>
          <w:rFonts w:eastAsia="Times New Roman"/>
          <w:bCs/>
          <w:szCs w:val="28"/>
          <w:u w:val="single"/>
          <w:rtl/>
        </w:rPr>
      </w:pPr>
      <w:r w:rsidRPr="00A210E9">
        <w:rPr>
          <w:rFonts w:eastAsia="Times New Roman" w:hint="cs"/>
          <w:bCs/>
          <w:szCs w:val="28"/>
          <w:u w:val="single"/>
          <w:rtl/>
        </w:rPr>
        <w:t>סיכום</w:t>
      </w:r>
    </w:p>
    <w:p w:rsidR="00A210E9" w:rsidRPr="00A210E9" w:rsidP="00A210E9">
      <w:pPr>
        <w:keepNext/>
        <w:keepLines/>
        <w:spacing w:line="269" w:lineRule="auto"/>
        <w:ind w:left="-567"/>
        <w:rPr>
          <w:rFonts w:eastAsia="Calibri"/>
          <w:szCs w:val="20"/>
          <w:shd w:val="clear" w:color="auto" w:fill="FFFFFF"/>
          <w:rtl/>
        </w:rPr>
      </w:pPr>
    </w:p>
    <w:p w:rsidR="00A210E9" w:rsidRPr="00A210E9" w:rsidP="00A210E9">
      <w:pPr>
        <w:spacing w:line="269" w:lineRule="auto"/>
        <w:rPr>
          <w:rFonts w:ascii="Rubik" w:eastAsia="Calibri" w:hAnsi="Rubik"/>
          <w:b/>
          <w:bCs/>
          <w:shd w:val="clear" w:color="auto" w:fill="FFFFFF"/>
          <w:rtl/>
        </w:rPr>
      </w:pPr>
      <w:r w:rsidRPr="00A210E9">
        <w:rPr>
          <w:rFonts w:ascii="Rubik" w:eastAsia="Calibri" w:hAnsi="Rubik"/>
          <w:b/>
          <w:bCs/>
          <w:shd w:val="clear" w:color="auto" w:fill="FFFFFF"/>
          <w:rtl/>
        </w:rPr>
        <w:t xml:space="preserve">אנשים </w:t>
      </w:r>
      <w:r w:rsidRPr="00A210E9">
        <w:rPr>
          <w:rFonts w:ascii="Rubik" w:eastAsia="Calibri" w:hAnsi="Rubik" w:hint="cs"/>
          <w:b/>
          <w:bCs/>
          <w:shd w:val="clear" w:color="auto" w:fill="FFFFFF"/>
          <w:rtl/>
        </w:rPr>
        <w:t>עם מוגבלות בתנועה או מוגבלות המשפיעה על יכולת התנועה מתקשים</w:t>
      </w:r>
      <w:r w:rsidRPr="00A210E9">
        <w:rPr>
          <w:rFonts w:ascii="Rubik" w:eastAsia="Calibri" w:hAnsi="Rubik"/>
          <w:b/>
          <w:bCs/>
          <w:shd w:val="clear" w:color="auto" w:fill="FFFFFF"/>
          <w:rtl/>
        </w:rPr>
        <w:t xml:space="preserve"> להשתלב בחיי היום</w:t>
      </w:r>
      <w:r w:rsidRPr="00A210E9">
        <w:rPr>
          <w:rFonts w:ascii="Rubik" w:eastAsia="Calibri" w:hAnsi="Rubik" w:hint="cs"/>
          <w:b/>
          <w:bCs/>
          <w:shd w:val="clear" w:color="auto" w:fill="FFFFFF"/>
          <w:rtl/>
        </w:rPr>
        <w:t>-</w:t>
      </w:r>
      <w:r w:rsidRPr="00A210E9">
        <w:rPr>
          <w:rFonts w:ascii="Rubik" w:eastAsia="Calibri" w:hAnsi="Rubik"/>
          <w:b/>
          <w:bCs/>
          <w:shd w:val="clear" w:color="auto" w:fill="FFFFFF"/>
          <w:rtl/>
        </w:rPr>
        <w:t>יום</w:t>
      </w:r>
      <w:r w:rsidRPr="00A210E9">
        <w:rPr>
          <w:rFonts w:ascii="Rubik" w:eastAsia="Calibri" w:hAnsi="Rubik" w:hint="cs"/>
          <w:b/>
          <w:bCs/>
          <w:shd w:val="clear" w:color="auto" w:fill="FFFFFF"/>
          <w:rtl/>
        </w:rPr>
        <w:t>,</w:t>
      </w:r>
      <w:r w:rsidRPr="00A210E9">
        <w:rPr>
          <w:rFonts w:ascii="Rubik" w:eastAsia="Calibri" w:hAnsi="Rubik"/>
          <w:b/>
          <w:bCs/>
          <w:shd w:val="clear" w:color="auto" w:fill="FFFFFF"/>
          <w:rtl/>
        </w:rPr>
        <w:t xml:space="preserve"> </w:t>
      </w:r>
      <w:r w:rsidRPr="00A210E9">
        <w:rPr>
          <w:rFonts w:ascii="Rubik" w:eastAsia="Calibri" w:hAnsi="Rubik" w:hint="cs"/>
          <w:b/>
          <w:bCs/>
          <w:shd w:val="clear" w:color="auto" w:fill="FFFFFF"/>
          <w:rtl/>
        </w:rPr>
        <w:t>בין היתר</w:t>
      </w:r>
      <w:r w:rsidRPr="00A210E9">
        <w:rPr>
          <w:rFonts w:ascii="Rubik" w:eastAsia="Calibri" w:hAnsi="Rubik"/>
          <w:b/>
          <w:bCs/>
          <w:shd w:val="clear" w:color="auto" w:fill="FFFFFF"/>
          <w:rtl/>
        </w:rPr>
        <w:t xml:space="preserve"> בשל ה</w:t>
      </w:r>
      <w:r w:rsidRPr="00A210E9">
        <w:rPr>
          <w:rFonts w:ascii="Rubik" w:eastAsia="Calibri" w:hAnsi="Rubik" w:hint="cs"/>
          <w:b/>
          <w:bCs/>
          <w:shd w:val="clear" w:color="auto" w:fill="FFFFFF"/>
          <w:rtl/>
        </w:rPr>
        <w:t>י</w:t>
      </w:r>
      <w:r w:rsidRPr="00A210E9">
        <w:rPr>
          <w:rFonts w:ascii="Rubik" w:eastAsia="Calibri" w:hAnsi="Rubik"/>
          <w:b/>
          <w:bCs/>
          <w:shd w:val="clear" w:color="auto" w:fill="FFFFFF"/>
          <w:rtl/>
        </w:rPr>
        <w:t>עדר נגישות במרחב הציבורי</w:t>
      </w:r>
      <w:bookmarkStart w:id="173" w:name="_Hlk223958216"/>
      <w:r w:rsidRPr="00A210E9">
        <w:rPr>
          <w:rFonts w:ascii="Rubik" w:eastAsia="Calibri" w:hAnsi="Rubik"/>
          <w:b/>
          <w:bCs/>
          <w:shd w:val="clear" w:color="auto" w:fill="FFFFFF"/>
          <w:rtl/>
        </w:rPr>
        <w:t xml:space="preserve">. </w:t>
      </w:r>
      <w:r w:rsidRPr="00A210E9">
        <w:rPr>
          <w:rFonts w:ascii="Rubik" w:eastAsia="Calibri" w:hAnsi="Rubik" w:hint="cs"/>
          <w:b/>
          <w:bCs/>
          <w:shd w:val="clear" w:color="auto" w:fill="FFFFFF"/>
          <w:rtl/>
        </w:rPr>
        <w:t xml:space="preserve">היכולת להתנייד ממקום למקום באמצעות רכב, בין בנהיגה עצמאית בין עם נהג מלווה, משקפת את מימוש עקרונות ההכלה </w:t>
      </w:r>
      <w:r w:rsidRPr="00A210E9">
        <w:rPr>
          <w:rFonts w:eastAsia="Calibri" w:hint="cs"/>
          <w:b/>
          <w:bCs/>
          <w:rtl/>
        </w:rPr>
        <w:t>והרצף בנגישות</w:t>
      </w:r>
      <w:r w:rsidRPr="00A210E9">
        <w:rPr>
          <w:rFonts w:ascii="Rubik" w:eastAsia="Calibri" w:hAnsi="Rubik" w:hint="cs"/>
          <w:b/>
          <w:bCs/>
          <w:shd w:val="clear" w:color="auto" w:fill="FFFFFF"/>
          <w:rtl/>
        </w:rPr>
        <w:t xml:space="preserve"> ומקלה על </w:t>
      </w:r>
      <w:r w:rsidRPr="00A210E9">
        <w:rPr>
          <w:rFonts w:ascii="Rubik" w:eastAsia="Calibri" w:hAnsi="Rubik"/>
          <w:b/>
          <w:bCs/>
          <w:shd w:val="clear" w:color="auto" w:fill="FFFFFF"/>
          <w:rtl/>
        </w:rPr>
        <w:t>אנשים עם מוגבלות להתנהל במרחב הפיזי</w:t>
      </w:r>
      <w:r w:rsidRPr="00A210E9">
        <w:rPr>
          <w:rFonts w:ascii="Rubik" w:eastAsia="Calibri" w:hAnsi="Rubik" w:hint="cs"/>
          <w:b/>
          <w:bCs/>
          <w:shd w:val="clear" w:color="auto" w:fill="FFFFFF"/>
          <w:rtl/>
        </w:rPr>
        <w:t xml:space="preserve">. </w:t>
      </w:r>
      <w:bookmarkEnd w:id="173"/>
      <w:r w:rsidRPr="00A210E9">
        <w:rPr>
          <w:rFonts w:eastAsia="Calibri" w:hint="cs"/>
          <w:b/>
          <w:bCs/>
          <w:rtl/>
        </w:rPr>
        <w:t xml:space="preserve">תגי החניה שחלק מהאנשים עם מוגבלות זכאים להם, משמשים להטבות שונות בתחום החניה ובנסיעה בנתיב שמיועד לתחבורה ציבורית ולהטבות כלכליות שונות. בחמש השנים 2021 - 2025 מספר תגי החניה הכפיל את עצמו, וביולי 2025 מספר התגים בישראל עמד על כ-445,000 ומספר הרכבים המשויכים לתגים אלה היה כ-669,000. יש תופעה נרחבת של שימוש לרעה בתגי החניה, ועקב כך, אנשים עם מוגבלות נתקלים בקושי למצוא חניה המותאמת לצרכיהם.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b/>
          <w:bCs/>
          <w:rtl/>
        </w:rPr>
        <w:t>חוק חניה לנכים</w:t>
      </w:r>
      <w:r w:rsidRPr="00A210E9">
        <w:rPr>
          <w:rFonts w:eastAsia="Calibri" w:hint="cs"/>
          <w:b/>
          <w:bCs/>
          <w:rtl/>
        </w:rPr>
        <w:t xml:space="preserve"> מגדיר את התנאים לזכאות לתג חניה ו</w:t>
      </w:r>
      <w:r w:rsidRPr="00A210E9">
        <w:rPr>
          <w:rFonts w:eastAsia="Calibri"/>
          <w:b/>
          <w:bCs/>
          <w:rtl/>
        </w:rPr>
        <w:t xml:space="preserve">מסדיר </w:t>
      </w:r>
      <w:r w:rsidRPr="00A210E9">
        <w:rPr>
          <w:rFonts w:eastAsia="Calibri" w:hint="cs"/>
          <w:b/>
          <w:bCs/>
          <w:rtl/>
        </w:rPr>
        <w:t xml:space="preserve">חלק מההטבות הנלוות לתג. </w:t>
      </w:r>
      <w:r w:rsidRPr="00A210E9">
        <w:rPr>
          <w:rFonts w:eastAsia="Calibri"/>
          <w:b/>
          <w:bCs/>
          <w:rtl/>
        </w:rPr>
        <w:t xml:space="preserve">שר התחבורה נושא באחריות </w:t>
      </w:r>
      <w:r w:rsidRPr="00A210E9">
        <w:rPr>
          <w:rFonts w:eastAsia="Calibri" w:hint="cs"/>
          <w:b/>
          <w:bCs/>
          <w:rtl/>
        </w:rPr>
        <w:t>ליישום החוק ורשאית</w:t>
      </w:r>
      <w:r w:rsidRPr="00A210E9">
        <w:rPr>
          <w:rFonts w:eastAsia="Calibri"/>
          <w:b/>
          <w:bCs/>
          <w:rtl/>
        </w:rPr>
        <w:t xml:space="preserve"> </w:t>
      </w:r>
      <w:r w:rsidRPr="00A210E9">
        <w:rPr>
          <w:rFonts w:eastAsia="Calibri" w:hint="cs"/>
          <w:b/>
          <w:bCs/>
          <w:rtl/>
        </w:rPr>
        <w:t>לקבוע</w:t>
      </w:r>
      <w:r w:rsidRPr="00A210E9">
        <w:rPr>
          <w:rFonts w:eastAsia="Calibri"/>
          <w:b/>
          <w:bCs/>
          <w:rtl/>
        </w:rPr>
        <w:t xml:space="preserve"> תקנות </w:t>
      </w:r>
      <w:r w:rsidRPr="00A210E9">
        <w:rPr>
          <w:rFonts w:eastAsia="Calibri" w:hint="cs"/>
          <w:b/>
          <w:bCs/>
          <w:rtl/>
        </w:rPr>
        <w:t xml:space="preserve">ליישומו. בפועל, מלבד משרד התחבורה יש מגוון גורמים בממשלה וברשויות המקומיות אשר אמורים לטפל בנושאים השונים שנוגעים לתגי חניה, תוך תיאום ושיתוף פעולה, בין היתר הביטוח הלאומי, משרד הבריאות, הרשויות המקומיות והמשטרה. </w:t>
      </w:r>
      <w:r w:rsidRPr="00A210E9">
        <w:rPr>
          <w:rFonts w:eastAsia="Calibri"/>
          <w:b/>
          <w:bCs/>
          <w:rtl/>
        </w:rPr>
        <w:t>החוק מאפשר לאוכלוסיות שיוריות</w:t>
      </w:r>
      <w:r w:rsidRPr="00A210E9">
        <w:rPr>
          <w:rFonts w:eastAsia="Calibri" w:hint="cs"/>
          <w:b/>
          <w:bCs/>
          <w:rtl/>
        </w:rPr>
        <w:t>,</w:t>
      </w:r>
      <w:r w:rsidRPr="00A210E9">
        <w:rPr>
          <w:rFonts w:eastAsia="Calibri"/>
          <w:b/>
          <w:bCs/>
          <w:rtl/>
        </w:rPr>
        <w:t xml:space="preserve"> שאינן </w:t>
      </w:r>
      <w:r w:rsidRPr="00A210E9">
        <w:rPr>
          <w:rFonts w:eastAsia="Calibri" w:hint="cs"/>
          <w:b/>
          <w:bCs/>
          <w:rtl/>
        </w:rPr>
        <w:t xml:space="preserve">נבחנות על ידי הרופאים המוסמכים על פי דין בגופים המאשרים, </w:t>
      </w:r>
      <w:r w:rsidRPr="00A210E9">
        <w:rPr>
          <w:rFonts w:eastAsia="Calibri"/>
          <w:b/>
          <w:bCs/>
          <w:rtl/>
        </w:rPr>
        <w:t>לפנות ישירות למשרד התחבורה, כך שפעילות</w:t>
      </w:r>
      <w:r w:rsidRPr="00A210E9">
        <w:rPr>
          <w:rFonts w:eastAsia="Calibri" w:hint="cs"/>
          <w:b/>
          <w:bCs/>
          <w:rtl/>
        </w:rPr>
        <w:t>ו</w:t>
      </w:r>
      <w:r w:rsidRPr="00A210E9">
        <w:rPr>
          <w:rFonts w:eastAsia="Calibri"/>
          <w:b/>
          <w:bCs/>
          <w:rtl/>
        </w:rPr>
        <w:t xml:space="preserve"> בכל הקשור לבדיקת הזכאות הרפואית </w:t>
      </w:r>
      <w:r w:rsidRPr="00A210E9">
        <w:rPr>
          <w:rFonts w:eastAsia="Calibri" w:hint="cs"/>
          <w:b/>
          <w:bCs/>
          <w:rtl/>
        </w:rPr>
        <w:t xml:space="preserve">לתגי חניה </w:t>
      </w:r>
      <w:r w:rsidRPr="00A210E9">
        <w:rPr>
          <w:rFonts w:eastAsia="Calibri"/>
          <w:b/>
          <w:bCs/>
          <w:rtl/>
        </w:rPr>
        <w:t>הייתה אמורה להיות מצומצמת</w:t>
      </w:r>
      <w:r w:rsidRPr="00A210E9">
        <w:rPr>
          <w:rFonts w:eastAsia="Calibri" w:hint="cs"/>
          <w:b/>
          <w:bCs/>
          <w:rtl/>
        </w:rPr>
        <w:t>, אולם בפועל כ-70% ממלאי תגי החניה שבתוקף נכון ליולי 2025 אושרו על ידי משרד התחבורה.</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bookmarkStart w:id="174" w:name="_Hlk223958277"/>
      <w:r w:rsidRPr="00A210E9">
        <w:rPr>
          <w:rFonts w:eastAsia="Calibri" w:hint="cs"/>
          <w:b/>
          <w:bCs/>
          <w:rtl/>
        </w:rPr>
        <w:t xml:space="preserve">הביקורת מצביעה על פערים מערכתיים מתמשכים מאז 2008 בטיפול בכלל התהליכים וההיבטים הנוגעים לתגי חניה, ובייחוד בהתייחס לחלקו של משרד התחבורה. </w:t>
      </w:r>
      <w:bookmarkEnd w:id="174"/>
      <w:r w:rsidRPr="00A210E9">
        <w:rPr>
          <w:rFonts w:eastAsia="Calibri" w:hint="cs"/>
          <w:b/>
          <w:bCs/>
          <w:rtl/>
        </w:rPr>
        <w:t>הפער המהותי ביותר של המשרד הוא אי-יכולתו לאורך השנים להכריע בגיבוש קריטריונים ברורים לקביעת זכאות לתגי חניה, שהובילה לגידול חד במספר התגים ולכניסה של אוכלוסיות נוספות במהלך השנים להגדרה של אוכלוסייה זכאית לתג. בתהליך בדיקת הבקשות וקבלת החלטה לגבי זכאות לתג נמצאו ליקויים רבים, בין היתר</w:t>
      </w:r>
      <w:r w:rsidRPr="00A210E9">
        <w:rPr>
          <w:rFonts w:eastAsia="Calibri" w:hint="eastAsia"/>
          <w:b/>
          <w:bCs/>
          <w:rtl/>
        </w:rPr>
        <w:t xml:space="preserve"> לאורך</w:t>
      </w:r>
      <w:r w:rsidRPr="00A210E9">
        <w:rPr>
          <w:rFonts w:eastAsia="Calibri"/>
          <w:b/>
          <w:bCs/>
          <w:rtl/>
        </w:rPr>
        <w:t xml:space="preserve"> </w:t>
      </w:r>
      <w:r w:rsidRPr="00A210E9">
        <w:rPr>
          <w:rFonts w:eastAsia="Calibri" w:hint="eastAsia"/>
          <w:b/>
          <w:bCs/>
          <w:rtl/>
        </w:rPr>
        <w:t>השנים</w:t>
      </w:r>
      <w:r w:rsidRPr="00A210E9">
        <w:rPr>
          <w:rFonts w:eastAsia="Calibri"/>
          <w:b/>
          <w:bCs/>
          <w:rtl/>
        </w:rPr>
        <w:t xml:space="preserve"> </w:t>
      </w:r>
      <w:r w:rsidRPr="00A210E9">
        <w:rPr>
          <w:rFonts w:eastAsia="Calibri" w:hint="eastAsia"/>
          <w:b/>
          <w:bCs/>
          <w:rtl/>
        </w:rPr>
        <w:t>החלטות</w:t>
      </w:r>
      <w:r w:rsidRPr="00A210E9">
        <w:rPr>
          <w:rFonts w:eastAsia="Calibri"/>
          <w:b/>
          <w:bCs/>
          <w:rtl/>
        </w:rPr>
        <w:t xml:space="preserve"> </w:t>
      </w:r>
      <w:r w:rsidRPr="00A210E9">
        <w:rPr>
          <w:rFonts w:eastAsia="Calibri" w:hint="cs"/>
          <w:b/>
          <w:bCs/>
          <w:rtl/>
        </w:rPr>
        <w:t>רופאי אגף הרישוי במיקור חוץ</w:t>
      </w:r>
      <w:r w:rsidRPr="00A210E9">
        <w:rPr>
          <w:rFonts w:eastAsia="Calibri"/>
          <w:b/>
          <w:bCs/>
          <w:rtl/>
        </w:rPr>
        <w:t xml:space="preserve"> </w:t>
      </w:r>
      <w:r w:rsidRPr="00A210E9">
        <w:rPr>
          <w:rFonts w:eastAsia="Calibri" w:hint="cs"/>
          <w:b/>
          <w:bCs/>
          <w:rtl/>
        </w:rPr>
        <w:t xml:space="preserve">לא </w:t>
      </w:r>
      <w:r w:rsidRPr="00A210E9">
        <w:rPr>
          <w:rFonts w:eastAsia="Calibri" w:hint="eastAsia"/>
          <w:b/>
          <w:bCs/>
          <w:rtl/>
        </w:rPr>
        <w:t>היו</w:t>
      </w:r>
      <w:r w:rsidRPr="00A210E9">
        <w:rPr>
          <w:rFonts w:eastAsia="Calibri"/>
          <w:b/>
          <w:bCs/>
          <w:rtl/>
        </w:rPr>
        <w:t xml:space="preserve"> </w:t>
      </w:r>
      <w:r w:rsidRPr="00A210E9">
        <w:rPr>
          <w:rFonts w:eastAsia="Calibri" w:hint="eastAsia"/>
          <w:b/>
          <w:bCs/>
          <w:rtl/>
        </w:rPr>
        <w:t>מנומקות</w:t>
      </w:r>
      <w:r w:rsidRPr="00A210E9">
        <w:rPr>
          <w:rFonts w:eastAsia="Calibri"/>
          <w:b/>
          <w:bCs/>
          <w:rtl/>
        </w:rPr>
        <w:t xml:space="preserve"> כנדרש</w:t>
      </w:r>
      <w:r w:rsidRPr="00A210E9">
        <w:rPr>
          <w:rFonts w:eastAsia="Calibri" w:hint="cs"/>
          <w:b/>
          <w:bCs/>
          <w:rtl/>
        </w:rPr>
        <w:t xml:space="preserve">; אגף הרישוי אינו מבצע בקרות מוסדרות ומובנות על עבודת רופאי אגף הרישוי והחלטותיהם הרפואיות. כמו כן, נפלו פגמים בהתקשרויות בין משרד התחבורה לחברה שבאמצעותה בוצעו בדיקות הזכאות לתגים במשך כ-14 שנים - עקב אי-היערכות של משרד התחבורה, הוא נאלץ להתקשר בפטור ממכרז עם החברה, ובתקופות מסוימות אף קיבל ממנה שירותים בלי שהייתה התקשרות תקפה; התמחור עבור בדיקת זכאות לתגי חניה היה </w:t>
      </w:r>
      <w:r w:rsidRPr="00A210E9">
        <w:rPr>
          <w:rFonts w:eastAsia="Calibri" w:hint="eastAsia"/>
          <w:b/>
          <w:bCs/>
          <w:rtl/>
        </w:rPr>
        <w:t>נמוך</w:t>
      </w:r>
      <w:r w:rsidRPr="00A210E9">
        <w:rPr>
          <w:rFonts w:eastAsia="Calibri"/>
          <w:b/>
          <w:bCs/>
          <w:rtl/>
        </w:rPr>
        <w:t xml:space="preserve"> </w:t>
      </w:r>
      <w:r w:rsidRPr="00A210E9">
        <w:rPr>
          <w:rFonts w:eastAsia="Calibri" w:hint="eastAsia"/>
          <w:b/>
          <w:bCs/>
          <w:rtl/>
        </w:rPr>
        <w:t>ביותר</w:t>
      </w:r>
      <w:r w:rsidRPr="00A210E9">
        <w:rPr>
          <w:rFonts w:eastAsia="Calibri"/>
          <w:b/>
          <w:bCs/>
          <w:rtl/>
        </w:rPr>
        <w:t xml:space="preserve"> </w:t>
      </w:r>
      <w:r w:rsidRPr="00A210E9">
        <w:rPr>
          <w:rFonts w:eastAsia="Calibri" w:hint="eastAsia"/>
          <w:b/>
          <w:bCs/>
          <w:rtl/>
        </w:rPr>
        <w:t>ובהתאמה</w:t>
      </w:r>
      <w:r w:rsidRPr="00A210E9">
        <w:rPr>
          <w:rFonts w:eastAsia="Calibri"/>
          <w:b/>
          <w:bCs/>
          <w:rtl/>
        </w:rPr>
        <w:t xml:space="preserve"> </w:t>
      </w:r>
      <w:r w:rsidRPr="00A210E9">
        <w:rPr>
          <w:rFonts w:eastAsia="Calibri" w:hint="eastAsia"/>
          <w:b/>
          <w:bCs/>
          <w:rtl/>
        </w:rPr>
        <w:t>משך</w:t>
      </w:r>
      <w:r w:rsidRPr="00A210E9">
        <w:rPr>
          <w:rFonts w:eastAsia="Calibri"/>
          <w:b/>
          <w:bCs/>
          <w:rtl/>
        </w:rPr>
        <w:t xml:space="preserve"> הטיפול של הרופאים בבקשות היה </w:t>
      </w:r>
      <w:r w:rsidRPr="00A210E9">
        <w:rPr>
          <w:rFonts w:eastAsia="Calibri" w:hint="cs"/>
          <w:b/>
          <w:bCs/>
          <w:rtl/>
        </w:rPr>
        <w:t xml:space="preserve">גם כן </w:t>
      </w:r>
      <w:r w:rsidRPr="00A210E9">
        <w:rPr>
          <w:rFonts w:eastAsia="Calibri"/>
          <w:b/>
          <w:bCs/>
          <w:rtl/>
        </w:rPr>
        <w:t xml:space="preserve">קצר </w:t>
      </w:r>
      <w:r w:rsidRPr="00A210E9">
        <w:rPr>
          <w:rFonts w:eastAsia="Calibri" w:hint="eastAsia"/>
          <w:b/>
          <w:bCs/>
          <w:rtl/>
        </w:rPr>
        <w:t>ביותר</w:t>
      </w:r>
      <w:r w:rsidRPr="00A210E9">
        <w:rPr>
          <w:rFonts w:eastAsia="Calibri" w:hint="cs"/>
          <w:b/>
          <w:bCs/>
          <w:rtl/>
        </w:rPr>
        <w:t xml:space="preserve">. בשנים 2022 - 2024 נחשפו חשדות לשתי פרשיות הונאה שנחקרו על ידי המשטרה שמלמדות לכאורה על </w:t>
      </w:r>
      <w:r w:rsidRPr="00A210E9">
        <w:rPr>
          <w:rFonts w:eastAsia="Calibri" w:hint="eastAsia"/>
          <w:b/>
          <w:bCs/>
          <w:rtl/>
        </w:rPr>
        <w:t>תופעות</w:t>
      </w:r>
      <w:r w:rsidRPr="00A210E9">
        <w:rPr>
          <w:rFonts w:eastAsia="Calibri"/>
          <w:b/>
          <w:bCs/>
          <w:rtl/>
        </w:rPr>
        <w:t xml:space="preserve"> </w:t>
      </w:r>
      <w:r w:rsidRPr="00A210E9">
        <w:rPr>
          <w:rFonts w:eastAsia="Calibri" w:hint="eastAsia"/>
          <w:b/>
          <w:bCs/>
          <w:rtl/>
        </w:rPr>
        <w:t>של</w:t>
      </w:r>
      <w:r w:rsidRPr="00A210E9">
        <w:rPr>
          <w:rFonts w:eastAsia="Calibri" w:hint="cs"/>
          <w:b/>
          <w:bCs/>
          <w:rtl/>
        </w:rPr>
        <w:t xml:space="preserve"> הונאות בהקשר של הנפקת תגי חניה.</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ascii="David" w:eastAsia="Calibri" w:hAnsi="David"/>
          <w:b/>
          <w:bCs/>
          <w:rtl/>
        </w:rPr>
      </w:pPr>
      <w:bookmarkStart w:id="175" w:name="_Hlk223958315"/>
      <w:r w:rsidRPr="00A210E9">
        <w:rPr>
          <w:rFonts w:eastAsia="Calibri" w:hint="cs"/>
          <w:b/>
          <w:bCs/>
          <w:rtl/>
        </w:rPr>
        <w:t>לאורך השנים ביצע משרד התחבורה עבודת מטה מקיפה והקים כמה צוותי עבודה בין-משרדיים לצורך גיבוש מדיניות בנושא תגי חניה</w:t>
      </w:r>
      <w:bookmarkEnd w:id="175"/>
      <w:r w:rsidRPr="00A210E9">
        <w:rPr>
          <w:rFonts w:eastAsia="Calibri" w:hint="cs"/>
          <w:b/>
          <w:bCs/>
          <w:rtl/>
        </w:rPr>
        <w:t xml:space="preserve">, אך כמעט שלא שיתף את נציבות שוויון זכויות במסגרת זו. </w:t>
      </w:r>
      <w:bookmarkStart w:id="176" w:name="_Hlk223958334"/>
      <w:r w:rsidRPr="00A210E9">
        <w:rPr>
          <w:rFonts w:eastAsia="Calibri" w:hint="cs"/>
          <w:b/>
          <w:bCs/>
          <w:rtl/>
        </w:rPr>
        <w:t xml:space="preserve">בסופו של דבר, עבודות המטה ופעילות הצוותים לא נשאו פרי בנושאים המהותיים. </w:t>
      </w:r>
      <w:bookmarkEnd w:id="176"/>
      <w:r w:rsidRPr="00A210E9">
        <w:rPr>
          <w:rFonts w:eastAsia="Calibri" w:hint="cs"/>
          <w:b/>
          <w:bCs/>
          <w:rtl/>
        </w:rPr>
        <w:t xml:space="preserve">בדיונים נידון גם נושא ריבוי ההטבות הניתנות למחזיק תג חניה לאדם עם מוגבלות בישראל, שהוא חריג לעומת מדינות אחרות בעולם ויוצר תמריץ של ממש לבקש תג חניה. נוסף על כך, </w:t>
      </w:r>
      <w:r w:rsidRPr="00A210E9">
        <w:rPr>
          <w:rFonts w:ascii="David" w:eastAsia="Calibri" w:hAnsi="David" w:hint="cs"/>
          <w:b/>
          <w:bCs/>
          <w:rtl/>
        </w:rPr>
        <w:t xml:space="preserve">למרות תהליך הדיגיטציה בהגשת בקשות לזכאות לתג, שהחל כבר משנת 2021, מערכות המידע של משרד התחבורה אינן נותנות מענה מלא על הצרכים של אגף הרישוי, והמשרד </w:t>
      </w:r>
      <w:r w:rsidRPr="00A210E9">
        <w:rPr>
          <w:rFonts w:ascii="David" w:eastAsia="Calibri" w:hAnsi="David" w:hint="eastAsia"/>
          <w:b/>
          <w:bCs/>
          <w:rtl/>
        </w:rPr>
        <w:t>לא</w:t>
      </w:r>
      <w:r w:rsidRPr="00A210E9">
        <w:rPr>
          <w:rFonts w:ascii="David" w:eastAsia="Calibri" w:hAnsi="David"/>
          <w:b/>
          <w:bCs/>
          <w:rtl/>
        </w:rPr>
        <w:t xml:space="preserve"> </w:t>
      </w:r>
      <w:r w:rsidRPr="00A210E9">
        <w:rPr>
          <w:rFonts w:ascii="David" w:eastAsia="Calibri" w:hAnsi="David" w:hint="eastAsia"/>
          <w:b/>
          <w:bCs/>
          <w:rtl/>
        </w:rPr>
        <w:t>ייצר</w:t>
      </w:r>
      <w:r w:rsidRPr="00A210E9">
        <w:rPr>
          <w:rFonts w:ascii="David" w:eastAsia="Calibri" w:hAnsi="David" w:hint="cs"/>
          <w:b/>
          <w:bCs/>
          <w:rtl/>
        </w:rPr>
        <w:t xml:space="preserve"> מענה על הבעיה המרכזית של שימוש לרעה בתג בעת שהרכב אינו משמש את בעל התג, וזאת אף על פי שהצעות לפתרונות טכנולוגיים נדונו בפורומים שונים.</w:t>
      </w:r>
    </w:p>
    <w:p w:rsidR="00A210E9" w:rsidRPr="00A210E9" w:rsidP="00A210E9">
      <w:pPr>
        <w:spacing w:line="269" w:lineRule="auto"/>
        <w:rPr>
          <w:rFonts w:eastAsia="Calibri"/>
          <w:b/>
          <w:bCs/>
          <w:rtl/>
        </w:rPr>
      </w:pPr>
      <w:bookmarkStart w:id="177" w:name="_Hlk223958371"/>
      <w:r w:rsidRPr="00A210E9">
        <w:rPr>
          <w:rFonts w:eastAsia="Calibri" w:hint="cs"/>
          <w:b/>
          <w:bCs/>
          <w:rtl/>
        </w:rPr>
        <w:t xml:space="preserve">הביקורת העלתה ליקויים גם בנוגע להקצאת חניות שמשמשות את בעלי התגים. </w:t>
      </w:r>
      <w:bookmarkEnd w:id="177"/>
      <w:r w:rsidRPr="00A210E9">
        <w:rPr>
          <w:rFonts w:eastAsia="Calibri"/>
          <w:b/>
          <w:bCs/>
          <w:rtl/>
        </w:rPr>
        <w:t>אף ש</w:t>
      </w:r>
      <w:r w:rsidRPr="00A210E9">
        <w:rPr>
          <w:rFonts w:eastAsia="Calibri" w:hint="cs"/>
          <w:b/>
          <w:bCs/>
          <w:rtl/>
        </w:rPr>
        <w:t xml:space="preserve">שר הפנים היה אמור להתקין </w:t>
      </w:r>
      <w:r w:rsidRPr="00A210E9">
        <w:rPr>
          <w:rFonts w:eastAsia="Calibri"/>
          <w:b/>
          <w:bCs/>
          <w:rtl/>
        </w:rPr>
        <w:t>תקנות</w:t>
      </w:r>
      <w:r w:rsidRPr="00A210E9">
        <w:rPr>
          <w:rFonts w:eastAsia="Calibri" w:hint="cs"/>
          <w:b/>
          <w:bCs/>
          <w:rtl/>
        </w:rPr>
        <w:t xml:space="preserve"> בדבר</w:t>
      </w:r>
      <w:r w:rsidRPr="00A210E9">
        <w:rPr>
          <w:rFonts w:eastAsia="Calibri"/>
          <w:b/>
          <w:bCs/>
          <w:rtl/>
        </w:rPr>
        <w:t xml:space="preserve"> נגישות דרכים עד 2006, הן לא הותקנו עד מועד סיום הביקורת, כך שאין נורמה מחייבת להקצאת חניות נכים ברחובות.</w:t>
      </w:r>
      <w:r w:rsidRPr="00A210E9">
        <w:rPr>
          <w:rFonts w:eastAsia="Calibri" w:hint="cs"/>
          <w:b/>
          <w:bCs/>
          <w:rtl/>
        </w:rPr>
        <w:t xml:space="preserve"> גם ב</w:t>
      </w:r>
      <w:r w:rsidRPr="00A210E9">
        <w:rPr>
          <w:rFonts w:eastAsia="Calibri"/>
          <w:b/>
          <w:bCs/>
          <w:rtl/>
        </w:rPr>
        <w:t>הקצאת חניות אישיות קיימת שונות גבוהה בין הרשויות</w:t>
      </w:r>
      <w:r w:rsidRPr="00A210E9">
        <w:rPr>
          <w:rFonts w:eastAsia="Calibri" w:hint="cs"/>
          <w:b/>
          <w:bCs/>
          <w:rtl/>
        </w:rPr>
        <w:t xml:space="preserve"> המקומיות מבחינת הקריטריונים לזכאות לחניה אישית. משרד התחבורה לא הסדיר את הזכויות בנוגע לזכאות לחנות בחניות המיועדות לרכבים עם מעלון או מתקנים מיוחדים. </w:t>
      </w:r>
      <w:bookmarkStart w:id="178" w:name="_Hlk223958435"/>
      <w:r w:rsidRPr="00A210E9">
        <w:rPr>
          <w:rFonts w:eastAsia="Calibri" w:hint="cs"/>
          <w:b/>
          <w:bCs/>
          <w:rtl/>
        </w:rPr>
        <w:t xml:space="preserve">בנושא </w:t>
      </w:r>
      <w:r w:rsidRPr="00A210E9">
        <w:rPr>
          <w:rFonts w:eastAsia="Calibri"/>
          <w:b/>
          <w:bCs/>
          <w:rtl/>
        </w:rPr>
        <w:t xml:space="preserve">האכיפה </w:t>
      </w:r>
      <w:r w:rsidRPr="00A210E9">
        <w:rPr>
          <w:rFonts w:eastAsia="Calibri" w:hint="cs"/>
          <w:b/>
          <w:bCs/>
          <w:rtl/>
        </w:rPr>
        <w:t xml:space="preserve">- </w:t>
      </w:r>
      <w:r w:rsidRPr="00A210E9">
        <w:rPr>
          <w:rFonts w:eastAsia="Calibri"/>
          <w:b/>
          <w:bCs/>
          <w:rtl/>
        </w:rPr>
        <w:t xml:space="preserve">קשיים ראייתיים </w:t>
      </w:r>
      <w:r w:rsidRPr="00A210E9">
        <w:rPr>
          <w:rFonts w:eastAsia="Calibri" w:hint="cs"/>
          <w:b/>
          <w:bCs/>
          <w:rtl/>
        </w:rPr>
        <w:t>וה</w:t>
      </w:r>
      <w:r w:rsidRPr="00A210E9">
        <w:rPr>
          <w:rFonts w:eastAsia="Calibri"/>
          <w:b/>
          <w:bCs/>
          <w:rtl/>
        </w:rPr>
        <w:t xml:space="preserve">גבלת סמכויות מביאים לכך </w:t>
      </w:r>
      <w:r w:rsidRPr="00A210E9">
        <w:rPr>
          <w:rFonts w:eastAsia="Calibri" w:hint="cs"/>
          <w:b/>
          <w:bCs/>
          <w:rtl/>
        </w:rPr>
        <w:t>שעבירת שימוש לרעה בתגים בעת שהרכב אינו משרת את בעל התג אינה נאכפת</w:t>
      </w:r>
      <w:bookmarkEnd w:id="178"/>
      <w:r w:rsidRPr="00A210E9">
        <w:rPr>
          <w:rFonts w:eastAsia="Calibri"/>
          <w:b/>
          <w:bCs/>
          <w:rtl/>
        </w:rPr>
        <w:t xml:space="preserve">, </w:t>
      </w:r>
      <w:r w:rsidRPr="00A210E9">
        <w:rPr>
          <w:rFonts w:eastAsia="Calibri" w:hint="cs"/>
          <w:b/>
          <w:bCs/>
          <w:rtl/>
        </w:rPr>
        <w:t xml:space="preserve">דבר </w:t>
      </w:r>
      <w:r w:rsidRPr="00A210E9">
        <w:rPr>
          <w:rFonts w:eastAsia="Calibri"/>
          <w:b/>
          <w:bCs/>
          <w:rtl/>
        </w:rPr>
        <w:t xml:space="preserve">שיוצר </w:t>
      </w:r>
      <w:r w:rsidRPr="00A210E9">
        <w:rPr>
          <w:rFonts w:eastAsia="Calibri" w:hint="cs"/>
          <w:b/>
          <w:bCs/>
          <w:rtl/>
        </w:rPr>
        <w:t xml:space="preserve">אף הוא </w:t>
      </w:r>
      <w:r w:rsidRPr="00A210E9">
        <w:rPr>
          <w:rFonts w:eastAsia="Calibri"/>
          <w:b/>
          <w:bCs/>
          <w:rtl/>
        </w:rPr>
        <w:t xml:space="preserve">מחסור בחניות </w:t>
      </w:r>
      <w:r w:rsidRPr="00A210E9">
        <w:rPr>
          <w:rFonts w:eastAsia="Calibri" w:hint="cs"/>
          <w:b/>
          <w:bCs/>
          <w:rtl/>
        </w:rPr>
        <w:t xml:space="preserve">נכים </w:t>
      </w:r>
      <w:r w:rsidRPr="00A210E9">
        <w:rPr>
          <w:rFonts w:eastAsia="Calibri"/>
          <w:b/>
          <w:bCs/>
          <w:rtl/>
        </w:rPr>
        <w:t>פנויות</w:t>
      </w:r>
      <w:r w:rsidRPr="00A210E9">
        <w:rPr>
          <w:rFonts w:eastAsia="Calibri"/>
          <w:b/>
          <w:bCs/>
        </w:rPr>
        <w:t>.</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bookmarkStart w:id="179" w:name="_Hlk223858112"/>
      <w:r w:rsidRPr="00A210E9">
        <w:rPr>
          <w:rFonts w:eastAsia="Calibri" w:hint="cs"/>
          <w:b/>
          <w:bCs/>
          <w:rtl/>
        </w:rPr>
        <w:t>ריבוי בעלי תגי חניה והרכבים המשויכים להם גורם לפגיעה במי שזקוקים לכך. לפיכך, נדרש כי הצוות הבין-משרדי 2025 יסיים בהקדם את הבחינה המערכתית בנושא</w:t>
      </w:r>
      <w:bookmarkEnd w:id="179"/>
      <w:r w:rsidRPr="00A210E9">
        <w:rPr>
          <w:rFonts w:eastAsia="Calibri" w:hint="cs"/>
          <w:b/>
          <w:bCs/>
          <w:rtl/>
        </w:rPr>
        <w:t xml:space="preserve"> ויפעל בדחיפות למתן מענה על שורש הבעיות בנושא התגים</w:t>
      </w:r>
      <w:r w:rsidRPr="00A210E9">
        <w:rPr>
          <w:rFonts w:eastAsia="Calibri"/>
          <w:b/>
          <w:bCs/>
          <w:rtl/>
        </w:rPr>
        <w:t>.</w:t>
      </w:r>
      <w:r w:rsidRPr="00A210E9">
        <w:rPr>
          <w:rFonts w:eastAsia="Calibri" w:hint="cs"/>
          <w:b/>
          <w:bCs/>
          <w:rtl/>
        </w:rPr>
        <w:t xml:space="preserve"> בפרט מומלץ כי </w:t>
      </w:r>
      <w:r w:rsidRPr="00A210E9">
        <w:rPr>
          <w:rFonts w:eastAsia="Calibri"/>
          <w:b/>
          <w:bCs/>
          <w:rtl/>
        </w:rPr>
        <w:t>משרד התחבורה, בשיתוף משרד הבריאות</w:t>
      </w:r>
      <w:r w:rsidRPr="00A210E9">
        <w:rPr>
          <w:rFonts w:eastAsia="Calibri" w:hint="cs"/>
          <w:b/>
          <w:bCs/>
          <w:rtl/>
        </w:rPr>
        <w:t xml:space="preserve">, </w:t>
      </w:r>
      <w:r w:rsidRPr="00A210E9">
        <w:rPr>
          <w:rFonts w:eastAsia="Calibri"/>
          <w:b/>
          <w:bCs/>
          <w:rtl/>
        </w:rPr>
        <w:t>הביטוח הלאומי</w:t>
      </w:r>
      <w:r w:rsidRPr="00A210E9">
        <w:rPr>
          <w:rFonts w:eastAsia="Calibri" w:hint="cs"/>
          <w:b/>
          <w:bCs/>
          <w:rtl/>
        </w:rPr>
        <w:t xml:space="preserve"> ונציבות שוויון זכויות, כגוף שיכול לסייע לתכלל את מגוון השיקולים והאינטרסים הנוגעים לסוגיות אלה</w:t>
      </w:r>
      <w:r w:rsidRPr="00A210E9">
        <w:rPr>
          <w:rFonts w:eastAsia="Calibri"/>
          <w:b/>
          <w:bCs/>
          <w:rtl/>
        </w:rPr>
        <w:t>,</w:t>
      </w:r>
      <w:r w:rsidRPr="00A210E9">
        <w:rPr>
          <w:rFonts w:eastAsia="Calibri" w:hint="cs"/>
          <w:b/>
          <w:bCs/>
          <w:rtl/>
        </w:rPr>
        <w:t xml:space="preserve"> יגבש מדיניות </w:t>
      </w:r>
      <w:r w:rsidRPr="00A210E9">
        <w:rPr>
          <w:rFonts w:eastAsia="Calibri" w:hint="eastAsia"/>
          <w:b/>
          <w:bCs/>
          <w:rtl/>
        </w:rPr>
        <w:t>עדכנית</w:t>
      </w:r>
      <w:r w:rsidRPr="00A210E9">
        <w:rPr>
          <w:rFonts w:eastAsia="Calibri" w:hint="cs"/>
          <w:b/>
          <w:bCs/>
          <w:rtl/>
        </w:rPr>
        <w:t xml:space="preserve"> בנוגע לקריטריונים הרפואיים למתן תגי חניה, לתוקפם ולזכויות הנלוות להם, וכי הוא יפעל לעיגונה וליישומה של המדיניות בשיתוף עם הגופים הרלוונטיים. נוכח הליקויים שעלו לאורך השנים בניהול ההתקשרויות עם הספקים שנתנו שירותי ייעוץ רפואי למשרד התחבורה, חשוב שאגף החשכ"ל יוודא את תקינותן של ההתקשרויות, ובייחוד את סבירות ההצעות המוגשות בתהליכים התחרותיים, וכי הוא יפיק לקחים </w:t>
      </w:r>
      <w:r w:rsidRPr="00A210E9">
        <w:rPr>
          <w:rFonts w:eastAsia="Calibri" w:hint="eastAsia"/>
          <w:b/>
          <w:bCs/>
          <w:rtl/>
        </w:rPr>
        <w:t>מהליכים</w:t>
      </w:r>
      <w:r w:rsidRPr="00A210E9">
        <w:rPr>
          <w:rFonts w:eastAsia="Calibri"/>
          <w:b/>
          <w:bCs/>
          <w:rtl/>
        </w:rPr>
        <w:t xml:space="preserve"> אלו</w:t>
      </w:r>
      <w:r w:rsidRPr="00A210E9">
        <w:rPr>
          <w:rFonts w:eastAsia="Calibri" w:hint="cs"/>
          <w:b/>
          <w:bCs/>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eastAsia="Calibri"/>
          <w:b/>
          <w:bCs/>
          <w:rtl/>
        </w:rPr>
      </w:pPr>
      <w:r w:rsidRPr="00A210E9">
        <w:rPr>
          <w:rFonts w:eastAsia="Calibri" w:hint="cs"/>
          <w:b/>
          <w:bCs/>
          <w:rtl/>
        </w:rPr>
        <w:t xml:space="preserve">על </w:t>
      </w:r>
      <w:r w:rsidRPr="00A210E9">
        <w:rPr>
          <w:rFonts w:eastAsia="Calibri"/>
          <w:b/>
          <w:bCs/>
          <w:rtl/>
        </w:rPr>
        <w:t xml:space="preserve">שר הפנים </w:t>
      </w:r>
      <w:r w:rsidRPr="00A210E9">
        <w:rPr>
          <w:rFonts w:eastAsia="Calibri" w:hint="cs"/>
          <w:b/>
          <w:bCs/>
          <w:rtl/>
        </w:rPr>
        <w:t xml:space="preserve">להתקין </w:t>
      </w:r>
      <w:r w:rsidRPr="00A210E9">
        <w:rPr>
          <w:rFonts w:eastAsia="Calibri" w:hint="eastAsia"/>
          <w:b/>
          <w:bCs/>
          <w:rtl/>
        </w:rPr>
        <w:t>בהקדם</w:t>
      </w:r>
      <w:r w:rsidRPr="00A210E9">
        <w:rPr>
          <w:rFonts w:eastAsia="Calibri"/>
          <w:b/>
          <w:bCs/>
          <w:rtl/>
        </w:rPr>
        <w:t xml:space="preserve"> תקנות שיסדירו את הקצאת חניות הנכים </w:t>
      </w:r>
      <w:r w:rsidRPr="00A210E9">
        <w:rPr>
          <w:rFonts w:eastAsia="Calibri" w:hint="cs"/>
          <w:b/>
          <w:bCs/>
          <w:rtl/>
        </w:rPr>
        <w:t xml:space="preserve">ברחובות </w:t>
      </w:r>
      <w:r w:rsidRPr="00A210E9">
        <w:rPr>
          <w:rFonts w:eastAsia="Calibri"/>
          <w:b/>
          <w:bCs/>
          <w:rtl/>
        </w:rPr>
        <w:t xml:space="preserve">על ידי הרשויות המקומיות. כמו כן, </w:t>
      </w:r>
      <w:r w:rsidRPr="00A210E9">
        <w:rPr>
          <w:rFonts w:eastAsia="Calibri" w:hint="cs"/>
          <w:b/>
          <w:bCs/>
          <w:rtl/>
        </w:rPr>
        <w:t xml:space="preserve">על </w:t>
      </w:r>
      <w:r w:rsidRPr="00A210E9">
        <w:rPr>
          <w:rFonts w:eastAsia="Calibri"/>
          <w:b/>
          <w:bCs/>
          <w:rtl/>
        </w:rPr>
        <w:t xml:space="preserve">משרד התחבורה לממש את התחייבותו בפני בג"ץ ולקדם תיקוני חקיקה שיסדירו באופן ברור את </w:t>
      </w:r>
      <w:r w:rsidRPr="00A210E9">
        <w:rPr>
          <w:rFonts w:eastAsia="Calibri" w:hint="cs"/>
          <w:b/>
          <w:bCs/>
          <w:rtl/>
        </w:rPr>
        <w:t>זכויות החניה ב</w:t>
      </w:r>
      <w:r w:rsidRPr="00A210E9">
        <w:rPr>
          <w:rFonts w:eastAsia="Calibri"/>
          <w:b/>
          <w:bCs/>
          <w:rtl/>
        </w:rPr>
        <w:t xml:space="preserve">חניות </w:t>
      </w:r>
      <w:r w:rsidRPr="00A210E9">
        <w:rPr>
          <w:rFonts w:eastAsia="Calibri" w:hint="cs"/>
          <w:b/>
          <w:bCs/>
          <w:rtl/>
        </w:rPr>
        <w:t>המסומנות עבור</w:t>
      </w:r>
      <w:r w:rsidRPr="00A210E9">
        <w:rPr>
          <w:rFonts w:eastAsia="Calibri"/>
          <w:b/>
          <w:bCs/>
          <w:rtl/>
        </w:rPr>
        <w:t xml:space="preserve"> בעלי רכב עם מעלון</w:t>
      </w:r>
      <w:r w:rsidRPr="00A210E9">
        <w:rPr>
          <w:rFonts w:eastAsia="Calibri" w:hint="cs"/>
          <w:b/>
          <w:bCs/>
          <w:rtl/>
        </w:rPr>
        <w:t>. משרד מבקר המדינה ממליץ למשטרה לצאת ב</w:t>
      </w:r>
      <w:r w:rsidRPr="00A210E9">
        <w:rPr>
          <w:rFonts w:eastAsia="Calibri"/>
          <w:b/>
          <w:bCs/>
          <w:rtl/>
        </w:rPr>
        <w:t>מבצעי אכיפה ייעודיים, בשילוב פעילויות הסברה, כדי לה</w:t>
      </w:r>
      <w:r w:rsidRPr="00A210E9">
        <w:rPr>
          <w:rFonts w:eastAsia="Calibri" w:hint="cs"/>
          <w:b/>
          <w:bCs/>
          <w:rtl/>
        </w:rPr>
        <w:t>עלות</w:t>
      </w:r>
      <w:r w:rsidRPr="00A210E9">
        <w:rPr>
          <w:rFonts w:eastAsia="Calibri"/>
          <w:b/>
          <w:bCs/>
          <w:rtl/>
        </w:rPr>
        <w:t xml:space="preserve"> את </w:t>
      </w:r>
      <w:r w:rsidRPr="00A210E9">
        <w:rPr>
          <w:rFonts w:eastAsia="Calibri" w:hint="cs"/>
          <w:b/>
          <w:bCs/>
          <w:rtl/>
        </w:rPr>
        <w:t>המודעות בקרב ה</w:t>
      </w:r>
      <w:r w:rsidRPr="00A210E9">
        <w:rPr>
          <w:rFonts w:eastAsia="Calibri"/>
          <w:b/>
          <w:bCs/>
          <w:rtl/>
        </w:rPr>
        <w:t xml:space="preserve">ציבור </w:t>
      </w:r>
      <w:r w:rsidRPr="00A210E9">
        <w:rPr>
          <w:rFonts w:eastAsia="Calibri" w:hint="cs"/>
          <w:b/>
          <w:bCs/>
          <w:rtl/>
        </w:rPr>
        <w:t>ל</w:t>
      </w:r>
      <w:r w:rsidRPr="00A210E9">
        <w:rPr>
          <w:rFonts w:eastAsia="Calibri"/>
          <w:b/>
          <w:bCs/>
          <w:rtl/>
        </w:rPr>
        <w:t xml:space="preserve">חשיבות </w:t>
      </w:r>
      <w:r w:rsidRPr="00A210E9">
        <w:rPr>
          <w:rFonts w:eastAsia="Calibri" w:hint="cs"/>
          <w:b/>
          <w:bCs/>
          <w:rtl/>
        </w:rPr>
        <w:t>שב</w:t>
      </w:r>
      <w:r w:rsidRPr="00A210E9">
        <w:rPr>
          <w:rFonts w:eastAsia="Calibri"/>
          <w:b/>
          <w:bCs/>
          <w:rtl/>
        </w:rPr>
        <w:t>שמירה על חניות נכים ולהגביר את ההרתעה מפני שימוש לרעה בתג חניה</w:t>
      </w:r>
      <w:r w:rsidRPr="00A210E9">
        <w:rPr>
          <w:rFonts w:eastAsia="Calibri" w:hint="cs"/>
          <w:b/>
          <w:bCs/>
          <w:rtl/>
        </w:rPr>
        <w:t xml:space="preserve">. </w:t>
      </w:r>
    </w:p>
    <w:p w:rsidR="00A210E9" w:rsidRPr="00A210E9" w:rsidP="00A210E9">
      <w:pPr>
        <w:keepNext/>
        <w:keepLines/>
        <w:spacing w:line="269" w:lineRule="auto"/>
        <w:ind w:left="-567"/>
        <w:rPr>
          <w:rFonts w:eastAsia="Calibri"/>
          <w:szCs w:val="20"/>
          <w:rtl/>
        </w:rPr>
      </w:pPr>
    </w:p>
    <w:p w:rsidR="00A210E9" w:rsidRPr="00A210E9" w:rsidP="00A210E9">
      <w:pPr>
        <w:spacing w:line="269" w:lineRule="auto"/>
        <w:rPr>
          <w:rFonts w:ascii="David" w:eastAsia="Calibri" w:hAnsi="David"/>
          <w:b/>
          <w:bCs/>
          <w:sz w:val="24"/>
          <w:rtl/>
        </w:rPr>
      </w:pPr>
      <w:bookmarkStart w:id="180" w:name="_Hlk223958076"/>
      <w:r w:rsidRPr="00A210E9">
        <w:rPr>
          <w:rFonts w:ascii="David" w:eastAsia="Calibri" w:hAnsi="David"/>
          <w:b/>
          <w:bCs/>
          <w:sz w:val="24"/>
          <w:rtl/>
        </w:rPr>
        <w:t xml:space="preserve">סוגיית </w:t>
      </w:r>
      <w:r w:rsidRPr="00A210E9">
        <w:rPr>
          <w:rFonts w:ascii="David" w:eastAsia="Calibri" w:hAnsi="David" w:hint="cs"/>
          <w:b/>
          <w:bCs/>
          <w:sz w:val="24"/>
          <w:rtl/>
        </w:rPr>
        <w:t xml:space="preserve">תגי חניה לאנשים עם מוגבלות, הזכאות להחזיק בהם ויכולתם של האנשים עם מוגבלות להשתמש בתגים אלה הלכה למעשה, ובכך לממש את זכותם להתנהל במרחב הציבורי כשווים בין שווים, </w:t>
      </w:r>
      <w:r w:rsidRPr="00A210E9">
        <w:rPr>
          <w:rFonts w:ascii="David" w:eastAsia="Calibri" w:hAnsi="David"/>
          <w:b/>
          <w:bCs/>
          <w:sz w:val="24"/>
          <w:rtl/>
        </w:rPr>
        <w:t>אינה רק סוגיה חוקית אלא סוגיה מוסרית וחברתית</w:t>
      </w:r>
      <w:bookmarkEnd w:id="180"/>
      <w:r w:rsidRPr="00A210E9">
        <w:rPr>
          <w:rFonts w:ascii="David" w:eastAsia="Calibri" w:hAnsi="David"/>
          <w:b/>
          <w:bCs/>
          <w:sz w:val="24"/>
          <w:rtl/>
        </w:rPr>
        <w:t xml:space="preserve">. </w:t>
      </w:r>
      <w:r w:rsidRPr="00A210E9">
        <w:rPr>
          <w:rFonts w:ascii="David" w:eastAsia="Calibri" w:hAnsi="David" w:hint="cs"/>
          <w:b/>
          <w:bCs/>
          <w:sz w:val="24"/>
          <w:rtl/>
        </w:rPr>
        <w:t>המחסור במקומות חניה נגישים שנוצר בין היתר בשל ריבוי התגים ואי-טיפול בשורש הבעיות, ובפרט אי-מיגור תופעת השימוש לרעה בתגים לאורך השנים, מעצים את הפגיעה</w:t>
      </w:r>
      <w:r w:rsidRPr="00A210E9">
        <w:rPr>
          <w:rFonts w:ascii="David" w:eastAsia="Calibri" w:hAnsi="David"/>
          <w:b/>
          <w:bCs/>
          <w:sz w:val="24"/>
          <w:rtl/>
        </w:rPr>
        <w:t xml:space="preserve"> באנשים הזקוקים באמת לנגישות זו. </w:t>
      </w:r>
      <w:bookmarkStart w:id="181" w:name="_Hlk223958123"/>
      <w:r w:rsidRPr="00A210E9">
        <w:rPr>
          <w:rFonts w:ascii="David" w:eastAsia="Calibri" w:hAnsi="David" w:hint="cs"/>
          <w:b/>
          <w:bCs/>
          <w:sz w:val="24"/>
          <w:rtl/>
        </w:rPr>
        <w:t xml:space="preserve">על כלל הגורמים המעורבים בסוגיית תגי החניה, ובראשם משרד התחבורה, לרכז מאמצים ולשתף פעולה כדי לתקן את מכלול הליקויים שהועלו בדוח זה, כדי </w:t>
      </w:r>
      <w:r w:rsidRPr="00A210E9">
        <w:rPr>
          <w:rFonts w:ascii="David" w:eastAsia="Calibri" w:hAnsi="David"/>
          <w:b/>
          <w:bCs/>
          <w:sz w:val="24"/>
          <w:rtl/>
        </w:rPr>
        <w:t>להשיב ל</w:t>
      </w:r>
      <w:r w:rsidRPr="00A210E9">
        <w:rPr>
          <w:rFonts w:ascii="David" w:eastAsia="Calibri" w:hAnsi="David" w:hint="cs"/>
          <w:b/>
          <w:bCs/>
          <w:sz w:val="24"/>
          <w:rtl/>
        </w:rPr>
        <w:t>תגי החניה ול</w:t>
      </w:r>
      <w:r w:rsidRPr="00A210E9">
        <w:rPr>
          <w:rFonts w:ascii="David" w:eastAsia="Calibri" w:hAnsi="David"/>
          <w:b/>
          <w:bCs/>
          <w:sz w:val="24"/>
          <w:rtl/>
        </w:rPr>
        <w:t>חניות נכים את ייעוד</w:t>
      </w:r>
      <w:r w:rsidRPr="00A210E9">
        <w:rPr>
          <w:rFonts w:ascii="David" w:eastAsia="Calibri" w:hAnsi="David" w:hint="cs"/>
          <w:b/>
          <w:bCs/>
          <w:sz w:val="24"/>
          <w:rtl/>
        </w:rPr>
        <w:t>ם</w:t>
      </w:r>
      <w:r w:rsidRPr="00A210E9">
        <w:rPr>
          <w:rFonts w:ascii="David" w:eastAsia="Calibri" w:hAnsi="David"/>
          <w:b/>
          <w:bCs/>
          <w:sz w:val="24"/>
          <w:rtl/>
        </w:rPr>
        <w:t xml:space="preserve"> הערכי והחברתי</w:t>
      </w:r>
      <w:r w:rsidRPr="00A210E9">
        <w:rPr>
          <w:rFonts w:ascii="David" w:eastAsia="Calibri" w:hAnsi="David" w:hint="cs"/>
          <w:b/>
          <w:bCs/>
          <w:sz w:val="24"/>
          <w:rtl/>
        </w:rPr>
        <w:t>.</w:t>
      </w:r>
      <w:bookmarkEnd w:id="181"/>
    </w:p>
    <w:p w:rsidR="00A210E9" w:rsidRPr="00A210E9" w:rsidP="00A210E9">
      <w:pPr>
        <w:spacing w:line="269" w:lineRule="auto"/>
        <w:rPr>
          <w:rFonts w:eastAsia="Calibri"/>
          <w:rtl/>
        </w:rPr>
      </w:pPr>
    </w:p>
    <w:p w:rsidR="00A210E9" w:rsidRPr="00A210E9" w:rsidP="00A210E9">
      <w:pPr>
        <w:spacing w:line="269" w:lineRule="auto"/>
        <w:rPr>
          <w:rFonts w:eastAsia="Calibri"/>
          <w:rtl/>
        </w:rPr>
      </w:pPr>
    </w:p>
    <w:p w:rsidR="00A210E9" w:rsidRPr="00A210E9" w:rsidP="00A210E9">
      <w:pPr>
        <w:spacing w:line="269" w:lineRule="auto"/>
        <w:rPr>
          <w:rFonts w:eastAsia="Calibri"/>
          <w:rtl/>
        </w:rPr>
      </w:pPr>
    </w:p>
    <w:p w:rsidR="00A210E9" w:rsidRPr="00A210E9" w:rsidP="00A210E9">
      <w:pPr>
        <w:bidi w:val="0"/>
        <w:spacing w:line="269" w:lineRule="auto"/>
        <w:rPr>
          <w:rFonts w:eastAsia="Times New Roman"/>
          <w:bCs/>
          <w:szCs w:val="28"/>
          <w:u w:val="single"/>
        </w:rPr>
      </w:pPr>
      <w:r w:rsidRPr="00A210E9">
        <w:rPr>
          <w:rFonts w:eastAsia="Calibri"/>
          <w:rtl/>
        </w:rPr>
        <w:br w:type="page"/>
      </w:r>
    </w:p>
    <w:p w:rsidR="00A210E9" w:rsidRPr="00A210E9" w:rsidP="00A210E9">
      <w:pPr>
        <w:keepNext/>
        <w:keepLines/>
        <w:spacing w:line="269" w:lineRule="auto"/>
        <w:jc w:val="center"/>
        <w:outlineLvl w:val="2"/>
        <w:rPr>
          <w:rFonts w:eastAsia="Times New Roman"/>
          <w:bCs/>
          <w:szCs w:val="28"/>
          <w:u w:val="single"/>
          <w:rtl/>
        </w:rPr>
      </w:pPr>
      <w:r w:rsidRPr="00A210E9">
        <w:rPr>
          <w:rFonts w:eastAsia="Times New Roman" w:hint="cs"/>
          <w:bCs/>
          <w:szCs w:val="28"/>
          <w:u w:val="single"/>
          <w:rtl/>
        </w:rPr>
        <w:t>נספחים</w:t>
      </w:r>
    </w:p>
    <w:p w:rsidR="00A210E9" w:rsidRPr="00A210E9" w:rsidP="00A210E9">
      <w:pPr>
        <w:spacing w:line="269" w:lineRule="auto"/>
        <w:jc w:val="center"/>
        <w:rPr>
          <w:rFonts w:eastAsia="Calibri"/>
          <w:b/>
          <w:bCs/>
          <w:rtl/>
        </w:rPr>
      </w:pPr>
    </w:p>
    <w:p w:rsidR="00A210E9" w:rsidRPr="00A210E9" w:rsidP="00A210E9">
      <w:pPr>
        <w:keepNext/>
        <w:keepLines/>
        <w:spacing w:line="269" w:lineRule="auto"/>
        <w:jc w:val="center"/>
        <w:outlineLvl w:val="3"/>
        <w:rPr>
          <w:rFonts w:eastAsia="Times New Roman"/>
          <w:bCs/>
          <w:szCs w:val="26"/>
          <w:u w:val="single"/>
          <w:rtl/>
        </w:rPr>
      </w:pPr>
      <w:r w:rsidRPr="00A210E9">
        <w:rPr>
          <w:rFonts w:eastAsia="Times New Roman" w:hint="eastAsia"/>
          <w:bCs/>
          <w:szCs w:val="26"/>
          <w:u w:val="single"/>
          <w:rtl/>
        </w:rPr>
        <w:t>נספח</w:t>
      </w:r>
      <w:r w:rsidR="00245E55">
        <w:rPr>
          <w:rFonts w:eastAsia="Times New Roman" w:hint="cs"/>
          <w:bCs/>
          <w:szCs w:val="26"/>
          <w:u w:val="single"/>
          <w:rtl/>
        </w:rPr>
        <w:t xml:space="preserve"> 1</w:t>
      </w:r>
      <w:r w:rsidRPr="00A210E9">
        <w:rPr>
          <w:rFonts w:eastAsia="Times New Roman"/>
          <w:bCs/>
          <w:szCs w:val="26"/>
          <w:u w:val="single"/>
          <w:rtl/>
        </w:rPr>
        <w:t xml:space="preserve"> </w:t>
      </w:r>
      <w:r w:rsidRPr="00A210E9">
        <w:rPr>
          <w:rFonts w:eastAsia="Times New Roman" w:hint="cs"/>
          <w:bCs/>
          <w:szCs w:val="26"/>
          <w:u w:val="single"/>
          <w:rtl/>
        </w:rPr>
        <w:t>- קריטריונים שקבע בט"ל לבחינת זכאות תגי חניה ב-2005</w:t>
      </w:r>
    </w:p>
    <w:p w:rsidR="00A210E9" w:rsidRPr="00A210E9" w:rsidP="00A210E9">
      <w:pPr>
        <w:spacing w:line="269" w:lineRule="auto"/>
        <w:rPr>
          <w:rFonts w:eastAsia="Calibri"/>
          <w:rtl/>
        </w:rPr>
      </w:pPr>
    </w:p>
    <w:p w:rsidR="00A210E9" w:rsidRPr="00A210E9" w:rsidP="00A210E9">
      <w:pPr>
        <w:spacing w:line="269" w:lineRule="auto"/>
        <w:jc w:val="center"/>
        <w:rPr>
          <w:rFonts w:eastAsia="Calibri"/>
          <w:rtl/>
        </w:rPr>
      </w:pPr>
      <w:r w:rsidRPr="00A210E9">
        <w:rPr>
          <w:rFonts w:eastAsia="Calibri"/>
          <w:noProof/>
        </w:rPr>
        <w:drawing>
          <wp:inline distT="0" distB="0" distL="0" distR="0">
            <wp:extent cx="3061252" cy="4731026"/>
            <wp:effectExtent l="0" t="0" r="6350" b="0"/>
            <wp:docPr id="14" name="תמונה 14" descr="המסמך מפרט את הקריטריונים לקבלת זכאות לתו חניה ופטור מאגרת רישוי, והם מחולקים לפי קבוצות גיל.&#10;&#10;להלן תיאור מפורט של תוכן המסמך:&#10;&#10;כותרת: קריטריונים לזכאות לתו חניה ופטור מאגרת רישוי עפ&quot;י קבוצת גיל.&#10;&#10;תנאי כללי:&#10;הזכאות מיועדת למי שעקב ליקוי רפואי אינו מסוגל ללכת, באופן עצמאי או עם מלווה, למרחק של עד 150 מטר, לתקופה של שנה לפחות, ועונה על אחד מהקריטריונים המפורטים בהמשך.&#10;&#10;פירוט הקריטריונים לפי קבוצות גיל:&#10;א. גיל 0-3:&#10;&#10;כלל: לא זכאים.&#10;&#10;חריג: זכאות תינתן במקרים שבהם הילד זקוק לציוד נלווה, כמו בלון חמצן. האישור יינתן על ידי רופא שהוסמך לכך מטעם משרד התחבורה.&#10;&#10;ב. גיל 3-18:&#10;&#10;נכות בשל מוגבלות בניידות בשיעור של 40% לפחות.&#10;&#10;קבלת טיפול רפואי מיוחד על פי תקנות הביטוח הלאומי (כמו דמי מחיה, עזרה ללימודים וסידורים לילד נכה, לפי חוק התשנ&quot;ח-1998, תוספת ראשונה - חלק א' וחלק ב').&#10;&#10;ג. גיל 18 עד גיל פרישה:&#10;&#10;נכות בשל מוגבלות בניידות בשיעור של 40% לפחות.&#10;&#10;נכות שנקבעה לה נכות רפואית בשיעור של 60% לפחות, ותנועתה בדרכים ללא רכב עלולה לערער את מצב בריאותה, ובלבד שהיא בעלת רישיון נהיגה בר תוקף.&#10;&#10;נכות בעלת רישיון נהיגה בר תוקף, שנקבעה לה נכות בשיעור של 50% לפחות, לפי סעיפים מסוימים המפורטים בנספח ב' למסמך המקורי.&#10;&#10;ד. לאחר גיל פרישה:&#10;&#10;אם נקבעה זקוקות לעזרת הזולת לצורך ניידות בבית, בבדיקה לצורך קבלת גמלת סיעוד.&#10;&#10;אם נקבעה נכות בשל מוגבלות בניידות לפני גיל הפרישה.&#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xmlns:r="http://schemas.openxmlformats.org/officeDocument/2006/relationships" r:embed="rId56"/>
                    <a:stretch>
                      <a:fillRect/>
                    </a:stretch>
                  </pic:blipFill>
                  <pic:spPr>
                    <a:xfrm>
                      <a:off x="0" y="0"/>
                      <a:ext cx="3067032" cy="4739959"/>
                    </a:xfrm>
                    <a:prstGeom prst="rect">
                      <a:avLst/>
                    </a:prstGeom>
                  </pic:spPr>
                </pic:pic>
              </a:graphicData>
            </a:graphic>
          </wp:inline>
        </w:drawing>
      </w:r>
    </w:p>
    <w:p w:rsidR="00A210E9" w:rsidRPr="00A210E9" w:rsidP="00A210E9">
      <w:pPr>
        <w:spacing w:line="269" w:lineRule="auto"/>
        <w:jc w:val="center"/>
        <w:rPr>
          <w:rFonts w:eastAsia="Calibri"/>
          <w:rtl/>
        </w:rPr>
      </w:pPr>
      <w:r w:rsidRPr="00A210E9">
        <w:rPr>
          <w:rFonts w:eastAsia="Calibri"/>
          <w:noProof/>
        </w:rPr>
        <w:drawing>
          <wp:inline distT="0" distB="0" distL="0" distR="0">
            <wp:extent cx="3624703" cy="5518205"/>
            <wp:effectExtent l="0" t="0" r="0" b="6350"/>
            <wp:docPr id="40" name="תמונה 40" descr="המסמך מפרט רשימת סעיפי ליקוי ספציפיים מתוך תקנות הביטוח הלאומי בעבר. עמידה באחד מסעיפים אלו, כפי שהם מפורטים בטבלה, מזכה אדם בקבלת תו חניה ופטור מאגרת רישוי.&#10;סעיף ראשי 1, תת-סעיף (1), אות ג&#10;סעיף ראשי 1, תת-סעיף (3), אות ב&#10;סעיף ראשי 2, אותיות ד, ה&#10;סעיף ראשי 3, אותיות ז, ו&#10;סעיף ראשי 4, אותיות ח, ט&#10;סעיף ראשי 5, תת-סעיף (1), אותיות ח, ט&#10;סעיף ראשי 7, תת-סעיפים (2), (3), אותיות א, ג (ספרות רומיות III, IV)&#10;סעיף ראשי 8, תת-סעיפים (2), (3), אותיות א, א, ב&#10;סעיף ראשי 9, תת-סעיפים (1), (1), (2), (4), אותיות א, ג, ג, ג (ספרות רומיות VI, V, IV)&#10;סעיף ראשי 11, תת-סעיפים (3), (5), אותיות ח, ח, ט&#10;סעיף ראשי 13, תת-סעיפים (2), (4), אותיות ח, ט, ג&#10;סעיף ראשי 14, תת-סעיפים (1), (2), אותיות ו, ז, ג&#10;סעיף ראשי 15, תת-סעיף (6), אות ג&#10;סעיף ראשי 16, תת-סעיפים (1), (2), אותיות ד, ג, ב, ג&#10;סעיף ראשי 18, תת-סעיף (2), אות א&#10;סעיף ראשי 22, תת-סעיפים (4), (7), אותיות ג, ח, ט&#10;סעיף ראשי 23, תת-סעיפים (2), (3), אותיות א, ב (ספרות רומיות V, IV, III)&#10;סעיף ראשי 26, אות א&#10;סעיף ראשי 29, תת-סעיפים (1), (1), (2), (3), אותיות א, ב, ד, ג, א, ב, ג&#10;סעיף ראשי 32, תת-סעיף (1), אות ב&#10;סעיף ראשי 35, תת-סעיפים (1), (2), אותיות ו, ז, ד&#10;סעיף ראשי 35, תת-סעיף (3), אות א (ספרות רומיות III, II)&#10;סעיף ראשי 37, תת-סעיף (4), אותיות א, ב&#10;סעיף ראשי 47, תת-סעיפים (1), (6), אותיות ב, א, ג, ד&#10;סעיף ראשי 48, תת-סעיף (1), אות א&#10;סעיף ראשי 72, תת-סעיף (4), אות ב (ספרות רומיות IV)&#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xmlns:r="http://schemas.openxmlformats.org/officeDocument/2006/relationships" r:embed="rId57"/>
                    <a:stretch>
                      <a:fillRect/>
                    </a:stretch>
                  </pic:blipFill>
                  <pic:spPr>
                    <a:xfrm>
                      <a:off x="0" y="0"/>
                      <a:ext cx="3629897" cy="5526113"/>
                    </a:xfrm>
                    <a:prstGeom prst="rect">
                      <a:avLst/>
                    </a:prstGeom>
                  </pic:spPr>
                </pic:pic>
              </a:graphicData>
            </a:graphic>
          </wp:inline>
        </w:drawing>
      </w:r>
    </w:p>
    <w:p w:rsidR="00A210E9" w:rsidRPr="00A210E9" w:rsidP="00A210E9">
      <w:pPr>
        <w:bidi w:val="0"/>
        <w:spacing w:line="269" w:lineRule="auto"/>
        <w:rPr>
          <w:rFonts w:eastAsia="Calibri"/>
        </w:rPr>
      </w:pPr>
      <w:r w:rsidRPr="00A210E9">
        <w:rPr>
          <w:rFonts w:eastAsia="Calibri"/>
          <w:rtl/>
        </w:rPr>
        <w:br w:type="page"/>
      </w:r>
    </w:p>
    <w:p w:rsidR="00A210E9" w:rsidRPr="00A210E9" w:rsidP="00A210E9">
      <w:pPr>
        <w:keepNext/>
        <w:keepLines/>
        <w:spacing w:line="269" w:lineRule="auto"/>
        <w:jc w:val="center"/>
        <w:outlineLvl w:val="3"/>
        <w:rPr>
          <w:rFonts w:eastAsia="Times New Roman"/>
          <w:bCs/>
          <w:szCs w:val="26"/>
          <w:u w:val="single"/>
          <w:rtl/>
        </w:rPr>
      </w:pPr>
      <w:r w:rsidRPr="00A210E9">
        <w:rPr>
          <w:rFonts w:eastAsia="Times New Roman" w:hint="eastAsia"/>
          <w:bCs/>
          <w:szCs w:val="26"/>
          <w:u w:val="single"/>
          <w:rtl/>
        </w:rPr>
        <w:t>נספח</w:t>
      </w:r>
      <w:r w:rsidRPr="00A210E9">
        <w:rPr>
          <w:rFonts w:eastAsia="Times New Roman"/>
          <w:bCs/>
          <w:szCs w:val="26"/>
          <w:u w:val="single"/>
          <w:rtl/>
        </w:rPr>
        <w:t xml:space="preserve"> </w:t>
      </w:r>
      <w:r w:rsidRPr="00A210E9">
        <w:rPr>
          <w:rFonts w:ascii="David" w:eastAsia="Times New Roman" w:hAnsi="David" w:hint="cs"/>
          <w:bCs/>
          <w:sz w:val="24"/>
          <w:u w:val="single"/>
          <w:rtl/>
        </w:rPr>
        <w:t>2</w:t>
      </w:r>
      <w:r w:rsidRPr="00A210E9">
        <w:rPr>
          <w:rFonts w:eastAsia="Times New Roman" w:hint="cs"/>
          <w:b/>
          <w:szCs w:val="26"/>
          <w:u w:val="single"/>
          <w:rtl/>
        </w:rPr>
        <w:t xml:space="preserve"> </w:t>
      </w:r>
      <w:r w:rsidRPr="00A210E9">
        <w:rPr>
          <w:rFonts w:eastAsia="Times New Roman" w:hint="cs"/>
          <w:bCs/>
          <w:szCs w:val="26"/>
          <w:u w:val="single"/>
          <w:rtl/>
        </w:rPr>
        <w:t>- רשימה מלאה של קריטריונים רפואיים - 2010</w:t>
      </w:r>
    </w:p>
    <w:p w:rsidR="00A210E9" w:rsidRPr="00A210E9" w:rsidP="00A210E9">
      <w:pPr>
        <w:spacing w:line="269" w:lineRule="auto"/>
        <w:rPr>
          <w:rFonts w:eastAsia="Calibri"/>
          <w:rtl/>
        </w:rPr>
      </w:pPr>
    </w:p>
    <w:p w:rsidR="00A210E9" w:rsidRPr="00A210E9" w:rsidP="00A210E9">
      <w:pPr>
        <w:spacing w:line="269" w:lineRule="auto"/>
        <w:rPr>
          <w:rFonts w:eastAsia="Calibri"/>
          <w:rtl/>
        </w:rPr>
      </w:pPr>
      <w:r w:rsidRPr="00A210E9">
        <w:rPr>
          <w:rFonts w:eastAsia="Calibri" w:hint="cs"/>
          <w:rtl/>
        </w:rPr>
        <w:t>הקריטריונים הרפואיים בגינם הוחלט לאפשר מתן תג חניה:</w:t>
      </w:r>
    </w:p>
    <w:p w:rsidR="00A210E9" w:rsidRPr="00A210E9" w:rsidP="00A210E9">
      <w:pPr>
        <w:spacing w:line="269" w:lineRule="auto"/>
        <w:rPr>
          <w:rFonts w:eastAsia="Calibri"/>
          <w:rtl/>
        </w:rPr>
      </w:pPr>
    </w:p>
    <w:p w:rsidR="00A210E9" w:rsidRPr="00A210E9" w:rsidP="00A210E9">
      <w:pPr>
        <w:numPr>
          <w:ilvl w:val="0"/>
          <w:numId w:val="13"/>
        </w:numPr>
        <w:spacing w:line="269" w:lineRule="auto"/>
        <w:contextualSpacing/>
        <w:rPr>
          <w:rFonts w:eastAsia="Calibri"/>
        </w:rPr>
      </w:pPr>
      <w:r w:rsidRPr="00A210E9">
        <w:rPr>
          <w:rFonts w:eastAsia="Calibri" w:hint="cs"/>
          <w:rtl/>
        </w:rPr>
        <w:t>מחלות ילדים - פגיעות מוחיות מולדות או נרכשות עם הפרעה מוטורית והתפתחותית:</w:t>
      </w:r>
    </w:p>
    <w:p w:rsidR="00A210E9" w:rsidRPr="00A210E9" w:rsidP="00A210E9">
      <w:pPr>
        <w:numPr>
          <w:ilvl w:val="1"/>
          <w:numId w:val="13"/>
        </w:numPr>
        <w:spacing w:line="269" w:lineRule="auto"/>
        <w:contextualSpacing/>
        <w:rPr>
          <w:rFonts w:eastAsia="Calibri"/>
        </w:rPr>
      </w:pPr>
      <w:r w:rsidRPr="00A210E9">
        <w:rPr>
          <w:rFonts w:eastAsia="Calibri"/>
          <w:rtl/>
        </w:rPr>
        <w:t>מומים</w:t>
      </w:r>
      <w:r w:rsidRPr="00A210E9">
        <w:rPr>
          <w:rFonts w:eastAsia="Calibri" w:hint="cs"/>
          <w:rtl/>
        </w:rPr>
        <w:t xml:space="preserve"> </w:t>
      </w:r>
      <w:r w:rsidRPr="00A210E9">
        <w:rPr>
          <w:rFonts w:eastAsia="Calibri"/>
          <w:rtl/>
        </w:rPr>
        <w:t xml:space="preserve">כגון: </w:t>
      </w:r>
      <w:r w:rsidRPr="00A210E9">
        <w:rPr>
          <w:rFonts w:eastAsia="Calibri" w:hint="cs"/>
          <w:rtl/>
        </w:rPr>
        <w:t>אוטיזם</w:t>
      </w:r>
      <w:r w:rsidRPr="00A210E9">
        <w:rPr>
          <w:rFonts w:eastAsia="Calibri"/>
          <w:rtl/>
        </w:rPr>
        <w:t xml:space="preserve"> או אחרים, הזקוקים לטיפולים שוגים בתדירות גבוהה ב</w:t>
      </w:r>
      <w:r w:rsidRPr="00A210E9">
        <w:rPr>
          <w:rFonts w:eastAsia="Calibri" w:hint="cs"/>
          <w:rtl/>
        </w:rPr>
        <w:t>מוסד</w:t>
      </w:r>
      <w:r w:rsidRPr="00A210E9">
        <w:rPr>
          <w:rFonts w:eastAsia="Calibri"/>
          <w:rtl/>
        </w:rPr>
        <w:t>ות שונים</w:t>
      </w:r>
      <w:r w:rsidRPr="00A210E9">
        <w:rPr>
          <w:rFonts w:eastAsia="Calibri" w:hint="cs"/>
          <w:rtl/>
        </w:rPr>
        <w:t>.</w:t>
      </w:r>
    </w:p>
    <w:p w:rsidR="00A210E9" w:rsidRPr="00A210E9" w:rsidP="00A210E9">
      <w:pPr>
        <w:numPr>
          <w:ilvl w:val="1"/>
          <w:numId w:val="13"/>
        </w:numPr>
        <w:spacing w:line="269" w:lineRule="auto"/>
        <w:contextualSpacing/>
        <w:rPr>
          <w:rFonts w:eastAsia="Calibri"/>
        </w:rPr>
      </w:pPr>
      <w:r w:rsidRPr="00A210E9">
        <w:rPr>
          <w:rFonts w:eastAsia="Calibri" w:hint="cs"/>
          <w:rtl/>
        </w:rPr>
        <w:t xml:space="preserve">שיתוק מלידה - </w:t>
      </w:r>
      <w:r w:rsidRPr="00A210E9">
        <w:rPr>
          <w:rFonts w:eastAsia="Calibri"/>
        </w:rPr>
        <w:t>P.C</w:t>
      </w:r>
      <w:r w:rsidRPr="00A210E9">
        <w:rPr>
          <w:rFonts w:eastAsia="Calibri" w:hint="cs"/>
          <w:rtl/>
        </w:rPr>
        <w:t xml:space="preserve"> ומומים גנטיים - שמלווים בהפרעות תנועה.</w:t>
      </w:r>
    </w:p>
    <w:p w:rsidR="00A210E9" w:rsidRPr="00A210E9" w:rsidP="00A210E9">
      <w:pPr>
        <w:numPr>
          <w:ilvl w:val="1"/>
          <w:numId w:val="13"/>
        </w:numPr>
        <w:spacing w:line="269" w:lineRule="auto"/>
        <w:contextualSpacing/>
        <w:rPr>
          <w:rFonts w:eastAsia="Calibri"/>
        </w:rPr>
      </w:pPr>
      <w:r w:rsidRPr="00A210E9">
        <w:rPr>
          <w:rFonts w:eastAsia="Calibri" w:hint="cs"/>
          <w:rtl/>
        </w:rPr>
        <w:t>מחלות סרטן בילדים שמלוות בקושי בתנועה של החולה וצורך בטיפולים רבים</w:t>
      </w:r>
    </w:p>
    <w:p w:rsidR="00A210E9" w:rsidRPr="00A210E9" w:rsidP="00A210E9">
      <w:pPr>
        <w:numPr>
          <w:ilvl w:val="1"/>
          <w:numId w:val="13"/>
        </w:numPr>
        <w:spacing w:line="269" w:lineRule="auto"/>
        <w:contextualSpacing/>
        <w:rPr>
          <w:rFonts w:eastAsia="Calibri"/>
        </w:rPr>
      </w:pPr>
      <w:r w:rsidRPr="00A210E9">
        <w:rPr>
          <w:rFonts w:eastAsia="Calibri" w:hint="cs"/>
          <w:rtl/>
        </w:rPr>
        <w:t>מחלות פסיכיאטריות המלוות בקושי רב בהליכה עקב השפעת תרופות</w:t>
      </w:r>
    </w:p>
    <w:p w:rsidR="00A210E9" w:rsidRPr="00A210E9" w:rsidP="00A210E9">
      <w:pPr>
        <w:spacing w:line="269" w:lineRule="auto"/>
        <w:ind w:left="1440"/>
        <w:contextualSpacing/>
        <w:rPr>
          <w:rFonts w:eastAsia="Calibri"/>
        </w:rPr>
      </w:pPr>
    </w:p>
    <w:p w:rsidR="00A210E9" w:rsidRPr="00A210E9" w:rsidP="00A210E9">
      <w:pPr>
        <w:numPr>
          <w:ilvl w:val="0"/>
          <w:numId w:val="13"/>
        </w:numPr>
        <w:spacing w:line="269" w:lineRule="auto"/>
        <w:contextualSpacing/>
        <w:rPr>
          <w:rFonts w:eastAsia="Calibri"/>
        </w:rPr>
      </w:pPr>
      <w:r w:rsidRPr="00A210E9">
        <w:rPr>
          <w:rFonts w:eastAsia="Calibri"/>
          <w:rtl/>
        </w:rPr>
        <w:t xml:space="preserve">מחלות </w:t>
      </w:r>
      <w:r w:rsidRPr="00A210E9">
        <w:rPr>
          <w:rFonts w:eastAsia="Calibri" w:hint="cs"/>
          <w:rtl/>
        </w:rPr>
        <w:t>אורתופדיות:</w:t>
      </w:r>
    </w:p>
    <w:p w:rsidR="00A210E9" w:rsidRPr="00A210E9" w:rsidP="00A210E9">
      <w:pPr>
        <w:numPr>
          <w:ilvl w:val="1"/>
          <w:numId w:val="13"/>
        </w:numPr>
        <w:spacing w:line="269" w:lineRule="auto"/>
        <w:contextualSpacing/>
        <w:rPr>
          <w:rFonts w:eastAsia="Calibri"/>
        </w:rPr>
      </w:pPr>
      <w:r w:rsidRPr="00A210E9">
        <w:rPr>
          <w:rFonts w:eastAsia="Calibri"/>
          <w:rtl/>
        </w:rPr>
        <w:t>תאונות דרכים עם פגיעות קשות - באגן,</w:t>
      </w:r>
      <w:r w:rsidRPr="00A210E9">
        <w:rPr>
          <w:rFonts w:eastAsia="Calibri" w:hint="cs"/>
          <w:rtl/>
        </w:rPr>
        <w:t xml:space="preserve"> </w:t>
      </w:r>
      <w:r w:rsidRPr="00A210E9">
        <w:rPr>
          <w:rFonts w:eastAsia="Calibri"/>
          <w:rtl/>
        </w:rPr>
        <w:t xml:space="preserve">עמוד שדרה, גפיים תחתונות המגבילות בצורה קשה </w:t>
      </w:r>
      <w:r w:rsidRPr="00A210E9">
        <w:rPr>
          <w:rFonts w:eastAsia="Calibri" w:hint="cs"/>
          <w:rtl/>
        </w:rPr>
        <w:t>את</w:t>
      </w:r>
      <w:r w:rsidRPr="00A210E9">
        <w:rPr>
          <w:rFonts w:eastAsia="Calibri"/>
          <w:rtl/>
        </w:rPr>
        <w:t xml:space="preserve"> התנועה</w:t>
      </w:r>
      <w:r w:rsidRPr="00A210E9">
        <w:rPr>
          <w:rFonts w:eastAsia="Calibri" w:hint="cs"/>
          <w:rtl/>
        </w:rPr>
        <w:t xml:space="preserve"> וההליכה.</w:t>
      </w:r>
    </w:p>
    <w:p w:rsidR="00A210E9" w:rsidRPr="00A210E9" w:rsidP="00A210E9">
      <w:pPr>
        <w:numPr>
          <w:ilvl w:val="1"/>
          <w:numId w:val="13"/>
        </w:numPr>
        <w:spacing w:line="269" w:lineRule="auto"/>
        <w:contextualSpacing/>
        <w:rPr>
          <w:rFonts w:eastAsia="Calibri"/>
        </w:rPr>
      </w:pPr>
      <w:r w:rsidRPr="00A210E9">
        <w:rPr>
          <w:rFonts w:eastAsia="Calibri"/>
          <w:rtl/>
        </w:rPr>
        <w:t xml:space="preserve">ניתוחים </w:t>
      </w:r>
      <w:r w:rsidRPr="00A210E9">
        <w:rPr>
          <w:rFonts w:eastAsia="Calibri" w:hint="cs"/>
          <w:rtl/>
        </w:rPr>
        <w:t>אורתופדיים</w:t>
      </w:r>
      <w:r w:rsidRPr="00A210E9">
        <w:rPr>
          <w:rFonts w:eastAsia="Calibri"/>
          <w:rtl/>
        </w:rPr>
        <w:t xml:space="preserve"> מורכבים בגון:</w:t>
      </w:r>
      <w:r w:rsidRPr="00A210E9">
        <w:rPr>
          <w:rFonts w:eastAsia="Calibri" w:hint="cs"/>
          <w:rtl/>
        </w:rPr>
        <w:t xml:space="preserve"> </w:t>
      </w:r>
      <w:r w:rsidRPr="00A210E9">
        <w:rPr>
          <w:rFonts w:eastAsia="Calibri"/>
          <w:rtl/>
        </w:rPr>
        <w:t>שברים מרוסקים</w:t>
      </w:r>
      <w:r w:rsidRPr="00A210E9">
        <w:rPr>
          <w:rFonts w:eastAsia="Calibri" w:hint="cs"/>
          <w:rtl/>
        </w:rPr>
        <w:t xml:space="preserve"> </w:t>
      </w:r>
      <w:r w:rsidRPr="00A210E9">
        <w:rPr>
          <w:rFonts w:eastAsia="Calibri"/>
          <w:rtl/>
        </w:rPr>
        <w:t>בגפיים תחתונות, קרסוליים עם המלצה ״לא לדריכה לתקופה ארו</w:t>
      </w:r>
      <w:r w:rsidRPr="00A210E9">
        <w:rPr>
          <w:rFonts w:eastAsia="Calibri" w:hint="cs"/>
          <w:rtl/>
        </w:rPr>
        <w:t>כ</w:t>
      </w:r>
      <w:r w:rsidRPr="00A210E9">
        <w:rPr>
          <w:rFonts w:eastAsia="Calibri"/>
          <w:rtl/>
        </w:rPr>
        <w:t>ה״</w:t>
      </w:r>
      <w:r w:rsidRPr="00A210E9">
        <w:rPr>
          <w:rFonts w:eastAsia="Calibri" w:hint="cs"/>
          <w:rtl/>
        </w:rPr>
        <w:t xml:space="preserve"> - למשך תקופת אי הדריכה.</w:t>
      </w:r>
      <w:r w:rsidRPr="00A210E9">
        <w:rPr>
          <w:rFonts w:eastAsia="Calibri"/>
          <w:rtl/>
        </w:rPr>
        <w:t xml:space="preserve"> </w:t>
      </w:r>
    </w:p>
    <w:p w:rsidR="00A210E9" w:rsidRPr="00A210E9" w:rsidP="00A210E9">
      <w:pPr>
        <w:numPr>
          <w:ilvl w:val="1"/>
          <w:numId w:val="13"/>
        </w:numPr>
        <w:spacing w:line="269" w:lineRule="auto"/>
        <w:contextualSpacing/>
        <w:rPr>
          <w:rFonts w:eastAsia="Calibri"/>
        </w:rPr>
      </w:pPr>
      <w:r w:rsidRPr="00A210E9">
        <w:rPr>
          <w:rFonts w:eastAsia="Calibri"/>
          <w:rtl/>
        </w:rPr>
        <w:t>עיוותים נרכשים ו</w:t>
      </w:r>
      <w:r w:rsidRPr="00A210E9">
        <w:rPr>
          <w:rFonts w:eastAsia="Calibri" w:hint="cs"/>
          <w:rtl/>
        </w:rPr>
        <w:t>מולדים המשפיעים על כושר ההליכה והתנועה</w:t>
      </w:r>
    </w:p>
    <w:p w:rsidR="00A210E9" w:rsidRPr="00A210E9" w:rsidP="00A210E9">
      <w:pPr>
        <w:spacing w:line="269" w:lineRule="auto"/>
        <w:ind w:left="1440"/>
        <w:contextualSpacing/>
        <w:rPr>
          <w:rFonts w:eastAsia="Calibri"/>
        </w:rPr>
      </w:pPr>
    </w:p>
    <w:p w:rsidR="00A210E9" w:rsidRPr="00A210E9" w:rsidP="00A210E9">
      <w:pPr>
        <w:numPr>
          <w:ilvl w:val="0"/>
          <w:numId w:val="13"/>
        </w:numPr>
        <w:spacing w:line="269" w:lineRule="auto"/>
        <w:contextualSpacing/>
        <w:rPr>
          <w:rFonts w:eastAsia="Calibri"/>
        </w:rPr>
      </w:pPr>
      <w:r w:rsidRPr="00A210E9">
        <w:rPr>
          <w:rFonts w:eastAsia="Calibri" w:hint="cs"/>
          <w:rtl/>
        </w:rPr>
        <w:t xml:space="preserve">כירורגיה כללית: </w:t>
      </w:r>
    </w:p>
    <w:p w:rsidR="00A210E9" w:rsidRPr="00A210E9" w:rsidP="00A210E9">
      <w:pPr>
        <w:numPr>
          <w:ilvl w:val="1"/>
          <w:numId w:val="13"/>
        </w:numPr>
        <w:spacing w:line="269" w:lineRule="auto"/>
        <w:contextualSpacing/>
        <w:rPr>
          <w:rFonts w:eastAsia="Calibri"/>
        </w:rPr>
      </w:pPr>
      <w:r w:rsidRPr="00A210E9">
        <w:rPr>
          <w:rFonts w:eastAsia="Calibri" w:hint="cs"/>
          <w:rtl/>
        </w:rPr>
        <w:t>ניתוחים גדולים (</w:t>
      </w:r>
      <w:r w:rsidRPr="00A210E9">
        <w:rPr>
          <w:rFonts w:eastAsia="Calibri"/>
        </w:rPr>
        <w:t>Major Surgery</w:t>
      </w:r>
      <w:r w:rsidRPr="00A210E9">
        <w:rPr>
          <w:rFonts w:eastAsia="Calibri" w:hint="cs"/>
          <w:rtl/>
        </w:rPr>
        <w:t>) הגורמים לתלות רבה בזולת, למשך זמן ההחלמה מהניתוח לפרק הזמן הנדרש.</w:t>
      </w:r>
    </w:p>
    <w:p w:rsidR="00A210E9" w:rsidRPr="00A210E9" w:rsidP="00A210E9">
      <w:pPr>
        <w:spacing w:line="269" w:lineRule="auto"/>
        <w:ind w:left="1440"/>
        <w:contextualSpacing/>
        <w:rPr>
          <w:rFonts w:eastAsia="Calibri"/>
        </w:rPr>
      </w:pPr>
    </w:p>
    <w:p w:rsidR="00A210E9" w:rsidRPr="00A210E9" w:rsidP="00A210E9">
      <w:pPr>
        <w:numPr>
          <w:ilvl w:val="0"/>
          <w:numId w:val="13"/>
        </w:numPr>
        <w:spacing w:line="269" w:lineRule="auto"/>
        <w:contextualSpacing/>
        <w:rPr>
          <w:rFonts w:eastAsia="Calibri"/>
        </w:rPr>
      </w:pPr>
      <w:r w:rsidRPr="00A210E9">
        <w:rPr>
          <w:rFonts w:eastAsia="Calibri"/>
          <w:rtl/>
        </w:rPr>
        <w:t>מחלות פנ</w:t>
      </w:r>
      <w:r w:rsidRPr="00A210E9">
        <w:rPr>
          <w:rFonts w:eastAsia="Calibri" w:hint="cs"/>
          <w:rtl/>
        </w:rPr>
        <w:t>י</w:t>
      </w:r>
      <w:r w:rsidRPr="00A210E9">
        <w:rPr>
          <w:rFonts w:eastAsia="Calibri"/>
          <w:rtl/>
        </w:rPr>
        <w:t>מיות</w:t>
      </w:r>
      <w:r w:rsidRPr="00A210E9">
        <w:rPr>
          <w:rFonts w:eastAsia="Calibri" w:hint="cs"/>
          <w:rtl/>
        </w:rPr>
        <w:t xml:space="preserve">: </w:t>
      </w:r>
    </w:p>
    <w:p w:rsidR="00A210E9" w:rsidRPr="00A210E9" w:rsidP="00A210E9">
      <w:pPr>
        <w:numPr>
          <w:ilvl w:val="1"/>
          <w:numId w:val="13"/>
        </w:numPr>
        <w:spacing w:line="269" w:lineRule="auto"/>
        <w:contextualSpacing/>
        <w:rPr>
          <w:rFonts w:eastAsia="Calibri"/>
          <w:rtl/>
        </w:rPr>
      </w:pPr>
      <w:r w:rsidRPr="00A210E9">
        <w:rPr>
          <w:rFonts w:eastAsia="Calibri"/>
          <w:rtl/>
        </w:rPr>
        <w:t xml:space="preserve">מחלות לבביות - על העותר להוסיף דוח רפואי הקרדיולוג המציין דרגת חומרה תפקודית לפי קריטריונים בין לאומיים - </w:t>
      </w:r>
      <w:r w:rsidRPr="00A210E9">
        <w:rPr>
          <w:rFonts w:eastAsia="Calibri" w:hint="cs"/>
        </w:rPr>
        <w:t>NYHA</w:t>
      </w:r>
      <w:r w:rsidRPr="00A210E9">
        <w:rPr>
          <w:rFonts w:eastAsia="Calibri" w:hint="cs"/>
          <w:rtl/>
        </w:rPr>
        <w:t xml:space="preserve">, </w:t>
      </w:r>
      <w:r w:rsidRPr="00A210E9">
        <w:rPr>
          <w:rFonts w:eastAsia="Calibri"/>
        </w:rPr>
        <w:t>F.C</w:t>
      </w:r>
      <w:r w:rsidRPr="00A210E9">
        <w:rPr>
          <w:rFonts w:eastAsia="Calibri" w:hint="cs"/>
          <w:rtl/>
        </w:rPr>
        <w:t xml:space="preserve"> +.</w:t>
      </w:r>
    </w:p>
    <w:p w:rsidR="00A210E9" w:rsidRPr="00A210E9" w:rsidP="00A210E9">
      <w:pPr>
        <w:numPr>
          <w:ilvl w:val="1"/>
          <w:numId w:val="13"/>
        </w:numPr>
        <w:spacing w:line="269" w:lineRule="auto"/>
        <w:contextualSpacing/>
        <w:rPr>
          <w:rFonts w:eastAsia="Calibri"/>
        </w:rPr>
      </w:pPr>
      <w:r w:rsidRPr="00A210E9">
        <w:rPr>
          <w:rFonts w:eastAsia="Calibri"/>
          <w:rtl/>
        </w:rPr>
        <w:t>במידה ויש בעיה נוספת על הרופא</w:t>
      </w:r>
      <w:r w:rsidRPr="00A210E9">
        <w:rPr>
          <w:rFonts w:eastAsia="Calibri" w:hint="cs"/>
          <w:rtl/>
        </w:rPr>
        <w:t xml:space="preserve"> - קרדיולוגי</w:t>
      </w:r>
      <w:r w:rsidRPr="00A210E9">
        <w:rPr>
          <w:rFonts w:eastAsia="Calibri"/>
          <w:rtl/>
        </w:rPr>
        <w:t xml:space="preserve"> לציין זאת בדוח הרפואי.</w:t>
      </w:r>
    </w:p>
    <w:p w:rsidR="00A210E9" w:rsidRPr="00A210E9" w:rsidP="00A210E9">
      <w:pPr>
        <w:spacing w:line="269" w:lineRule="auto"/>
        <w:ind w:left="1440"/>
        <w:contextualSpacing/>
        <w:rPr>
          <w:rFonts w:eastAsia="Calibri"/>
          <w:rtl/>
        </w:rPr>
      </w:pPr>
    </w:p>
    <w:p w:rsidR="00A210E9" w:rsidRPr="00A210E9" w:rsidP="00A210E9">
      <w:pPr>
        <w:numPr>
          <w:ilvl w:val="0"/>
          <w:numId w:val="13"/>
        </w:numPr>
        <w:spacing w:line="269" w:lineRule="auto"/>
        <w:contextualSpacing/>
        <w:rPr>
          <w:rFonts w:eastAsia="Calibri"/>
        </w:rPr>
      </w:pPr>
      <w:r w:rsidRPr="00A210E9">
        <w:rPr>
          <w:rFonts w:eastAsia="Calibri"/>
          <w:rtl/>
        </w:rPr>
        <w:t>מחל</w:t>
      </w:r>
      <w:r w:rsidRPr="00A210E9">
        <w:rPr>
          <w:rFonts w:eastAsia="Calibri" w:hint="cs"/>
          <w:rtl/>
        </w:rPr>
        <w:t>ו</w:t>
      </w:r>
      <w:r w:rsidRPr="00A210E9">
        <w:rPr>
          <w:rFonts w:eastAsia="Calibri"/>
          <w:rtl/>
        </w:rPr>
        <w:t>ת ריאה</w:t>
      </w:r>
      <w:r w:rsidRPr="00A210E9">
        <w:rPr>
          <w:rFonts w:eastAsia="Calibri" w:hint="cs"/>
          <w:rtl/>
        </w:rPr>
        <w:t xml:space="preserve">: </w:t>
      </w:r>
    </w:p>
    <w:p w:rsidR="00A210E9" w:rsidRPr="00A210E9" w:rsidP="00A210E9">
      <w:pPr>
        <w:numPr>
          <w:ilvl w:val="1"/>
          <w:numId w:val="13"/>
        </w:numPr>
        <w:spacing w:line="269" w:lineRule="auto"/>
        <w:contextualSpacing/>
        <w:rPr>
          <w:rFonts w:eastAsia="Calibri"/>
        </w:rPr>
      </w:pPr>
      <w:r w:rsidRPr="00A210E9">
        <w:rPr>
          <w:rFonts w:eastAsia="Calibri" w:hint="cs"/>
          <w:rtl/>
        </w:rPr>
        <w:t xml:space="preserve">מחלת ריאה </w:t>
      </w:r>
      <w:r w:rsidRPr="00A210E9">
        <w:rPr>
          <w:rFonts w:eastAsia="Calibri"/>
          <w:rtl/>
        </w:rPr>
        <w:t>חסימתית בצורה קשה</w:t>
      </w:r>
      <w:r w:rsidRPr="00A210E9">
        <w:rPr>
          <w:rFonts w:eastAsia="Calibri" w:hint="cs"/>
          <w:rtl/>
        </w:rPr>
        <w:t xml:space="preserve"> - </w:t>
      </w:r>
      <w:r w:rsidRPr="00A210E9">
        <w:rPr>
          <w:rFonts w:eastAsia="Calibri" w:hint="cs"/>
        </w:rPr>
        <w:t>COPD</w:t>
      </w:r>
    </w:p>
    <w:p w:rsidR="00A210E9" w:rsidRPr="00A210E9" w:rsidP="00A210E9">
      <w:pPr>
        <w:numPr>
          <w:ilvl w:val="1"/>
          <w:numId w:val="13"/>
        </w:numPr>
        <w:spacing w:line="269" w:lineRule="auto"/>
        <w:contextualSpacing/>
        <w:rPr>
          <w:rFonts w:eastAsia="Calibri"/>
        </w:rPr>
      </w:pPr>
      <w:r w:rsidRPr="00A210E9">
        <w:rPr>
          <w:rFonts w:eastAsia="Calibri"/>
          <w:rtl/>
        </w:rPr>
        <w:t xml:space="preserve">אסטמה בחומרת דרגה גבוהה </w:t>
      </w:r>
    </w:p>
    <w:p w:rsidR="00A210E9" w:rsidRPr="00A210E9" w:rsidP="00A210E9">
      <w:pPr>
        <w:numPr>
          <w:ilvl w:val="1"/>
          <w:numId w:val="13"/>
        </w:numPr>
        <w:spacing w:line="269" w:lineRule="auto"/>
        <w:contextualSpacing/>
        <w:rPr>
          <w:rFonts w:eastAsia="Calibri"/>
        </w:rPr>
      </w:pPr>
      <w:r w:rsidRPr="00A210E9">
        <w:rPr>
          <w:rFonts w:eastAsia="Calibri" w:hint="cs"/>
          <w:rtl/>
        </w:rPr>
        <w:t>הפרעות נשימתיות המחייבות חיבור קבוע לחמצן ופוגעות בכושר הניידות</w:t>
      </w:r>
      <w:r w:rsidRPr="00A210E9">
        <w:rPr>
          <w:rFonts w:eastAsia="Calibri"/>
          <w:rtl/>
        </w:rPr>
        <w:t xml:space="preserve"> </w:t>
      </w:r>
    </w:p>
    <w:p w:rsidR="00A210E9" w:rsidRPr="00A210E9" w:rsidP="00A210E9">
      <w:pPr>
        <w:spacing w:line="269" w:lineRule="auto"/>
        <w:ind w:left="1440"/>
        <w:contextualSpacing/>
        <w:rPr>
          <w:rFonts w:eastAsia="Calibri"/>
        </w:rPr>
      </w:pPr>
    </w:p>
    <w:p w:rsidR="00A210E9" w:rsidRPr="00A210E9" w:rsidP="00A210E9">
      <w:pPr>
        <w:numPr>
          <w:ilvl w:val="0"/>
          <w:numId w:val="13"/>
        </w:numPr>
        <w:spacing w:line="269" w:lineRule="auto"/>
        <w:contextualSpacing/>
        <w:rPr>
          <w:rFonts w:eastAsia="Calibri"/>
        </w:rPr>
      </w:pPr>
      <w:r w:rsidRPr="00A210E9">
        <w:rPr>
          <w:rFonts w:eastAsia="Calibri"/>
          <w:rtl/>
        </w:rPr>
        <w:t>מחלות כלי דם</w:t>
      </w:r>
      <w:r w:rsidRPr="00A210E9">
        <w:rPr>
          <w:rFonts w:eastAsia="Calibri" w:hint="cs"/>
          <w:rtl/>
        </w:rPr>
        <w:t>:</w:t>
      </w:r>
    </w:p>
    <w:p w:rsidR="00A210E9" w:rsidRPr="00A210E9" w:rsidP="00A210E9">
      <w:pPr>
        <w:numPr>
          <w:ilvl w:val="1"/>
          <w:numId w:val="13"/>
        </w:numPr>
        <w:spacing w:line="269" w:lineRule="auto"/>
        <w:contextualSpacing/>
        <w:rPr>
          <w:rFonts w:eastAsia="Calibri"/>
        </w:rPr>
      </w:pPr>
      <w:r w:rsidRPr="00A210E9">
        <w:rPr>
          <w:rFonts w:eastAsia="Calibri" w:hint="cs"/>
          <w:rtl/>
        </w:rPr>
        <w:t xml:space="preserve">מחלות כלי דם הפוגעות ביכולת ההליכה והתנועה עקב הפרעה באספקת הדם. </w:t>
      </w:r>
      <w:r w:rsidRPr="00A210E9">
        <w:rPr>
          <w:rFonts w:eastAsia="Calibri"/>
          <w:rtl/>
        </w:rPr>
        <w:t>יש להמציא דוח ממומחה לכירו</w:t>
      </w:r>
      <w:r w:rsidRPr="00A210E9">
        <w:rPr>
          <w:rFonts w:eastAsia="Calibri" w:hint="cs"/>
          <w:rtl/>
        </w:rPr>
        <w:t>ר</w:t>
      </w:r>
      <w:r w:rsidRPr="00A210E9">
        <w:rPr>
          <w:rFonts w:eastAsia="Calibri"/>
          <w:rtl/>
        </w:rPr>
        <w:t>גית כלי דם</w:t>
      </w:r>
      <w:r w:rsidRPr="00A210E9">
        <w:rPr>
          <w:rFonts w:eastAsia="Calibri" w:hint="cs"/>
          <w:rtl/>
        </w:rPr>
        <w:t>,</w:t>
      </w:r>
      <w:r w:rsidRPr="00A210E9">
        <w:rPr>
          <w:rFonts w:eastAsia="Calibri"/>
          <w:rtl/>
        </w:rPr>
        <w:t xml:space="preserve"> המציין דרגת חומרה ודרגת הקושי בהליכה.</w:t>
      </w:r>
    </w:p>
    <w:p w:rsidR="00A210E9" w:rsidRPr="00A210E9" w:rsidP="00A210E9">
      <w:pPr>
        <w:spacing w:line="269" w:lineRule="auto"/>
        <w:ind w:left="1440"/>
        <w:contextualSpacing/>
        <w:rPr>
          <w:rFonts w:eastAsia="Calibri"/>
        </w:rPr>
      </w:pPr>
    </w:p>
    <w:p w:rsidR="00A210E9" w:rsidRPr="00A210E9" w:rsidP="00A210E9">
      <w:pPr>
        <w:numPr>
          <w:ilvl w:val="0"/>
          <w:numId w:val="13"/>
        </w:numPr>
        <w:spacing w:line="269" w:lineRule="auto"/>
        <w:contextualSpacing/>
        <w:rPr>
          <w:rFonts w:eastAsia="Calibri"/>
        </w:rPr>
      </w:pPr>
      <w:r w:rsidRPr="00A210E9">
        <w:rPr>
          <w:rFonts w:eastAsia="Calibri"/>
          <w:rtl/>
        </w:rPr>
        <w:t>מחלות ע</w:t>
      </w:r>
      <w:r w:rsidRPr="00A210E9">
        <w:rPr>
          <w:rFonts w:eastAsia="Calibri" w:hint="cs"/>
          <w:rtl/>
        </w:rPr>
        <w:t>צבים:</w:t>
      </w:r>
    </w:p>
    <w:p w:rsidR="00A210E9" w:rsidRPr="00A210E9" w:rsidP="00A210E9">
      <w:pPr>
        <w:numPr>
          <w:ilvl w:val="1"/>
          <w:numId w:val="13"/>
        </w:numPr>
        <w:spacing w:line="269" w:lineRule="auto"/>
        <w:contextualSpacing/>
        <w:rPr>
          <w:rFonts w:eastAsia="Calibri"/>
        </w:rPr>
      </w:pPr>
      <w:r w:rsidRPr="00A210E9">
        <w:rPr>
          <w:rFonts w:eastAsia="Calibri"/>
          <w:rtl/>
        </w:rPr>
        <w:t>מערכת עצבים מרכזית</w:t>
      </w:r>
      <w:r w:rsidRPr="00A210E9">
        <w:rPr>
          <w:rFonts w:eastAsia="Calibri" w:hint="cs"/>
          <w:rtl/>
        </w:rPr>
        <w:t xml:space="preserve"> עם פגיעה בכושר התנועה וההליכה (כגון </w:t>
      </w:r>
      <w:r w:rsidRPr="00A210E9">
        <w:rPr>
          <w:rFonts w:eastAsia="Calibri" w:hint="cs"/>
        </w:rPr>
        <w:t>ALS</w:t>
      </w:r>
      <w:r w:rsidRPr="00A210E9">
        <w:rPr>
          <w:rFonts w:eastAsia="Calibri" w:hint="cs"/>
          <w:rtl/>
        </w:rPr>
        <w:t xml:space="preserve">, </w:t>
      </w:r>
      <w:r w:rsidRPr="00A210E9">
        <w:rPr>
          <w:rFonts w:eastAsia="Calibri" w:hint="cs"/>
        </w:rPr>
        <w:t>MS</w:t>
      </w:r>
      <w:r w:rsidRPr="00A210E9">
        <w:rPr>
          <w:rFonts w:eastAsia="Calibri" w:hint="cs"/>
          <w:rtl/>
        </w:rPr>
        <w:t xml:space="preserve"> ועוד)</w:t>
      </w:r>
    </w:p>
    <w:p w:rsidR="00A210E9" w:rsidRPr="00A210E9" w:rsidP="00A210E9">
      <w:pPr>
        <w:numPr>
          <w:ilvl w:val="1"/>
          <w:numId w:val="13"/>
        </w:numPr>
        <w:spacing w:line="269" w:lineRule="auto"/>
        <w:contextualSpacing/>
        <w:rPr>
          <w:rFonts w:eastAsia="Calibri"/>
        </w:rPr>
      </w:pPr>
      <w:r w:rsidRPr="00A210E9">
        <w:rPr>
          <w:rFonts w:eastAsia="Calibri"/>
          <w:rtl/>
        </w:rPr>
        <w:t>חולשה קיצונית בפלג גוף ימין או שמאל</w:t>
      </w:r>
      <w:r w:rsidRPr="00A210E9">
        <w:rPr>
          <w:rFonts w:eastAsia="Calibri" w:hint="cs"/>
          <w:rtl/>
        </w:rPr>
        <w:t xml:space="preserve"> </w:t>
      </w:r>
      <w:r w:rsidRPr="00A210E9">
        <w:rPr>
          <w:rFonts w:eastAsia="Calibri"/>
          <w:rtl/>
        </w:rPr>
        <w:t>(</w:t>
      </w:r>
      <w:r w:rsidRPr="00A210E9">
        <w:rPr>
          <w:rFonts w:eastAsia="Calibri" w:hint="cs"/>
          <w:rtl/>
        </w:rPr>
        <w:t xml:space="preserve">למשל בעקבות </w:t>
      </w:r>
      <w:r w:rsidRPr="00A210E9">
        <w:rPr>
          <w:rFonts w:eastAsia="Calibri" w:hint="cs"/>
        </w:rPr>
        <w:t>CV</w:t>
      </w:r>
      <w:r w:rsidRPr="00A210E9">
        <w:rPr>
          <w:rFonts w:eastAsia="Calibri"/>
        </w:rPr>
        <w:t>A</w:t>
      </w:r>
      <w:r w:rsidRPr="00A210E9">
        <w:rPr>
          <w:rFonts w:eastAsia="Calibri"/>
          <w:rtl/>
        </w:rPr>
        <w:t>) המלווה בקשיי הליכה</w:t>
      </w:r>
      <w:r w:rsidRPr="00A210E9">
        <w:rPr>
          <w:rFonts w:eastAsia="Calibri" w:hint="cs"/>
          <w:rtl/>
        </w:rPr>
        <w:t>.</w:t>
      </w:r>
    </w:p>
    <w:p w:rsidR="00A210E9" w:rsidRPr="00A210E9" w:rsidP="00A210E9">
      <w:pPr>
        <w:numPr>
          <w:ilvl w:val="1"/>
          <w:numId w:val="13"/>
        </w:numPr>
        <w:spacing w:line="269" w:lineRule="auto"/>
        <w:contextualSpacing/>
        <w:rPr>
          <w:rFonts w:eastAsia="Calibri"/>
        </w:rPr>
      </w:pPr>
      <w:r w:rsidRPr="00A210E9">
        <w:rPr>
          <w:rFonts w:eastAsia="Calibri"/>
          <w:rtl/>
        </w:rPr>
        <w:t>שיתוק מולד</w:t>
      </w:r>
      <w:r w:rsidRPr="00A210E9">
        <w:rPr>
          <w:rFonts w:eastAsia="Calibri" w:hint="cs"/>
          <w:rtl/>
        </w:rPr>
        <w:t xml:space="preserve"> או נרכש</w:t>
      </w:r>
      <w:r w:rsidRPr="00A210E9">
        <w:rPr>
          <w:rFonts w:eastAsia="Calibri"/>
          <w:rtl/>
        </w:rPr>
        <w:t xml:space="preserve"> המלווה בקושי בהליכה</w:t>
      </w:r>
    </w:p>
    <w:p w:rsidR="00A210E9" w:rsidRPr="00A210E9" w:rsidP="00A210E9">
      <w:pPr>
        <w:numPr>
          <w:ilvl w:val="1"/>
          <w:numId w:val="13"/>
        </w:numPr>
        <w:spacing w:line="269" w:lineRule="auto"/>
        <w:contextualSpacing/>
        <w:rPr>
          <w:rFonts w:eastAsia="Calibri"/>
        </w:rPr>
      </w:pPr>
      <w:r w:rsidRPr="00A210E9">
        <w:rPr>
          <w:rFonts w:eastAsia="Calibri"/>
          <w:rtl/>
        </w:rPr>
        <w:t xml:space="preserve">מחלת </w:t>
      </w:r>
      <w:r w:rsidRPr="00A210E9">
        <w:rPr>
          <w:rFonts w:eastAsia="Calibri" w:hint="cs"/>
          <w:rtl/>
        </w:rPr>
        <w:t>פרקינסון -</w:t>
      </w:r>
      <w:r w:rsidRPr="00A210E9">
        <w:rPr>
          <w:rFonts w:eastAsia="Calibri"/>
          <w:rtl/>
        </w:rPr>
        <w:t xml:space="preserve"> </w:t>
      </w:r>
      <w:r w:rsidRPr="00A210E9">
        <w:rPr>
          <w:rFonts w:eastAsia="Calibri" w:hint="cs"/>
          <w:rtl/>
        </w:rPr>
        <w:t>בדרגת חומרה קשה עם פגיעה בכושר הניידות</w:t>
      </w:r>
    </w:p>
    <w:p w:rsidR="00A210E9" w:rsidRPr="00A210E9" w:rsidP="00A210E9">
      <w:pPr>
        <w:numPr>
          <w:ilvl w:val="1"/>
          <w:numId w:val="13"/>
        </w:numPr>
        <w:spacing w:line="269" w:lineRule="auto"/>
        <w:contextualSpacing/>
        <w:rPr>
          <w:rFonts w:eastAsia="Calibri"/>
        </w:rPr>
      </w:pPr>
      <w:r w:rsidRPr="00A210E9">
        <w:rPr>
          <w:rFonts w:eastAsia="Calibri" w:hint="cs"/>
          <w:rtl/>
        </w:rPr>
        <w:t xml:space="preserve">מחלת </w:t>
      </w:r>
      <w:r w:rsidRPr="00A210E9">
        <w:rPr>
          <w:rFonts w:eastAsia="Calibri"/>
          <w:rtl/>
        </w:rPr>
        <w:t>גיא</w:t>
      </w:r>
      <w:r w:rsidRPr="00A210E9">
        <w:rPr>
          <w:rFonts w:eastAsia="Calibri" w:hint="cs"/>
          <w:rtl/>
        </w:rPr>
        <w:t>ו</w:t>
      </w:r>
      <w:r w:rsidRPr="00A210E9">
        <w:rPr>
          <w:rFonts w:eastAsia="Calibri"/>
          <w:rtl/>
        </w:rPr>
        <w:t>-ב</w:t>
      </w:r>
      <w:r w:rsidRPr="00A210E9">
        <w:rPr>
          <w:rFonts w:eastAsia="Calibri" w:hint="cs"/>
          <w:rtl/>
        </w:rPr>
        <w:t>ר</w:t>
      </w:r>
      <w:r w:rsidRPr="00A210E9">
        <w:rPr>
          <w:rFonts w:eastAsia="Calibri"/>
          <w:rtl/>
        </w:rPr>
        <w:t xml:space="preserve">ה </w:t>
      </w:r>
      <w:r w:rsidRPr="00A210E9">
        <w:rPr>
          <w:rFonts w:eastAsia="Calibri" w:hint="cs"/>
          <w:rtl/>
        </w:rPr>
        <w:t>ועוד מחלות המלוות בחוסר שיווי משקל וקושי רב בהליכה</w:t>
      </w:r>
    </w:p>
    <w:p w:rsidR="00A210E9" w:rsidRPr="00A210E9" w:rsidP="00A210E9">
      <w:pPr>
        <w:numPr>
          <w:ilvl w:val="1"/>
          <w:numId w:val="13"/>
        </w:numPr>
        <w:spacing w:line="269" w:lineRule="auto"/>
        <w:contextualSpacing/>
        <w:rPr>
          <w:rFonts w:eastAsia="Calibri"/>
        </w:rPr>
      </w:pPr>
      <w:r w:rsidRPr="00A210E9">
        <w:rPr>
          <w:rFonts w:eastAsia="Calibri"/>
          <w:rtl/>
        </w:rPr>
        <w:t>זיהומים ו</w:t>
      </w:r>
      <w:r w:rsidRPr="00A210E9">
        <w:rPr>
          <w:rFonts w:eastAsia="Calibri" w:hint="cs"/>
          <w:rtl/>
        </w:rPr>
        <w:t>ו</w:t>
      </w:r>
      <w:r w:rsidRPr="00A210E9">
        <w:rPr>
          <w:rFonts w:eastAsia="Calibri"/>
          <w:rtl/>
        </w:rPr>
        <w:t>יראל</w:t>
      </w:r>
      <w:r w:rsidRPr="00A210E9">
        <w:rPr>
          <w:rFonts w:eastAsia="Calibri" w:hint="cs"/>
          <w:rtl/>
        </w:rPr>
        <w:t>י</w:t>
      </w:r>
      <w:r w:rsidRPr="00A210E9">
        <w:rPr>
          <w:rFonts w:eastAsia="Calibri"/>
          <w:rtl/>
        </w:rPr>
        <w:t>ים או בק</w:t>
      </w:r>
      <w:r w:rsidRPr="00A210E9">
        <w:rPr>
          <w:rFonts w:eastAsia="Calibri" w:hint="cs"/>
          <w:rtl/>
        </w:rPr>
        <w:t>ט</w:t>
      </w:r>
      <w:r w:rsidRPr="00A210E9">
        <w:rPr>
          <w:rFonts w:eastAsia="Calibri"/>
          <w:rtl/>
        </w:rPr>
        <w:t>ריאל</w:t>
      </w:r>
      <w:r w:rsidRPr="00A210E9">
        <w:rPr>
          <w:rFonts w:eastAsia="Calibri" w:hint="cs"/>
          <w:rtl/>
        </w:rPr>
        <w:t>י</w:t>
      </w:r>
      <w:r w:rsidRPr="00A210E9">
        <w:rPr>
          <w:rFonts w:eastAsia="Calibri"/>
          <w:rtl/>
        </w:rPr>
        <w:t xml:space="preserve">ים המלווים בקושי </w:t>
      </w:r>
      <w:r w:rsidRPr="00A210E9">
        <w:rPr>
          <w:rFonts w:eastAsia="Calibri" w:hint="cs"/>
          <w:rtl/>
        </w:rPr>
        <w:t xml:space="preserve">רב </w:t>
      </w:r>
      <w:r w:rsidRPr="00A210E9">
        <w:rPr>
          <w:rFonts w:eastAsia="Calibri"/>
          <w:rtl/>
        </w:rPr>
        <w:t>בהליכה.</w:t>
      </w:r>
    </w:p>
    <w:p w:rsidR="00A210E9" w:rsidRPr="00A210E9" w:rsidP="00A210E9">
      <w:pPr>
        <w:spacing w:line="269" w:lineRule="auto"/>
        <w:ind w:left="1440"/>
        <w:contextualSpacing/>
        <w:rPr>
          <w:rFonts w:eastAsia="Calibri"/>
        </w:rPr>
      </w:pPr>
    </w:p>
    <w:p w:rsidR="00A210E9" w:rsidRPr="00A210E9" w:rsidP="00A210E9">
      <w:pPr>
        <w:numPr>
          <w:ilvl w:val="0"/>
          <w:numId w:val="13"/>
        </w:numPr>
        <w:spacing w:line="269" w:lineRule="auto"/>
        <w:contextualSpacing/>
        <w:rPr>
          <w:rFonts w:eastAsia="Calibri"/>
          <w:rtl/>
        </w:rPr>
      </w:pPr>
      <w:r w:rsidRPr="00A210E9">
        <w:rPr>
          <w:rFonts w:eastAsia="Calibri"/>
          <w:rtl/>
        </w:rPr>
        <w:t>מחלות הסרט</w:t>
      </w:r>
      <w:r w:rsidRPr="00A210E9">
        <w:rPr>
          <w:rFonts w:eastAsia="Calibri" w:hint="cs"/>
          <w:rtl/>
        </w:rPr>
        <w:t xml:space="preserve">ן - </w:t>
      </w:r>
      <w:r w:rsidRPr="00A210E9">
        <w:rPr>
          <w:rFonts w:eastAsia="Calibri"/>
          <w:rtl/>
        </w:rPr>
        <w:t xml:space="preserve">לא כל מחלת סרטן החולה יקבל תג </w:t>
      </w:r>
      <w:r w:rsidRPr="00A210E9">
        <w:rPr>
          <w:rFonts w:eastAsia="Calibri" w:hint="cs"/>
          <w:rtl/>
        </w:rPr>
        <w:t>חניה</w:t>
      </w:r>
      <w:r w:rsidRPr="00A210E9">
        <w:rPr>
          <w:rFonts w:eastAsia="Calibri"/>
          <w:rtl/>
        </w:rPr>
        <w:t>.</w:t>
      </w:r>
      <w:r w:rsidRPr="00A210E9">
        <w:rPr>
          <w:rFonts w:eastAsia="Calibri" w:hint="cs"/>
          <w:rtl/>
        </w:rPr>
        <w:t xml:space="preserve"> הקריטריון הוא הוכחה לפגיעה בכושר התנועה וההליכה או צורך בעזרה רבה עקב חולשה קיצונית. המבקש </w:t>
      </w:r>
      <w:r w:rsidRPr="00A210E9">
        <w:rPr>
          <w:rFonts w:eastAsia="Calibri"/>
          <w:rtl/>
        </w:rPr>
        <w:t>י</w:t>
      </w:r>
      <w:r w:rsidRPr="00A210E9">
        <w:rPr>
          <w:rFonts w:eastAsia="Calibri" w:hint="cs"/>
          <w:rtl/>
        </w:rPr>
        <w:t>ק</w:t>
      </w:r>
      <w:r w:rsidRPr="00A210E9">
        <w:rPr>
          <w:rFonts w:eastAsia="Calibri"/>
          <w:rtl/>
        </w:rPr>
        <w:t xml:space="preserve">בל תג </w:t>
      </w:r>
      <w:r w:rsidRPr="00A210E9">
        <w:rPr>
          <w:rFonts w:eastAsia="Calibri" w:hint="cs"/>
          <w:rtl/>
        </w:rPr>
        <w:t>חניה</w:t>
      </w:r>
      <w:r w:rsidRPr="00A210E9">
        <w:rPr>
          <w:rFonts w:eastAsia="Calibri"/>
          <w:rtl/>
        </w:rPr>
        <w:t xml:space="preserve"> </w:t>
      </w:r>
      <w:r w:rsidRPr="00A210E9">
        <w:rPr>
          <w:rFonts w:eastAsia="Calibri" w:hint="cs"/>
          <w:rtl/>
        </w:rPr>
        <w:t>במקרים</w:t>
      </w:r>
      <w:r w:rsidRPr="00A210E9">
        <w:rPr>
          <w:rFonts w:eastAsia="Calibri"/>
          <w:rtl/>
        </w:rPr>
        <w:t xml:space="preserve"> הבאים:</w:t>
      </w:r>
    </w:p>
    <w:p w:rsidR="00A210E9" w:rsidRPr="00A210E9" w:rsidP="00A210E9">
      <w:pPr>
        <w:numPr>
          <w:ilvl w:val="0"/>
          <w:numId w:val="12"/>
        </w:numPr>
        <w:spacing w:line="269" w:lineRule="auto"/>
        <w:contextualSpacing/>
        <w:rPr>
          <w:rFonts w:eastAsia="Calibri"/>
          <w:rtl/>
        </w:rPr>
      </w:pPr>
      <w:r w:rsidRPr="00A210E9">
        <w:rPr>
          <w:rFonts w:eastAsia="Calibri"/>
          <w:rtl/>
        </w:rPr>
        <w:t>סרטן עם גרורות</w:t>
      </w:r>
      <w:r w:rsidRPr="00A210E9">
        <w:rPr>
          <w:rFonts w:eastAsia="Calibri" w:hint="cs"/>
          <w:rtl/>
        </w:rPr>
        <w:t xml:space="preserve"> - במצב בו יש קושי בתנועה</w:t>
      </w:r>
    </w:p>
    <w:p w:rsidR="00A210E9" w:rsidRPr="00A210E9" w:rsidP="00A210E9">
      <w:pPr>
        <w:numPr>
          <w:ilvl w:val="0"/>
          <w:numId w:val="12"/>
        </w:numPr>
        <w:spacing w:line="269" w:lineRule="auto"/>
        <w:contextualSpacing/>
        <w:rPr>
          <w:rFonts w:eastAsia="Calibri"/>
          <w:rtl/>
        </w:rPr>
      </w:pPr>
      <w:r w:rsidRPr="00A210E9">
        <w:rPr>
          <w:rFonts w:eastAsia="Calibri"/>
          <w:rtl/>
        </w:rPr>
        <w:t>סרטן הריאות עם דרגת ממאירות גבוהה</w:t>
      </w:r>
      <w:r w:rsidRPr="00A210E9">
        <w:rPr>
          <w:rFonts w:eastAsia="Calibri" w:hint="cs"/>
          <w:rtl/>
        </w:rPr>
        <w:t xml:space="preserve"> - במצב בו יש קושי בתנועה</w:t>
      </w:r>
    </w:p>
    <w:p w:rsidR="00A210E9" w:rsidRPr="00A210E9" w:rsidP="00A210E9">
      <w:pPr>
        <w:numPr>
          <w:ilvl w:val="0"/>
          <w:numId w:val="12"/>
        </w:numPr>
        <w:spacing w:line="269" w:lineRule="auto"/>
        <w:contextualSpacing/>
        <w:rPr>
          <w:rFonts w:eastAsia="Calibri"/>
          <w:rtl/>
        </w:rPr>
      </w:pPr>
      <w:r w:rsidRPr="00A210E9">
        <w:rPr>
          <w:rFonts w:eastAsia="Calibri"/>
          <w:rtl/>
        </w:rPr>
        <w:t xml:space="preserve">סרטן מוחי </w:t>
      </w:r>
      <w:r w:rsidRPr="00A210E9">
        <w:rPr>
          <w:rFonts w:eastAsia="Calibri" w:hint="cs"/>
          <w:rtl/>
        </w:rPr>
        <w:t>ה</w:t>
      </w:r>
      <w:r w:rsidRPr="00A210E9">
        <w:rPr>
          <w:rFonts w:eastAsia="Calibri"/>
          <w:rtl/>
        </w:rPr>
        <w:t>מלווה בקושי רב בהליכה</w:t>
      </w:r>
    </w:p>
    <w:p w:rsidR="00A210E9" w:rsidRPr="00A210E9" w:rsidP="00A210E9">
      <w:pPr>
        <w:numPr>
          <w:ilvl w:val="0"/>
          <w:numId w:val="12"/>
        </w:numPr>
        <w:spacing w:line="269" w:lineRule="auto"/>
        <w:contextualSpacing/>
        <w:rPr>
          <w:rFonts w:eastAsia="Calibri"/>
        </w:rPr>
      </w:pPr>
      <w:r w:rsidRPr="00A210E9">
        <w:rPr>
          <w:rFonts w:eastAsia="Calibri"/>
          <w:rtl/>
        </w:rPr>
        <w:t>טיפול אגרסיבי המגביל בצורה קשה את ההליכה</w:t>
      </w:r>
    </w:p>
    <w:p w:rsidR="00A210E9" w:rsidRPr="00A210E9" w:rsidP="00A210E9">
      <w:pPr>
        <w:numPr>
          <w:ilvl w:val="0"/>
          <w:numId w:val="12"/>
        </w:numPr>
        <w:spacing w:line="269" w:lineRule="auto"/>
        <w:contextualSpacing/>
        <w:jc w:val="left"/>
        <w:rPr>
          <w:rFonts w:eastAsia="Calibri"/>
        </w:rPr>
      </w:pPr>
      <w:r w:rsidRPr="00A210E9">
        <w:rPr>
          <w:rFonts w:eastAsia="Calibri"/>
          <w:rtl/>
        </w:rPr>
        <w:t>מחלות סרטן הדם לפי דרגת ממאירות וטיפול</w:t>
      </w:r>
      <w:r w:rsidRPr="00A210E9">
        <w:rPr>
          <w:rFonts w:eastAsia="Calibri" w:hint="cs"/>
          <w:rtl/>
        </w:rPr>
        <w:t xml:space="preserve"> - המגבילה את כושר התנועה וההליכה</w:t>
      </w:r>
    </w:p>
    <w:p w:rsidR="00A210E9" w:rsidRPr="00A210E9" w:rsidP="00A210E9">
      <w:pPr>
        <w:numPr>
          <w:ilvl w:val="0"/>
          <w:numId w:val="12"/>
        </w:numPr>
        <w:spacing w:line="269" w:lineRule="auto"/>
        <w:contextualSpacing/>
        <w:jc w:val="left"/>
        <w:rPr>
          <w:rFonts w:eastAsia="Calibri"/>
        </w:rPr>
      </w:pPr>
      <w:r w:rsidRPr="00A210E9">
        <w:rPr>
          <w:rFonts w:eastAsia="Calibri" w:hint="cs"/>
          <w:rtl/>
        </w:rPr>
        <w:t>דיאליזה - לפי גיל ועד מועד השתלת כליה במידה ועובר.</w:t>
      </w:r>
    </w:p>
    <w:p w:rsidR="00A210E9" w:rsidRPr="00A210E9" w:rsidP="00A210E9">
      <w:pPr>
        <w:spacing w:line="269" w:lineRule="auto"/>
        <w:rPr>
          <w:rFonts w:eastAsia="Calibri"/>
          <w:rtl/>
        </w:rPr>
      </w:pPr>
    </w:p>
    <w:p w:rsidR="00A210E9" w:rsidRPr="00A210E9" w:rsidP="00A210E9">
      <w:pPr>
        <w:spacing w:line="269" w:lineRule="auto"/>
        <w:rPr>
          <w:rFonts w:eastAsia="Calibri"/>
          <w:rtl/>
        </w:rPr>
      </w:pPr>
    </w:p>
    <w:p w:rsidR="00A210E9" w:rsidRPr="00A210E9" w:rsidP="00A210E9">
      <w:pPr>
        <w:bidi w:val="0"/>
        <w:spacing w:line="269" w:lineRule="auto"/>
        <w:rPr>
          <w:rFonts w:eastAsia="Times New Roman"/>
          <w:bCs/>
          <w:szCs w:val="26"/>
        </w:rPr>
      </w:pPr>
      <w:r w:rsidRPr="00A210E9">
        <w:rPr>
          <w:rFonts w:eastAsia="Calibri"/>
          <w:rtl/>
        </w:rPr>
        <w:br w:type="page"/>
      </w:r>
    </w:p>
    <w:p w:rsidR="00A210E9" w:rsidRPr="00A210E9" w:rsidP="00A210E9">
      <w:pPr>
        <w:keepNext/>
        <w:keepLines/>
        <w:spacing w:line="269" w:lineRule="auto"/>
        <w:jc w:val="center"/>
        <w:outlineLvl w:val="3"/>
        <w:rPr>
          <w:rFonts w:eastAsia="Times New Roman"/>
          <w:bCs/>
          <w:szCs w:val="26"/>
          <w:u w:val="single"/>
          <w:rtl/>
        </w:rPr>
      </w:pPr>
      <w:r w:rsidRPr="00A210E9">
        <w:rPr>
          <w:rFonts w:eastAsia="Times New Roman" w:hint="cs"/>
          <w:bCs/>
          <w:szCs w:val="26"/>
          <w:u w:val="single"/>
          <w:rtl/>
        </w:rPr>
        <w:t xml:space="preserve">נספח 3 - </w:t>
      </w:r>
      <w:r w:rsidRPr="00A210E9">
        <w:rPr>
          <w:rFonts w:eastAsia="Times New Roman" w:hint="cs"/>
          <w:b/>
          <w:bCs/>
          <w:szCs w:val="26"/>
          <w:u w:val="single"/>
          <w:rtl/>
        </w:rPr>
        <w:t>תיקוני חקיקה שנעשו בחוק חניה לנכים מאז חקיקתו ב-1993</w:t>
      </w:r>
    </w:p>
    <w:p w:rsidR="00A210E9" w:rsidRPr="00A210E9" w:rsidP="00A210E9">
      <w:pPr>
        <w:spacing w:line="269" w:lineRule="auto"/>
        <w:rPr>
          <w:rFonts w:eastAsia="Calibri"/>
          <w:b/>
          <w:bCs/>
          <w:rtl/>
        </w:rPr>
      </w:pPr>
      <w:r w:rsidRPr="00A210E9">
        <w:rPr>
          <w:rFonts w:eastAsia="Calibri"/>
          <w:noProof/>
          <w:rtl/>
          <w:lang w:val="he-IL"/>
        </w:rPr>
        <w:drawing>
          <wp:anchor distT="0" distB="0" distL="114300" distR="114300" simplePos="0" relativeHeight="251658240" behindDoc="0" locked="0" layoutInCell="1" allowOverlap="1">
            <wp:simplePos x="0" y="0"/>
            <wp:positionH relativeFrom="column">
              <wp:posOffset>136525</wp:posOffset>
            </wp:positionH>
            <wp:positionV relativeFrom="paragraph">
              <wp:posOffset>228600</wp:posOffset>
            </wp:positionV>
            <wp:extent cx="5220335" cy="4285615"/>
            <wp:effectExtent l="19050" t="0" r="18415" b="19685"/>
            <wp:wrapSquare wrapText="bothSides"/>
            <wp:docPr id="35" name="דיאגרמה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14:sizeRelH relativeFrom="page">
              <wp14:pctWidth>0</wp14:pctWidth>
            </wp14:sizeRelH>
            <wp14:sizeRelV relativeFrom="page">
              <wp14:pctHeight>0</wp14:pctHeight>
            </wp14:sizeRelV>
          </wp:anchor>
        </w:drawing>
      </w:r>
      <w:r w:rsidRPr="00A210E9">
        <w:rPr>
          <w:rFonts w:eastAsia="Calibri" w:hint="cs"/>
          <w:b/>
          <w:bCs/>
          <w:rtl/>
        </w:rPr>
        <w:t xml:space="preserve"> </w:t>
      </w:r>
    </w:p>
    <w:p w:rsidR="00A210E9" w:rsidRPr="00A210E9" w:rsidP="00A210E9">
      <w:pPr>
        <w:spacing w:line="269" w:lineRule="auto"/>
        <w:rPr>
          <w:rFonts w:eastAsia="Calibri"/>
        </w:rPr>
      </w:pPr>
      <w:r w:rsidRPr="00A210E9">
        <w:rPr>
          <w:rFonts w:eastAsia="Calibri" w:hint="cs"/>
          <w:color w:val="000000"/>
          <w:sz w:val="16"/>
          <w:szCs w:val="20"/>
          <w:rtl/>
          <w:lang w:val="he-IL" w:eastAsia="he-IL"/>
        </w:rPr>
        <w:t>על פי חוק חניה לנכים ונתוני משרד התחבורה, בעיבוד משרד מבקר המדינה.</w:t>
      </w:r>
    </w:p>
    <w:p w:rsidR="00654E79" w:rsidRPr="00A210E9" w:rsidP="00654E79">
      <w:pPr>
        <w:spacing w:line="269" w:lineRule="auto"/>
        <w:rPr>
          <w:rFonts w:eastAsia="Calibri"/>
          <w:rtl/>
        </w:rPr>
      </w:pPr>
    </w:p>
    <w:p w:rsidR="00C44C5A" w:rsidP="00654E79">
      <w:pPr>
        <w:spacing w:line="269" w:lineRule="auto"/>
        <w:rPr>
          <w:rFonts w:eastAsia="Calibri"/>
          <w:rtl/>
        </w:rPr>
      </w:pPr>
    </w:p>
    <w:p w:rsidR="00C44C5A" w:rsidP="00654E79">
      <w:pPr>
        <w:spacing w:line="269" w:lineRule="auto"/>
        <w:rPr>
          <w:rFonts w:eastAsia="Calibri"/>
          <w:rtl/>
        </w:rPr>
      </w:pPr>
    </w:p>
    <w:p w:rsidR="00C44C5A" w:rsidP="00654E79">
      <w:pPr>
        <w:spacing w:line="269" w:lineRule="auto"/>
        <w:rPr>
          <w:rFonts w:eastAsia="Calibri"/>
          <w:rtl/>
        </w:rPr>
      </w:pPr>
    </w:p>
    <w:bookmarkEnd w:id="3"/>
    <w:bookmarkEnd w:id="4"/>
    <w:sectPr w:rsidSect="006C2C6D">
      <w:headerReference w:type="first" r:id="rId63"/>
      <w:pgSz w:w="11906" w:h="16838"/>
      <w:pgMar w:top="1701" w:right="1985" w:bottom="1588" w:left="1701"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Arial TUR">
    <w:altName w:val="Arial"/>
    <w:charset w:val="00"/>
    <w:family w:val="swiss"/>
    <w:pitch w:val="variable"/>
    <w:sig w:usb0="E0007AFF" w:usb1="C0007843" w:usb2="00000009" w:usb3="00000000" w:csb0="000001FF" w:csb1="00000000"/>
  </w:font>
  <w:font w:name="FrankRuehl">
    <w:altName w:val="Arial"/>
    <w:charset w:val="00"/>
    <w:family w:val="swiss"/>
    <w:pitch w:val="variable"/>
    <w:sig w:usb0="00000803" w:usb1="00000000" w:usb2="00000000" w:usb3="00000000" w:csb0="00000021" w:csb1="00000000"/>
  </w:font>
  <w:font w:name="Rubik">
    <w:altName w:val="Cambria"/>
    <w:panose1 w:val="00000000000000000000"/>
    <w:charset w:val="00"/>
    <w:family w:val="roman"/>
    <w:notTrueType/>
    <w:pitch w:val="default"/>
  </w:font>
  <w:font w:name="Narkisim">
    <w:altName w:val="Lucida Sans Unicode"/>
    <w:charset w:val="00"/>
    <w:family w:val="swiss"/>
    <w:pitch w:val="variable"/>
    <w:sig w:usb0="00000803" w:usb1="00000000" w:usb2="00000000" w:usb3="00000000" w:csb0="0000002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47212">
    <w:pPr>
      <w:pStyle w:val="Footer"/>
    </w:pPr>
    <w:r>
      <w:rPr>
        <w:noProof/>
      </w:rPr>
      <mc:AlternateContent>
        <mc:Choice Requires="wps">
          <w:drawing>
            <wp:anchor distT="0" distB="0" distL="114300" distR="114300" simplePos="0" relativeHeight="251658240" behindDoc="0" locked="0" layoutInCell="1" allowOverlap="1">
              <wp:simplePos x="0" y="0"/>
              <wp:positionH relativeFrom="page">
                <wp:posOffset>2186305</wp:posOffset>
              </wp:positionH>
              <wp:positionV relativeFrom="paragraph">
                <wp:posOffset>-1106170</wp:posOffset>
              </wp:positionV>
              <wp:extent cx="2959100" cy="273050"/>
              <wp:effectExtent l="0" t="0" r="0" b="0"/>
              <wp:wrapNone/>
              <wp:docPr id="10" name="תיבת טקסט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9100" cy="273050"/>
                      </a:xfrm>
                      <a:prstGeom prst="rect">
                        <a:avLst/>
                      </a:prstGeom>
                      <a:noFill/>
                      <a:ln w="6350">
                        <a:noFill/>
                      </a:ln>
                    </wps:spPr>
                    <wps:txbx>
                      <w:txbxContent>
                        <w:p w:rsidR="00047212" w:rsidRPr="00A222E2" w:rsidP="00A222E2">
                          <w:pPr>
                            <w:jc w:val="center"/>
                            <w:rPr>
                              <w:rFonts w:ascii="Calibri" w:hAnsi="Calibri" w:cs="Calibri"/>
                              <w:color w:val="FFFFFF" w:themeColor="background1"/>
                              <w:spacing w:val="8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10" o:spid="_x0000_s2063" type="#_x0000_t202" style="width:233pt;height:21.5pt;margin-top:-87.1pt;margin-left:172.15pt;mso-position-horizontal-relative:page;mso-wrap-distance-bottom:0;mso-wrap-distance-left:9pt;mso-wrap-distance-right:9pt;mso-wrap-distance-top:0;mso-wrap-style:square;position:absolute;visibility:visible;v-text-anchor:top;z-index:251659264" filled="f" stroked="f" strokeweight="0.5pt">
              <v:textbox>
                <w:txbxContent>
                  <w:p w:rsidR="00047212" w:rsidRPr="00A222E2" w:rsidP="00A222E2">
                    <w:pPr>
                      <w:jc w:val="center"/>
                      <w:rPr>
                        <w:rFonts w:ascii="Calibri" w:hAnsi="Calibri" w:cs="Calibri"/>
                        <w:color w:val="FFFFFF" w:themeColor="background1"/>
                        <w:spacing w:val="80"/>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047212" w:rsidP="00C23CC9">
      <w:pPr>
        <w:spacing w:line="240" w:lineRule="auto"/>
      </w:pPr>
      <w:r>
        <w:separator/>
      </w:r>
    </w:p>
  </w:footnote>
  <w:footnote w:type="continuationSeparator" w:id="1">
    <w:p w:rsidR="00047212" w:rsidP="00C23CC9">
      <w:pPr>
        <w:spacing w:line="240" w:lineRule="auto"/>
      </w:pPr>
      <w:r>
        <w:continuationSeparator/>
      </w:r>
    </w:p>
  </w:footnote>
  <w:footnote w:id="2">
    <w:p w:rsidR="00047212" w:rsidRPr="00047212" w:rsidP="00A210E9">
      <w:pPr>
        <w:pStyle w:val="FootnoteText"/>
      </w:pPr>
      <w:r w:rsidRPr="00047212">
        <w:rPr>
          <w:rStyle w:val="FootnoteReference1"/>
        </w:rPr>
        <w:footnoteRef/>
      </w:r>
      <w:r w:rsidRPr="00047212">
        <w:rPr>
          <w:rtl/>
        </w:rPr>
        <w:t xml:space="preserve"> </w:t>
      </w:r>
      <w:r w:rsidRPr="00047212">
        <w:rPr>
          <w:rtl/>
        </w:rPr>
        <w:tab/>
        <w:t>אדם עם מוגבלות</w:t>
      </w:r>
      <w:r w:rsidRPr="00047212">
        <w:rPr>
          <w:rFonts w:hint="cs"/>
          <w:rtl/>
        </w:rPr>
        <w:t xml:space="preserve"> הוא "</w:t>
      </w:r>
      <w:r w:rsidRPr="00047212">
        <w:rPr>
          <w:rtl/>
        </w:rPr>
        <w:t>אדם עם לקות פיזית, נפשית או שכלית לרבות קוגניטיבית, קבועה או זמנית, אשר בְּשֶׁלָּ</w:t>
      </w:r>
      <w:r w:rsidRPr="00047212">
        <w:rPr>
          <w:rFonts w:hint="cs"/>
          <w:rtl/>
        </w:rPr>
        <w:t>הּ</w:t>
      </w:r>
      <w:r w:rsidRPr="00047212">
        <w:rPr>
          <w:rtl/>
        </w:rPr>
        <w:t xml:space="preserve"> מוגבל תפקודו באופן מהותי בתחום אחד או יותר מתחומי החיים העיקריים" (סעיף 5</w:t>
      </w:r>
      <w:r w:rsidRPr="00047212">
        <w:rPr>
          <w:rFonts w:hint="cs"/>
          <w:rtl/>
        </w:rPr>
        <w:t xml:space="preserve"> ל</w:t>
      </w:r>
      <w:r w:rsidRPr="00047212">
        <w:rPr>
          <w:rtl/>
        </w:rPr>
        <w:t>חוק שוויון זכויות לאנשים עם מוגבלות, התשנ״ח-1998).</w:t>
      </w:r>
      <w:r w:rsidRPr="00047212">
        <w:rPr>
          <w:rFonts w:hint="cs"/>
          <w:rtl/>
        </w:rPr>
        <w:t xml:space="preserve"> </w:t>
      </w:r>
      <w:r w:rsidRPr="00047212">
        <w:rPr>
          <w:rtl/>
        </w:rPr>
        <w:t xml:space="preserve">לקות פיזית כוללת לקות בתנועה ולקות חושית (ראייה </w:t>
      </w:r>
      <w:r w:rsidRPr="00047212">
        <w:rPr>
          <w:rFonts w:hint="cs"/>
          <w:rtl/>
        </w:rPr>
        <w:t>ו</w:t>
      </w:r>
      <w:r w:rsidRPr="00047212">
        <w:rPr>
          <w:rtl/>
        </w:rPr>
        <w:t>שמיעה).</w:t>
      </w:r>
      <w:r w:rsidRPr="00047212">
        <w:rPr>
          <w:rFonts w:hint="cs"/>
          <w:rtl/>
        </w:rPr>
        <w:t xml:space="preserve"> </w:t>
      </w:r>
      <w:hyperlink r:id="rId1" w:history="1">
        <w:r w:rsidRPr="00047212">
          <w:rPr>
            <w:rStyle w:val="Hyperlink"/>
            <w:color w:val="auto"/>
            <w:u w:val="none"/>
          </w:rPr>
          <w:t>www.gov.il/he/pages/what_is_accessibility_guide?chapterIndex=2</w:t>
        </w:r>
      </w:hyperlink>
      <w:r w:rsidRPr="00047212">
        <w:t xml:space="preserve"> </w:t>
      </w:r>
    </w:p>
  </w:footnote>
  <w:footnote w:id="3">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hyperlink r:id="rId2" w:history="1">
        <w:r w:rsidRPr="00047212">
          <w:rPr>
            <w:rStyle w:val="Hyperlink"/>
            <w:color w:val="auto"/>
            <w:u w:val="none"/>
          </w:rPr>
          <w:t>www.gov.il/he/pages/negishut1</w:t>
        </w:r>
      </w:hyperlink>
      <w:r w:rsidRPr="00047212">
        <w:t xml:space="preserve"> </w:t>
      </w:r>
    </w:p>
  </w:footnote>
  <w:footnote w:id="4">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 xml:space="preserve">ראו גם </w:t>
      </w:r>
      <w:r w:rsidRPr="00047212">
        <w:rPr>
          <w:rFonts w:ascii="Rubik" w:hAnsi="Rubik" w:hint="cs"/>
          <w:shd w:val="clear" w:color="auto" w:fill="FFFFFF"/>
          <w:rtl/>
        </w:rPr>
        <w:t xml:space="preserve">עקרונות ההכלה </w:t>
      </w:r>
      <w:r w:rsidRPr="00047212">
        <w:rPr>
          <w:rFonts w:hint="cs"/>
          <w:rtl/>
        </w:rPr>
        <w:t>והרצף בנגישות</w:t>
      </w:r>
      <w:r w:rsidRPr="00047212">
        <w:t xml:space="preserve"> </w:t>
      </w:r>
      <w:r w:rsidRPr="00047212">
        <w:rPr>
          <w:rFonts w:hint="cs"/>
          <w:rtl/>
        </w:rPr>
        <w:t xml:space="preserve">באתר נציבות שוויון זכויות לאנשים עם מוגבלות - </w:t>
      </w:r>
    </w:p>
    <w:p w:rsidR="00047212" w:rsidRPr="00047212" w:rsidP="00A210E9">
      <w:pPr>
        <w:pStyle w:val="FootnoteText"/>
        <w:ind w:firstLine="0"/>
        <w:rPr>
          <w:rtl/>
        </w:rPr>
      </w:pPr>
      <w:hyperlink r:id="rId3" w:history="1">
        <w:r w:rsidRPr="00047212">
          <w:rPr>
            <w:rStyle w:val="Hyperlink"/>
            <w:color w:val="auto"/>
            <w:u w:val="none"/>
          </w:rPr>
          <w:t>www.gov.il/he/pages/what_is_accessibility_guide?chapterIndex=3</w:t>
        </w:r>
      </w:hyperlink>
    </w:p>
  </w:footnote>
  <w:footnote w:id="5">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סעיף 2 לחוק שוויון זכויות לאנשים עם מוגבלות.</w:t>
      </w:r>
    </w:p>
  </w:footnote>
  <w:footnote w:id="6">
    <w:p w:rsidR="00047212" w:rsidRPr="00047212" w:rsidP="00047212">
      <w:pPr>
        <w:pStyle w:val="FootnoteText"/>
        <w:rPr>
          <w:rtl/>
        </w:rPr>
      </w:pPr>
      <w:r w:rsidRPr="00047212">
        <w:rPr>
          <w:rStyle w:val="FootnoteReference1"/>
        </w:rPr>
        <w:footnoteRef/>
      </w:r>
      <w:r w:rsidRPr="00047212">
        <w:rPr>
          <w:rtl/>
        </w:rPr>
        <w:t xml:space="preserve"> </w:t>
      </w:r>
      <w:r w:rsidRPr="00047212">
        <w:tab/>
      </w:r>
      <w:r w:rsidRPr="00047212">
        <w:rPr>
          <w:rtl/>
        </w:rPr>
        <w:t>משרד המשפטים</w:t>
      </w:r>
      <w:r w:rsidRPr="00047212">
        <w:rPr>
          <w:rFonts w:hint="cs"/>
          <w:rtl/>
        </w:rPr>
        <w:t xml:space="preserve">, </w:t>
      </w:r>
      <w:r w:rsidRPr="00047212">
        <w:rPr>
          <w:rtl/>
        </w:rPr>
        <w:t>נציבות שוויון זכויות לאנשים עם מוגבלות</w:t>
      </w:r>
      <w:r w:rsidRPr="00047212">
        <w:rPr>
          <w:rFonts w:hint="cs"/>
          <w:rtl/>
        </w:rPr>
        <w:t xml:space="preserve"> ו</w:t>
      </w:r>
      <w:r w:rsidRPr="00047212">
        <w:rPr>
          <w:rtl/>
        </w:rPr>
        <w:t>האמנה בדבר זכויות אנשים עם מוגבלויות</w:t>
      </w:r>
      <w:r w:rsidRPr="00047212">
        <w:rPr>
          <w:rFonts w:hint="cs"/>
          <w:rtl/>
        </w:rPr>
        <w:t xml:space="preserve">. </w:t>
      </w:r>
      <w:r w:rsidRPr="00047212">
        <w:rPr>
          <w:rFonts w:hint="eastAsia"/>
          <w:rtl/>
        </w:rPr>
        <w:t>אוחזר</w:t>
      </w:r>
      <w:r w:rsidRPr="00047212">
        <w:rPr>
          <w:rtl/>
        </w:rPr>
        <w:t xml:space="preserve"> מ:</w:t>
      </w:r>
      <w:r w:rsidRPr="00047212">
        <w:rPr>
          <w:rFonts w:hint="cs"/>
          <w:rtl/>
        </w:rPr>
        <w:t xml:space="preserve"> </w:t>
      </w:r>
      <w:hyperlink r:id="rId4" w:history="1">
        <w:r w:rsidRPr="00047212">
          <w:rPr>
            <w:rStyle w:val="Hyperlink"/>
            <w:color w:val="auto"/>
            <w:u w:val="none"/>
          </w:rPr>
          <w:t>www.gov.il/he/pages/a_crpd_hebrew_fulltext</w:t>
        </w:r>
      </w:hyperlink>
      <w:r w:rsidRPr="00047212">
        <w:rPr>
          <w:rFonts w:hint="cs"/>
          <w:rtl/>
        </w:rPr>
        <w:t xml:space="preserve">, </w:t>
      </w:r>
      <w:r w:rsidRPr="00047212">
        <w:rPr>
          <w:rFonts w:hint="eastAsia"/>
          <w:rtl/>
        </w:rPr>
        <w:t>אוחזר</w:t>
      </w:r>
      <w:r w:rsidRPr="00047212">
        <w:rPr>
          <w:rtl/>
        </w:rPr>
        <w:t xml:space="preserve"> ב</w:t>
      </w:r>
      <w:r w:rsidRPr="00047212">
        <w:rPr>
          <w:rFonts w:hint="cs"/>
          <w:rtl/>
        </w:rPr>
        <w:t xml:space="preserve">-6.6.2025. </w:t>
      </w:r>
    </w:p>
  </w:footnote>
  <w:footnote w:id="7">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 xml:space="preserve">מתוך דברי ההסבר להצעת החוק חניה לנכים, התשנ"ד-1993. </w:t>
      </w:r>
    </w:p>
    <w:p w:rsidR="00047212" w:rsidRPr="00047212" w:rsidP="00A210E9">
      <w:pPr>
        <w:pStyle w:val="FootnoteText"/>
        <w:ind w:firstLine="0"/>
        <w:rPr>
          <w:rtl/>
        </w:rPr>
      </w:pPr>
      <w:hyperlink r:id="rId5" w:history="1">
        <w:r w:rsidRPr="00047212">
          <w:rPr>
            <w:rStyle w:val="Hyperlink"/>
            <w:rFonts w:eastAsia="Times New Roman" w:cs="FrankRuehl"/>
            <w:color w:val="auto"/>
            <w:u w:val="none"/>
          </w:rPr>
          <w:t>www.nevo.co.il/Law_word/law17/PROP-2201.pdf</w:t>
        </w:r>
      </w:hyperlink>
      <w:r w:rsidRPr="00047212">
        <w:rPr>
          <w:rFonts w:eastAsia="Times New Roman" w:cs="FrankRuehl" w:hint="cs"/>
          <w:rtl/>
        </w:rPr>
        <w:t xml:space="preserve"> </w:t>
      </w:r>
    </w:p>
  </w:footnote>
  <w:footnote w:id="8">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eastAsia"/>
          <w:rtl/>
        </w:rPr>
        <w:t>בחוק</w:t>
      </w:r>
      <w:r w:rsidRPr="00047212">
        <w:rPr>
          <w:rFonts w:hint="cs"/>
          <w:rtl/>
        </w:rPr>
        <w:t xml:space="preserve"> חניה לנכים תג החניה מוגדר -</w:t>
      </w:r>
      <w:r w:rsidRPr="00047212">
        <w:rPr>
          <w:rtl/>
        </w:rPr>
        <w:t xml:space="preserve"> "תג נכה"</w:t>
      </w:r>
      <w:r w:rsidRPr="00047212">
        <w:rPr>
          <w:rFonts w:hint="cs"/>
          <w:rtl/>
        </w:rPr>
        <w:t>.</w:t>
      </w:r>
    </w:p>
  </w:footnote>
  <w:footnote w:id="9">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כל רכב המשויך לתג חניה מכל סוג רשאי לחנות בחניה המסומנת באמצעות תמרור זה.</w:t>
      </w:r>
    </w:p>
  </w:footnote>
  <w:footnote w:id="10">
    <w:p w:rsidR="00047212" w:rsidRPr="00047212" w:rsidP="00A210E9">
      <w:pPr>
        <w:pStyle w:val="FootnoteText"/>
      </w:pPr>
      <w:r w:rsidRPr="00047212">
        <w:rPr>
          <w:rStyle w:val="FootnoteReference1"/>
        </w:rPr>
        <w:footnoteRef/>
      </w:r>
      <w:r w:rsidRPr="00047212">
        <w:rPr>
          <w:rtl/>
        </w:rPr>
        <w:t xml:space="preserve"> </w:t>
      </w:r>
      <w:r w:rsidRPr="00047212">
        <w:rPr>
          <w:rtl/>
        </w:rPr>
        <w:tab/>
        <w:t xml:space="preserve">רכב </w:t>
      </w:r>
      <w:r w:rsidRPr="00047212">
        <w:rPr>
          <w:rFonts w:hint="cs"/>
          <w:rtl/>
        </w:rPr>
        <w:t>ש</w:t>
      </w:r>
      <w:r w:rsidRPr="00047212">
        <w:rPr>
          <w:rtl/>
        </w:rPr>
        <w:t xml:space="preserve">לגביו הוכיח </w:t>
      </w:r>
      <w:r w:rsidRPr="00047212">
        <w:rPr>
          <w:rFonts w:hint="cs"/>
          <w:rtl/>
        </w:rPr>
        <w:t>בעל התג</w:t>
      </w:r>
      <w:r w:rsidRPr="00047212">
        <w:rPr>
          <w:rtl/>
        </w:rPr>
        <w:t>, להנחת דעתה של רשות הרישוי, כי הוא עומד לשימושו האישי דרך קבע</w:t>
      </w:r>
      <w:r w:rsidRPr="00047212">
        <w:rPr>
          <w:rFonts w:hint="cs"/>
          <w:rtl/>
        </w:rPr>
        <w:t>.</w:t>
      </w:r>
    </w:p>
  </w:footnote>
  <w:footnote w:id="11">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סעיף 272א לתקנות התעבורה, התשכ"א-1961.</w:t>
      </w:r>
    </w:p>
  </w:footnote>
  <w:footnote w:id="12">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 xml:space="preserve">היחידה מוזכרת בשמות שונים במסמכים של משרד התחבורה. </w:t>
      </w:r>
    </w:p>
  </w:footnote>
  <w:footnote w:id="13">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hyperlink r:id="rId6" w:history="1">
        <w:r w:rsidRPr="00047212">
          <w:rPr>
            <w:rStyle w:val="Hyperlink"/>
            <w:rFonts w:hint="cs"/>
            <w:color w:val="auto"/>
            <w:u w:val="none"/>
            <w:rtl/>
          </w:rPr>
          <w:t>אתר האינטרנט של משרד הפנים.</w:t>
        </w:r>
      </w:hyperlink>
      <w:r w:rsidRPr="00047212">
        <w:rPr>
          <w:rFonts w:hint="cs"/>
          <w:rtl/>
        </w:rPr>
        <w:t xml:space="preserve"> </w:t>
      </w:r>
    </w:p>
  </w:footnote>
  <w:footnote w:id="14">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ככלל,</w:t>
      </w:r>
      <w:r w:rsidRPr="00047212">
        <w:rPr>
          <w:rtl/>
        </w:rPr>
        <w:t xml:space="preserve"> תגים שמיועדים לנכי צה"ל מסומנים </w:t>
      </w:r>
      <w:r w:rsidRPr="00047212">
        <w:rPr>
          <w:rFonts w:hint="cs"/>
          <w:rtl/>
        </w:rPr>
        <w:t>באופן שונה. לאור הצורך להנפיק תגי חניה בהליך מהיר במהלך מלחמת חרבות ברזל הונפקו תגי כיסא גלגלים לנכי צה"ל ללא סמל שונה.</w:t>
      </w:r>
    </w:p>
  </w:footnote>
  <w:footnote w:id="15">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 xml:space="preserve">ועדת הכלכלה של הכנסת, מדיניות משרד התחבורה בנושא תגי חניה לנכים, 7.12.20, אוחזר ב-3.2.25. </w:t>
      </w:r>
    </w:p>
  </w:footnote>
  <w:footnote w:id="16">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נכון ליולי 2025.</w:t>
      </w:r>
    </w:p>
  </w:footnote>
  <w:footnote w:id="17">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 xml:space="preserve">מצגת </w:t>
      </w:r>
      <w:r w:rsidRPr="00047212">
        <w:rPr>
          <w:rFonts w:hint="eastAsia"/>
          <w:rtl/>
        </w:rPr>
        <w:t>למ</w:t>
      </w:r>
      <w:r w:rsidRPr="00047212">
        <w:rPr>
          <w:rtl/>
        </w:rPr>
        <w:t>"ס</w:t>
      </w:r>
      <w:r w:rsidRPr="00047212">
        <w:rPr>
          <w:rFonts w:hint="cs"/>
          <w:rtl/>
        </w:rPr>
        <w:t xml:space="preserve"> לנציבות שוויון זכויות, 2025.</w:t>
      </w:r>
    </w:p>
  </w:footnote>
  <w:footnote w:id="18">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מרשם אנשים עם מוגבלות בלמ"ס קיים משנת 2021. לפני כן, הנתון הכללי של האנשים עם מוגבלות התבסס על סקר חברתי של הלמ"ס. בשל חוסר הלימה בין הנתונים של הסקר החברתי לנתוני המרשם, בדוח זה מובאים רק נתוני המרשם.</w:t>
      </w:r>
    </w:p>
  </w:footnote>
  <w:footnote w:id="19">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ועדת הכלכלה של הכנסת, מדיניות משרד התחבורה בנושא תגי חניה לנכים, 7.12.20, אוחזר ב-3.2.25.</w:t>
      </w:r>
    </w:p>
  </w:footnote>
  <w:footnote w:id="20">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הכנסת, מרכז המחקר והמידע,</w:t>
      </w:r>
      <w:r w:rsidRPr="00047212">
        <w:rPr>
          <w:rtl/>
        </w:rPr>
        <w:t xml:space="preserve"> </w:t>
      </w:r>
      <w:r w:rsidRPr="00047212">
        <w:rPr>
          <w:rFonts w:hint="cs"/>
          <w:rtl/>
        </w:rPr>
        <w:t>"</w:t>
      </w:r>
      <w:r w:rsidRPr="00047212">
        <w:rPr>
          <w:rtl/>
        </w:rPr>
        <w:t>נתונים על תגי נכה ומספר כלי הרכב הרשומים עם תגי חניה</w:t>
      </w:r>
      <w:r w:rsidRPr="00047212">
        <w:rPr>
          <w:rFonts w:hint="cs"/>
          <w:rtl/>
        </w:rPr>
        <w:t xml:space="preserve">", פברואר 2022, עמ' 6. </w:t>
      </w:r>
    </w:p>
  </w:footnote>
  <w:footnote w:id="21">
    <w:p w:rsidR="00047212" w:rsidRPr="00047212" w:rsidP="00A210E9">
      <w:pPr>
        <w:pStyle w:val="FootnoteText"/>
      </w:pPr>
      <w:r w:rsidRPr="00047212">
        <w:rPr>
          <w:rStyle w:val="FootnoteReference1"/>
        </w:rPr>
        <w:footnoteRef/>
      </w:r>
      <w:r w:rsidRPr="00047212">
        <w:rPr>
          <w:rtl/>
        </w:rPr>
        <w:t xml:space="preserve"> </w:t>
      </w:r>
      <w:r w:rsidRPr="00047212">
        <w:rPr>
          <w:rtl/>
        </w:rPr>
        <w:tab/>
      </w:r>
      <w:bookmarkStart w:id="17" w:name="_Hlk224759793"/>
      <w:r w:rsidRPr="00047212">
        <w:rPr>
          <w:rtl/>
        </w:rPr>
        <w:t>משרד האוצר, "התוכנית הכלכלית לשנת 2026 - שינויים מבניים</w:t>
      </w:r>
      <w:r w:rsidRPr="00047212">
        <w:rPr>
          <w:rFonts w:hint="cs"/>
          <w:rtl/>
        </w:rPr>
        <w:t>"</w:t>
      </w:r>
      <w:r w:rsidRPr="00047212">
        <w:rPr>
          <w:rtl/>
        </w:rPr>
        <w:t xml:space="preserve">, </w:t>
      </w:r>
      <w:r w:rsidRPr="00047212">
        <w:rPr>
          <w:rFonts w:hint="cs"/>
          <w:rtl/>
        </w:rPr>
        <w:t>דצמבר</w:t>
      </w:r>
      <w:r w:rsidRPr="00047212">
        <w:rPr>
          <w:rtl/>
        </w:rPr>
        <w:t xml:space="preserve"> 2025.</w:t>
      </w:r>
      <w:bookmarkEnd w:id="17"/>
      <w:r w:rsidRPr="00047212">
        <w:rPr>
          <w:rFonts w:hint="cs"/>
          <w:rtl/>
        </w:rPr>
        <w:t xml:space="preserve"> </w:t>
      </w:r>
    </w:p>
  </w:footnote>
  <w:footnote w:id="22">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 xml:space="preserve">נציב תלונות הציבור, </w:t>
      </w:r>
      <w:r w:rsidRPr="00047212">
        <w:rPr>
          <w:rFonts w:hint="eastAsia"/>
          <w:b/>
          <w:bCs/>
          <w:rtl/>
        </w:rPr>
        <w:t>דוח</w:t>
      </w:r>
      <w:r w:rsidRPr="00047212">
        <w:rPr>
          <w:b/>
          <w:bCs/>
          <w:rtl/>
        </w:rPr>
        <w:t xml:space="preserve"> שנתי 48</w:t>
      </w:r>
      <w:r w:rsidRPr="00047212">
        <w:rPr>
          <w:rFonts w:hint="cs"/>
          <w:rtl/>
        </w:rPr>
        <w:t xml:space="preserve"> (2021), 21.6.22.</w:t>
      </w:r>
    </w:p>
  </w:footnote>
  <w:footnote w:id="23">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 xml:space="preserve">אתר משטרת ישראל במרשתת - </w:t>
      </w:r>
      <w:hyperlink r:id="rId7" w:history="1">
        <w:r w:rsidRPr="00047212">
          <w:rPr>
            <w:rStyle w:val="Hyperlink"/>
            <w:color w:val="auto"/>
            <w:u w:val="none"/>
          </w:rPr>
          <w:t>www.gov.il/he/pages/police_09-12-24_tag</w:t>
        </w:r>
      </w:hyperlink>
      <w:r w:rsidRPr="00047212">
        <w:rPr>
          <w:rFonts w:hint="cs"/>
          <w:rtl/>
        </w:rPr>
        <w:t xml:space="preserve">, 9.12.24, אוחזר </w:t>
      </w:r>
      <w:r w:rsidR="00136D6F">
        <w:rPr>
          <w:rtl/>
        </w:rPr>
        <w:br/>
      </w:r>
      <w:r w:rsidRPr="00047212">
        <w:rPr>
          <w:rFonts w:hint="cs"/>
          <w:rtl/>
        </w:rPr>
        <w:t>ב-13.8.25.</w:t>
      </w:r>
    </w:p>
  </w:footnote>
  <w:footnote w:id="24">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ועדת הכלכלה בכנסת</w:t>
      </w:r>
      <w:r w:rsidRPr="00047212">
        <w:rPr>
          <w:rFonts w:hint="cs"/>
          <w:b/>
          <w:bCs/>
          <w:rtl/>
        </w:rPr>
        <w:t xml:space="preserve">, </w:t>
      </w:r>
      <w:r w:rsidRPr="00047212">
        <w:rPr>
          <w:rtl/>
        </w:rPr>
        <w:t>"עיכוב בפרסום הנוהל החדש להגשת בקשות בדבר זכאות רפואית לתג חניה לנכה"</w:t>
      </w:r>
      <w:r w:rsidRPr="00047212">
        <w:rPr>
          <w:rFonts w:hint="cs"/>
          <w:rtl/>
        </w:rPr>
        <w:t>, 17.9.25</w:t>
      </w:r>
    </w:p>
    <w:p w:rsidR="00047212" w:rsidRPr="00047212" w:rsidP="00A210E9">
      <w:pPr>
        <w:pStyle w:val="FootnoteText"/>
        <w:ind w:firstLine="0"/>
      </w:pPr>
      <w:hyperlink r:id="rId8" w:history="1">
        <w:r w:rsidRPr="00047212">
          <w:rPr>
            <w:rStyle w:val="Hyperlink"/>
            <w:color w:val="auto"/>
            <w:u w:val="none"/>
          </w:rPr>
          <w:t>main.knesset.gov.il/Activity/committees/Economics/Pages/CommitteeTVarchive.aspx?TopicID=31529</w:t>
        </w:r>
      </w:hyperlink>
    </w:p>
  </w:footnote>
  <w:footnote w:id="25">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תגי חניה שאושרו על סמך העברת אישורי זכאות לנכות מביטוח לאומי, ממשרד הרווחה ומאגף השיקום במשרד הביטחון המשיכו להיות מונפקים.</w:t>
      </w:r>
    </w:p>
  </w:footnote>
  <w:footnote w:id="26">
    <w:p w:rsidR="00047212" w:rsidRPr="00047212" w:rsidP="00A210E9">
      <w:pPr>
        <w:pStyle w:val="FootnoteText"/>
      </w:pPr>
      <w:r w:rsidRPr="00047212">
        <w:rPr>
          <w:rStyle w:val="FootnoteReference1"/>
        </w:rPr>
        <w:footnoteRef/>
      </w:r>
      <w:r w:rsidRPr="00047212">
        <w:rPr>
          <w:rtl/>
        </w:rPr>
        <w:t xml:space="preserve"> </w:t>
      </w:r>
      <w:r w:rsidRPr="00047212">
        <w:rPr>
          <w:rtl/>
        </w:rPr>
        <w:tab/>
        <w:t>בג"ץ 15906-04-25</w:t>
      </w:r>
      <w:r w:rsidRPr="00047212">
        <w:rPr>
          <w:rFonts w:hint="cs"/>
          <w:rtl/>
        </w:rPr>
        <w:t xml:space="preserve">, </w:t>
      </w:r>
      <w:r w:rsidRPr="00047212">
        <w:rPr>
          <w:b/>
          <w:bCs/>
          <w:rtl/>
        </w:rPr>
        <w:t>אורלי צפריר ו</w:t>
      </w:r>
      <w:r w:rsidRPr="00047212">
        <w:rPr>
          <w:rFonts w:hint="cs"/>
          <w:b/>
          <w:bCs/>
          <w:rtl/>
        </w:rPr>
        <w:t xml:space="preserve">-199 </w:t>
      </w:r>
      <w:r w:rsidRPr="00047212">
        <w:rPr>
          <w:b/>
          <w:bCs/>
          <w:rtl/>
        </w:rPr>
        <w:t>אח'</w:t>
      </w:r>
      <w:r w:rsidRPr="00047212">
        <w:rPr>
          <w:rFonts w:hint="cs"/>
          <w:b/>
          <w:bCs/>
          <w:rtl/>
        </w:rPr>
        <w:t xml:space="preserve"> </w:t>
      </w:r>
      <w:r w:rsidRPr="00047212">
        <w:rPr>
          <w:b/>
          <w:bCs/>
          <w:rtl/>
        </w:rPr>
        <w:t>נ</w:t>
      </w:r>
      <w:r w:rsidRPr="00047212">
        <w:rPr>
          <w:rFonts w:hint="cs"/>
          <w:b/>
          <w:bCs/>
          <w:rtl/>
        </w:rPr>
        <w:t>'</w:t>
      </w:r>
      <w:r w:rsidRPr="00047212">
        <w:rPr>
          <w:b/>
          <w:bCs/>
          <w:rtl/>
        </w:rPr>
        <w:t xml:space="preserve"> שר</w:t>
      </w:r>
      <w:r w:rsidRPr="00047212">
        <w:rPr>
          <w:rFonts w:hint="cs"/>
          <w:b/>
          <w:bCs/>
          <w:rtl/>
        </w:rPr>
        <w:t>ת</w:t>
      </w:r>
      <w:r w:rsidRPr="00047212">
        <w:rPr>
          <w:b/>
          <w:bCs/>
          <w:rtl/>
        </w:rPr>
        <w:t xml:space="preserve"> התחבורה ואח</w:t>
      </w:r>
      <w:r w:rsidRPr="00047212">
        <w:rPr>
          <w:rFonts w:hint="cs"/>
          <w:b/>
          <w:bCs/>
          <w:rtl/>
        </w:rPr>
        <w:t>'</w:t>
      </w:r>
      <w:r w:rsidRPr="00047212">
        <w:rPr>
          <w:rFonts w:hint="cs"/>
          <w:rtl/>
        </w:rPr>
        <w:t xml:space="preserve">; </w:t>
      </w:r>
      <w:hyperlink r:id="rId9" w:history="1">
        <w:r w:rsidRPr="00047212">
          <w:rPr>
            <w:rStyle w:val="Hyperlink"/>
            <w:rFonts w:hint="cs"/>
            <w:color w:val="auto"/>
            <w:u w:val="none"/>
            <w:rtl/>
          </w:rPr>
          <w:t>עתירה</w:t>
        </w:r>
      </w:hyperlink>
      <w:r w:rsidRPr="00047212">
        <w:rPr>
          <w:rStyle w:val="Hyperlink"/>
          <w:rFonts w:hint="cs"/>
          <w:color w:val="auto"/>
          <w:u w:val="none"/>
          <w:rtl/>
        </w:rPr>
        <w:t xml:space="preserve"> למתן צו על תנאי וצו מוחלט לחייב בהנפקה מידית של תגי חניה לנכים</w:t>
      </w:r>
      <w:r w:rsidRPr="00047212">
        <w:rPr>
          <w:rFonts w:hint="cs"/>
          <w:rtl/>
        </w:rPr>
        <w:t xml:space="preserve">, 24.3.2025. </w:t>
      </w:r>
    </w:p>
  </w:footnote>
  <w:footnote w:id="27">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eastAsia"/>
          <w:rtl/>
        </w:rPr>
        <w:t>באוגוסט</w:t>
      </w:r>
      <w:r w:rsidRPr="00047212">
        <w:rPr>
          <w:rtl/>
        </w:rPr>
        <w:t xml:space="preserve"> 2025 </w:t>
      </w:r>
      <w:r w:rsidRPr="00047212">
        <w:rPr>
          <w:rFonts w:hint="eastAsia"/>
          <w:rtl/>
        </w:rPr>
        <w:t>מינו</w:t>
      </w:r>
      <w:r w:rsidRPr="00047212">
        <w:rPr>
          <w:rtl/>
        </w:rPr>
        <w:t xml:space="preserve"> </w:t>
      </w:r>
      <w:r w:rsidRPr="00047212">
        <w:rPr>
          <w:rFonts w:hint="eastAsia"/>
          <w:rtl/>
        </w:rPr>
        <w:t>החשב</w:t>
      </w:r>
      <w:r w:rsidRPr="00047212">
        <w:rPr>
          <w:rtl/>
        </w:rPr>
        <w:t xml:space="preserve"> </w:t>
      </w:r>
      <w:r w:rsidRPr="00047212">
        <w:rPr>
          <w:rFonts w:hint="eastAsia"/>
          <w:rtl/>
        </w:rPr>
        <w:t>הכללי</w:t>
      </w:r>
      <w:r w:rsidRPr="00047212">
        <w:rPr>
          <w:rtl/>
        </w:rPr>
        <w:t xml:space="preserve">, </w:t>
      </w:r>
      <w:r w:rsidRPr="00047212">
        <w:rPr>
          <w:rFonts w:hint="eastAsia"/>
          <w:rtl/>
        </w:rPr>
        <w:t>מנכ</w:t>
      </w:r>
      <w:r w:rsidRPr="00047212">
        <w:rPr>
          <w:rtl/>
        </w:rPr>
        <w:t xml:space="preserve">"ל </w:t>
      </w:r>
      <w:r w:rsidRPr="00047212">
        <w:rPr>
          <w:rFonts w:hint="eastAsia"/>
          <w:rtl/>
        </w:rPr>
        <w:t>משרד</w:t>
      </w:r>
      <w:r w:rsidRPr="00047212">
        <w:rPr>
          <w:rtl/>
        </w:rPr>
        <w:t xml:space="preserve"> </w:t>
      </w:r>
      <w:r w:rsidRPr="00047212">
        <w:rPr>
          <w:rFonts w:hint="eastAsia"/>
          <w:rtl/>
        </w:rPr>
        <w:t>התחבורה</w:t>
      </w:r>
      <w:r w:rsidRPr="00047212">
        <w:rPr>
          <w:rtl/>
        </w:rPr>
        <w:t xml:space="preserve">, </w:t>
      </w:r>
      <w:r w:rsidRPr="00047212">
        <w:rPr>
          <w:rFonts w:hint="eastAsia"/>
          <w:rtl/>
        </w:rPr>
        <w:t>מנכ</w:t>
      </w:r>
      <w:r w:rsidRPr="00047212">
        <w:rPr>
          <w:rtl/>
        </w:rPr>
        <w:t xml:space="preserve">"ל </w:t>
      </w:r>
      <w:r w:rsidRPr="00047212">
        <w:rPr>
          <w:rFonts w:hint="eastAsia"/>
          <w:rtl/>
        </w:rPr>
        <w:t>ביטוח</w:t>
      </w:r>
      <w:r w:rsidRPr="00047212">
        <w:rPr>
          <w:rtl/>
        </w:rPr>
        <w:t xml:space="preserve"> </w:t>
      </w:r>
      <w:r w:rsidRPr="00047212">
        <w:rPr>
          <w:rFonts w:hint="eastAsia"/>
          <w:rtl/>
        </w:rPr>
        <w:t>לאומי</w:t>
      </w:r>
      <w:r w:rsidRPr="00047212">
        <w:rPr>
          <w:rtl/>
        </w:rPr>
        <w:t xml:space="preserve"> </w:t>
      </w:r>
      <w:r w:rsidRPr="00047212">
        <w:rPr>
          <w:rFonts w:hint="eastAsia"/>
          <w:rtl/>
        </w:rPr>
        <w:t>והממונה</w:t>
      </w:r>
      <w:r w:rsidRPr="00047212">
        <w:rPr>
          <w:rtl/>
        </w:rPr>
        <w:t xml:space="preserve"> </w:t>
      </w:r>
      <w:r w:rsidRPr="00047212">
        <w:rPr>
          <w:rFonts w:hint="eastAsia"/>
          <w:rtl/>
        </w:rPr>
        <w:t>על</w:t>
      </w:r>
      <w:r w:rsidRPr="00047212">
        <w:rPr>
          <w:rtl/>
        </w:rPr>
        <w:t xml:space="preserve"> </w:t>
      </w:r>
      <w:r w:rsidRPr="00047212">
        <w:rPr>
          <w:rFonts w:hint="eastAsia"/>
          <w:rtl/>
        </w:rPr>
        <w:t>התקציבים</w:t>
      </w:r>
      <w:r w:rsidRPr="00047212">
        <w:rPr>
          <w:rtl/>
        </w:rPr>
        <w:t xml:space="preserve"> </w:t>
      </w:r>
      <w:r w:rsidRPr="00047212">
        <w:rPr>
          <w:rFonts w:hint="eastAsia"/>
          <w:rtl/>
        </w:rPr>
        <w:t>במשרד</w:t>
      </w:r>
      <w:r w:rsidRPr="00047212">
        <w:rPr>
          <w:rtl/>
        </w:rPr>
        <w:t xml:space="preserve"> </w:t>
      </w:r>
      <w:r w:rsidRPr="00047212">
        <w:rPr>
          <w:rFonts w:hint="eastAsia"/>
          <w:rtl/>
        </w:rPr>
        <w:t>האוצר</w:t>
      </w:r>
      <w:r w:rsidRPr="00047212">
        <w:rPr>
          <w:rtl/>
        </w:rPr>
        <w:t xml:space="preserve"> "צוות </w:t>
      </w:r>
      <w:r w:rsidRPr="00047212">
        <w:rPr>
          <w:rFonts w:hint="eastAsia"/>
          <w:rtl/>
        </w:rPr>
        <w:t>עבודה</w:t>
      </w:r>
      <w:r w:rsidRPr="00047212">
        <w:rPr>
          <w:rtl/>
        </w:rPr>
        <w:t xml:space="preserve"> </w:t>
      </w:r>
      <w:r w:rsidRPr="00047212">
        <w:rPr>
          <w:rFonts w:hint="eastAsia"/>
          <w:rtl/>
        </w:rPr>
        <w:t>מיוחד</w:t>
      </w:r>
      <w:r w:rsidRPr="00047212">
        <w:rPr>
          <w:rtl/>
        </w:rPr>
        <w:t xml:space="preserve"> </w:t>
      </w:r>
      <w:r w:rsidRPr="00047212">
        <w:rPr>
          <w:rFonts w:hint="eastAsia"/>
          <w:rtl/>
        </w:rPr>
        <w:t>לעניין</w:t>
      </w:r>
      <w:r w:rsidRPr="00047212">
        <w:rPr>
          <w:rtl/>
        </w:rPr>
        <w:t xml:space="preserve"> </w:t>
      </w:r>
      <w:r w:rsidRPr="00047212">
        <w:rPr>
          <w:rFonts w:hint="eastAsia"/>
          <w:rtl/>
        </w:rPr>
        <w:t>תגי</w:t>
      </w:r>
      <w:r w:rsidRPr="00047212">
        <w:rPr>
          <w:rtl/>
        </w:rPr>
        <w:t xml:space="preserve"> [חניה]".</w:t>
      </w:r>
    </w:p>
  </w:footnote>
  <w:footnote w:id="28">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hyperlink r:id="rId10" w:history="1">
        <w:r w:rsidRPr="00047212">
          <w:rPr>
            <w:rStyle w:val="Hyperlink"/>
            <w:color w:val="auto"/>
            <w:u w:val="none"/>
          </w:rPr>
          <w:t>https://www.gov.il/he/pages/dec3584-2025</w:t>
        </w:r>
      </w:hyperlink>
    </w:p>
  </w:footnote>
  <w:footnote w:id="29">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 xml:space="preserve">בד בבד עם </w:t>
      </w:r>
      <w:r w:rsidRPr="00047212">
        <w:rPr>
          <w:rtl/>
        </w:rPr>
        <w:t>עבודת הצוות</w:t>
      </w:r>
      <w:r w:rsidRPr="00047212">
        <w:rPr>
          <w:rFonts w:hint="cs"/>
          <w:rtl/>
        </w:rPr>
        <w:t xml:space="preserve"> החל</w:t>
      </w:r>
      <w:r w:rsidRPr="00047212">
        <w:rPr>
          <w:rtl/>
        </w:rPr>
        <w:t xml:space="preserve"> משרד התחבורה לבצע שינויים בחלק מתהליכי העבודה, אשר נוגעים גם לליקוי</w:t>
      </w:r>
      <w:r w:rsidRPr="00047212">
        <w:rPr>
          <w:rFonts w:hint="cs"/>
          <w:rtl/>
        </w:rPr>
        <w:t>י</w:t>
      </w:r>
      <w:r w:rsidRPr="00047212">
        <w:rPr>
          <w:rtl/>
        </w:rPr>
        <w:t>ם שמתוארים בדוח זה.</w:t>
      </w:r>
    </w:p>
  </w:footnote>
  <w:footnote w:id="30">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t>United Nations Convention on the Rights of Persons with Disabilities</w:t>
      </w:r>
      <w:r w:rsidRPr="00047212">
        <w:rPr>
          <w:rFonts w:hint="cs"/>
          <w:rtl/>
        </w:rPr>
        <w:t>.</w:t>
      </w:r>
    </w:p>
  </w:footnote>
  <w:footnote w:id="31">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חוק חניה לנכים לא הגדיר מיהו עיוור.</w:t>
      </w:r>
    </w:p>
  </w:footnote>
  <w:footnote w:id="32">
    <w:p w:rsidR="00047212" w:rsidRPr="00047212" w:rsidP="00A210E9">
      <w:pPr>
        <w:pStyle w:val="FootnoteText"/>
        <w:jc w:val="left"/>
        <w:rPr>
          <w:rtl/>
        </w:rPr>
      </w:pPr>
      <w:r w:rsidRPr="00047212">
        <w:rPr>
          <w:rStyle w:val="FootnoteReference1"/>
        </w:rPr>
        <w:footnoteRef/>
      </w:r>
      <w:r w:rsidRPr="00047212">
        <w:rPr>
          <w:rtl/>
        </w:rPr>
        <w:t xml:space="preserve"> </w:t>
      </w:r>
      <w:r w:rsidRPr="00047212">
        <w:rPr>
          <w:rtl/>
        </w:rPr>
        <w:tab/>
      </w:r>
      <w:r w:rsidRPr="00047212">
        <w:rPr>
          <w:rFonts w:hint="cs"/>
          <w:rtl/>
        </w:rPr>
        <w:t xml:space="preserve">אתר אגף השיקום במרשתת. </w:t>
      </w:r>
      <w:hyperlink r:id="rId11" w:history="1">
        <w:r w:rsidRPr="00047212">
          <w:rPr>
            <w:rStyle w:val="Hyperlink"/>
            <w:color w:val="auto"/>
            <w:u w:val="none"/>
          </w:rPr>
          <w:t>shikum.mod.gov.il/transportation/parking-badge?utm_source=chatgpt.com</w:t>
        </w:r>
      </w:hyperlink>
      <w:r w:rsidRPr="00047212">
        <w:rPr>
          <w:rFonts w:hint="cs"/>
          <w:rtl/>
        </w:rPr>
        <w:t>, אוחזר ב-14.9.25.</w:t>
      </w:r>
    </w:p>
  </w:footnote>
  <w:footnote w:id="33">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בעבר נהגה הרשות לניצולי שואה לקבוע את שיעורי הנכות עבור ניצולי שואה ולהעביר את האישור לאגף הרישוי לצורך הנפקת תג חניה. על פי תשובת הרשות למשרד מבקר המדינה מאפריל 2026, היא אינה עוסקת בכך כיום.</w:t>
      </w:r>
    </w:p>
  </w:footnote>
  <w:footnote w:id="34">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הכנסת, מרכז המחקר והמידע, "</w:t>
      </w:r>
      <w:r w:rsidRPr="00047212">
        <w:rPr>
          <w:rtl/>
        </w:rPr>
        <w:t>פניות ציבור בדבר התנהלות אגף הרישוי בנושא תגי חניה לנכ</w:t>
      </w:r>
      <w:r w:rsidRPr="00047212">
        <w:rPr>
          <w:rFonts w:hint="eastAsia"/>
          <w:rtl/>
        </w:rPr>
        <w:t>ים</w:t>
      </w:r>
      <w:r w:rsidRPr="00047212">
        <w:rPr>
          <w:rFonts w:hint="cs"/>
          <w:rtl/>
        </w:rPr>
        <w:t>"</w:t>
      </w:r>
      <w:r w:rsidRPr="00047212">
        <w:rPr>
          <w:rtl/>
        </w:rPr>
        <w:t>,</w:t>
      </w:r>
      <w:r w:rsidRPr="00047212">
        <w:rPr>
          <w:rFonts w:hint="cs"/>
          <w:rtl/>
        </w:rPr>
        <w:t xml:space="preserve"> דצמבר 2010 </w:t>
      </w:r>
    </w:p>
  </w:footnote>
  <w:footnote w:id="35">
    <w:p w:rsidR="00047212" w:rsidRPr="00047212" w:rsidP="00A210E9">
      <w:pPr>
        <w:pStyle w:val="FootnoteText"/>
        <w:jc w:val="left"/>
      </w:pPr>
      <w:r w:rsidRPr="00047212">
        <w:rPr>
          <w:rStyle w:val="FootnoteReference1"/>
        </w:rPr>
        <w:footnoteRef/>
      </w:r>
      <w:r w:rsidRPr="00047212">
        <w:rPr>
          <w:rtl/>
        </w:rPr>
        <w:t xml:space="preserve"> </w:t>
      </w:r>
      <w:r w:rsidRPr="00047212">
        <w:rPr>
          <w:rtl/>
        </w:rPr>
        <w:tab/>
      </w:r>
      <w:r w:rsidRPr="00047212">
        <w:rPr>
          <w:rFonts w:hint="cs"/>
          <w:rtl/>
        </w:rPr>
        <w:t>הכנסת, מרכז המחקר והמידע, "</w:t>
      </w:r>
      <w:r w:rsidRPr="00047212">
        <w:rPr>
          <w:rtl/>
        </w:rPr>
        <w:t>פניות ציבור בדבר התנהלות אגף הרישוי בנושא תגי חניה לנכים</w:t>
      </w:r>
      <w:r w:rsidRPr="00047212">
        <w:rPr>
          <w:rFonts w:hint="cs"/>
          <w:rtl/>
        </w:rPr>
        <w:t>", דצמבר 2010, "</w:t>
      </w:r>
      <w:r w:rsidRPr="00047212">
        <w:rPr>
          <w:rtl/>
        </w:rPr>
        <w:t>פניות ציבור בדבר התנהלות אגף הרישוי בנושא תגי חניה לנכים</w:t>
      </w:r>
      <w:r w:rsidRPr="00047212">
        <w:rPr>
          <w:rFonts w:hint="cs"/>
          <w:rtl/>
        </w:rPr>
        <w:t xml:space="preserve">", 2012. </w:t>
      </w:r>
    </w:p>
  </w:footnote>
  <w:footnote w:id="36">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כך במקור. בחוק - "תנועתו בדרכים".</w:t>
      </w:r>
    </w:p>
  </w:footnote>
  <w:footnote w:id="37">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t>משרד התחבורה והבטיחות בדרכים, מינהל תכנון ופיתוח תשתיות, "התכנית הלאומית לחניה</w:t>
      </w:r>
      <w:r w:rsidRPr="00047212">
        <w:rPr>
          <w:rFonts w:hint="cs"/>
          <w:rtl/>
        </w:rPr>
        <w:t>",</w:t>
      </w:r>
      <w:r w:rsidRPr="00047212">
        <w:rPr>
          <w:rtl/>
        </w:rPr>
        <w:t xml:space="preserve"> מרץ 2023</w:t>
      </w:r>
      <w:r w:rsidRPr="00047212">
        <w:rPr>
          <w:rFonts w:hint="cs"/>
          <w:rtl/>
        </w:rPr>
        <w:t xml:space="preserve"> אוחזר מאתר: </w:t>
      </w:r>
      <w:hyperlink r:id="rId12" w:history="1">
        <w:r w:rsidRPr="00047212">
          <w:rPr>
            <w:rStyle w:val="Hyperlink"/>
            <w:color w:val="auto"/>
            <w:u w:val="none"/>
          </w:rPr>
          <w:t>www.gov.il/BlobFolder/policy/parking-plan/he/2412-23.pdf</w:t>
        </w:r>
      </w:hyperlink>
      <w:r w:rsidRPr="00047212">
        <w:rPr>
          <w:rFonts w:hint="cs"/>
          <w:rtl/>
        </w:rPr>
        <w:t>, אוחזר ב-1.7.25.</w:t>
      </w:r>
    </w:p>
  </w:footnote>
  <w:footnote w:id="38">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 xml:space="preserve">בחלק מהשנים אושר לכלל אוכלוסייה זו תג חניה לצמיתות. נכון למועד סיום הביקורת משרד התחבורה בודק באופן פרטני את הצורך במתן תג חניה לאנשים על הספקטרום האוטיסטי. </w:t>
      </w:r>
    </w:p>
  </w:footnote>
  <w:footnote w:id="39">
    <w:p w:rsidR="00047212" w:rsidRPr="00047212" w:rsidP="00A210E9">
      <w:pPr>
        <w:pStyle w:val="FootnoteText"/>
        <w:jc w:val="left"/>
        <w:rPr>
          <w:rtl/>
        </w:rPr>
      </w:pPr>
      <w:r w:rsidRPr="00047212">
        <w:rPr>
          <w:rStyle w:val="FootnoteReference1"/>
        </w:rPr>
        <w:footnoteRef/>
      </w:r>
      <w:r w:rsidRPr="00047212">
        <w:rPr>
          <w:rtl/>
        </w:rPr>
        <w:t xml:space="preserve"> </w:t>
      </w:r>
      <w:r w:rsidRPr="00047212">
        <w:rPr>
          <w:rtl/>
        </w:rPr>
        <w:tab/>
        <w:t>על פי אתר משרד הבריאות</w:t>
      </w:r>
      <w:r w:rsidRPr="00047212">
        <w:rPr>
          <w:rFonts w:hint="cs"/>
          <w:rtl/>
        </w:rPr>
        <w:t>,</w:t>
      </w:r>
      <w:r w:rsidRPr="00047212">
        <w:rPr>
          <w:rtl/>
        </w:rPr>
        <w:t xml:space="preserve"> </w:t>
      </w:r>
      <w:hyperlink r:id="rId13" w:history="1">
        <w:r w:rsidRPr="00047212">
          <w:rPr>
            <w:rStyle w:val="Hyperlink"/>
            <w:color w:val="auto"/>
            <w:u w:val="none"/>
          </w:rPr>
          <w:t>me.health.gov.il/mental-health/therapy-and-rehabilitation/social-rights/disabled-parking-placard</w:t>
        </w:r>
        <w:r w:rsidRPr="00047212">
          <w:rPr>
            <w:rStyle w:val="Hyperlink"/>
            <w:color w:val="auto"/>
            <w:u w:val="none"/>
            <w:rtl/>
          </w:rPr>
          <w:t>/</w:t>
        </w:r>
      </w:hyperlink>
      <w:r w:rsidRPr="00047212">
        <w:rPr>
          <w:rtl/>
        </w:rPr>
        <w:t>, אוחזר ב-23.6.25.</w:t>
      </w:r>
    </w:p>
  </w:footnote>
  <w:footnote w:id="40">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 xml:space="preserve">יצוין כי על פי ממצאי ביקורת חשבונאית שבוצעה במשרד התחבורה, </w:t>
      </w:r>
      <w:r w:rsidRPr="00047212">
        <w:rPr>
          <w:rtl/>
        </w:rPr>
        <w:t>25% מ</w:t>
      </w:r>
      <w:r w:rsidRPr="00047212">
        <w:rPr>
          <w:rFonts w:hint="cs"/>
          <w:rtl/>
        </w:rPr>
        <w:t xml:space="preserve">כלל </w:t>
      </w:r>
      <w:r w:rsidRPr="00047212">
        <w:rPr>
          <w:rtl/>
        </w:rPr>
        <w:t>הבקשות שהוגשו בשנים 2021 - 2024 הן בקשות חוזרות</w:t>
      </w:r>
      <w:r w:rsidRPr="00047212">
        <w:rPr>
          <w:rFonts w:hint="cs"/>
          <w:rtl/>
        </w:rPr>
        <w:t>, כלומר חלק מהבקשות שנדחו כוללות גם בקשות חוזרות.</w:t>
      </w:r>
    </w:p>
  </w:footnote>
  <w:footnote w:id="41">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משרד התחבורה והבטיחות בדרכים, מינהל תכנון ופיתוח תשתיות, "</w:t>
      </w:r>
      <w:hyperlink r:id="rId14" w:history="1">
        <w:r w:rsidRPr="00047212">
          <w:rPr>
            <w:rStyle w:val="Hyperlink"/>
            <w:rFonts w:hint="cs"/>
            <w:color w:val="auto"/>
            <w:u w:val="none"/>
            <w:rtl/>
          </w:rPr>
          <w:t>התוכנית הלאומית לחניה</w:t>
        </w:r>
      </w:hyperlink>
      <w:r w:rsidRPr="00047212">
        <w:rPr>
          <w:rFonts w:hint="cs"/>
          <w:rtl/>
        </w:rPr>
        <w:t>", מרץ 2023</w:t>
      </w:r>
    </w:p>
  </w:footnote>
  <w:footnote w:id="42">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אוחזר מאתר:</w:t>
      </w:r>
      <w:r w:rsidRPr="00047212">
        <w:rPr>
          <w:rFonts w:hint="cs"/>
        </w:rPr>
        <w:t xml:space="preserve"> </w:t>
      </w:r>
      <w:hyperlink r:id="rId15" w:history="1">
        <w:r w:rsidRPr="00047212">
          <w:rPr>
            <w:rStyle w:val="Hyperlink"/>
            <w:color w:val="auto"/>
            <w:u w:val="none"/>
          </w:rPr>
          <w:t>www.nei.nih.gov/about/news-and-events/news/visual-impairment-blindness-cases-us-expected-double-2050</w:t>
        </w:r>
      </w:hyperlink>
      <w:r w:rsidRPr="00047212">
        <w:rPr>
          <w:rFonts w:hint="cs"/>
          <w:rtl/>
        </w:rPr>
        <w:t>, אוחזר ב-14.9.25.</w:t>
      </w:r>
    </w:p>
  </w:footnote>
  <w:footnote w:id="43">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ראו גם להלן בפרק "עבודת מטה במשרד התחבורה לקידום מדיניות בנוגע לתגי חניה".</w:t>
      </w:r>
    </w:p>
  </w:footnote>
  <w:footnote w:id="44">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 xml:space="preserve">הוועדה השוותה את התנאים למתן אישור זכאות לתגי חניה בין ארבע מדינות. ההשוואה לא הוצגה במסמך הסופי של הוועדה לשרת התחבורה. </w:t>
      </w:r>
    </w:p>
  </w:footnote>
  <w:footnote w:id="45">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eastAsia"/>
          <w:rtl/>
        </w:rPr>
        <w:t>לתשובת</w:t>
      </w:r>
      <w:r w:rsidRPr="00047212">
        <w:rPr>
          <w:rtl/>
        </w:rPr>
        <w:t xml:space="preserve"> הפורום צמיד הצטרפו גם העמותות: </w:t>
      </w:r>
      <w:r w:rsidRPr="00047212">
        <w:rPr>
          <w:rFonts w:hint="eastAsia"/>
          <w:rtl/>
        </w:rPr>
        <w:t>פורום</w:t>
      </w:r>
      <w:r w:rsidRPr="00047212">
        <w:rPr>
          <w:rtl/>
        </w:rPr>
        <w:t xml:space="preserve"> משפחות מיוחדות ירושלים, </w:t>
      </w:r>
      <w:r w:rsidRPr="00047212">
        <w:rPr>
          <w:rFonts w:hint="eastAsia"/>
          <w:rtl/>
        </w:rPr>
        <w:t>יחדיו</w:t>
      </w:r>
      <w:r w:rsidRPr="00047212">
        <w:rPr>
          <w:rtl/>
        </w:rPr>
        <w:t xml:space="preserve"> </w:t>
      </w:r>
      <w:r w:rsidRPr="00047212">
        <w:rPr>
          <w:rFonts w:hint="cs"/>
          <w:rtl/>
        </w:rPr>
        <w:t xml:space="preserve">- </w:t>
      </w:r>
      <w:r w:rsidRPr="00047212">
        <w:rPr>
          <w:rtl/>
        </w:rPr>
        <w:t xml:space="preserve">חמ"ל אנשים עם מוגבלויות, </w:t>
      </w:r>
      <w:r w:rsidRPr="00047212">
        <w:rPr>
          <w:rFonts w:hint="eastAsia"/>
          <w:rtl/>
        </w:rPr>
        <w:t>מטה</w:t>
      </w:r>
      <w:r w:rsidRPr="00047212">
        <w:rPr>
          <w:rtl/>
        </w:rPr>
        <w:t xml:space="preserve"> </w:t>
      </w:r>
      <w:r w:rsidRPr="00047212">
        <w:rPr>
          <w:rFonts w:hint="eastAsia"/>
          <w:rtl/>
        </w:rPr>
        <w:t>הפעולה</w:t>
      </w:r>
      <w:r w:rsidRPr="00047212">
        <w:rPr>
          <w:rtl/>
        </w:rPr>
        <w:t xml:space="preserve"> </w:t>
      </w:r>
      <w:r w:rsidRPr="00047212">
        <w:rPr>
          <w:rFonts w:hint="eastAsia"/>
          <w:rtl/>
        </w:rPr>
        <w:t>של</w:t>
      </w:r>
      <w:r w:rsidRPr="00047212">
        <w:rPr>
          <w:rtl/>
        </w:rPr>
        <w:t xml:space="preserve"> </w:t>
      </w:r>
      <w:r w:rsidRPr="00047212">
        <w:rPr>
          <w:rFonts w:hint="eastAsia"/>
          <w:rtl/>
        </w:rPr>
        <w:t>הנכים</w:t>
      </w:r>
      <w:r w:rsidRPr="00047212">
        <w:rPr>
          <w:rtl/>
        </w:rPr>
        <w:t xml:space="preserve">, </w:t>
      </w:r>
      <w:r w:rsidRPr="00047212">
        <w:rPr>
          <w:rFonts w:hint="eastAsia"/>
          <w:rtl/>
        </w:rPr>
        <w:t>העמותה</w:t>
      </w:r>
      <w:r w:rsidRPr="00047212">
        <w:rPr>
          <w:rtl/>
        </w:rPr>
        <w:t xml:space="preserve"> </w:t>
      </w:r>
      <w:r w:rsidRPr="00047212">
        <w:rPr>
          <w:rFonts w:hint="eastAsia"/>
          <w:rtl/>
        </w:rPr>
        <w:t>לקידום</w:t>
      </w:r>
      <w:r w:rsidRPr="00047212">
        <w:rPr>
          <w:rtl/>
        </w:rPr>
        <w:t xml:space="preserve"> </w:t>
      </w:r>
      <w:r w:rsidRPr="00047212">
        <w:rPr>
          <w:rFonts w:hint="eastAsia"/>
          <w:rtl/>
        </w:rPr>
        <w:t>זכויות</w:t>
      </w:r>
      <w:r w:rsidRPr="00047212">
        <w:rPr>
          <w:rtl/>
        </w:rPr>
        <w:t xml:space="preserve"> </w:t>
      </w:r>
      <w:r w:rsidRPr="00047212">
        <w:rPr>
          <w:rFonts w:hint="eastAsia"/>
          <w:rtl/>
        </w:rPr>
        <w:t>סיעודיים</w:t>
      </w:r>
      <w:r w:rsidRPr="00047212">
        <w:rPr>
          <w:rtl/>
        </w:rPr>
        <w:t>.</w:t>
      </w:r>
      <w:r w:rsidRPr="00047212">
        <w:rPr>
          <w:rFonts w:hint="cs"/>
          <w:rtl/>
        </w:rPr>
        <w:t xml:space="preserve"> </w:t>
      </w:r>
    </w:p>
  </w:footnote>
  <w:footnote w:id="46">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t xml:space="preserve">ראו פירוט בפרק </w:t>
      </w:r>
      <w:r w:rsidRPr="00047212">
        <w:rPr>
          <w:rFonts w:hint="cs"/>
          <w:rtl/>
        </w:rPr>
        <w:t>"</w:t>
      </w:r>
      <w:r w:rsidRPr="00047212">
        <w:rPr>
          <w:rtl/>
        </w:rPr>
        <w:t>תהליך הנפקת תגי חניה</w:t>
      </w:r>
      <w:r w:rsidRPr="00047212">
        <w:rPr>
          <w:rFonts w:hint="cs"/>
          <w:rtl/>
        </w:rPr>
        <w:t>".</w:t>
      </w:r>
    </w:p>
  </w:footnote>
  <w:footnote w:id="47">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 xml:space="preserve">בפועל, יש הבחנה במראה החיצוני בלבד בין התגים של נכי צה"ל לתגים האחרים. </w:t>
      </w:r>
    </w:p>
  </w:footnote>
  <w:footnote w:id="48">
    <w:p w:rsidR="00047212" w:rsidRPr="00047212" w:rsidP="00A210E9">
      <w:pPr>
        <w:pStyle w:val="FootnoteText"/>
      </w:pPr>
      <w:r w:rsidRPr="00047212">
        <w:rPr>
          <w:rStyle w:val="FootnoteReference1"/>
        </w:rPr>
        <w:footnoteRef/>
      </w:r>
      <w:r w:rsidRPr="00047212">
        <w:rPr>
          <w:rtl/>
        </w:rPr>
        <w:t xml:space="preserve"> </w:t>
      </w:r>
      <w:r w:rsidRPr="00047212">
        <w:rPr>
          <w:rtl/>
        </w:rPr>
        <w:tab/>
        <w:t>כיום</w:t>
      </w:r>
      <w:r w:rsidRPr="00047212">
        <w:rPr>
          <w:rFonts w:hint="cs"/>
          <w:rtl/>
        </w:rPr>
        <w:t>,</w:t>
      </w:r>
      <w:r w:rsidRPr="00047212">
        <w:rPr>
          <w:rtl/>
        </w:rPr>
        <w:t xml:space="preserve"> אין סימון ייחודי לתג כיסא גלגלים לנכי צה"ל</w:t>
      </w:r>
      <w:r w:rsidRPr="00047212">
        <w:rPr>
          <w:rFonts w:hint="cs"/>
          <w:rtl/>
        </w:rPr>
        <w:t xml:space="preserve">. </w:t>
      </w:r>
      <w:r w:rsidRPr="00047212">
        <w:rPr>
          <w:rtl/>
        </w:rPr>
        <w:t xml:space="preserve">בעבר היה </w:t>
      </w:r>
      <w:r w:rsidRPr="00047212">
        <w:rPr>
          <w:rFonts w:hint="cs"/>
          <w:rtl/>
        </w:rPr>
        <w:t>סימון</w:t>
      </w:r>
      <w:r w:rsidRPr="00047212">
        <w:rPr>
          <w:rtl/>
        </w:rPr>
        <w:t xml:space="preserve"> ייחודי.</w:t>
      </w:r>
    </w:p>
  </w:footnote>
  <w:footnote w:id="49">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משרד התחבורה והבטיחות בדרכים, מינהל תכנון ופיתוח תשתיות, "</w:t>
      </w:r>
      <w:r w:rsidRPr="00047212">
        <w:rPr>
          <w:rtl/>
        </w:rPr>
        <w:t>התכנית הלאומית לחניה</w:t>
      </w:r>
      <w:r w:rsidRPr="00047212">
        <w:rPr>
          <w:rFonts w:hint="cs"/>
          <w:rtl/>
        </w:rPr>
        <w:t>", מרץ 2023.</w:t>
      </w:r>
    </w:p>
  </w:footnote>
  <w:footnote w:id="50">
    <w:p w:rsidR="00946518"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אתר המוסד לביטוח לאומי במרשתת, "</w:t>
      </w:r>
      <w:r w:rsidRPr="00047212">
        <w:rPr>
          <w:rFonts w:hint="eastAsia"/>
          <w:rtl/>
        </w:rPr>
        <w:t>תג</w:t>
      </w:r>
      <w:r w:rsidRPr="00047212">
        <w:rPr>
          <w:rtl/>
        </w:rPr>
        <w:t xml:space="preserve"> חניה לנכה</w:t>
      </w:r>
      <w:r w:rsidRPr="00047212">
        <w:rPr>
          <w:rFonts w:hint="cs"/>
          <w:rtl/>
        </w:rPr>
        <w:t>"</w:t>
      </w:r>
      <w:r w:rsidRPr="00047212">
        <w:rPr>
          <w:rtl/>
        </w:rPr>
        <w:t>,</w:t>
      </w:r>
      <w:r w:rsidRPr="00047212">
        <w:rPr>
          <w:rFonts w:hint="cs"/>
          <w:b/>
          <w:bCs/>
          <w:rtl/>
        </w:rPr>
        <w:t xml:space="preserve"> </w:t>
      </w:r>
      <w:r w:rsidRPr="00047212">
        <w:rPr>
          <w:rFonts w:hint="cs"/>
          <w:rtl/>
        </w:rPr>
        <w:t>אוחזר מאתר:</w:t>
      </w:r>
    </w:p>
    <w:p w:rsidR="00047212" w:rsidRPr="00047212" w:rsidP="00A210E9">
      <w:pPr>
        <w:pStyle w:val="FootnoteText"/>
        <w:ind w:firstLine="0"/>
      </w:pPr>
      <w:hyperlink r:id="rId16" w:history="1">
        <w:r w:rsidRPr="00047212">
          <w:rPr>
            <w:rStyle w:val="Hyperlink"/>
            <w:color w:val="auto"/>
            <w:u w:val="none"/>
          </w:rPr>
          <w:t>www.btl.gov.il/benefits/Mobility/Pages/TagHANYA1.aspx</w:t>
        </w:r>
      </w:hyperlink>
      <w:r w:rsidRPr="00047212">
        <w:rPr>
          <w:rFonts w:hint="cs"/>
          <w:rtl/>
        </w:rPr>
        <w:t>,</w:t>
      </w:r>
      <w:r w:rsidRPr="00047212">
        <w:rPr>
          <w:rFonts w:hint="cs"/>
          <w:b/>
          <w:bCs/>
          <w:rtl/>
        </w:rPr>
        <w:t xml:space="preserve"> </w:t>
      </w:r>
      <w:r w:rsidRPr="00047212">
        <w:rPr>
          <w:rFonts w:hint="cs"/>
          <w:rtl/>
        </w:rPr>
        <w:t>אוחזר ב-18.9.25.</w:t>
      </w:r>
      <w:r w:rsidRPr="00047212">
        <w:rPr>
          <w:rFonts w:hint="cs"/>
          <w:b/>
          <w:bCs/>
          <w:rtl/>
        </w:rPr>
        <w:t xml:space="preserve"> </w:t>
      </w:r>
    </w:p>
  </w:footnote>
  <w:footnote w:id="51">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 xml:space="preserve">סעיף </w:t>
      </w:r>
      <w:r w:rsidRPr="00047212">
        <w:rPr>
          <w:rtl/>
        </w:rPr>
        <w:t>71א1</w:t>
      </w:r>
      <w:r w:rsidRPr="00047212">
        <w:rPr>
          <w:rFonts w:hint="cs"/>
          <w:rtl/>
        </w:rPr>
        <w:t xml:space="preserve"> פקודת התעבורה (נוסח חדש)</w:t>
      </w:r>
      <w:r w:rsidRPr="00047212">
        <w:rPr>
          <w:rtl/>
        </w:rPr>
        <w:t>.</w:t>
      </w:r>
      <w:r w:rsidRPr="00047212">
        <w:rPr>
          <w:rFonts w:hint="cs"/>
          <w:rtl/>
        </w:rPr>
        <w:t xml:space="preserve"> יש מקרים נוספים שבהם בעלי תג כיסא גלגלים מקבלים הטבות שבעלי תג רגיל אינם מקבלים. למשל, עמותת הצעד הבא ציינה בתשובתה כי </w:t>
      </w:r>
      <w:r w:rsidRPr="00047212">
        <w:rPr>
          <w:rtl/>
        </w:rPr>
        <w:t>תג כ</w:t>
      </w:r>
      <w:r w:rsidRPr="00047212">
        <w:rPr>
          <w:rFonts w:hint="cs"/>
          <w:rtl/>
        </w:rPr>
        <w:t>י</w:t>
      </w:r>
      <w:r w:rsidRPr="00047212">
        <w:rPr>
          <w:rtl/>
        </w:rPr>
        <w:t xml:space="preserve">סא גלגלים מאפשר </w:t>
      </w:r>
      <w:r w:rsidRPr="00047212">
        <w:rPr>
          <w:rFonts w:hint="cs"/>
          <w:rtl/>
        </w:rPr>
        <w:t>גם שימוש ב</w:t>
      </w:r>
      <w:r w:rsidRPr="00047212">
        <w:rPr>
          <w:rtl/>
        </w:rPr>
        <w:t>חניות נכים קרובות</w:t>
      </w:r>
      <w:r w:rsidRPr="00047212">
        <w:rPr>
          <w:rFonts w:hint="cs"/>
          <w:rtl/>
        </w:rPr>
        <w:t xml:space="preserve"> יותר, </w:t>
      </w:r>
      <w:r w:rsidRPr="00047212">
        <w:rPr>
          <w:rtl/>
        </w:rPr>
        <w:t xml:space="preserve">בייחוד במקומות </w:t>
      </w:r>
      <w:r w:rsidRPr="00047212">
        <w:rPr>
          <w:rFonts w:hint="cs"/>
          <w:rtl/>
        </w:rPr>
        <w:t>ש</w:t>
      </w:r>
      <w:r w:rsidRPr="00047212">
        <w:rPr>
          <w:rtl/>
        </w:rPr>
        <w:t>בה</w:t>
      </w:r>
      <w:r w:rsidRPr="00047212">
        <w:rPr>
          <w:rFonts w:hint="cs"/>
          <w:rtl/>
        </w:rPr>
        <w:t>ם</w:t>
      </w:r>
      <w:r w:rsidRPr="00047212">
        <w:rPr>
          <w:rtl/>
        </w:rPr>
        <w:t xml:space="preserve"> יש מצוקת חניה</w:t>
      </w:r>
      <w:r w:rsidRPr="00047212">
        <w:rPr>
          <w:rFonts w:hint="cs"/>
          <w:rtl/>
        </w:rPr>
        <w:t>,</w:t>
      </w:r>
      <w:r w:rsidRPr="00047212">
        <w:rPr>
          <w:rtl/>
        </w:rPr>
        <w:t xml:space="preserve"> למשל בחופי הים בתל אביב</w:t>
      </w:r>
      <w:r w:rsidRPr="00047212">
        <w:rPr>
          <w:rFonts w:hint="cs"/>
          <w:rtl/>
        </w:rPr>
        <w:t>,</w:t>
      </w:r>
      <w:r w:rsidRPr="00047212">
        <w:rPr>
          <w:rtl/>
        </w:rPr>
        <w:t xml:space="preserve"> </w:t>
      </w:r>
      <w:r w:rsidRPr="00047212">
        <w:rPr>
          <w:rFonts w:hint="cs"/>
          <w:rtl/>
        </w:rPr>
        <w:t>וכן</w:t>
      </w:r>
      <w:r w:rsidRPr="00047212">
        <w:rPr>
          <w:rtl/>
        </w:rPr>
        <w:t xml:space="preserve"> </w:t>
      </w:r>
      <w:r w:rsidRPr="00047212">
        <w:rPr>
          <w:rFonts w:hint="cs"/>
          <w:rtl/>
        </w:rPr>
        <w:t>כניסה</w:t>
      </w:r>
      <w:r w:rsidRPr="00047212">
        <w:rPr>
          <w:rtl/>
        </w:rPr>
        <w:t xml:space="preserve"> לחניונים ציבוריים ללא עלות</w:t>
      </w:r>
      <w:r w:rsidRPr="00047212">
        <w:rPr>
          <w:rFonts w:hint="cs"/>
          <w:rtl/>
        </w:rPr>
        <w:t>, ולעומת זאת</w:t>
      </w:r>
      <w:r w:rsidRPr="00047212">
        <w:rPr>
          <w:rtl/>
        </w:rPr>
        <w:t xml:space="preserve"> </w:t>
      </w:r>
      <w:r w:rsidRPr="00047212">
        <w:rPr>
          <w:rFonts w:hint="cs"/>
          <w:rtl/>
        </w:rPr>
        <w:t xml:space="preserve">בעלי </w:t>
      </w:r>
      <w:r w:rsidRPr="00047212">
        <w:rPr>
          <w:rtl/>
        </w:rPr>
        <w:t xml:space="preserve">תג </w:t>
      </w:r>
      <w:r w:rsidRPr="00047212">
        <w:rPr>
          <w:rFonts w:hint="cs"/>
          <w:rtl/>
        </w:rPr>
        <w:t>רגיל</w:t>
      </w:r>
      <w:r w:rsidRPr="00047212">
        <w:rPr>
          <w:rtl/>
        </w:rPr>
        <w:t xml:space="preserve"> מחויב</w:t>
      </w:r>
      <w:r w:rsidRPr="00047212">
        <w:rPr>
          <w:rFonts w:hint="cs"/>
          <w:rtl/>
        </w:rPr>
        <w:t>ים</w:t>
      </w:r>
      <w:r w:rsidRPr="00047212">
        <w:rPr>
          <w:rtl/>
        </w:rPr>
        <w:t xml:space="preserve"> בתשלום</w:t>
      </w:r>
      <w:r w:rsidRPr="00047212">
        <w:rPr>
          <w:rFonts w:hint="cs"/>
          <w:rtl/>
        </w:rPr>
        <w:t xml:space="preserve"> עבורם</w:t>
      </w:r>
      <w:r w:rsidRPr="00047212">
        <w:rPr>
          <w:rtl/>
        </w:rPr>
        <w:t>.</w:t>
      </w:r>
    </w:p>
  </w:footnote>
  <w:footnote w:id="52">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הכנסת השלוש</w:t>
      </w:r>
      <w:r w:rsidRPr="00047212">
        <w:t xml:space="preserve"> </w:t>
      </w:r>
      <w:r w:rsidRPr="00047212">
        <w:rPr>
          <w:rFonts w:hint="cs"/>
          <w:rtl/>
        </w:rPr>
        <w:t xml:space="preserve">עשרה, מושב שני, ישיבת ועדת הפנים ואיכות הסביבה, פרוטוקול מס' 62, 6.7.93 </w:t>
      </w:r>
    </w:p>
  </w:footnote>
  <w:footnote w:id="53">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hyperlink r:id="rId17" w:history="1">
        <w:r w:rsidRPr="00047212">
          <w:rPr>
            <w:rStyle w:val="Hyperlink"/>
            <w:color w:val="auto"/>
            <w:u w:val="none"/>
            <w:rtl/>
          </w:rPr>
          <w:t>ת"צ</w:t>
        </w:r>
        <w:r w:rsidRPr="00047212">
          <w:rPr>
            <w:rStyle w:val="Hyperlink"/>
            <w:rFonts w:hint="cs"/>
            <w:color w:val="auto"/>
            <w:u w:val="none"/>
            <w:rtl/>
          </w:rPr>
          <w:t xml:space="preserve"> (תל אביב)</w:t>
        </w:r>
        <w:r w:rsidRPr="00047212">
          <w:rPr>
            <w:rStyle w:val="Hyperlink"/>
            <w:color w:val="auto"/>
            <w:u w:val="none"/>
            <w:rtl/>
          </w:rPr>
          <w:t xml:space="preserve"> 57426-05-12</w:t>
        </w:r>
        <w:r w:rsidRPr="00047212">
          <w:rPr>
            <w:rStyle w:val="Hyperlink"/>
            <w:rFonts w:hint="cs"/>
            <w:color w:val="auto"/>
            <w:u w:val="none"/>
            <w:rtl/>
          </w:rPr>
          <w:t>,</w:t>
        </w:r>
        <w:r w:rsidRPr="00047212">
          <w:rPr>
            <w:rStyle w:val="Hyperlink"/>
            <w:color w:val="auto"/>
            <w:u w:val="none"/>
            <w:rtl/>
          </w:rPr>
          <w:t xml:space="preserve"> </w:t>
        </w:r>
        <w:r w:rsidRPr="00047212">
          <w:rPr>
            <w:rStyle w:val="Hyperlink"/>
            <w:b/>
            <w:bCs/>
            <w:color w:val="auto"/>
            <w:u w:val="none"/>
            <w:rtl/>
          </w:rPr>
          <w:t>זכאי נ' אחוזות החוף בע</w:t>
        </w:r>
        <w:r w:rsidR="00946518">
          <w:rPr>
            <w:rStyle w:val="Hyperlink"/>
            <w:rFonts w:hint="cs"/>
            <w:b/>
            <w:bCs/>
            <w:color w:val="auto"/>
            <w:u w:val="none"/>
            <w:rtl/>
          </w:rPr>
          <w:t>"</w:t>
        </w:r>
        <w:r w:rsidRPr="00047212">
          <w:rPr>
            <w:rStyle w:val="Hyperlink"/>
            <w:b/>
            <w:bCs/>
            <w:color w:val="auto"/>
            <w:u w:val="none"/>
            <w:rtl/>
          </w:rPr>
          <w:t>מ</w:t>
        </w:r>
      </w:hyperlink>
      <w:r w:rsidRPr="00047212">
        <w:rPr>
          <w:rFonts w:hint="cs"/>
          <w:rtl/>
        </w:rPr>
        <w:t xml:space="preserve"> (פורסם במאגר ממוחשב, 23.12.15). </w:t>
      </w:r>
    </w:p>
  </w:footnote>
  <w:footnote w:id="54">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t>בג</w:t>
      </w:r>
      <w:r w:rsidR="00946518">
        <w:rPr>
          <w:rFonts w:hint="cs"/>
          <w:rtl/>
        </w:rPr>
        <w:t>"ץ</w:t>
      </w:r>
      <w:r w:rsidRPr="00047212">
        <w:rPr>
          <w:rtl/>
        </w:rPr>
        <w:t xml:space="preserve"> 8735/11</w:t>
      </w:r>
      <w:r w:rsidRPr="00047212">
        <w:rPr>
          <w:rFonts w:hint="cs"/>
          <w:rtl/>
        </w:rPr>
        <w:t xml:space="preserve">, </w:t>
      </w:r>
      <w:r w:rsidRPr="00047212">
        <w:rPr>
          <w:b/>
          <w:bCs/>
          <w:rtl/>
        </w:rPr>
        <w:t xml:space="preserve">העותרת: עמותת נגישות ישראל </w:t>
      </w:r>
      <w:r w:rsidRPr="00047212">
        <w:rPr>
          <w:rFonts w:hint="cs"/>
          <w:b/>
          <w:bCs/>
          <w:rtl/>
        </w:rPr>
        <w:t>נ'</w:t>
      </w:r>
      <w:r w:rsidRPr="00047212">
        <w:rPr>
          <w:b/>
          <w:bCs/>
          <w:rtl/>
        </w:rPr>
        <w:t xml:space="preserve"> המשיבים: 1. שר התחבורה</w:t>
      </w:r>
      <w:r w:rsidRPr="00047212">
        <w:rPr>
          <w:rFonts w:hint="cs"/>
          <w:b/>
          <w:bCs/>
          <w:rtl/>
        </w:rPr>
        <w:t xml:space="preserve"> </w:t>
      </w:r>
      <w:r w:rsidRPr="00047212">
        <w:rPr>
          <w:b/>
          <w:bCs/>
          <w:rtl/>
        </w:rPr>
        <w:t>2. מנהל אגף הרישוי במשרד התחבורה</w:t>
      </w:r>
      <w:r w:rsidRPr="00047212">
        <w:rPr>
          <w:rFonts w:hint="cs"/>
          <w:b/>
          <w:bCs/>
          <w:rtl/>
        </w:rPr>
        <w:t xml:space="preserve"> </w:t>
      </w:r>
      <w:r w:rsidRPr="00047212">
        <w:rPr>
          <w:b/>
          <w:bCs/>
          <w:rtl/>
        </w:rPr>
        <w:t>3. מנהל אגף תכנון תחבורתי במשרד התחבורה</w:t>
      </w:r>
      <w:r w:rsidRPr="00047212">
        <w:rPr>
          <w:rFonts w:hint="cs"/>
          <w:rtl/>
        </w:rPr>
        <w:t xml:space="preserve"> </w:t>
      </w:r>
      <w:r w:rsidR="00946518">
        <w:rPr>
          <w:rFonts w:hint="cs"/>
          <w:rtl/>
        </w:rPr>
        <w:t>(</w:t>
      </w:r>
      <w:r w:rsidRPr="00047212">
        <w:rPr>
          <w:rFonts w:hint="cs"/>
          <w:rtl/>
        </w:rPr>
        <w:t>פורסם במאגר ממוחשב, 9.5.12</w:t>
      </w:r>
      <w:r w:rsidR="00946518">
        <w:rPr>
          <w:rFonts w:hint="cs"/>
          <w:rtl/>
        </w:rPr>
        <w:t>)</w:t>
      </w:r>
      <w:r w:rsidRPr="00047212">
        <w:rPr>
          <w:rFonts w:hint="cs"/>
          <w:rtl/>
        </w:rPr>
        <w:t>.</w:t>
      </w:r>
    </w:p>
  </w:footnote>
  <w:footnote w:id="55">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על פי מערכת נכים של משרד התחבורה.</w:t>
      </w:r>
    </w:p>
  </w:footnote>
  <w:footnote w:id="56">
    <w:p w:rsidR="00047212" w:rsidRPr="00047212" w:rsidP="00A210E9">
      <w:pPr>
        <w:pStyle w:val="FootnoteText"/>
      </w:pPr>
      <w:r w:rsidRPr="00047212">
        <w:rPr>
          <w:rStyle w:val="FootnoteReference1"/>
        </w:rPr>
        <w:footnoteRef/>
      </w:r>
      <w:r w:rsidRPr="00047212">
        <w:rPr>
          <w:rtl/>
        </w:rPr>
        <w:t xml:space="preserve"> </w:t>
      </w:r>
      <w:r w:rsidRPr="00047212">
        <w:rPr>
          <w:rtl/>
        </w:rPr>
        <w:tab/>
        <w:t xml:space="preserve">תג חניה זמני לפצועי מלחמת </w:t>
      </w:r>
      <w:r w:rsidRPr="00047212">
        <w:rPr>
          <w:rFonts w:hint="cs"/>
          <w:rtl/>
        </w:rPr>
        <w:t>חרבות ברזל</w:t>
      </w:r>
      <w:r w:rsidRPr="00047212">
        <w:rPr>
          <w:rtl/>
        </w:rPr>
        <w:t xml:space="preserve"> אשר טרם עברו ועדה רפואית:</w:t>
      </w:r>
      <w:r w:rsidRPr="00047212">
        <w:rPr>
          <w:rFonts w:hint="cs"/>
          <w:rtl/>
        </w:rPr>
        <w:t xml:space="preserve"> פ</w:t>
      </w:r>
      <w:r w:rsidRPr="00047212">
        <w:rPr>
          <w:rtl/>
        </w:rPr>
        <w:t xml:space="preserve">גיעה בגפיים תחתונות </w:t>
      </w:r>
      <w:r w:rsidRPr="00047212">
        <w:rPr>
          <w:rFonts w:hint="cs"/>
          <w:rtl/>
        </w:rPr>
        <w:t>או ב</w:t>
      </w:r>
      <w:r w:rsidRPr="00047212">
        <w:rPr>
          <w:rtl/>
        </w:rPr>
        <w:t xml:space="preserve">מערכת </w:t>
      </w:r>
      <w:r w:rsidRPr="00047212">
        <w:rPr>
          <w:rFonts w:hint="cs"/>
          <w:rtl/>
        </w:rPr>
        <w:t>ה</w:t>
      </w:r>
      <w:r w:rsidRPr="00047212">
        <w:rPr>
          <w:rtl/>
        </w:rPr>
        <w:t>לוקומוטורית</w:t>
      </w:r>
      <w:r w:rsidRPr="00047212">
        <w:rPr>
          <w:rFonts w:hint="cs"/>
          <w:rtl/>
        </w:rPr>
        <w:t>,</w:t>
      </w:r>
      <w:r w:rsidRPr="00047212">
        <w:rPr>
          <w:rtl/>
        </w:rPr>
        <w:t xml:space="preserve"> המלווה במגבלה משמעותית בכושר הניידות</w:t>
      </w:r>
      <w:r w:rsidRPr="00047212">
        <w:rPr>
          <w:rFonts w:hint="cs"/>
          <w:rtl/>
        </w:rPr>
        <w:t xml:space="preserve">; </w:t>
      </w:r>
      <w:r w:rsidRPr="00047212">
        <w:rPr>
          <w:rtl/>
        </w:rPr>
        <w:t xml:space="preserve">פגיעה במערכת כלי דם </w:t>
      </w:r>
      <w:r w:rsidRPr="00047212">
        <w:rPr>
          <w:rFonts w:hint="cs"/>
          <w:rtl/>
        </w:rPr>
        <w:t>או</w:t>
      </w:r>
      <w:r w:rsidRPr="00047212">
        <w:rPr>
          <w:rtl/>
        </w:rPr>
        <w:t xml:space="preserve"> </w:t>
      </w:r>
      <w:r w:rsidRPr="00047212">
        <w:rPr>
          <w:rFonts w:hint="cs"/>
          <w:rtl/>
        </w:rPr>
        <w:t>ב</w:t>
      </w:r>
      <w:r w:rsidRPr="00047212">
        <w:rPr>
          <w:rtl/>
        </w:rPr>
        <w:t>נשימה עם מגבלה משמעותית בכושר הניידות</w:t>
      </w:r>
      <w:r w:rsidRPr="00047212">
        <w:rPr>
          <w:rFonts w:hint="cs"/>
          <w:rtl/>
        </w:rPr>
        <w:t xml:space="preserve">; </w:t>
      </w:r>
      <w:r w:rsidRPr="00047212">
        <w:rPr>
          <w:rtl/>
        </w:rPr>
        <w:t>עיוורון</w:t>
      </w:r>
      <w:r w:rsidRPr="00047212">
        <w:rPr>
          <w:rFonts w:hint="cs"/>
          <w:rtl/>
        </w:rPr>
        <w:t xml:space="preserve">; </w:t>
      </w:r>
      <w:r w:rsidRPr="00047212">
        <w:rPr>
          <w:rtl/>
        </w:rPr>
        <w:t xml:space="preserve">פגיעת ראש עם </w:t>
      </w:r>
      <w:r w:rsidRPr="00047212">
        <w:rPr>
          <w:rFonts w:hint="cs"/>
          <w:rtl/>
        </w:rPr>
        <w:t>מוגבלות ניכרת</w:t>
      </w:r>
      <w:r w:rsidRPr="00047212">
        <w:rPr>
          <w:rtl/>
        </w:rPr>
        <w:t xml:space="preserve"> בכושר הניידות.</w:t>
      </w:r>
    </w:p>
  </w:footnote>
  <w:footnote w:id="57">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עיוור, דמנטי, פרהפלג, קוודריפלג, המיפרזיס קשה, אימפוטנצי</w:t>
      </w:r>
      <w:r w:rsidRPr="00047212">
        <w:rPr>
          <w:rFonts w:hint="eastAsia"/>
          <w:rtl/>
        </w:rPr>
        <w:t>ה</w:t>
      </w:r>
      <w:r w:rsidRPr="00047212">
        <w:rPr>
          <w:rFonts w:hint="cs"/>
          <w:rtl/>
        </w:rPr>
        <w:t xml:space="preserve"> של 2 רגליים מעל לברך, חולה דיאליזה, חולה פרקינסון הזקוק לאביזרים מיוחדים לנהיגה לאור חומרת מחלתו, חולה ראומטואיד ארטריטיס עם אביזרים מיוחדים לנהיגה לאור חומרת מחלתו, חולי טרשת נפוצה עם הפרעות בשיווי משקל וקואורדינציה וחולי </w:t>
      </w:r>
      <w:r w:rsidRPr="00047212">
        <w:t>Progressive Muscular Dystrophy</w:t>
      </w:r>
      <w:r w:rsidRPr="00047212">
        <w:rPr>
          <w:rFonts w:hint="cs"/>
          <w:rtl/>
        </w:rPr>
        <w:t xml:space="preserve"> עם ליקוי קשה בתפקוד. במקרים קשים יינתן האישור למלווה.</w:t>
      </w:r>
    </w:p>
  </w:footnote>
  <w:footnote w:id="58">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ועדת הכלכלה של הכנסת</w:t>
      </w:r>
      <w:r w:rsidRPr="00047212">
        <w:rPr>
          <w:rFonts w:hint="cs"/>
          <w:b/>
          <w:bCs/>
          <w:rtl/>
        </w:rPr>
        <w:t xml:space="preserve">, </w:t>
      </w:r>
      <w:r w:rsidRPr="00047212">
        <w:rPr>
          <w:rFonts w:hint="cs"/>
          <w:rtl/>
        </w:rPr>
        <w:t>"</w:t>
      </w:r>
      <w:r w:rsidRPr="00047212">
        <w:rPr>
          <w:rtl/>
        </w:rPr>
        <w:t>עיכוב בפרסום הנוהל החדש להגשת בקשות בדבר זכאות רפואית לתג חניה לנכה</w:t>
      </w:r>
      <w:r w:rsidRPr="00047212">
        <w:rPr>
          <w:rFonts w:hint="cs"/>
          <w:rtl/>
        </w:rPr>
        <w:t>", 17.9.25. אחזור מאתר:</w:t>
      </w:r>
    </w:p>
    <w:p w:rsidR="00047212" w:rsidRPr="00047212" w:rsidP="00A210E9">
      <w:pPr>
        <w:pStyle w:val="FootnoteText"/>
        <w:ind w:firstLine="0"/>
        <w:rPr>
          <w:rtl/>
        </w:rPr>
      </w:pPr>
      <w:hyperlink r:id="rId8" w:history="1">
        <w:r w:rsidRPr="00047212">
          <w:rPr>
            <w:rStyle w:val="Hyperlink"/>
            <w:color w:val="auto"/>
            <w:u w:val="none"/>
          </w:rPr>
          <w:t>main.knesset.gov.il/Activity/committees/Economics/Pages/CommitteeTVarchive.aspx?TopicID=31529</w:t>
        </w:r>
      </w:hyperlink>
      <w:r w:rsidRPr="00047212">
        <w:rPr>
          <w:rFonts w:hint="cs"/>
          <w:rtl/>
        </w:rPr>
        <w:t xml:space="preserve"> </w:t>
      </w:r>
    </w:p>
  </w:footnote>
  <w:footnote w:id="59">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ועדת הכלכלה של הכנסת, "מדיניות משרד התחבורה בנושא תגי חניה לנכים", הקלטת וידאו, 7.12.20, אוחזר ב-3.2.25.</w:t>
      </w:r>
    </w:p>
  </w:footnote>
  <w:footnote w:id="60">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t xml:space="preserve">הצעת חוק חניה לנכים (תיקון </w:t>
      </w:r>
      <w:r w:rsidRPr="00047212">
        <w:rPr>
          <w:rFonts w:hint="cs"/>
          <w:rtl/>
        </w:rPr>
        <w:t>-</w:t>
      </w:r>
      <w:r w:rsidRPr="00047212">
        <w:rPr>
          <w:rtl/>
        </w:rPr>
        <w:t xml:space="preserve"> זכאות תג נכה לצמיתות), התשפ"ג</w:t>
      </w:r>
      <w:r w:rsidRPr="00047212">
        <w:rPr>
          <w:rFonts w:hint="cs"/>
          <w:rtl/>
        </w:rPr>
        <w:t xml:space="preserve">-2023; </w:t>
      </w:r>
      <w:r w:rsidRPr="00047212">
        <w:rPr>
          <w:rtl/>
          <w:lang w:eastAsia="he-IL"/>
        </w:rPr>
        <w:t xml:space="preserve">הצעת חוק חניה לנכים (תיקון </w:t>
      </w:r>
      <w:r w:rsidRPr="00047212">
        <w:rPr>
          <w:rFonts w:hint="cs"/>
          <w:rtl/>
          <w:lang w:eastAsia="he-IL"/>
        </w:rPr>
        <w:t>-</w:t>
      </w:r>
      <w:r w:rsidRPr="00047212">
        <w:rPr>
          <w:rtl/>
          <w:lang w:eastAsia="he-IL"/>
        </w:rPr>
        <w:t xml:space="preserve"> זכאות תג נכה לצמיתות), התשפ"ד</w:t>
      </w:r>
      <w:r w:rsidRPr="00047212">
        <w:rPr>
          <w:rFonts w:hint="cs"/>
          <w:rtl/>
          <w:lang w:eastAsia="he-IL"/>
        </w:rPr>
        <w:t>-2024.</w:t>
      </w:r>
    </w:p>
  </w:footnote>
  <w:footnote w:id="61">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 xml:space="preserve">דיון במליאת הכנסת, </w:t>
      </w:r>
      <w:bookmarkStart w:id="28" w:name="_Toc171545920"/>
      <w:r w:rsidRPr="00047212">
        <w:rPr>
          <w:rtl/>
        </w:rPr>
        <w:t>ישיבה</w:t>
      </w:r>
      <w:r w:rsidRPr="00047212">
        <w:rPr>
          <w:rFonts w:hint="cs"/>
          <w:rtl/>
        </w:rPr>
        <w:t xml:space="preserve"> 191</w:t>
      </w:r>
      <w:r w:rsidRPr="00047212">
        <w:rPr>
          <w:rtl/>
        </w:rPr>
        <w:t xml:space="preserve"> של הכנסת ה</w:t>
      </w:r>
      <w:r w:rsidRPr="00047212">
        <w:rPr>
          <w:rFonts w:hint="cs"/>
          <w:rtl/>
        </w:rPr>
        <w:t>-25</w:t>
      </w:r>
      <w:bookmarkEnd w:id="28"/>
      <w:r w:rsidRPr="00047212">
        <w:rPr>
          <w:rFonts w:hint="cs"/>
          <w:rtl/>
        </w:rPr>
        <w:t xml:space="preserve">, 10.7.24. </w:t>
      </w:r>
    </w:p>
  </w:footnote>
  <w:footnote w:id="62">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 xml:space="preserve">בחלק מהשנים אושר לכלל אוכלוסייה זו תג חניה לצמיתות. נכון למועד סיום הביקורת משרד התחבורה בודק באופן פרטני את הצורך במתן תג חניה לאנשים על הספקטרום האוטיסטי. </w:t>
      </w:r>
    </w:p>
  </w:footnote>
  <w:footnote w:id="63">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ראו גם להלן בפרק "שיתוף גופים נוספים הרלוונטיים למתן תגי חניה והשימוש בהם".</w:t>
      </w:r>
    </w:p>
  </w:footnote>
  <w:footnote w:id="64">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מכוח אחריותה וסמכותה של הנציבות על פי חוק שוויון זכויות.</w:t>
      </w:r>
    </w:p>
  </w:footnote>
  <w:footnote w:id="65">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נוהל 2/2015 של אגף הרישוי, "</w:t>
      </w:r>
      <w:r w:rsidRPr="00047212">
        <w:rPr>
          <w:rtl/>
        </w:rPr>
        <w:t>הטיפול במוגבלי ניידות</w:t>
      </w:r>
      <w:r w:rsidRPr="00047212">
        <w:rPr>
          <w:rFonts w:hint="cs"/>
          <w:rtl/>
        </w:rPr>
        <w:t xml:space="preserve">, </w:t>
      </w:r>
      <w:r w:rsidRPr="00047212">
        <w:rPr>
          <w:rtl/>
        </w:rPr>
        <w:t>קבלת תג לנכה</w:t>
      </w:r>
      <w:r w:rsidRPr="00047212">
        <w:rPr>
          <w:rFonts w:hint="cs"/>
          <w:rtl/>
        </w:rPr>
        <w:t xml:space="preserve">, </w:t>
      </w:r>
      <w:r w:rsidRPr="00047212">
        <w:rPr>
          <w:rtl/>
        </w:rPr>
        <w:t>אגרת רישוי מופחתת</w:t>
      </w:r>
      <w:r w:rsidRPr="00047212">
        <w:rPr>
          <w:rFonts w:hint="cs"/>
          <w:rtl/>
        </w:rPr>
        <w:t xml:space="preserve">" </w:t>
      </w:r>
      <w:r w:rsidRPr="00047212">
        <w:rPr>
          <w:rtl/>
        </w:rPr>
        <w:t>(2022)</w:t>
      </w:r>
      <w:r w:rsidRPr="00047212">
        <w:rPr>
          <w:rFonts w:hint="cs"/>
          <w:b/>
          <w:bCs/>
          <w:rtl/>
        </w:rPr>
        <w:t xml:space="preserve">. </w:t>
      </w:r>
      <w:r w:rsidRPr="00047212">
        <w:rPr>
          <w:rFonts w:hint="cs"/>
          <w:rtl/>
        </w:rPr>
        <w:t xml:space="preserve">אף שמספר הנוהל מעיד כי הוא אושר בשנת 2015, התאריך המופיע בראשו הוא 2022 ובגוף הנוהל מצוין כי הוא בתוקף משנת 2011. כמו כן, התאריך העברי המופיע עליו הוא משנת 2010. על כן, לא ברור מאיזו שנה הנוהל תקף ולמתי הוא מעודכן. </w:t>
      </w:r>
    </w:p>
  </w:footnote>
  <w:footnote w:id="66">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 xml:space="preserve">רכב יכול להיות רשום על שמם של האנשים האלה: </w:t>
      </w:r>
      <w:r w:rsidRPr="00047212">
        <w:rPr>
          <w:rtl/>
        </w:rPr>
        <w:t>בן</w:t>
      </w:r>
      <w:r w:rsidRPr="00047212">
        <w:rPr>
          <w:rFonts w:hint="cs"/>
          <w:rtl/>
        </w:rPr>
        <w:t xml:space="preserve"> זוג או </w:t>
      </w:r>
      <w:r w:rsidRPr="00047212">
        <w:rPr>
          <w:rtl/>
        </w:rPr>
        <w:t>בת זוג</w:t>
      </w:r>
      <w:r w:rsidRPr="00047212">
        <w:rPr>
          <w:rFonts w:hint="cs"/>
          <w:rtl/>
        </w:rPr>
        <w:t>, הורים ו</w:t>
      </w:r>
      <w:r w:rsidRPr="00047212">
        <w:rPr>
          <w:rtl/>
        </w:rPr>
        <w:t>בן</w:t>
      </w:r>
      <w:r w:rsidRPr="00047212">
        <w:rPr>
          <w:rFonts w:hint="cs"/>
          <w:rtl/>
        </w:rPr>
        <w:t xml:space="preserve"> או </w:t>
      </w:r>
      <w:r w:rsidRPr="00047212">
        <w:rPr>
          <w:rtl/>
        </w:rPr>
        <w:t>בת של הנכה.</w:t>
      </w:r>
    </w:p>
  </w:footnote>
  <w:footnote w:id="67">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הכנסת, מחלקת מידע ומחקר, "</w:t>
      </w:r>
      <w:r w:rsidRPr="00047212">
        <w:rPr>
          <w:rtl/>
        </w:rPr>
        <w:t>זמינות מקומות חניה לנכים</w:t>
      </w:r>
      <w:r w:rsidRPr="00047212">
        <w:rPr>
          <w:rFonts w:hint="cs"/>
          <w:rtl/>
        </w:rPr>
        <w:t>", יולי 2006</w:t>
      </w:r>
    </w:p>
  </w:footnote>
  <w:footnote w:id="68">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הצוות בחן את סוגיית הקריטריונים לזכאות לתגי החניה. הצוות הוקם בשנת 2022 והגיש את המלצותיו בשנת 2023.</w:t>
      </w:r>
    </w:p>
  </w:footnote>
  <w:footnote w:id="69">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 xml:space="preserve">המדינות שנבדקו בהשוואה הבינלאומית: </w:t>
      </w:r>
      <w:r w:rsidRPr="00047212">
        <w:rPr>
          <w:rtl/>
        </w:rPr>
        <w:t>אוסטריה, אוסטרליה, אנגליה, ארה"ב, בלגיה, גרמניה, דנמרק, הולנד, נורבגיה, ספרד, סקוטלנד, פורטוגל, צרפת, קנדה ושוויץ</w:t>
      </w:r>
      <w:r w:rsidRPr="00047212">
        <w:rPr>
          <w:rFonts w:hint="cs"/>
          <w:rtl/>
        </w:rPr>
        <w:t>.</w:t>
      </w:r>
    </w:p>
  </w:footnote>
  <w:footnote w:id="70">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 xml:space="preserve">לפי תמרור 437 - </w:t>
      </w:r>
      <w:r w:rsidRPr="00047212">
        <w:rPr>
          <w:rtl/>
        </w:rPr>
        <w:t>"חניה בלעדית לרכב של נכה - משותק רגליים"</w:t>
      </w:r>
      <w:r w:rsidRPr="00047212">
        <w:rPr>
          <w:rFonts w:hint="cs"/>
          <w:rtl/>
        </w:rPr>
        <w:t xml:space="preserve">. </w:t>
      </w:r>
    </w:p>
  </w:footnote>
  <w:footnote w:id="71">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סעיף 2 לחוק חניה לנכים.</w:t>
      </w:r>
    </w:p>
  </w:footnote>
  <w:footnote w:id="72">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t xml:space="preserve">ראו </w:t>
      </w:r>
      <w:r w:rsidRPr="00047212">
        <w:rPr>
          <w:rFonts w:hint="cs"/>
          <w:rtl/>
        </w:rPr>
        <w:t xml:space="preserve">פירוט </w:t>
      </w:r>
      <w:r w:rsidRPr="00047212">
        <w:rPr>
          <w:rtl/>
        </w:rPr>
        <w:t xml:space="preserve">להלן בפרק </w:t>
      </w:r>
      <w:r w:rsidRPr="00047212">
        <w:rPr>
          <w:rFonts w:hint="cs"/>
          <w:rtl/>
        </w:rPr>
        <w:t>"</w:t>
      </w:r>
      <w:r w:rsidRPr="00047212">
        <w:rPr>
          <w:rtl/>
        </w:rPr>
        <w:t>אכיפ</w:t>
      </w:r>
      <w:r w:rsidRPr="00047212">
        <w:rPr>
          <w:rFonts w:hint="cs"/>
          <w:rtl/>
        </w:rPr>
        <w:t xml:space="preserve">ה של </w:t>
      </w:r>
      <w:r w:rsidRPr="00047212">
        <w:rPr>
          <w:rtl/>
        </w:rPr>
        <w:t xml:space="preserve">הרשויות המקומיות ומשטרת ישראל </w:t>
      </w:r>
      <w:r w:rsidRPr="00047212">
        <w:rPr>
          <w:rFonts w:hint="cs"/>
          <w:rtl/>
        </w:rPr>
        <w:t>בנוגע ל</w:t>
      </w:r>
      <w:r w:rsidRPr="00047212">
        <w:rPr>
          <w:rtl/>
        </w:rPr>
        <w:t>שימוש בתג חניה לנכ</w:t>
      </w:r>
      <w:r w:rsidRPr="00047212">
        <w:rPr>
          <w:rFonts w:hint="cs"/>
          <w:rtl/>
        </w:rPr>
        <w:t>ה".</w:t>
      </w:r>
    </w:p>
  </w:footnote>
  <w:footnote w:id="73">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מתוקף אחריותו של שר התחבורה כממונה על חוק חניה לנכים.</w:t>
      </w:r>
    </w:p>
  </w:footnote>
  <w:footnote w:id="74">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 xml:space="preserve">סעיף </w:t>
      </w:r>
      <w:r w:rsidRPr="00047212">
        <w:rPr>
          <w:rtl/>
        </w:rPr>
        <w:t>71א1</w:t>
      </w:r>
      <w:r w:rsidRPr="00047212">
        <w:rPr>
          <w:rFonts w:hint="cs"/>
          <w:rtl/>
        </w:rPr>
        <w:t xml:space="preserve"> לפקודת התעבורה (נוסח חדש)</w:t>
      </w:r>
      <w:r w:rsidRPr="00047212">
        <w:rPr>
          <w:rtl/>
        </w:rPr>
        <w:t xml:space="preserve">. </w:t>
      </w:r>
    </w:p>
  </w:footnote>
  <w:footnote w:id="75">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ascii="David" w:eastAsia="Times New Roman" w:hAnsi="David" w:hint="cs"/>
          <w:sz w:val="24"/>
          <w:rtl/>
        </w:rPr>
        <w:t>ראו להלן הרחבה בפרק "</w:t>
      </w:r>
      <w:r w:rsidRPr="00047212">
        <w:rPr>
          <w:rFonts w:hint="cs"/>
          <w:rtl/>
        </w:rPr>
        <w:t>חניה חינם בכחול לבן</w:t>
      </w:r>
      <w:r w:rsidRPr="00047212">
        <w:rPr>
          <w:rFonts w:ascii="David" w:hAnsi="David" w:hint="cs"/>
          <w:rtl/>
        </w:rPr>
        <w:t>"</w:t>
      </w:r>
      <w:r w:rsidRPr="00047212">
        <w:rPr>
          <w:rFonts w:hint="cs"/>
          <w:rtl/>
        </w:rPr>
        <w:t>.</w:t>
      </w:r>
    </w:p>
  </w:footnote>
  <w:footnote w:id="76">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מתוקף אחריותו של שר התחבורה כממונה על חוק חניה לנכים.</w:t>
      </w:r>
    </w:p>
  </w:footnote>
  <w:footnote w:id="77">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 xml:space="preserve">על פי הוראת </w:t>
      </w:r>
      <w:r w:rsidRPr="00047212">
        <w:rPr>
          <w:rFonts w:hint="eastAsia"/>
          <w:rtl/>
        </w:rPr>
        <w:t>נוהל</w:t>
      </w:r>
      <w:r w:rsidRPr="00047212">
        <w:rPr>
          <w:rtl/>
        </w:rPr>
        <w:t xml:space="preserve"> מס' 2/2015 של משרד התחבורה מינואר 2022</w:t>
      </w:r>
      <w:r w:rsidRPr="00047212">
        <w:rPr>
          <w:rFonts w:hint="cs"/>
          <w:rtl/>
        </w:rPr>
        <w:t>, ההנחה ניתנת עבור ר</w:t>
      </w:r>
      <w:r w:rsidRPr="00047212">
        <w:rPr>
          <w:rtl/>
        </w:rPr>
        <w:t>כב נוסעים פרטי, רכב פרטי דו-שימושי, רכב מסחרי שמשקלו הכולל אינו עולה על 5</w:t>
      </w:r>
      <w:r w:rsidRPr="00047212">
        <w:rPr>
          <w:rFonts w:hint="cs"/>
          <w:rtl/>
        </w:rPr>
        <w:t>,</w:t>
      </w:r>
      <w:r w:rsidRPr="00047212">
        <w:rPr>
          <w:rtl/>
        </w:rPr>
        <w:t>000 ק"ג, אוטובוס זעיר פרטי או</w:t>
      </w:r>
      <w:r w:rsidRPr="00047212">
        <w:rPr>
          <w:rFonts w:hint="cs"/>
          <w:rtl/>
        </w:rPr>
        <w:t xml:space="preserve"> </w:t>
      </w:r>
      <w:r w:rsidRPr="00047212">
        <w:rPr>
          <w:rtl/>
        </w:rPr>
        <w:t xml:space="preserve">אופנוע </w:t>
      </w:r>
      <w:r w:rsidRPr="00047212">
        <w:rPr>
          <w:rFonts w:hint="cs"/>
          <w:rtl/>
        </w:rPr>
        <w:t xml:space="preserve">שאינו </w:t>
      </w:r>
      <w:r w:rsidRPr="00047212">
        <w:rPr>
          <w:rtl/>
        </w:rPr>
        <w:t>משמש לצורכי עסק או מסחר</w:t>
      </w:r>
      <w:r w:rsidRPr="00047212">
        <w:rPr>
          <w:rFonts w:hint="cs"/>
          <w:rtl/>
        </w:rPr>
        <w:t xml:space="preserve">. </w:t>
      </w:r>
      <w:r w:rsidRPr="00047212">
        <w:rPr>
          <w:rFonts w:ascii="David" w:hAnsi="David"/>
          <w:rtl/>
        </w:rPr>
        <w:t>נכה שהוא בעל מונית</w:t>
      </w:r>
      <w:r w:rsidRPr="00047212">
        <w:rPr>
          <w:rFonts w:ascii="David" w:hAnsi="David" w:hint="cs"/>
          <w:rtl/>
        </w:rPr>
        <w:t xml:space="preserve"> או שוכר רכב מחברת השכרה</w:t>
      </w:r>
      <w:r w:rsidRPr="00047212">
        <w:rPr>
          <w:rFonts w:ascii="David" w:hAnsi="David"/>
          <w:rtl/>
        </w:rPr>
        <w:t xml:space="preserve"> זכאי אך ורק לתג</w:t>
      </w:r>
      <w:r w:rsidRPr="00047212">
        <w:rPr>
          <w:rFonts w:ascii="David" w:hAnsi="David" w:hint="cs"/>
          <w:rtl/>
        </w:rPr>
        <w:t xml:space="preserve"> </w:t>
      </w:r>
      <w:r w:rsidRPr="00047212">
        <w:rPr>
          <w:rFonts w:ascii="David" w:hAnsi="David"/>
          <w:rtl/>
        </w:rPr>
        <w:t xml:space="preserve">נכה </w:t>
      </w:r>
      <w:r w:rsidRPr="00047212">
        <w:rPr>
          <w:rFonts w:ascii="David" w:hAnsi="David" w:hint="cs"/>
          <w:rtl/>
        </w:rPr>
        <w:t>ו</w:t>
      </w:r>
      <w:r w:rsidRPr="00047212">
        <w:rPr>
          <w:rFonts w:ascii="David" w:hAnsi="David"/>
          <w:rtl/>
        </w:rPr>
        <w:t>אינו זכאי לאגרת רישוי</w:t>
      </w:r>
      <w:r w:rsidRPr="00047212">
        <w:rPr>
          <w:rFonts w:ascii="David" w:hAnsi="David" w:hint="cs"/>
          <w:rtl/>
        </w:rPr>
        <w:t xml:space="preserve"> </w:t>
      </w:r>
      <w:r w:rsidRPr="00047212">
        <w:rPr>
          <w:rFonts w:ascii="David" w:hAnsi="David"/>
          <w:rtl/>
        </w:rPr>
        <w:t>מופחתת</w:t>
      </w:r>
      <w:r w:rsidRPr="00047212">
        <w:rPr>
          <w:rFonts w:ascii="David" w:hAnsi="David" w:hint="cs"/>
          <w:rtl/>
        </w:rPr>
        <w:t>.</w:t>
      </w:r>
    </w:p>
  </w:footnote>
  <w:footnote w:id="78">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 xml:space="preserve">אתר משרד התחבורה במרשתת, </w:t>
      </w:r>
      <w:hyperlink r:id="rId18" w:history="1">
        <w:r w:rsidRPr="00047212">
          <w:rPr>
            <w:rStyle w:val="Hyperlink"/>
            <w:color w:val="auto"/>
            <w:u w:val="none"/>
          </w:rPr>
          <w:t>www.gov.il/he/pages/drivers-car-license-fee-boards</w:t>
        </w:r>
      </w:hyperlink>
      <w:r w:rsidRPr="00047212">
        <w:rPr>
          <w:rFonts w:hint="cs"/>
          <w:rtl/>
        </w:rPr>
        <w:t xml:space="preserve">, אוחזר </w:t>
      </w:r>
      <w:r w:rsidR="008529F8">
        <w:rPr>
          <w:rFonts w:eastAsia="Calibri"/>
          <w:rtl/>
        </w:rPr>
        <w:br/>
      </w:r>
      <w:r w:rsidRPr="00047212">
        <w:rPr>
          <w:rFonts w:hint="cs"/>
          <w:rtl/>
        </w:rPr>
        <w:t>ב-8.7.25.</w:t>
      </w:r>
    </w:p>
  </w:footnote>
  <w:footnote w:id="79">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ascii="David" w:hAnsi="David" w:hint="cs"/>
          <w:rtl/>
        </w:rPr>
        <w:t>בדיון של צוות 2024 באוקטובר 2024 ציין יו"ר הוועדה כי "</w:t>
      </w:r>
      <w:r w:rsidRPr="00047212">
        <w:rPr>
          <w:rFonts w:ascii="David" w:hAnsi="David"/>
          <w:rtl/>
        </w:rPr>
        <w:t xml:space="preserve">הפסד </w:t>
      </w:r>
      <w:r w:rsidRPr="00047212">
        <w:rPr>
          <w:rFonts w:ascii="David" w:hAnsi="David" w:hint="cs"/>
          <w:rtl/>
        </w:rPr>
        <w:t>ה</w:t>
      </w:r>
      <w:r w:rsidRPr="00047212">
        <w:rPr>
          <w:rFonts w:ascii="David" w:hAnsi="David"/>
          <w:rtl/>
        </w:rPr>
        <w:t xml:space="preserve">הכנסות למדינה </w:t>
      </w:r>
      <w:r w:rsidRPr="00047212">
        <w:rPr>
          <w:rFonts w:ascii="David" w:hAnsi="David" w:hint="cs"/>
          <w:rtl/>
        </w:rPr>
        <w:t xml:space="preserve">[בגין אגרת הרישוי המופחתת] </w:t>
      </w:r>
      <w:r w:rsidRPr="00047212">
        <w:rPr>
          <w:rFonts w:ascii="David" w:hAnsi="David"/>
          <w:rtl/>
        </w:rPr>
        <w:t xml:space="preserve">הוא למעלה ממיליארד </w:t>
      </w:r>
      <w:r w:rsidRPr="00047212">
        <w:rPr>
          <w:rFonts w:ascii="David" w:hAnsi="David" w:hint="cs"/>
          <w:rtl/>
        </w:rPr>
        <w:t>ש"ח</w:t>
      </w:r>
      <w:r w:rsidRPr="00047212">
        <w:rPr>
          <w:rFonts w:ascii="David" w:hAnsi="David"/>
          <w:rtl/>
        </w:rPr>
        <w:t xml:space="preserve"> בשנה</w:t>
      </w:r>
      <w:r w:rsidRPr="00047212">
        <w:rPr>
          <w:rFonts w:ascii="David" w:hAnsi="David" w:hint="cs"/>
          <w:rtl/>
        </w:rPr>
        <w:t>".</w:t>
      </w:r>
    </w:p>
  </w:footnote>
  <w:footnote w:id="80">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 xml:space="preserve">למשל - פורשה גרמניה </w:t>
      </w:r>
      <w:r w:rsidRPr="00047212">
        <w:t>Cayman 718</w:t>
      </w:r>
      <w:r w:rsidRPr="00047212">
        <w:rPr>
          <w:rFonts w:hint="cs"/>
          <w:rtl/>
        </w:rPr>
        <w:t xml:space="preserve"> 2022.</w:t>
      </w:r>
    </w:p>
  </w:footnote>
  <w:footnote w:id="81">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 xml:space="preserve">למשל - האמר </w:t>
      </w:r>
      <w:r w:rsidRPr="00047212">
        <w:rPr>
          <w:rFonts w:hint="cs"/>
        </w:rPr>
        <w:t>EV</w:t>
      </w:r>
      <w:r w:rsidRPr="00047212">
        <w:rPr>
          <w:rFonts w:hint="cs"/>
          <w:rtl/>
        </w:rPr>
        <w:t xml:space="preserve"> 2024.</w:t>
      </w:r>
    </w:p>
  </w:footnote>
  <w:footnote w:id="82">
    <w:p w:rsidR="00047212" w:rsidRPr="00047212" w:rsidP="00A210E9">
      <w:pPr>
        <w:pStyle w:val="FootnoteText"/>
        <w:spacing w:line="240" w:lineRule="atLeast"/>
        <w:jc w:val="left"/>
        <w:rPr>
          <w:rtl/>
        </w:rPr>
      </w:pPr>
      <w:r w:rsidRPr="00047212">
        <w:rPr>
          <w:rStyle w:val="FootnoteReference1"/>
        </w:rPr>
        <w:footnoteRef/>
      </w:r>
      <w:r w:rsidRPr="00047212">
        <w:rPr>
          <w:rtl/>
        </w:rPr>
        <w:t xml:space="preserve"> </w:t>
      </w:r>
      <w:r w:rsidRPr="00047212">
        <w:rPr>
          <w:rtl/>
        </w:rPr>
        <w:tab/>
      </w:r>
      <w:r w:rsidRPr="00047212">
        <w:rPr>
          <w:rFonts w:hint="cs"/>
          <w:rtl/>
        </w:rPr>
        <w:t xml:space="preserve">אתר ממשלת אנגלייה במרשתת, </w:t>
      </w:r>
      <w:hyperlink r:id="rId19" w:history="1">
        <w:r w:rsidRPr="00047212">
          <w:rPr>
            <w:rStyle w:val="Hyperlink"/>
            <w:color w:val="auto"/>
            <w:u w:val="none"/>
          </w:rPr>
          <w:t>www.gov.uk/financial-help-disabled/vehicles-and-transport</w:t>
        </w:r>
      </w:hyperlink>
      <w:r w:rsidRPr="00047212">
        <w:rPr>
          <w:rFonts w:hint="cs"/>
          <w:rtl/>
        </w:rPr>
        <w:t>, אוחזר ב-9.7.25.</w:t>
      </w:r>
    </w:p>
  </w:footnote>
  <w:footnote w:id="83">
    <w:p w:rsidR="00047212" w:rsidRPr="00047212" w:rsidP="00A210E9">
      <w:pPr>
        <w:pStyle w:val="FootnoteText"/>
        <w:spacing w:line="240" w:lineRule="atLeast"/>
        <w:rPr>
          <w:rtl/>
        </w:rPr>
      </w:pPr>
      <w:r w:rsidRPr="00047212">
        <w:rPr>
          <w:rStyle w:val="FootnoteReference1"/>
        </w:rPr>
        <w:footnoteRef/>
      </w:r>
      <w:r w:rsidRPr="00047212">
        <w:rPr>
          <w:rtl/>
        </w:rPr>
        <w:t xml:space="preserve"> </w:t>
      </w:r>
      <w:r w:rsidRPr="00047212">
        <w:rPr>
          <w:rtl/>
        </w:rPr>
        <w:tab/>
      </w:r>
      <w:r w:rsidRPr="00047212">
        <w:rPr>
          <w:rFonts w:hint="cs"/>
          <w:rtl/>
        </w:rPr>
        <w:t xml:space="preserve">אתר ממשלת הולנד במרשתת, </w:t>
      </w:r>
      <w:hyperlink r:id="rId20" w:history="1">
        <w:r w:rsidRPr="00047212">
          <w:rPr>
            <w:rStyle w:val="Hyperlink"/>
            <w:color w:val="auto"/>
            <w:u w:val="none"/>
          </w:rPr>
          <w:t>www.government.nl/topics/vehicle-tax/vehicle-tax/applying-for-a-partial-exemption-from-vehicle-tax-for-a-wheelchair-facility</w:t>
        </w:r>
      </w:hyperlink>
      <w:r w:rsidRPr="00047212">
        <w:rPr>
          <w:rFonts w:hint="cs"/>
          <w:rtl/>
        </w:rPr>
        <w:t>, אוחזר ב-9.7.25.</w:t>
      </w:r>
    </w:p>
  </w:footnote>
  <w:footnote w:id="84">
    <w:p w:rsidR="00946518"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אתר ממשלת אירלנד במרשתת,</w:t>
      </w:r>
    </w:p>
    <w:p w:rsidR="00047212" w:rsidRPr="00047212" w:rsidP="00A210E9">
      <w:pPr>
        <w:pStyle w:val="FootnoteText"/>
        <w:ind w:firstLine="0"/>
        <w:rPr>
          <w:rtl/>
        </w:rPr>
      </w:pPr>
      <w:r w:rsidRPr="00047212">
        <w:t xml:space="preserve">www.gov.ie/en/department-of-transport/publications/motortax-payments-renewals-and-refund-information/ </w:t>
      </w:r>
      <w:r w:rsidRPr="00047212">
        <w:rPr>
          <w:rFonts w:hint="cs"/>
          <w:rtl/>
        </w:rPr>
        <w:t xml:space="preserve">, אוחזר ב-22.1.26; אתר ארגון נהגים עם מוגבלות באירלנד במרשתת, </w:t>
      </w:r>
      <w:hyperlink r:id="rId21" w:history="1">
        <w:r w:rsidRPr="00047212">
          <w:rPr>
            <w:rStyle w:val="Hyperlink"/>
            <w:color w:val="auto"/>
            <w:u w:val="none"/>
          </w:rPr>
          <w:t>www.ddai.ie/disabled-drivers-passengers-tax-relief-scheme</w:t>
        </w:r>
      </w:hyperlink>
      <w:r w:rsidRPr="00047212">
        <w:rPr>
          <w:rFonts w:hint="cs"/>
          <w:rtl/>
        </w:rPr>
        <w:t>, אוחזר ב-22.1.26.</w:t>
      </w:r>
    </w:p>
  </w:footnote>
  <w:footnote w:id="85">
    <w:p w:rsidR="00047212" w:rsidRPr="00047212" w:rsidP="00A210E9">
      <w:pPr>
        <w:pStyle w:val="FootnoteText"/>
        <w:spacing w:line="240" w:lineRule="atLeast"/>
        <w:jc w:val="left"/>
        <w:rPr>
          <w:rtl/>
        </w:rPr>
      </w:pPr>
      <w:r w:rsidRPr="00047212">
        <w:rPr>
          <w:rStyle w:val="FootnoteReference1"/>
        </w:rPr>
        <w:footnoteRef/>
      </w:r>
      <w:r w:rsidRPr="00047212">
        <w:rPr>
          <w:rtl/>
        </w:rPr>
        <w:t xml:space="preserve"> </w:t>
      </w:r>
      <w:r w:rsidRPr="00047212">
        <w:rPr>
          <w:rtl/>
        </w:rPr>
        <w:tab/>
      </w:r>
      <w:r w:rsidRPr="00047212">
        <w:rPr>
          <w:rFonts w:hint="cs"/>
          <w:rtl/>
        </w:rPr>
        <w:t xml:space="preserve">אתר נציבות אירופה במרשתת, </w:t>
      </w:r>
      <w:hyperlink r:id="rId22" w:history="1">
        <w:r w:rsidRPr="00047212">
          <w:rPr>
            <w:rStyle w:val="Hyperlink"/>
            <w:color w:val="auto"/>
            <w:u w:val="none"/>
          </w:rPr>
          <w:t>alternative-fuels-observatory.ec.europa.eu/transport-mode/road/germany/incentives-legislations</w:t>
        </w:r>
      </w:hyperlink>
      <w:r w:rsidRPr="00047212">
        <w:rPr>
          <w:rFonts w:hint="cs"/>
          <w:rtl/>
        </w:rPr>
        <w:t>, אוחזר ב-9.7.25.</w:t>
      </w:r>
    </w:p>
  </w:footnote>
  <w:footnote w:id="86">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 xml:space="preserve">אתר ממשלת ספרד במרשתת, </w:t>
      </w:r>
      <w:hyperlink r:id="rId23" w:history="1">
        <w:r w:rsidRPr="00047212">
          <w:rPr>
            <w:rStyle w:val="Hyperlink"/>
            <w:color w:val="auto"/>
            <w:u w:val="none"/>
          </w:rPr>
          <w:t>www.suma.es/en/exenciones-minusvalia</w:t>
        </w:r>
      </w:hyperlink>
      <w:r w:rsidRPr="00047212">
        <w:rPr>
          <w:rtl/>
        </w:rPr>
        <w:t>.</w:t>
      </w:r>
      <w:r w:rsidRPr="00047212">
        <w:rPr>
          <w:rFonts w:hint="cs"/>
          <w:rtl/>
        </w:rPr>
        <w:t xml:space="preserve"> אוחזר ב-9.7.25.</w:t>
      </w:r>
    </w:p>
  </w:footnote>
  <w:footnote w:id="87">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שם.</w:t>
      </w:r>
    </w:p>
  </w:footnote>
  <w:footnote w:id="88">
    <w:p w:rsidR="00047212" w:rsidRPr="00047212" w:rsidP="00A210E9">
      <w:pPr>
        <w:pStyle w:val="FootnoteText"/>
        <w:jc w:val="left"/>
        <w:rPr>
          <w:rtl/>
        </w:rPr>
      </w:pPr>
      <w:r w:rsidRPr="00047212">
        <w:rPr>
          <w:rStyle w:val="FootnoteReference1"/>
        </w:rPr>
        <w:footnoteRef/>
      </w:r>
      <w:r w:rsidRPr="00047212">
        <w:rPr>
          <w:rtl/>
        </w:rPr>
        <w:t xml:space="preserve"> </w:t>
      </w:r>
      <w:r w:rsidRPr="00047212">
        <w:rPr>
          <w:rtl/>
        </w:rPr>
        <w:tab/>
      </w:r>
      <w:r w:rsidRPr="00047212">
        <w:rPr>
          <w:rFonts w:hint="cs"/>
          <w:rtl/>
        </w:rPr>
        <w:t xml:space="preserve">אתר ממשלת שוודיה במרשתת, </w:t>
      </w:r>
      <w:hyperlink r:id="rId24" w:history="1">
        <w:r w:rsidRPr="00047212">
          <w:rPr>
            <w:rStyle w:val="Hyperlink"/>
            <w:color w:val="auto"/>
            <w:u w:val="none"/>
          </w:rPr>
          <w:t>www.skatteverket.se/servicelankar/otherlanguages/inenglishengelska/individualsandemployees/congestiontax/applicationforexemptionfromtaxliabilityforcongestiontax.4.48cfd212185efbb440b1705.html</w:t>
        </w:r>
      </w:hyperlink>
      <w:r w:rsidRPr="00047212">
        <w:t xml:space="preserve"> </w:t>
      </w:r>
      <w:r w:rsidRPr="00047212">
        <w:rPr>
          <w:rFonts w:hint="cs"/>
          <w:rtl/>
        </w:rPr>
        <w:t>, אוחזר ב-9.7.25.</w:t>
      </w:r>
    </w:p>
  </w:footnote>
  <w:footnote w:id="89">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t>שהיתר הבניה ניתן להם לפני 2009</w:t>
      </w:r>
      <w:r w:rsidRPr="00047212">
        <w:rPr>
          <w:rFonts w:hint="cs"/>
          <w:rtl/>
        </w:rPr>
        <w:t>.</w:t>
      </w:r>
    </w:p>
  </w:footnote>
  <w:footnote w:id="90">
    <w:p w:rsidR="00047212" w:rsidRPr="00047212" w:rsidP="00A210E9">
      <w:pPr>
        <w:pStyle w:val="FootnoteText"/>
      </w:pPr>
      <w:r w:rsidRPr="00047212">
        <w:rPr>
          <w:rStyle w:val="FootnoteReference1"/>
        </w:rPr>
        <w:footnoteRef/>
      </w:r>
      <w:r w:rsidRPr="00047212">
        <w:rPr>
          <w:rtl/>
        </w:rPr>
        <w:t xml:space="preserve"> </w:t>
      </w:r>
      <w:r w:rsidRPr="00047212">
        <w:rPr>
          <w:rtl/>
        </w:rPr>
        <w:tab/>
      </w:r>
      <w:hyperlink r:id="rId25" w:history="1">
        <w:r w:rsidRPr="00047212">
          <w:rPr>
            <w:rStyle w:val="Hyperlink"/>
            <w:rFonts w:hint="cs"/>
            <w:color w:val="auto"/>
            <w:u w:val="none"/>
            <w:rtl/>
          </w:rPr>
          <w:t>בג"ץ 5833/08</w:t>
        </w:r>
      </w:hyperlink>
      <w:r w:rsidRPr="00047212">
        <w:rPr>
          <w:rFonts w:hint="cs"/>
          <w:rtl/>
        </w:rPr>
        <w:t xml:space="preserve">, </w:t>
      </w:r>
      <w:r w:rsidRPr="00047212">
        <w:rPr>
          <w:rFonts w:hint="eastAsia"/>
          <w:b/>
          <w:bCs/>
          <w:rtl/>
        </w:rPr>
        <w:t>עמותת</w:t>
      </w:r>
      <w:r w:rsidRPr="00047212">
        <w:rPr>
          <w:b/>
          <w:bCs/>
          <w:rtl/>
        </w:rPr>
        <w:t xml:space="preserve"> נגישות ישראל נ</w:t>
      </w:r>
      <w:r w:rsidRPr="00047212">
        <w:rPr>
          <w:rFonts w:hint="cs"/>
          <w:b/>
          <w:bCs/>
          <w:rtl/>
        </w:rPr>
        <w:t>'</w:t>
      </w:r>
      <w:r w:rsidRPr="00047212">
        <w:rPr>
          <w:b/>
          <w:bCs/>
          <w:rtl/>
        </w:rPr>
        <w:t xml:space="preserve"> שר התחבורה ואח</w:t>
      </w:r>
      <w:r w:rsidRPr="00047212">
        <w:rPr>
          <w:rFonts w:hint="cs"/>
          <w:b/>
          <w:bCs/>
          <w:rtl/>
        </w:rPr>
        <w:t>'</w:t>
      </w:r>
      <w:r w:rsidRPr="00047212">
        <w:rPr>
          <w:rFonts w:hint="cs"/>
          <w:rtl/>
        </w:rPr>
        <w:t xml:space="preserve">; </w:t>
      </w:r>
      <w:hyperlink r:id="rId9" w:history="1">
        <w:r w:rsidRPr="00047212">
          <w:rPr>
            <w:rStyle w:val="Hyperlink"/>
            <w:rFonts w:hint="cs"/>
            <w:color w:val="auto"/>
            <w:u w:val="none"/>
            <w:rtl/>
          </w:rPr>
          <w:t>הודעת עדכון מטעם משיבי הממשלה</w:t>
        </w:r>
      </w:hyperlink>
      <w:r w:rsidRPr="00047212">
        <w:rPr>
          <w:rFonts w:hint="cs"/>
          <w:rtl/>
        </w:rPr>
        <w:t>, 9.12.24.</w:t>
      </w:r>
    </w:p>
  </w:footnote>
  <w:footnote w:id="91">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hyperlink r:id="rId26" w:history="1">
        <w:r w:rsidRPr="00047212">
          <w:rPr>
            <w:rStyle w:val="Hyperlink"/>
            <w:rFonts w:hint="cs"/>
            <w:color w:val="auto"/>
            <w:u w:val="none"/>
            <w:rtl/>
          </w:rPr>
          <w:t>מבקר המדינה</w:t>
        </w:r>
      </w:hyperlink>
      <w:r w:rsidRPr="00047212">
        <w:rPr>
          <w:rFonts w:hint="cs"/>
          <w:rtl/>
        </w:rPr>
        <w:t xml:space="preserve">, </w:t>
      </w:r>
      <w:r w:rsidRPr="00047212">
        <w:rPr>
          <w:rFonts w:hint="cs"/>
          <w:b/>
          <w:bCs/>
          <w:rtl/>
        </w:rPr>
        <w:t>דוח שנתי 65ג</w:t>
      </w:r>
      <w:r w:rsidRPr="00047212">
        <w:rPr>
          <w:rtl/>
        </w:rPr>
        <w:t xml:space="preserve"> (2015)</w:t>
      </w:r>
      <w:r w:rsidRPr="00047212">
        <w:rPr>
          <w:rFonts w:hint="cs"/>
          <w:b/>
          <w:bCs/>
          <w:rtl/>
        </w:rPr>
        <w:t xml:space="preserve">, </w:t>
      </w:r>
      <w:r w:rsidRPr="00047212">
        <w:rPr>
          <w:rFonts w:hint="cs"/>
          <w:rtl/>
        </w:rPr>
        <w:t>"הטיפול בתהליכי חקיקת משנה במערכת הממשלתית".</w:t>
      </w:r>
    </w:p>
  </w:footnote>
  <w:footnote w:id="92">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 xml:space="preserve">סעיף 28 </w:t>
      </w:r>
      <w:hyperlink r:id="rId27" w:history="1">
        <w:r w:rsidRPr="00047212">
          <w:rPr>
            <w:rStyle w:val="Hyperlink"/>
            <w:rFonts w:hint="cs"/>
            <w:color w:val="auto"/>
            <w:u w:val="none"/>
            <w:rtl/>
          </w:rPr>
          <w:t>לטיוטת תקנות שוויון זכויות לאנשים</w:t>
        </w:r>
      </w:hyperlink>
      <w:r w:rsidRPr="00047212">
        <w:rPr>
          <w:rFonts w:hint="cs"/>
          <w:rtl/>
        </w:rPr>
        <w:t xml:space="preserve"> עם מוגבלות (דרכים נגישות), התשע"ו-2016.</w:t>
      </w:r>
    </w:p>
  </w:footnote>
  <w:footnote w:id="93">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hyperlink r:id="rId28" w:history="1">
        <w:r w:rsidRPr="00047212">
          <w:rPr>
            <w:rStyle w:val="Hyperlink"/>
            <w:rFonts w:hint="cs"/>
            <w:color w:val="auto"/>
            <w:u w:val="none"/>
            <w:rtl/>
          </w:rPr>
          <w:t>פרוטוקול</w:t>
        </w:r>
      </w:hyperlink>
      <w:r w:rsidRPr="00047212">
        <w:rPr>
          <w:rFonts w:hint="cs"/>
          <w:rtl/>
        </w:rPr>
        <w:t xml:space="preserve"> ישיבת ועדת העבודה והרווחה משנה לעניין נגישות עירונית בנושא "חניות נכים - פיקוח ואכיפה", 22.2.22. </w:t>
      </w:r>
      <w:hyperlink r:id="rId29" w:history="1">
        <w:r w:rsidRPr="00047212">
          <w:rPr>
            <w:rStyle w:val="Hyperlink"/>
            <w:color w:val="auto"/>
            <w:u w:val="none"/>
          </w:rPr>
          <w:t>main.knesset.gov.il/Activity/committees/Pages/AllCommitteeProtocols.aspx?ItemID=2189688</w:t>
        </w:r>
      </w:hyperlink>
      <w:r w:rsidRPr="00047212">
        <w:rPr>
          <w:rFonts w:hint="cs"/>
          <w:rtl/>
        </w:rPr>
        <w:t>.</w:t>
      </w:r>
    </w:p>
  </w:footnote>
  <w:footnote w:id="94">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 xml:space="preserve">הודעת עדכון מטעם משיבי הממשלה </w:t>
      </w:r>
      <w:hyperlink r:id="rId30" w:history="1">
        <w:r w:rsidRPr="00047212">
          <w:rPr>
            <w:rStyle w:val="Hyperlink"/>
            <w:rFonts w:hint="cs"/>
            <w:color w:val="auto"/>
            <w:u w:val="none"/>
            <w:rtl/>
          </w:rPr>
          <w:t>בבג"ץ 5833/08</w:t>
        </w:r>
      </w:hyperlink>
      <w:r w:rsidRPr="00047212">
        <w:rPr>
          <w:rFonts w:hint="cs"/>
          <w:rtl/>
        </w:rPr>
        <w:t xml:space="preserve">, 9.12.24. </w:t>
      </w:r>
    </w:p>
  </w:footnote>
  <w:footnote w:id="95">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בבג"ץ לא הוזכר מי השותפים לצוות הבין-משרדי ומתי הוא הוקם.</w:t>
      </w:r>
    </w:p>
  </w:footnote>
  <w:footnote w:id="96">
    <w:p w:rsidR="00047212" w:rsidRPr="00047212" w:rsidP="00A210E9">
      <w:pPr>
        <w:pStyle w:val="FootnoteText"/>
      </w:pPr>
      <w:r w:rsidRPr="00047212">
        <w:rPr>
          <w:rStyle w:val="FootnoteReference1"/>
        </w:rPr>
        <w:footnoteRef/>
      </w:r>
      <w:r w:rsidRPr="00047212">
        <w:rPr>
          <w:rtl/>
        </w:rPr>
        <w:t xml:space="preserve"> </w:t>
      </w:r>
      <w:r w:rsidRPr="00047212">
        <w:rPr>
          <w:rtl/>
        </w:rPr>
        <w:tab/>
      </w:r>
      <w:hyperlink r:id="rId31" w:history="1">
        <w:r w:rsidRPr="00047212">
          <w:rPr>
            <w:rStyle w:val="Hyperlink"/>
            <w:rFonts w:hint="cs"/>
            <w:color w:val="auto"/>
            <w:u w:val="none"/>
            <w:rtl/>
          </w:rPr>
          <w:t>הודעת עדכון מטעם משיבי הממשלה בבג"ץ 5833/08, 28.10.25</w:t>
        </w:r>
      </w:hyperlink>
      <w:r w:rsidRPr="00047212">
        <w:rPr>
          <w:rFonts w:hint="cs"/>
          <w:rtl/>
        </w:rPr>
        <w:t>.</w:t>
      </w:r>
    </w:p>
  </w:footnote>
  <w:footnote w:id="97">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 xml:space="preserve">בהקשר של חניות נכים ליד מדרכות הנוהל מאמץ את הקריטריונים של תקנות שוויון לאנשים עם מוגבלות הנוגעות להתאמות נגישות למקום ציבורי שהוא בניין קיים - </w:t>
      </w:r>
      <w:hyperlink r:id="rId32" w:history="1">
        <w:r w:rsidRPr="00047212">
          <w:rPr>
            <w:rStyle w:val="Hyperlink"/>
            <w:rFonts w:hint="cs"/>
            <w:color w:val="auto"/>
            <w:u w:val="none"/>
            <w:rtl/>
          </w:rPr>
          <w:t>סעיף 2 לתוספת הראשונה לתקנות שוויון לאנשים עם מוגבלות (התאמות נגישות למקום ציבורי שהוא בניין קיים), התשע"ב-2011.</w:t>
        </w:r>
      </w:hyperlink>
    </w:p>
  </w:footnote>
  <w:footnote w:id="98">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סעיף 4ג ל</w:t>
      </w:r>
      <w:hyperlink r:id="rId33" w:history="1">
        <w:r w:rsidRPr="00047212">
          <w:rPr>
            <w:rStyle w:val="Hyperlink"/>
            <w:rFonts w:hint="cs"/>
            <w:color w:val="auto"/>
            <w:u w:val="none"/>
            <w:rtl/>
          </w:rPr>
          <w:t>חוק</w:t>
        </w:r>
      </w:hyperlink>
      <w:r w:rsidRPr="00047212">
        <w:rPr>
          <w:rFonts w:hint="cs"/>
          <w:rtl/>
        </w:rPr>
        <w:t xml:space="preserve"> חניה לנכים קובע שרשות מקומית תקצה חניות לכלי רכב הנושאים תג חניה לנכה באזורי פריקה וטעינה בזמנים שאינם מיועדים לפריקה וטעינה. מספר חניות הנכים המוקצות יהיה מקום חניה אחד או מספר מקומות החניה שניתן לכלול במחצית משטח הפריקה והטעינה, לפי הגבוה מביניהם. </w:t>
      </w:r>
    </w:p>
    <w:p w:rsidR="00047212" w:rsidRPr="00047212" w:rsidP="00A210E9">
      <w:pPr>
        <w:pStyle w:val="FootnoteText"/>
      </w:pPr>
    </w:p>
  </w:footnote>
  <w:footnote w:id="99">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bookmarkStart w:id="108" w:name="_Hlk222653162"/>
      <w:hyperlink r:id="rId34" w:history="1">
        <w:r w:rsidRPr="00047212">
          <w:rPr>
            <w:rStyle w:val="Hyperlink"/>
            <w:rFonts w:hint="cs"/>
            <w:color w:val="auto"/>
            <w:u w:val="none"/>
            <w:rtl/>
          </w:rPr>
          <w:t>בג"ץ 8735/11</w:t>
        </w:r>
      </w:hyperlink>
      <w:r w:rsidRPr="00047212">
        <w:rPr>
          <w:rtl/>
        </w:rPr>
        <w:t>, העותרת: עמותת נגישות ישראל נ' המשיבים: 1. שר התחבורה 2. מנהל אגף הרישוי במשרד התחבורה 3. מנהל אגף תכנון תחבורתי במשרד התחבורה, פורסם במאגר ממוחשב, 9.5.12.</w:t>
      </w:r>
      <w:bookmarkEnd w:id="108"/>
    </w:p>
  </w:footnote>
  <w:footnote w:id="100">
    <w:p w:rsidR="00047212" w:rsidRPr="00047212" w:rsidP="00A210E9">
      <w:pPr>
        <w:pStyle w:val="FootnoteText"/>
      </w:pPr>
      <w:r w:rsidRPr="00047212">
        <w:rPr>
          <w:rStyle w:val="FootnoteReference1"/>
        </w:rPr>
        <w:footnoteRef/>
      </w:r>
      <w:r w:rsidRPr="00047212">
        <w:rPr>
          <w:rtl/>
        </w:rPr>
        <w:t xml:space="preserve"> </w:t>
      </w:r>
      <w:r w:rsidRPr="00047212">
        <w:rPr>
          <w:rtl/>
        </w:rPr>
        <w:tab/>
      </w:r>
      <w:hyperlink r:id="rId35" w:history="1">
        <w:r w:rsidRPr="00047212">
          <w:rPr>
            <w:rStyle w:val="Hyperlink"/>
            <w:rFonts w:hint="cs"/>
            <w:color w:val="auto"/>
            <w:u w:val="none"/>
            <w:rtl/>
          </w:rPr>
          <w:t>ת.פ. 1133/11</w:t>
        </w:r>
      </w:hyperlink>
      <w:r w:rsidRPr="00047212">
        <w:rPr>
          <w:rFonts w:hint="cs"/>
          <w:rtl/>
        </w:rPr>
        <w:t xml:space="preserve">, </w:t>
      </w:r>
      <w:r w:rsidRPr="00047212">
        <w:rPr>
          <w:rFonts w:hint="eastAsia"/>
          <w:b/>
          <w:bCs/>
          <w:rtl/>
        </w:rPr>
        <w:t>מדינת</w:t>
      </w:r>
      <w:r w:rsidRPr="00047212">
        <w:rPr>
          <w:b/>
          <w:bCs/>
          <w:rtl/>
        </w:rPr>
        <w:t xml:space="preserve"> ישראל נ' </w:t>
      </w:r>
      <w:r w:rsidRPr="00047212">
        <w:rPr>
          <w:rFonts w:hint="eastAsia"/>
          <w:b/>
          <w:bCs/>
          <w:rtl/>
        </w:rPr>
        <w:t>גניש</w:t>
      </w:r>
      <w:r w:rsidRPr="00047212">
        <w:rPr>
          <w:b/>
          <w:bCs/>
          <w:rtl/>
        </w:rPr>
        <w:t xml:space="preserve"> רפאל</w:t>
      </w:r>
      <w:r w:rsidRPr="00047212">
        <w:rPr>
          <w:rFonts w:hint="cs"/>
          <w:rtl/>
        </w:rPr>
        <w:t>, פורסם במאגר ממוחשב, 11.9.11.</w:t>
      </w:r>
    </w:p>
  </w:footnote>
  <w:footnote w:id="101">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hyperlink r:id="rId34" w:history="1">
        <w:r w:rsidRPr="00047212">
          <w:rPr>
            <w:rStyle w:val="Hyperlink"/>
            <w:rFonts w:hint="cs"/>
            <w:color w:val="auto"/>
            <w:u w:val="none"/>
            <w:rtl/>
          </w:rPr>
          <w:t>בג"ץ 8735/11</w:t>
        </w:r>
      </w:hyperlink>
      <w:r w:rsidRPr="00047212">
        <w:rPr>
          <w:rtl/>
        </w:rPr>
        <w:t>, העותרת: עמותת נגישות ישראל נ' המשיבים: 1. שר התחבורה 2. מנהל אגף הרישוי במשרד התחבורה 3. מנהל אגף תכנון תחבורתי במשרד התחבורה, פורסם במאגר ממוחשב, 9.5.12.</w:t>
      </w:r>
    </w:p>
  </w:footnote>
  <w:footnote w:id="102">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 xml:space="preserve">הצעת חוק מס' </w:t>
      </w:r>
      <w:hyperlink r:id="rId36" w:history="1">
        <w:r w:rsidRPr="00047212">
          <w:rPr>
            <w:rStyle w:val="Hyperlink"/>
            <w:rFonts w:hint="cs"/>
            <w:color w:val="auto"/>
            <w:u w:val="none"/>
            <w:rtl/>
          </w:rPr>
          <w:t>פ/3689/24.</w:t>
        </w:r>
      </w:hyperlink>
    </w:p>
  </w:footnote>
  <w:footnote w:id="103">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 xml:space="preserve">על פי התקנות, את רשות תמרור מקומית ממנה המפקח על התעבורה שבמשרד התחבורה. </w:t>
      </w:r>
    </w:p>
  </w:footnote>
  <w:footnote w:id="104">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hyperlink r:id="rId37" w:history="1">
        <w:r w:rsidRPr="00047212">
          <w:rPr>
            <w:rStyle w:val="Hyperlink"/>
            <w:rFonts w:hint="cs"/>
            <w:color w:val="auto"/>
            <w:u w:val="none"/>
            <w:rtl/>
          </w:rPr>
          <w:t>משרד התחבורה</w:t>
        </w:r>
      </w:hyperlink>
      <w:r w:rsidRPr="00047212">
        <w:rPr>
          <w:rFonts w:hint="cs"/>
          <w:rtl/>
        </w:rPr>
        <w:t>, תקנות והנחיות להצבת תמרורים 2024, 27.10.24 (עודכן ב-6.1.25).</w:t>
      </w:r>
    </w:p>
  </w:footnote>
  <w:footnote w:id="105">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 xml:space="preserve">סעיפים 8.03.01 ו-8.110 לתקנות התכנון והבניה (בקשה להיתר, תנאיו ואגרות), </w:t>
      </w:r>
      <w:r w:rsidR="008529F8">
        <w:rPr>
          <w:rFonts w:hint="cs"/>
          <w:rtl/>
        </w:rPr>
        <w:t>ה</w:t>
      </w:r>
      <w:r w:rsidRPr="00047212">
        <w:rPr>
          <w:rFonts w:hint="cs"/>
          <w:rtl/>
        </w:rPr>
        <w:t xml:space="preserve">תש"ל-1970 קובעים את המספר המינימלי של מקומות חניה נגישים לרכב רגיל ורכב הנעזר במעלון. </w:t>
      </w:r>
    </w:p>
  </w:footnote>
  <w:footnote w:id="106">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 xml:space="preserve">תג כיסא גלגלים. </w:t>
      </w:r>
    </w:p>
  </w:footnote>
  <w:footnote w:id="107">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hyperlink r:id="rId38" w:history="1">
        <w:r w:rsidRPr="00047212">
          <w:rPr>
            <w:rStyle w:val="Hyperlink"/>
            <w:color w:val="auto"/>
            <w:u w:val="none"/>
          </w:rPr>
          <w:t>www.gov.il/BlobFolder/policy/parking-plan/he/2412-23.pdf</w:t>
        </w:r>
      </w:hyperlink>
    </w:p>
  </w:footnote>
  <w:footnote w:id="108">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משרד התחבורה והבטיחות בדרכים, מינהל תכנון ופיתוח תשתיות, "</w:t>
      </w:r>
      <w:hyperlink r:id="rId39" w:history="1">
        <w:r w:rsidRPr="00047212">
          <w:rPr>
            <w:rStyle w:val="Hyperlink"/>
            <w:rFonts w:hint="cs"/>
            <w:color w:val="auto"/>
            <w:u w:val="none"/>
            <w:rtl/>
          </w:rPr>
          <w:t>התוכנית הלאומית לחניה</w:t>
        </w:r>
      </w:hyperlink>
      <w:r w:rsidRPr="00047212">
        <w:rPr>
          <w:rFonts w:hint="cs"/>
          <w:rtl/>
        </w:rPr>
        <w:t>", מרץ 2023, עמ' 43.</w:t>
      </w:r>
    </w:p>
  </w:footnote>
  <w:footnote w:id="109">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סעיף 11(ה) ל</w:t>
      </w:r>
      <w:hyperlink r:id="rId40" w:history="1">
        <w:r w:rsidRPr="00047212">
          <w:rPr>
            <w:rStyle w:val="Hyperlink"/>
            <w:rFonts w:hint="cs"/>
            <w:color w:val="auto"/>
            <w:u w:val="none"/>
            <w:rtl/>
          </w:rPr>
          <w:t>חוק עזר לאילת</w:t>
        </w:r>
      </w:hyperlink>
      <w:r w:rsidRPr="00047212">
        <w:rPr>
          <w:rFonts w:hint="cs"/>
          <w:rtl/>
        </w:rPr>
        <w:t xml:space="preserve"> (העמדת רכב וחנייתו), התשמ"ג-1983. </w:t>
      </w:r>
    </w:p>
  </w:footnote>
  <w:footnote w:id="110">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למעט חוק עזר של עיריית אילת. על פי משרד התחבורה והבטיחות בדרכים, מינהל תכנון ופיתוח תשתיות, "</w:t>
      </w:r>
      <w:hyperlink r:id="rId39" w:history="1">
        <w:r w:rsidRPr="00047212">
          <w:rPr>
            <w:rStyle w:val="Hyperlink"/>
            <w:rFonts w:hint="cs"/>
            <w:color w:val="auto"/>
            <w:u w:val="none"/>
            <w:rtl/>
          </w:rPr>
          <w:t>התוכנית הלאומית לחניה</w:t>
        </w:r>
      </w:hyperlink>
      <w:r w:rsidRPr="00047212">
        <w:rPr>
          <w:rFonts w:hint="cs"/>
          <w:rtl/>
        </w:rPr>
        <w:t>", מרץ 2023, עמ' 43; משרד מבקר המדינה בדק בנוסף את חוקי העזר בנושא העמדת רכב וחנייתו של עיריית תל אביב-יפו ועיריית ירושלים.</w:t>
      </w:r>
    </w:p>
  </w:footnote>
  <w:footnote w:id="111">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משרד התחבורה והבטיחות בדרכים, מינהל תכנון ופיתוח תשתיות, "</w:t>
      </w:r>
      <w:hyperlink r:id="rId39" w:history="1">
        <w:r w:rsidRPr="00047212">
          <w:rPr>
            <w:rStyle w:val="Hyperlink"/>
            <w:rFonts w:hint="cs"/>
            <w:color w:val="auto"/>
            <w:u w:val="none"/>
            <w:rtl/>
          </w:rPr>
          <w:t>התוכנית הלאומית לחניה</w:t>
        </w:r>
      </w:hyperlink>
      <w:r w:rsidRPr="00047212">
        <w:rPr>
          <w:rFonts w:hint="cs"/>
          <w:rtl/>
        </w:rPr>
        <w:t>", מרץ 2023, עמ' 39.</w:t>
      </w:r>
    </w:p>
  </w:footnote>
  <w:footnote w:id="112">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מתוקף אחריותו של שר התחבורה כממונה על חוק חניה לנכים.</w:t>
      </w:r>
    </w:p>
  </w:footnote>
  <w:footnote w:id="113">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לצורך הבדיקה חולק שטח הערים לריבועים של 100 מ"ר ונוטרלו ריבועים שבהם לא היו חניות אישיות.</w:t>
      </w:r>
    </w:p>
  </w:footnote>
  <w:footnote w:id="114">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מתוך 982 אזורים.</w:t>
      </w:r>
    </w:p>
  </w:footnote>
  <w:footnote w:id="115">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מתוך 1,661 אזורים.</w:t>
      </w:r>
    </w:p>
  </w:footnote>
  <w:footnote w:id="116">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על פי דוח מבקר עיריית תל אביב בנושא "הקצאת מקומות חניה לנכים במרחב הציבורי", 2023.</w:t>
      </w:r>
    </w:p>
  </w:footnote>
  <w:footnote w:id="117">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hyperlink r:id="rId41" w:history="1">
        <w:r w:rsidRPr="00047212">
          <w:rPr>
            <w:rStyle w:val="Hyperlink"/>
            <w:color w:val="auto"/>
            <w:u w:val="none"/>
          </w:rPr>
          <w:t>www.tel-aviv.gov.il/Residents/Transportation/Pages/Handicap.aspx</w:t>
        </w:r>
      </w:hyperlink>
    </w:p>
    <w:p w:rsidR="00047212" w:rsidRPr="00047212" w:rsidP="00A210E9">
      <w:pPr>
        <w:pStyle w:val="FootnoteText"/>
      </w:pPr>
    </w:p>
  </w:footnote>
  <w:footnote w:id="118">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 xml:space="preserve">סעיף 1 לחוק חניה לנכים, התשנ"ד-1993. </w:t>
      </w:r>
    </w:p>
  </w:footnote>
  <w:footnote w:id="119">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t xml:space="preserve">נוהל הקצאת מקום חניה שמור לרכב נכה לפי </w:t>
      </w:r>
      <w:r w:rsidRPr="00047212">
        <w:rPr>
          <w:rFonts w:hint="eastAsia"/>
          <w:rtl/>
        </w:rPr>
        <w:t>חוק</w:t>
      </w:r>
      <w:r w:rsidRPr="00047212">
        <w:rPr>
          <w:rtl/>
        </w:rPr>
        <w:t xml:space="preserve"> חניה לנכה, התשנ"ד-1993</w:t>
      </w:r>
      <w:r w:rsidRPr="00047212">
        <w:rPr>
          <w:rFonts w:hint="cs"/>
          <w:rtl/>
        </w:rPr>
        <w:t xml:space="preserve">, </w:t>
      </w:r>
      <w:r w:rsidRPr="00047212">
        <w:rPr>
          <w:rtl/>
        </w:rPr>
        <w:t xml:space="preserve">מדצמבר 2023. העירייה כתבה בתשובתה כי היא בוחנת </w:t>
      </w:r>
      <w:r w:rsidRPr="00047212">
        <w:rPr>
          <w:rFonts w:hint="eastAsia"/>
          <w:rtl/>
        </w:rPr>
        <w:t>את</w:t>
      </w:r>
      <w:r w:rsidRPr="00047212">
        <w:rPr>
          <w:rtl/>
        </w:rPr>
        <w:t xml:space="preserve"> </w:t>
      </w:r>
      <w:r w:rsidRPr="00047212">
        <w:rPr>
          <w:rFonts w:hint="eastAsia"/>
          <w:rtl/>
        </w:rPr>
        <w:t>הנושא</w:t>
      </w:r>
      <w:r w:rsidRPr="00047212">
        <w:rPr>
          <w:rtl/>
        </w:rPr>
        <w:t xml:space="preserve"> ובכלל זאת </w:t>
      </w:r>
      <w:r w:rsidRPr="00047212">
        <w:rPr>
          <w:rFonts w:hint="eastAsia"/>
          <w:rtl/>
        </w:rPr>
        <w:t>את</w:t>
      </w:r>
      <w:r w:rsidRPr="00047212">
        <w:rPr>
          <w:rtl/>
        </w:rPr>
        <w:t xml:space="preserve"> </w:t>
      </w:r>
      <w:r w:rsidRPr="00047212">
        <w:rPr>
          <w:rFonts w:hint="eastAsia"/>
          <w:rtl/>
        </w:rPr>
        <w:t>עדכון</w:t>
      </w:r>
      <w:r w:rsidRPr="00047212">
        <w:rPr>
          <w:rtl/>
        </w:rPr>
        <w:t xml:space="preserve"> </w:t>
      </w:r>
      <w:r w:rsidRPr="00047212">
        <w:rPr>
          <w:rFonts w:hint="eastAsia"/>
          <w:rtl/>
        </w:rPr>
        <w:t>הנוהל</w:t>
      </w:r>
      <w:r w:rsidRPr="00047212">
        <w:rPr>
          <w:rtl/>
        </w:rPr>
        <w:t xml:space="preserve"> </w:t>
      </w:r>
      <w:r w:rsidRPr="00047212">
        <w:rPr>
          <w:rFonts w:hint="eastAsia"/>
          <w:rtl/>
        </w:rPr>
        <w:t>הקיים</w:t>
      </w:r>
      <w:r w:rsidRPr="00047212">
        <w:rPr>
          <w:rtl/>
        </w:rPr>
        <w:t>, ו</w:t>
      </w:r>
      <w:r w:rsidRPr="00047212">
        <w:rPr>
          <w:rFonts w:hint="cs"/>
          <w:rtl/>
        </w:rPr>
        <w:t xml:space="preserve">כי </w:t>
      </w:r>
      <w:r w:rsidRPr="00047212">
        <w:rPr>
          <w:rtl/>
        </w:rPr>
        <w:t>תבחן גם את סוגיית תוקף ההקצאה ו</w:t>
      </w:r>
      <w:r w:rsidRPr="00047212">
        <w:rPr>
          <w:rFonts w:hint="cs"/>
          <w:rtl/>
        </w:rPr>
        <w:t xml:space="preserve">את </w:t>
      </w:r>
      <w:r w:rsidRPr="00047212">
        <w:rPr>
          <w:rtl/>
        </w:rPr>
        <w:t xml:space="preserve">אופן </w:t>
      </w:r>
      <w:r w:rsidRPr="00047212">
        <w:rPr>
          <w:rFonts w:hint="cs"/>
          <w:rtl/>
        </w:rPr>
        <w:t>יישום הנוהל</w:t>
      </w:r>
      <w:r w:rsidRPr="00047212">
        <w:rPr>
          <w:rtl/>
        </w:rPr>
        <w:t>.</w:t>
      </w:r>
    </w:p>
  </w:footnote>
  <w:footnote w:id="120">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ראו פירוט בעניין המערכת בפרק "מערכות מידע, שירות לציבור ודיגיטציה".</w:t>
      </w:r>
    </w:p>
  </w:footnote>
  <w:footnote w:id="121">
    <w:p w:rsidR="00047212" w:rsidRPr="00047212" w:rsidP="00A210E9">
      <w:pPr>
        <w:pStyle w:val="FootnoteText"/>
      </w:pPr>
      <w:r w:rsidRPr="00047212">
        <w:rPr>
          <w:rStyle w:val="FootnoteReference1"/>
        </w:rPr>
        <w:footnoteRef/>
      </w:r>
      <w:r w:rsidRPr="00047212">
        <w:rPr>
          <w:rtl/>
        </w:rPr>
        <w:t xml:space="preserve"> </w:t>
      </w:r>
      <w:r w:rsidRPr="00047212">
        <w:tab/>
      </w:r>
      <w:r w:rsidRPr="00047212">
        <w:rPr>
          <w:rFonts w:hint="cs"/>
          <w:rtl/>
        </w:rPr>
        <w:t>מצגת של הרשות הארצית לתחבורה ציבורית, "</w:t>
      </w:r>
      <w:hyperlink r:id="rId42" w:history="1">
        <w:r w:rsidRPr="00047212">
          <w:rPr>
            <w:rStyle w:val="Hyperlink"/>
            <w:rFonts w:hint="eastAsia"/>
            <w:color w:val="auto"/>
            <w:u w:val="none"/>
            <w:rtl/>
          </w:rPr>
          <w:t>האינפלציה</w:t>
        </w:r>
        <w:r w:rsidRPr="00047212">
          <w:rPr>
            <w:rStyle w:val="Hyperlink"/>
            <w:color w:val="auto"/>
            <w:u w:val="none"/>
            <w:rtl/>
          </w:rPr>
          <w:t xml:space="preserve"> בתגי חניה</w:t>
        </w:r>
      </w:hyperlink>
      <w:r w:rsidRPr="00047212">
        <w:rPr>
          <w:rFonts w:hint="cs"/>
          <w:rtl/>
        </w:rPr>
        <w:t>" (המסמך אינו נושא תאריך, וכנראה הוכן בשנת 2024).</w:t>
      </w:r>
    </w:p>
  </w:footnote>
  <w:footnote w:id="122">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תשובה כזו בסקר עשויה להצביע על כך שהמשיבים עצמם נוהגים כך, או שהם מכירים אנשים שנוהגים כך, ועל כן הם סבורים שהתנהגות זו רווחת בציבור.</w:t>
      </w:r>
    </w:p>
  </w:footnote>
  <w:footnote w:id="123">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משרד התחבורה והבטיחות בדרכים, מינהל תכנון ופיתוח תשתיות, "</w:t>
      </w:r>
      <w:hyperlink r:id="rId14" w:history="1">
        <w:r w:rsidRPr="00047212">
          <w:rPr>
            <w:rStyle w:val="Hyperlink"/>
            <w:rFonts w:hint="cs"/>
            <w:color w:val="auto"/>
            <w:u w:val="none"/>
            <w:rtl/>
          </w:rPr>
          <w:t>התוכנית הלאומית לחניה</w:t>
        </w:r>
      </w:hyperlink>
      <w:r w:rsidRPr="00047212">
        <w:rPr>
          <w:rFonts w:hint="cs"/>
          <w:rtl/>
        </w:rPr>
        <w:t>", מרץ 2023, עמ' 34 ו-39.</w:t>
      </w:r>
    </w:p>
  </w:footnote>
  <w:footnote w:id="124">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 xml:space="preserve">סעיף 3(9) לחוק חניה לנכים, התשנ"ד-1993. </w:t>
      </w:r>
    </w:p>
  </w:footnote>
  <w:footnote w:id="125">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 xml:space="preserve">היעדר אשמה פלילית היא כאשר קיימת סבירות שהסיכויים לאשמתו של מקבל הדוח קלושים. לדוגמה, טעות טכנית בפרטי הדוח, כגון מספר רכב שגוי, פרטי נהג שגויים או שילוט לא ברור. </w:t>
      </w:r>
    </w:p>
  </w:footnote>
  <w:footnote w:id="126">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 xml:space="preserve">חוק סדר הדין הפלילי, תשמ"ב-1982, סעיף 9. </w:t>
      </w:r>
    </w:p>
  </w:footnote>
  <w:footnote w:id="127">
    <w:p w:rsidR="00047212" w:rsidRPr="00047212" w:rsidP="00A210E9">
      <w:pPr>
        <w:pStyle w:val="FootnoteText"/>
      </w:pPr>
      <w:r w:rsidRPr="00047212">
        <w:rPr>
          <w:rStyle w:val="FootnoteReference1"/>
        </w:rPr>
        <w:footnoteRef/>
      </w:r>
      <w:r w:rsidRPr="00047212">
        <w:rPr>
          <w:rtl/>
        </w:rPr>
        <w:t xml:space="preserve"> </w:t>
      </w:r>
      <w:r w:rsidRPr="00047212">
        <w:rPr>
          <w:rtl/>
        </w:rPr>
        <w:tab/>
      </w:r>
      <w:hyperlink r:id="rId28" w:history="1">
        <w:r w:rsidRPr="00047212">
          <w:rPr>
            <w:rStyle w:val="Hyperlink"/>
            <w:rFonts w:hint="cs"/>
            <w:color w:val="auto"/>
            <w:u w:val="none"/>
            <w:rtl/>
          </w:rPr>
          <w:t>פרוטוקול</w:t>
        </w:r>
      </w:hyperlink>
      <w:r w:rsidRPr="00047212">
        <w:rPr>
          <w:rFonts w:hint="cs"/>
          <w:rtl/>
        </w:rPr>
        <w:t xml:space="preserve"> ישיבת ועדת העבודה והרווחה משנה לעניין נגישות עירונית בנושא "חניות נכים - פיקוח ואכיפה", 22.2.22.</w:t>
      </w:r>
    </w:p>
  </w:footnote>
  <w:footnote w:id="128">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 xml:space="preserve">סעיף 2 </w:t>
      </w:r>
      <w:hyperlink r:id="rId43" w:history="1">
        <w:r w:rsidRPr="00047212">
          <w:rPr>
            <w:rStyle w:val="Hyperlink"/>
            <w:rFonts w:hint="cs"/>
            <w:color w:val="auto"/>
            <w:u w:val="none"/>
            <w:rtl/>
          </w:rPr>
          <w:t>לחוק החזקת תעודת זהות והצגתה</w:t>
        </w:r>
      </w:hyperlink>
      <w:r w:rsidRPr="00047212">
        <w:rPr>
          <w:rFonts w:hint="cs"/>
          <w:rtl/>
        </w:rPr>
        <w:t xml:space="preserve">, התשמ"ג-1982, קובע שתושב שמלאו לו 16 שנים חייב לשאת עימו תמיד תעודת זהות ולהציגה בפני קצין משטרה בכיר, ראש רשות מקומית, שוטר או חייל במילוי תפקידם, לרבות אדם שהוסמך על ידי אחד מהם בכתב לצורך הצגת תעודת זהות. כמו כן, </w:t>
      </w:r>
      <w:hyperlink r:id="rId44" w:history="1">
        <w:r w:rsidRPr="00047212">
          <w:rPr>
            <w:rStyle w:val="Hyperlink"/>
            <w:rFonts w:hint="cs"/>
            <w:color w:val="auto"/>
            <w:u w:val="none"/>
            <w:rtl/>
          </w:rPr>
          <w:t>סעיף 4 לחוק לייעול הפיקוח והאכיפה העירוניים ברשויות המקומיות (תעבורה)</w:t>
        </w:r>
      </w:hyperlink>
      <w:r w:rsidRPr="00047212">
        <w:rPr>
          <w:rFonts w:hint="cs"/>
          <w:rtl/>
        </w:rPr>
        <w:t>, התשע"ו-2016, קובע שפקח רשות מקומית מוסמך לדרוש הצגת תעודת זהות מכל אדם לשם אכיפת עבירות תעבורה.</w:t>
      </w:r>
    </w:p>
  </w:footnote>
  <w:footnote w:id="129">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נוהל מס' 02.231.01.</w:t>
      </w:r>
    </w:p>
  </w:footnote>
  <w:footnote w:id="130">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 xml:space="preserve">האיחוד האירופי, דירקטיבה - </w:t>
      </w:r>
      <w:r w:rsidRPr="00047212">
        <w:t xml:space="preserve">Directive (EU) 2024/2841 of the European Parliament and of the Council of 23 October 2024 establishing the European Disability Card and the European Parking Card for persons with disabilities, </w:t>
      </w:r>
      <w:r w:rsidRPr="00047212">
        <w:rPr>
          <w:rFonts w:hint="cs"/>
          <w:rtl/>
        </w:rPr>
        <w:t xml:space="preserve">, אוחזר מאתר: </w:t>
      </w:r>
    </w:p>
    <w:p w:rsidR="00047212" w:rsidRPr="00047212" w:rsidP="00A210E9">
      <w:pPr>
        <w:pStyle w:val="FootnoteText"/>
        <w:ind w:firstLine="0"/>
      </w:pPr>
      <w:hyperlink r:id="rId45" w:history="1">
        <w:r w:rsidRPr="00047212">
          <w:rPr>
            <w:rStyle w:val="Hyperlink"/>
            <w:color w:val="auto"/>
            <w:u w:val="none"/>
          </w:rPr>
          <w:t>eur-lex.europa.eu/eli/dir/2024/2841/oj</w:t>
        </w:r>
      </w:hyperlink>
      <w:r w:rsidRPr="00047212">
        <w:rPr>
          <w:rFonts w:hint="cs"/>
          <w:rtl/>
        </w:rPr>
        <w:t>, אוחזר ב-7.1.26.</w:t>
      </w:r>
    </w:p>
  </w:footnote>
  <w:footnote w:id="131">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 xml:space="preserve">ועדת הכלכלה של הכנסת, מדיניות משרד התחבורה בנושא תגי חניה לנכים, 7.12.20, אוחזר ב-3.2.25. </w:t>
      </w:r>
    </w:p>
  </w:footnote>
  <w:footnote w:id="132">
    <w:p w:rsidR="00047212" w:rsidRPr="00047212" w:rsidP="00A210E9">
      <w:pPr>
        <w:pStyle w:val="FootnoteText"/>
      </w:pPr>
      <w:r w:rsidRPr="00047212">
        <w:rPr>
          <w:rStyle w:val="FootnoteReference1"/>
        </w:rPr>
        <w:footnoteRef/>
      </w:r>
      <w:r w:rsidRPr="00047212">
        <w:rPr>
          <w:rtl/>
        </w:rPr>
        <w:t xml:space="preserve"> </w:t>
      </w:r>
      <w:r w:rsidRPr="00047212">
        <w:rPr>
          <w:rtl/>
        </w:rPr>
        <w:tab/>
        <w:t xml:space="preserve">מכשיר חניה אלקטרוני ותיק בישראל </w:t>
      </w:r>
      <w:r w:rsidRPr="00047212">
        <w:rPr>
          <w:rFonts w:hint="cs"/>
          <w:rtl/>
        </w:rPr>
        <w:t xml:space="preserve">ששימש </w:t>
      </w:r>
      <w:r w:rsidRPr="00047212">
        <w:rPr>
          <w:rtl/>
        </w:rPr>
        <w:t>לתשלום עבור חניה מוסדרת ברשויות מקומיות</w:t>
      </w:r>
      <w:r w:rsidRPr="00047212">
        <w:rPr>
          <w:rFonts w:hint="cs"/>
          <w:rtl/>
        </w:rPr>
        <w:t xml:space="preserve"> בשנות </w:t>
      </w:r>
      <w:r w:rsidR="009B4C57">
        <w:rPr>
          <w:rtl/>
        </w:rPr>
        <w:br/>
      </w:r>
      <w:r w:rsidRPr="00047212">
        <w:rPr>
          <w:rFonts w:hint="cs"/>
          <w:rtl/>
        </w:rPr>
        <w:t>ה-2000, אולם השימוש בו הופסק בשנים האחרונות. מדובר ב</w:t>
      </w:r>
      <w:r w:rsidRPr="00047212">
        <w:rPr>
          <w:rtl/>
        </w:rPr>
        <w:t xml:space="preserve">מכשיר פיזי שאינו תלוי </w:t>
      </w:r>
      <w:r w:rsidRPr="00047212">
        <w:rPr>
          <w:rFonts w:hint="cs"/>
          <w:rtl/>
        </w:rPr>
        <w:t>טלפון נייד.</w:t>
      </w:r>
    </w:p>
  </w:footnote>
  <w:footnote w:id="133">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Pr>
        <w:t>G</w:t>
      </w:r>
      <w:r w:rsidRPr="00047212">
        <w:t>ovLab</w:t>
      </w:r>
      <w:r w:rsidRPr="00047212">
        <w:rPr>
          <w:rFonts w:hint="cs"/>
          <w:rtl/>
        </w:rPr>
        <w:t xml:space="preserve"> </w:t>
      </w:r>
      <w:r w:rsidRPr="00047212">
        <w:rPr>
          <w:rtl/>
        </w:rPr>
        <w:t xml:space="preserve">מיזם האצה </w:t>
      </w:r>
      <w:r w:rsidRPr="00047212">
        <w:rPr>
          <w:rFonts w:hint="cs"/>
          <w:rtl/>
        </w:rPr>
        <w:t xml:space="preserve">אותו </w:t>
      </w:r>
      <w:r w:rsidRPr="00047212">
        <w:rPr>
          <w:rtl/>
        </w:rPr>
        <w:t>מפעיל</w:t>
      </w:r>
      <w:r w:rsidRPr="00047212">
        <w:rPr>
          <w:rFonts w:hint="cs"/>
          <w:rtl/>
        </w:rPr>
        <w:t xml:space="preserve"> </w:t>
      </w:r>
      <w:r w:rsidRPr="00047212">
        <w:rPr>
          <w:rtl/>
        </w:rPr>
        <w:t xml:space="preserve">מערך הדיגיטל </w:t>
      </w:r>
      <w:r w:rsidRPr="00047212">
        <w:rPr>
          <w:rFonts w:hint="cs"/>
          <w:rtl/>
        </w:rPr>
        <w:t>ו</w:t>
      </w:r>
      <w:r w:rsidRPr="00047212">
        <w:rPr>
          <w:rtl/>
        </w:rPr>
        <w:t>במסגרתו צוותי פעולה ממשרדים שונים מייצרים מענה לאתגרים משרדיים באמצעות פתרונות דיגיטליים מתקדמים.</w:t>
      </w:r>
    </w:p>
  </w:footnote>
  <w:footnote w:id="134">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בניגוד</w:t>
      </w:r>
      <w:r w:rsidRPr="00047212">
        <w:rPr>
          <w:rtl/>
        </w:rPr>
        <w:t xml:space="preserve"> </w:t>
      </w:r>
      <w:r w:rsidRPr="00047212">
        <w:rPr>
          <w:rFonts w:hint="cs"/>
          <w:rtl/>
        </w:rPr>
        <w:t>לטיפול ב</w:t>
      </w:r>
      <w:r w:rsidRPr="00047212">
        <w:rPr>
          <w:rtl/>
        </w:rPr>
        <w:t>אמצעות הצוותים הפנימיים במערך</w:t>
      </w:r>
      <w:r w:rsidRPr="00047212">
        <w:rPr>
          <w:rFonts w:hint="cs"/>
          <w:rtl/>
        </w:rPr>
        <w:t xml:space="preserve"> הדיגיטל.</w:t>
      </w:r>
    </w:p>
  </w:footnote>
  <w:footnote w:id="135">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 xml:space="preserve">אתר מרשתת של משרד התחבורה, מדריך למשתמש "חניתי". </w:t>
      </w:r>
      <w:hyperlink r:id="rId46" w:history="1">
        <w:r w:rsidRPr="00047212">
          <w:rPr>
            <w:rStyle w:val="Hyperlink"/>
            <w:color w:val="auto"/>
            <w:u w:val="none"/>
          </w:rPr>
          <w:t>www.gov.il/he/pages/haniti-users-guid</w:t>
        </w:r>
      </w:hyperlink>
      <w:r w:rsidRPr="00047212">
        <w:rPr>
          <w:rFonts w:hint="cs"/>
          <w:rtl/>
        </w:rPr>
        <w:t xml:space="preserve">. בתשובתו ממאי 2026 מסר מערך הדיגיטל כי </w:t>
      </w:r>
      <w:r w:rsidRPr="00047212">
        <w:rPr>
          <w:rtl/>
        </w:rPr>
        <w:t>הפיילוט עלה לאוויר בתאריך</w:t>
      </w:r>
      <w:r w:rsidRPr="00047212">
        <w:rPr>
          <w:rFonts w:hint="cs"/>
          <w:rtl/>
        </w:rPr>
        <w:t xml:space="preserve"> 6.5.2026.</w:t>
      </w:r>
    </w:p>
  </w:footnote>
  <w:footnote w:id="136">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 xml:space="preserve">פרוטוקול דיון </w:t>
      </w:r>
      <w:hyperlink r:id="rId47" w:history="1">
        <w:r w:rsidRPr="00047212">
          <w:rPr>
            <w:rStyle w:val="Hyperlink"/>
            <w:rFonts w:hint="cs"/>
            <w:color w:val="auto"/>
            <w:u w:val="none"/>
            <w:rtl/>
          </w:rPr>
          <w:t>ועדת העבודה, הרווחה והבריאות</w:t>
        </w:r>
      </w:hyperlink>
      <w:r w:rsidRPr="00047212">
        <w:rPr>
          <w:rFonts w:hint="cs"/>
          <w:rtl/>
        </w:rPr>
        <w:t>, 7.3.17.</w:t>
      </w:r>
    </w:p>
  </w:footnote>
  <w:footnote w:id="137">
    <w:p w:rsidR="00047212" w:rsidRPr="00047212" w:rsidP="00A210E9">
      <w:pPr>
        <w:pStyle w:val="FootnoteText"/>
      </w:pPr>
      <w:r w:rsidRPr="00047212">
        <w:rPr>
          <w:rStyle w:val="FootnoteReference1"/>
        </w:rPr>
        <w:footnoteRef/>
      </w:r>
      <w:r w:rsidRPr="00047212">
        <w:rPr>
          <w:rtl/>
        </w:rPr>
        <w:t xml:space="preserve"> </w:t>
      </w:r>
      <w:r w:rsidRPr="00047212">
        <w:tab/>
      </w:r>
      <w:r w:rsidRPr="00047212">
        <w:rPr>
          <w:rFonts w:hint="cs"/>
          <w:rtl/>
        </w:rPr>
        <w:t xml:space="preserve">מצגת של הרשות הארצית לתחבורה ציבורית, </w:t>
      </w:r>
      <w:hyperlink r:id="rId42" w:history="1">
        <w:r w:rsidRPr="00047212">
          <w:rPr>
            <w:rStyle w:val="Hyperlink"/>
            <w:rFonts w:hint="cs"/>
            <w:color w:val="auto"/>
            <w:u w:val="none"/>
            <w:rtl/>
          </w:rPr>
          <w:t>"</w:t>
        </w:r>
        <w:r w:rsidRPr="00047212">
          <w:rPr>
            <w:rStyle w:val="Hyperlink"/>
            <w:rFonts w:hint="eastAsia"/>
            <w:color w:val="auto"/>
            <w:u w:val="none"/>
            <w:rtl/>
          </w:rPr>
          <w:t>האינפלציה</w:t>
        </w:r>
        <w:r w:rsidRPr="00047212">
          <w:rPr>
            <w:rStyle w:val="Hyperlink"/>
            <w:color w:val="auto"/>
            <w:u w:val="none"/>
            <w:rtl/>
          </w:rPr>
          <w:t xml:space="preserve"> בתגי חניה</w:t>
        </w:r>
      </w:hyperlink>
      <w:r w:rsidRPr="00047212">
        <w:t>"</w:t>
      </w:r>
      <w:r w:rsidRPr="00047212">
        <w:rPr>
          <w:rFonts w:hint="cs"/>
          <w:rtl/>
        </w:rPr>
        <w:t xml:space="preserve"> (המסמך אינו נושא תאריך, וכנראה הוכן בשנת 2024).</w:t>
      </w:r>
    </w:p>
  </w:footnote>
  <w:footnote w:id="138">
    <w:p w:rsidR="00047212" w:rsidRPr="00047212" w:rsidP="00A210E9">
      <w:pPr>
        <w:pStyle w:val="FootnoteText"/>
      </w:pPr>
      <w:r w:rsidRPr="00047212">
        <w:rPr>
          <w:rStyle w:val="FootnoteReference1"/>
        </w:rPr>
        <w:footnoteRef/>
      </w:r>
      <w:r w:rsidRPr="00047212">
        <w:rPr>
          <w:rtl/>
        </w:rPr>
        <w:t xml:space="preserve"> </w:t>
      </w:r>
      <w:r w:rsidRPr="00047212">
        <w:rPr>
          <w:rtl/>
        </w:rPr>
        <w:tab/>
      </w:r>
      <w:hyperlink r:id="rId28" w:history="1">
        <w:r w:rsidRPr="00047212">
          <w:rPr>
            <w:rStyle w:val="Hyperlink"/>
            <w:rFonts w:hint="cs"/>
            <w:color w:val="auto"/>
            <w:u w:val="none"/>
            <w:rtl/>
          </w:rPr>
          <w:t>פרוטוקול</w:t>
        </w:r>
      </w:hyperlink>
      <w:r w:rsidRPr="00047212">
        <w:rPr>
          <w:rFonts w:hint="cs"/>
          <w:rtl/>
        </w:rPr>
        <w:t xml:space="preserve"> ישיבת ועדת העבודה והרווחה משנה לעניין נגישות עירונית בנושא "חניות נכים - פיקוח ואכיפה", 22.2.22.</w:t>
      </w:r>
    </w:p>
  </w:footnote>
  <w:footnote w:id="139">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משרד התחבורה והבטיחות בדרכים, מינהל תכנון ופיתוח תשתיות,</w:t>
      </w:r>
      <w:r w:rsidRPr="00047212">
        <w:rPr>
          <w:rFonts w:hint="cs"/>
          <w:b/>
          <w:bCs/>
          <w:rtl/>
        </w:rPr>
        <w:t xml:space="preserve"> </w:t>
      </w:r>
      <w:r w:rsidRPr="00047212">
        <w:rPr>
          <w:rFonts w:hint="cs"/>
          <w:rtl/>
        </w:rPr>
        <w:t>"</w:t>
      </w:r>
      <w:hyperlink r:id="rId48" w:history="1">
        <w:r w:rsidRPr="00047212">
          <w:rPr>
            <w:rStyle w:val="Hyperlink"/>
            <w:rFonts w:hint="eastAsia"/>
            <w:color w:val="auto"/>
            <w:u w:val="none"/>
            <w:rtl/>
          </w:rPr>
          <w:t>התוכנית</w:t>
        </w:r>
        <w:r w:rsidRPr="00047212">
          <w:rPr>
            <w:rStyle w:val="Hyperlink"/>
            <w:color w:val="auto"/>
            <w:u w:val="none"/>
            <w:rtl/>
          </w:rPr>
          <w:t xml:space="preserve"> הלאומית לחניה</w:t>
        </w:r>
      </w:hyperlink>
      <w:r w:rsidRPr="00047212">
        <w:rPr>
          <w:rFonts w:hint="cs"/>
          <w:b/>
          <w:bCs/>
          <w:rtl/>
        </w:rPr>
        <w:t>",</w:t>
      </w:r>
      <w:r w:rsidRPr="00047212">
        <w:rPr>
          <w:rFonts w:hint="cs"/>
          <w:rtl/>
        </w:rPr>
        <w:t xml:space="preserve"> מרץ 2023.</w:t>
      </w:r>
    </w:p>
  </w:footnote>
  <w:footnote w:id="140">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eastAsia"/>
          <w:rtl/>
        </w:rPr>
        <w:t>עד</w:t>
      </w:r>
      <w:r w:rsidRPr="00047212">
        <w:rPr>
          <w:rtl/>
        </w:rPr>
        <w:t xml:space="preserve"> 1993 היה ההסדר החוקי רק באמצעות תמרורי חניה לנכים - בתקנות התעבורה הופיע התמרור ג-43/437 שס</w:t>
      </w:r>
      <w:r w:rsidRPr="00047212">
        <w:rPr>
          <w:rFonts w:hint="eastAsia"/>
          <w:rtl/>
        </w:rPr>
        <w:t>י</w:t>
      </w:r>
      <w:r w:rsidRPr="00047212">
        <w:rPr>
          <w:rtl/>
        </w:rPr>
        <w:t xml:space="preserve">מן מקום חניה מיוחד לרכב של נכה, והחניה של מי שאינו זכאי נאסרה </w:t>
      </w:r>
      <w:r w:rsidRPr="00047212">
        <w:rPr>
          <w:rFonts w:hint="eastAsia"/>
          <w:rtl/>
        </w:rPr>
        <w:t>במקום</w:t>
      </w:r>
      <w:r w:rsidRPr="00047212">
        <w:rPr>
          <w:rtl/>
        </w:rPr>
        <w:t xml:space="preserve"> חניה זה לפי תקנה 72(א)(16). הודעת התעבורה (קביעת תמרורים), </w:t>
      </w:r>
      <w:r w:rsidRPr="00047212">
        <w:rPr>
          <w:rFonts w:hint="cs"/>
          <w:rtl/>
        </w:rPr>
        <w:t>ה</w:t>
      </w:r>
      <w:r w:rsidRPr="00047212">
        <w:rPr>
          <w:rtl/>
        </w:rPr>
        <w:t>תש״ל-1970</w:t>
      </w:r>
      <w:r w:rsidRPr="00047212">
        <w:rPr>
          <w:rFonts w:hint="cs"/>
          <w:rtl/>
        </w:rPr>
        <w:t>,</w:t>
      </w:r>
      <w:r w:rsidRPr="00047212">
        <w:rPr>
          <w:rtl/>
        </w:rPr>
        <w:t xml:space="preserve"> היה המסמך הרשמי שקבע את לוח התמרורים </w:t>
      </w:r>
      <w:r w:rsidRPr="00047212">
        <w:rPr>
          <w:rFonts w:hint="cs"/>
          <w:rtl/>
        </w:rPr>
        <w:t>בשנים</w:t>
      </w:r>
      <w:r w:rsidRPr="00047212">
        <w:rPr>
          <w:rtl/>
        </w:rPr>
        <w:t xml:space="preserve"> 1970 </w:t>
      </w:r>
      <w:r w:rsidRPr="00047212">
        <w:rPr>
          <w:rFonts w:hint="cs"/>
          <w:rtl/>
        </w:rPr>
        <w:t>-</w:t>
      </w:r>
      <w:r w:rsidRPr="00047212">
        <w:rPr>
          <w:rtl/>
        </w:rPr>
        <w:t xml:space="preserve"> 2011 והגדיר את התמרור ג-43/4</w:t>
      </w:r>
      <w:r w:rsidRPr="00047212">
        <w:rPr>
          <w:rFonts w:hint="cs"/>
          <w:rtl/>
        </w:rPr>
        <w:t>3</w:t>
      </w:r>
      <w:r w:rsidRPr="00047212">
        <w:rPr>
          <w:rtl/>
        </w:rPr>
        <w:t>7 כ״חניה לכלי רכב של נכה משותק רגליים״.</w:t>
      </w:r>
    </w:p>
  </w:footnote>
  <w:footnote w:id="141">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eastAsia"/>
          <w:rtl/>
        </w:rPr>
        <w:t>מבקר</w:t>
      </w:r>
      <w:r w:rsidRPr="00047212">
        <w:rPr>
          <w:rtl/>
        </w:rPr>
        <w:t xml:space="preserve"> המדינה, </w:t>
      </w:r>
      <w:r w:rsidRPr="00047212">
        <w:rPr>
          <w:b/>
          <w:bCs/>
          <w:rtl/>
        </w:rPr>
        <w:t>דוח שנתי 70ב</w:t>
      </w:r>
      <w:r w:rsidRPr="00047212">
        <w:rPr>
          <w:rFonts w:hint="cs"/>
          <w:rtl/>
        </w:rPr>
        <w:t xml:space="preserve"> (2020)</w:t>
      </w:r>
      <w:r w:rsidRPr="00047212">
        <w:rPr>
          <w:rtl/>
        </w:rPr>
        <w:t xml:space="preserve">, </w:t>
      </w:r>
      <w:r w:rsidRPr="00047212">
        <w:rPr>
          <w:rFonts w:hint="cs"/>
          <w:rtl/>
        </w:rPr>
        <w:t>"</w:t>
      </w:r>
      <w:r w:rsidRPr="00047212">
        <w:rPr>
          <w:rtl/>
        </w:rPr>
        <w:t>השירות לאזרח בוועדות הרפואיות במוסד לביטוח לאומי</w:t>
      </w:r>
      <w:r w:rsidRPr="00047212">
        <w:rPr>
          <w:rFonts w:hint="cs"/>
          <w:rtl/>
        </w:rPr>
        <w:t>"</w:t>
      </w:r>
    </w:p>
  </w:footnote>
  <w:footnote w:id="142">
    <w:p w:rsidR="00047212" w:rsidRPr="00047212" w:rsidP="009B4C57">
      <w:pPr>
        <w:pStyle w:val="FootnoteText"/>
      </w:pPr>
      <w:r w:rsidRPr="00047212">
        <w:rPr>
          <w:rStyle w:val="FootnoteReference1"/>
        </w:rPr>
        <w:footnoteRef/>
      </w:r>
      <w:r w:rsidRPr="00047212">
        <w:rPr>
          <w:rtl/>
        </w:rPr>
        <w:t xml:space="preserve"> </w:t>
      </w:r>
      <w:r w:rsidRPr="00047212">
        <w:rPr>
          <w:rtl/>
        </w:rPr>
        <w:tab/>
      </w:r>
      <w:r w:rsidRPr="00047212">
        <w:rPr>
          <w:rFonts w:hint="eastAsia"/>
          <w:rtl/>
        </w:rPr>
        <w:t>הליקויים</w:t>
      </w:r>
      <w:r w:rsidRPr="00047212">
        <w:rPr>
          <w:rtl/>
        </w:rPr>
        <w:t xml:space="preserve"> כוללים </w:t>
      </w:r>
      <w:r w:rsidRPr="00047212">
        <w:rPr>
          <w:rFonts w:hint="eastAsia"/>
          <w:rtl/>
        </w:rPr>
        <w:t>שיתוקים</w:t>
      </w:r>
      <w:r w:rsidRPr="00047212">
        <w:rPr>
          <w:rtl/>
        </w:rPr>
        <w:t xml:space="preserve">, קטיעות, </w:t>
      </w:r>
      <w:r w:rsidRPr="00047212">
        <w:rPr>
          <w:rFonts w:hint="eastAsia"/>
          <w:rtl/>
        </w:rPr>
        <w:t>קשיונות</w:t>
      </w:r>
      <w:r w:rsidRPr="00047212">
        <w:rPr>
          <w:rtl/>
        </w:rPr>
        <w:t xml:space="preserve">, </w:t>
      </w:r>
      <w:r w:rsidRPr="00047212">
        <w:rPr>
          <w:rFonts w:hint="eastAsia"/>
          <w:rtl/>
        </w:rPr>
        <w:t>נקיעות</w:t>
      </w:r>
      <w:r w:rsidRPr="00047212">
        <w:rPr>
          <w:rtl/>
        </w:rPr>
        <w:t xml:space="preserve">, מפרקים מדומים, הגבלת כושר תנועת המפרקים ברגליים או החלפתם, קיצור גפה, תהליך אי-ספיקה היקפית בעורקי הרגליים, הפרעות במערכת כלי הלימפה, מומים מלידה </w:t>
      </w:r>
      <w:r w:rsidRPr="00047212">
        <w:rPr>
          <w:rFonts w:hint="cs"/>
          <w:rtl/>
        </w:rPr>
        <w:t>ו</w:t>
      </w:r>
      <w:r w:rsidRPr="00047212">
        <w:rPr>
          <w:rtl/>
        </w:rPr>
        <w:t xml:space="preserve">קומה נמוכה. רשימת ליקויים, אתר </w:t>
      </w:r>
      <w:r w:rsidRPr="00047212">
        <w:rPr>
          <w:rFonts w:hint="cs"/>
          <w:rtl/>
        </w:rPr>
        <w:t>המוסד ל</w:t>
      </w:r>
      <w:r w:rsidRPr="00047212">
        <w:rPr>
          <w:rtl/>
        </w:rPr>
        <w:t xml:space="preserve">ביטוח לאומי, אוחזר מאתר: </w:t>
      </w:r>
      <w:hyperlink r:id="rId49" w:history="1">
        <w:r w:rsidRPr="00047212">
          <w:rPr>
            <w:rStyle w:val="Hyperlink"/>
            <w:color w:val="auto"/>
            <w:u w:val="none"/>
          </w:rPr>
          <w:t>www.btl.gov.il/benefits/Mobility/LikuyList/Pages/default.aspx</w:t>
        </w:r>
      </w:hyperlink>
      <w:r w:rsidRPr="00047212">
        <w:rPr>
          <w:rtl/>
        </w:rPr>
        <w:t xml:space="preserve">, </w:t>
      </w:r>
      <w:r w:rsidRPr="00047212">
        <w:rPr>
          <w:rFonts w:hint="eastAsia"/>
          <w:rtl/>
        </w:rPr>
        <w:t>אוחזר ב-</w:t>
      </w:r>
      <w:r w:rsidRPr="00047212">
        <w:rPr>
          <w:rtl/>
        </w:rPr>
        <w:t>23.6.25.</w:t>
      </w:r>
    </w:p>
  </w:footnote>
  <w:footnote w:id="143">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eastAsia"/>
          <w:rtl/>
        </w:rPr>
        <w:t>אתר</w:t>
      </w:r>
      <w:r w:rsidRPr="00047212">
        <w:rPr>
          <w:rtl/>
        </w:rPr>
        <w:t xml:space="preserve"> </w:t>
      </w:r>
      <w:r w:rsidRPr="00047212">
        <w:rPr>
          <w:rFonts w:hint="cs"/>
          <w:rtl/>
        </w:rPr>
        <w:t>המוסד ל</w:t>
      </w:r>
      <w:r w:rsidRPr="00047212">
        <w:rPr>
          <w:rtl/>
        </w:rPr>
        <w:t xml:space="preserve">ביטוח לאומי. אוחזר מאתר: </w:t>
      </w:r>
      <w:hyperlink r:id="rId50" w:history="1">
        <w:r w:rsidRPr="00047212">
          <w:rPr>
            <w:rStyle w:val="Hyperlink"/>
            <w:color w:val="auto"/>
            <w:u w:val="none"/>
          </w:rPr>
          <w:t>btl.gov.il/benefits/mobility/pages/default.aspx</w:t>
        </w:r>
      </w:hyperlink>
      <w:r w:rsidRPr="00047212">
        <w:rPr>
          <w:rtl/>
        </w:rPr>
        <w:t xml:space="preserve">, </w:t>
      </w:r>
      <w:r w:rsidRPr="00047212">
        <w:rPr>
          <w:rFonts w:hint="eastAsia"/>
          <w:rtl/>
        </w:rPr>
        <w:t xml:space="preserve">אוחזר </w:t>
      </w:r>
      <w:r w:rsidR="009B4C57">
        <w:rPr>
          <w:rtl/>
        </w:rPr>
        <w:br/>
      </w:r>
      <w:r w:rsidRPr="00047212">
        <w:rPr>
          <w:rFonts w:hint="eastAsia"/>
          <w:rtl/>
        </w:rPr>
        <w:t>ב-</w:t>
      </w:r>
      <w:r w:rsidRPr="00047212">
        <w:rPr>
          <w:rtl/>
        </w:rPr>
        <w:t>23.6.25.</w:t>
      </w:r>
    </w:p>
  </w:footnote>
  <w:footnote w:id="144">
    <w:p w:rsidR="00047212" w:rsidRPr="00047212" w:rsidP="00A210E9">
      <w:pPr>
        <w:pStyle w:val="FootnoteText"/>
      </w:pPr>
      <w:r w:rsidRPr="00047212">
        <w:rPr>
          <w:rStyle w:val="FootnoteReference1"/>
        </w:rPr>
        <w:footnoteRef/>
      </w:r>
      <w:r w:rsidRPr="00047212">
        <w:rPr>
          <w:rtl/>
        </w:rPr>
        <w:t xml:space="preserve"> </w:t>
      </w:r>
      <w:r w:rsidRPr="00047212">
        <w:rPr>
          <w:rtl/>
        </w:rPr>
        <w:tab/>
        <w:t xml:space="preserve">רופא אמון </w:t>
      </w:r>
      <w:r w:rsidRPr="00047212">
        <w:rPr>
          <w:rFonts w:hint="cs"/>
          <w:rtl/>
        </w:rPr>
        <w:t>- מועסק</w:t>
      </w:r>
      <w:r w:rsidRPr="00047212">
        <w:rPr>
          <w:rtl/>
        </w:rPr>
        <w:t xml:space="preserve"> </w:t>
      </w:r>
      <w:r w:rsidRPr="00047212">
        <w:rPr>
          <w:rFonts w:hint="cs"/>
          <w:rtl/>
        </w:rPr>
        <w:t>ב</w:t>
      </w:r>
      <w:r w:rsidRPr="00047212">
        <w:rPr>
          <w:rtl/>
        </w:rPr>
        <w:t xml:space="preserve">שירות ראייה, שמיעה וטכנולוגיה </w:t>
      </w:r>
      <w:r w:rsidRPr="00047212">
        <w:rPr>
          <w:rFonts w:hint="cs"/>
          <w:rtl/>
        </w:rPr>
        <w:t>ש</w:t>
      </w:r>
      <w:r w:rsidRPr="00047212">
        <w:rPr>
          <w:rtl/>
        </w:rPr>
        <w:t>במשרד הרווחה והביטחון החברתי</w:t>
      </w:r>
      <w:r w:rsidRPr="00047212">
        <w:t>.</w:t>
      </w:r>
      <w:r w:rsidRPr="00047212">
        <w:rPr>
          <w:rtl/>
        </w:rPr>
        <w:t xml:space="preserve"> </w:t>
      </w:r>
      <w:r w:rsidRPr="00047212">
        <w:rPr>
          <w:rFonts w:hint="cs"/>
          <w:rtl/>
        </w:rPr>
        <w:t>ממצאי בדיקתו מועברים</w:t>
      </w:r>
      <w:r w:rsidRPr="00047212">
        <w:rPr>
          <w:rtl/>
        </w:rPr>
        <w:t xml:space="preserve"> במערכת מקוונת לשירות </w:t>
      </w:r>
      <w:r w:rsidRPr="00047212">
        <w:rPr>
          <w:rFonts w:hint="cs"/>
          <w:rtl/>
        </w:rPr>
        <w:t>המוסמך</w:t>
      </w:r>
      <w:r w:rsidRPr="00047212">
        <w:rPr>
          <w:rtl/>
        </w:rPr>
        <w:t xml:space="preserve"> </w:t>
      </w:r>
      <w:r w:rsidRPr="00047212">
        <w:rPr>
          <w:rFonts w:hint="cs"/>
          <w:rtl/>
        </w:rPr>
        <w:t>ל</w:t>
      </w:r>
      <w:r w:rsidRPr="00047212">
        <w:rPr>
          <w:rtl/>
        </w:rPr>
        <w:t>קב</w:t>
      </w:r>
      <w:r w:rsidRPr="00047212">
        <w:rPr>
          <w:rFonts w:hint="cs"/>
          <w:rtl/>
        </w:rPr>
        <w:t>ו</w:t>
      </w:r>
      <w:r w:rsidRPr="00047212">
        <w:rPr>
          <w:rtl/>
        </w:rPr>
        <w:t>ע את הזכאות לקבלת התעודה.</w:t>
      </w:r>
      <w:r w:rsidRPr="00047212">
        <w:rPr>
          <w:rFonts w:hint="cs"/>
          <w:rtl/>
        </w:rPr>
        <w:t xml:space="preserve"> משרד הרווחה, </w:t>
      </w:r>
      <w:r w:rsidRPr="00047212">
        <w:rPr>
          <w:b/>
          <w:bCs/>
          <w:rtl/>
        </w:rPr>
        <w:t>מדריך</w:t>
      </w:r>
      <w:r w:rsidRPr="00047212">
        <w:rPr>
          <w:rFonts w:hint="cs"/>
          <w:b/>
          <w:bCs/>
          <w:rtl/>
        </w:rPr>
        <w:t xml:space="preserve"> </w:t>
      </w:r>
      <w:r w:rsidRPr="00047212">
        <w:rPr>
          <w:b/>
          <w:bCs/>
          <w:rtl/>
        </w:rPr>
        <w:t>זכויות</w:t>
      </w:r>
      <w:r w:rsidRPr="00047212">
        <w:rPr>
          <w:rFonts w:hint="cs"/>
          <w:b/>
          <w:bCs/>
          <w:rtl/>
        </w:rPr>
        <w:t xml:space="preserve"> </w:t>
      </w:r>
      <w:r w:rsidRPr="00047212">
        <w:rPr>
          <w:b/>
          <w:bCs/>
          <w:rtl/>
        </w:rPr>
        <w:t>ושירותים</w:t>
      </w:r>
      <w:r w:rsidRPr="00047212">
        <w:rPr>
          <w:rFonts w:hint="cs"/>
          <w:b/>
          <w:bCs/>
          <w:rtl/>
        </w:rPr>
        <w:t xml:space="preserve"> </w:t>
      </w:r>
      <w:r w:rsidRPr="00047212">
        <w:rPr>
          <w:b/>
          <w:bCs/>
          <w:rtl/>
        </w:rPr>
        <w:t>לנושאי</w:t>
      </w:r>
      <w:r w:rsidRPr="00047212">
        <w:rPr>
          <w:rFonts w:hint="cs"/>
          <w:b/>
          <w:bCs/>
          <w:rtl/>
        </w:rPr>
        <w:t xml:space="preserve"> </w:t>
      </w:r>
      <w:r w:rsidRPr="00047212">
        <w:rPr>
          <w:b/>
          <w:bCs/>
          <w:rtl/>
        </w:rPr>
        <w:t>תעודת</w:t>
      </w:r>
      <w:r w:rsidRPr="00047212">
        <w:rPr>
          <w:rFonts w:hint="cs"/>
          <w:b/>
          <w:bCs/>
          <w:rtl/>
        </w:rPr>
        <w:t xml:space="preserve"> </w:t>
      </w:r>
      <w:r w:rsidRPr="00047212">
        <w:rPr>
          <w:b/>
          <w:bCs/>
          <w:rtl/>
        </w:rPr>
        <w:t>עיוור</w:t>
      </w:r>
      <w:r w:rsidRPr="00047212">
        <w:rPr>
          <w:rFonts w:hint="cs"/>
          <w:b/>
          <w:bCs/>
          <w:rtl/>
        </w:rPr>
        <w:t xml:space="preserve"> </w:t>
      </w:r>
      <w:r w:rsidRPr="00047212">
        <w:rPr>
          <w:b/>
          <w:bCs/>
          <w:rtl/>
        </w:rPr>
        <w:t>בישראל</w:t>
      </w:r>
      <w:r w:rsidRPr="00047212">
        <w:rPr>
          <w:rFonts w:hint="cs"/>
          <w:rtl/>
        </w:rPr>
        <w:t>, יוני 2023.</w:t>
      </w:r>
    </w:p>
  </w:footnote>
  <w:footnote w:id="145">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eastAsia="Times New Roman" w:hint="eastAsia"/>
          <w:rtl/>
        </w:rPr>
        <w:t>אוחזר</w:t>
      </w:r>
      <w:r w:rsidRPr="00047212">
        <w:rPr>
          <w:rFonts w:eastAsia="Times New Roman"/>
          <w:rtl/>
        </w:rPr>
        <w:t xml:space="preserve"> </w:t>
      </w:r>
      <w:r w:rsidRPr="00047212">
        <w:rPr>
          <w:rFonts w:eastAsia="Times New Roman" w:hint="eastAsia"/>
          <w:rtl/>
        </w:rPr>
        <w:t>מאתר</w:t>
      </w:r>
      <w:r w:rsidR="009B4C57">
        <w:rPr>
          <w:rFonts w:eastAsia="Times New Roman" w:hint="cs"/>
          <w:rtl/>
        </w:rPr>
        <w:t xml:space="preserve"> </w:t>
      </w:r>
      <w:hyperlink r:id="rId51" w:history="1">
        <w:r w:rsidRPr="00047212">
          <w:rPr>
            <w:rStyle w:val="Hyperlink"/>
            <w:rFonts w:eastAsia="Times New Roman"/>
            <w:color w:val="auto"/>
            <w:u w:val="none"/>
          </w:rPr>
          <w:t>www.nevo.co.il/law_html/law01/310_007.htm</w:t>
        </w:r>
      </w:hyperlink>
      <w:r w:rsidRPr="00047212">
        <w:rPr>
          <w:rFonts w:eastAsia="Times New Roman"/>
          <w:rtl/>
        </w:rPr>
        <w:t xml:space="preserve">, </w:t>
      </w:r>
      <w:r w:rsidRPr="00047212">
        <w:rPr>
          <w:rFonts w:eastAsia="Times New Roman" w:hint="eastAsia"/>
          <w:rtl/>
        </w:rPr>
        <w:t>אוחזר</w:t>
      </w:r>
      <w:r w:rsidRPr="00047212">
        <w:rPr>
          <w:rFonts w:eastAsia="Times New Roman"/>
          <w:rtl/>
        </w:rPr>
        <w:t xml:space="preserve"> </w:t>
      </w:r>
      <w:r w:rsidRPr="00047212">
        <w:rPr>
          <w:rFonts w:eastAsia="Times New Roman" w:hint="eastAsia"/>
          <w:rtl/>
        </w:rPr>
        <w:t>ביום</w:t>
      </w:r>
      <w:r w:rsidRPr="00047212">
        <w:rPr>
          <w:rFonts w:eastAsia="Times New Roman"/>
        </w:rPr>
        <w:t xml:space="preserve"> </w:t>
      </w:r>
      <w:r w:rsidRPr="00047212">
        <w:rPr>
          <w:rFonts w:eastAsia="Times New Roman"/>
          <w:rtl/>
        </w:rPr>
        <w:t>24.7.25.</w:t>
      </w:r>
    </w:p>
  </w:footnote>
  <w:footnote w:id="146">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eastAsia"/>
          <w:rtl/>
        </w:rPr>
        <w:t>הר</w:t>
      </w:r>
      <w:r w:rsidRPr="00047212">
        <w:rPr>
          <w:rtl/>
        </w:rPr>
        <w:t xml:space="preserve"> הידע</w:t>
      </w:r>
      <w:r w:rsidRPr="00047212">
        <w:rPr>
          <w:rFonts w:hint="cs"/>
          <w:rtl/>
        </w:rPr>
        <w:t>,</w:t>
      </w:r>
      <w:r w:rsidRPr="00047212">
        <w:rPr>
          <w:rtl/>
        </w:rPr>
        <w:t xml:space="preserve"> מערך </w:t>
      </w:r>
      <w:r w:rsidRPr="00047212">
        <w:rPr>
          <w:rFonts w:hint="eastAsia"/>
          <w:rtl/>
        </w:rPr>
        <w:t>הדיגיטל</w:t>
      </w:r>
      <w:r w:rsidRPr="00047212">
        <w:rPr>
          <w:rtl/>
        </w:rPr>
        <w:t xml:space="preserve"> הלאומי, אוחזר מאתר: </w:t>
      </w:r>
      <w:hyperlink r:id="rId52" w:history="1">
        <w:r w:rsidRPr="00047212">
          <w:rPr>
            <w:rStyle w:val="Hyperlink"/>
            <w:color w:val="auto"/>
            <w:u w:val="none"/>
          </w:rPr>
          <w:t>harhayeda.gov.il/success-stories/parkingtag</w:t>
        </w:r>
      </w:hyperlink>
      <w:r w:rsidRPr="00047212">
        <w:rPr>
          <w:rtl/>
        </w:rPr>
        <w:t xml:space="preserve">, </w:t>
      </w:r>
      <w:r w:rsidRPr="00047212">
        <w:rPr>
          <w:rFonts w:hint="eastAsia"/>
          <w:rtl/>
        </w:rPr>
        <w:t>אוחזר ב-</w:t>
      </w:r>
      <w:r w:rsidRPr="00047212">
        <w:rPr>
          <w:rtl/>
        </w:rPr>
        <w:t>30.10.25.</w:t>
      </w:r>
      <w:r w:rsidRPr="00047212">
        <w:rPr>
          <w:rFonts w:hint="cs"/>
          <w:rtl/>
        </w:rPr>
        <w:t xml:space="preserve"> </w:t>
      </w:r>
    </w:p>
  </w:footnote>
  <w:footnote w:id="147">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t>רשימה של מקבלי קצבאות שעשויים להיות זכאים לתג חניה</w:t>
      </w:r>
      <w:r w:rsidRPr="00047212">
        <w:rPr>
          <w:rFonts w:hint="cs"/>
          <w:rtl/>
        </w:rPr>
        <w:t xml:space="preserve"> כוללת גם</w:t>
      </w:r>
      <w:r w:rsidRPr="00047212">
        <w:rPr>
          <w:rtl/>
        </w:rPr>
        <w:t>: מקבלי קצבת שר"ם בשיעור 50% בשל עיוורון, טיפולי כימותרפיה או דיאליזה,</w:t>
      </w:r>
      <w:r w:rsidRPr="00047212">
        <w:rPr>
          <w:rFonts w:hint="cs"/>
          <w:rtl/>
        </w:rPr>
        <w:t xml:space="preserve"> או </w:t>
      </w:r>
      <w:r w:rsidRPr="00047212">
        <w:rPr>
          <w:rtl/>
        </w:rPr>
        <w:t>מקבל</w:t>
      </w:r>
      <w:r w:rsidRPr="00047212">
        <w:rPr>
          <w:rFonts w:hint="cs"/>
          <w:rtl/>
        </w:rPr>
        <w:t>י</w:t>
      </w:r>
      <w:r w:rsidRPr="00047212">
        <w:rPr>
          <w:rtl/>
        </w:rPr>
        <w:t xml:space="preserve"> שר"</w:t>
      </w:r>
      <w:r w:rsidRPr="00047212">
        <w:rPr>
          <w:rFonts w:hint="cs"/>
          <w:rtl/>
        </w:rPr>
        <w:t>ם</w:t>
      </w:r>
      <w:r w:rsidRPr="00047212">
        <w:rPr>
          <w:rtl/>
        </w:rPr>
        <w:t xml:space="preserve"> עם 12 נקודות בסעיף "ניידות בבית"; ילד המקבל קצבת ילד </w:t>
      </w:r>
      <w:r w:rsidRPr="00047212">
        <w:rPr>
          <w:rFonts w:hint="cs"/>
          <w:rtl/>
        </w:rPr>
        <w:t>עם מוגבלות</w:t>
      </w:r>
      <w:r w:rsidRPr="00047212">
        <w:rPr>
          <w:rtl/>
        </w:rPr>
        <w:t xml:space="preserve"> בשל אחת מהעילות האלה: תלות מוחלטת בעזרת הזולת (זכאות בשיעור 188% ומעלה), השגחה מלאה, עיוורון, לקוי ראי</w:t>
      </w:r>
      <w:r w:rsidRPr="00047212">
        <w:rPr>
          <w:rFonts w:hint="cs"/>
          <w:rtl/>
        </w:rPr>
        <w:t>י</w:t>
      </w:r>
      <w:r w:rsidRPr="00047212">
        <w:rPr>
          <w:rtl/>
        </w:rPr>
        <w:t>ה וכבד ראי</w:t>
      </w:r>
      <w:r w:rsidRPr="00047212">
        <w:rPr>
          <w:rFonts w:hint="cs"/>
          <w:rtl/>
        </w:rPr>
        <w:t>י</w:t>
      </w:r>
      <w:r w:rsidRPr="00047212">
        <w:rPr>
          <w:rtl/>
        </w:rPr>
        <w:t>ה, חוסר תפקוד בשתי גפיים, פסיכוזה, דיאליזה, שברים פתולוג</w:t>
      </w:r>
      <w:r w:rsidRPr="00047212">
        <w:rPr>
          <w:rFonts w:hint="cs"/>
          <w:rtl/>
        </w:rPr>
        <w:t>י</w:t>
      </w:r>
      <w:r w:rsidRPr="00047212">
        <w:rPr>
          <w:rtl/>
        </w:rPr>
        <w:t>ים, דחף בלתי נשלט לאכילה, אורטורסטומיה, קולוסטומיה, ג'</w:t>
      </w:r>
      <w:r w:rsidRPr="00047212">
        <w:rPr>
          <w:rFonts w:hint="cs"/>
          <w:rtl/>
        </w:rPr>
        <w:t>ו</w:t>
      </w:r>
      <w:r w:rsidRPr="00047212">
        <w:rPr>
          <w:rtl/>
        </w:rPr>
        <w:t xml:space="preserve">ג'ונוסטומיה, האכלה ממושכת, הזנה תוך ורידית וזונדה טיפתית, טרכאוסטמיה, </w:t>
      </w:r>
      <w:r w:rsidRPr="00047212">
        <w:rPr>
          <w:rFonts w:hint="cs"/>
          <w:rtl/>
        </w:rPr>
        <w:t>צורך</w:t>
      </w:r>
      <w:r w:rsidRPr="00047212">
        <w:rPr>
          <w:rtl/>
        </w:rPr>
        <w:t xml:space="preserve"> </w:t>
      </w:r>
      <w:r w:rsidRPr="00047212">
        <w:rPr>
          <w:rFonts w:hint="cs"/>
          <w:rtl/>
        </w:rPr>
        <w:t>ב</w:t>
      </w:r>
      <w:r w:rsidRPr="00047212">
        <w:rPr>
          <w:rtl/>
        </w:rPr>
        <w:t>חמצן, אפילפסיה לא מאוזנת, אסטמה קשה, בעיות בדרכי הנשימה וסיסטיק פיברוזיס (</w:t>
      </w:r>
      <w:r w:rsidRPr="00047212">
        <w:t>CF</w:t>
      </w:r>
      <w:r w:rsidRPr="00047212">
        <w:rPr>
          <w:rtl/>
        </w:rPr>
        <w:t>). אוחזר מאתר:</w:t>
      </w:r>
      <w:r w:rsidRPr="00047212">
        <w:t xml:space="preserve"> </w:t>
      </w:r>
    </w:p>
    <w:p w:rsidR="00047212" w:rsidRPr="00047212" w:rsidP="00A210E9">
      <w:pPr>
        <w:pStyle w:val="FootnoteText"/>
        <w:ind w:hanging="12"/>
        <w:rPr>
          <w:rtl/>
        </w:rPr>
      </w:pPr>
      <w:hyperlink r:id="rId53" w:history="1">
        <w:r w:rsidRPr="00047212">
          <w:rPr>
            <w:rStyle w:val="Hyperlink"/>
            <w:color w:val="auto"/>
            <w:u w:val="none"/>
          </w:rPr>
          <w:t>www.btl.gov.il/benefits/Disability/otherbenefits/Pages/%D7%AA%D7%92%20%D7%97%D7%A0%D7%99%D7%94%20%D7%9C%D7%A8%D7%9B%D7%91%20%D7%A0%D7%9B%D7%94.aspx</w:t>
        </w:r>
      </w:hyperlink>
      <w:r w:rsidRPr="00047212">
        <w:rPr>
          <w:rtl/>
        </w:rPr>
        <w:t>, אוחזר ביום:</w:t>
      </w:r>
      <w:r w:rsidRPr="00047212">
        <w:t xml:space="preserve"> </w:t>
      </w:r>
      <w:r w:rsidRPr="00047212">
        <w:rPr>
          <w:rtl/>
        </w:rPr>
        <w:t>24.7.25.</w:t>
      </w:r>
    </w:p>
  </w:footnote>
  <w:footnote w:id="148">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eastAsia"/>
          <w:rtl/>
        </w:rPr>
        <w:t>אתר</w:t>
      </w:r>
      <w:r w:rsidRPr="00047212">
        <w:rPr>
          <w:rtl/>
        </w:rPr>
        <w:t xml:space="preserve"> משרד התחבורה </w:t>
      </w:r>
      <w:r w:rsidRPr="00047212">
        <w:rPr>
          <w:rFonts w:hint="cs"/>
          <w:rtl/>
        </w:rPr>
        <w:t>ב</w:t>
      </w:r>
      <w:r w:rsidRPr="00047212">
        <w:rPr>
          <w:rtl/>
        </w:rPr>
        <w:t>מרשתת, תג חניה לנכה,</w:t>
      </w:r>
      <w:r w:rsidRPr="00047212">
        <w:rPr>
          <w:rFonts w:hint="cs"/>
          <w:rtl/>
        </w:rPr>
        <w:t xml:space="preserve"> סעיף 2 -</w:t>
      </w:r>
      <w:r w:rsidRPr="00047212">
        <w:rPr>
          <w:rtl/>
        </w:rPr>
        <w:t xml:space="preserve"> </w:t>
      </w:r>
      <w:r w:rsidRPr="00047212">
        <w:rPr>
          <w:rFonts w:hint="eastAsia"/>
          <w:rtl/>
        </w:rPr>
        <w:t>זכאים</w:t>
      </w:r>
      <w:r w:rsidRPr="00047212">
        <w:rPr>
          <w:rtl/>
        </w:rPr>
        <w:t xml:space="preserve"> </w:t>
      </w:r>
      <w:r w:rsidRPr="00047212">
        <w:rPr>
          <w:rFonts w:hint="eastAsia"/>
          <w:rtl/>
        </w:rPr>
        <w:t>בעלי</w:t>
      </w:r>
      <w:r w:rsidRPr="00047212">
        <w:rPr>
          <w:rtl/>
        </w:rPr>
        <w:t xml:space="preserve"> </w:t>
      </w:r>
      <w:r w:rsidRPr="00047212">
        <w:rPr>
          <w:rFonts w:hint="eastAsia"/>
          <w:rtl/>
        </w:rPr>
        <w:t>אישור</w:t>
      </w:r>
      <w:r w:rsidRPr="00047212">
        <w:rPr>
          <w:rtl/>
        </w:rPr>
        <w:t xml:space="preserve"> </w:t>
      </w:r>
      <w:r w:rsidRPr="00047212">
        <w:rPr>
          <w:rFonts w:hint="eastAsia"/>
          <w:rtl/>
        </w:rPr>
        <w:t>נכות</w:t>
      </w:r>
      <w:r w:rsidRPr="00047212">
        <w:rPr>
          <w:rtl/>
        </w:rPr>
        <w:t xml:space="preserve">, אוחזר מאתר: </w:t>
      </w:r>
      <w:hyperlink r:id="rId54" w:history="1">
        <w:r w:rsidRPr="00047212">
          <w:rPr>
            <w:rStyle w:val="Hyperlink"/>
            <w:color w:val="auto"/>
            <w:u w:val="none"/>
          </w:rPr>
          <w:t>www.gov.il/he/pages/terms_conditions_use_disability_parking_badge?chapterIndex=2</w:t>
        </w:r>
      </w:hyperlink>
      <w:r w:rsidRPr="00047212">
        <w:t xml:space="preserve"> </w:t>
      </w:r>
      <w:r w:rsidRPr="00047212">
        <w:rPr>
          <w:rtl/>
        </w:rPr>
        <w:t xml:space="preserve">, </w:t>
      </w:r>
      <w:r w:rsidRPr="00047212">
        <w:rPr>
          <w:rFonts w:hint="eastAsia"/>
          <w:rtl/>
        </w:rPr>
        <w:t>אוחזר</w:t>
      </w:r>
      <w:r w:rsidRPr="00047212">
        <w:rPr>
          <w:rtl/>
        </w:rPr>
        <w:t xml:space="preserve"> </w:t>
      </w:r>
      <w:r w:rsidRPr="00047212">
        <w:rPr>
          <w:rFonts w:hint="eastAsia"/>
          <w:rtl/>
        </w:rPr>
        <w:t>ביום</w:t>
      </w:r>
      <w:r w:rsidRPr="00047212">
        <w:rPr>
          <w:rtl/>
        </w:rPr>
        <w:t>: 24.7.25.</w:t>
      </w:r>
    </w:p>
  </w:footnote>
  <w:footnote w:id="149">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משרד התחבורה - אגף בכיר ביקורת פנימית, "</w:t>
      </w:r>
      <w:r w:rsidRPr="00047212">
        <w:rPr>
          <w:rFonts w:hint="eastAsia"/>
          <w:rtl/>
        </w:rPr>
        <w:t>דוח</w:t>
      </w:r>
      <w:r w:rsidRPr="00047212">
        <w:rPr>
          <w:rtl/>
        </w:rPr>
        <w:t xml:space="preserve"> ביקורת פנימית 91 - מערכת תגי חניה לנכים - יישום והפעלה</w:t>
      </w:r>
      <w:r w:rsidRPr="00047212">
        <w:rPr>
          <w:rFonts w:hint="cs"/>
          <w:rtl/>
        </w:rPr>
        <w:t>",</w:t>
      </w:r>
      <w:r w:rsidRPr="00047212">
        <w:rPr>
          <w:rFonts w:hint="cs"/>
          <w:b/>
          <w:bCs/>
          <w:rtl/>
        </w:rPr>
        <w:t xml:space="preserve"> </w:t>
      </w:r>
      <w:r w:rsidRPr="00047212">
        <w:rPr>
          <w:rFonts w:hint="cs"/>
          <w:rtl/>
        </w:rPr>
        <w:t xml:space="preserve">מרץ 2018. </w:t>
      </w:r>
    </w:p>
  </w:footnote>
  <w:footnote w:id="150">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הנוהל אינו נושא מספר ותאריך ומצוין בו מועד תחולה בלבד.</w:t>
      </w:r>
      <w:r w:rsidRPr="00047212">
        <w:rPr>
          <w:rtl/>
        </w:rPr>
        <w:t xml:space="preserve"> אוחזר מאתר משרד התחבורה: </w:t>
      </w:r>
      <w:hyperlink r:id="rId55" w:history="1">
        <w:r w:rsidRPr="00047212">
          <w:rPr>
            <w:rStyle w:val="Hyperlink"/>
            <w:color w:val="auto"/>
            <w:u w:val="none"/>
          </w:rPr>
          <w:t>www.gov.il/he/pages/disabled-parking</w:t>
        </w:r>
      </w:hyperlink>
      <w:r w:rsidRPr="00047212">
        <w:rPr>
          <w:rtl/>
        </w:rPr>
        <w:t xml:space="preserve">, </w:t>
      </w:r>
      <w:r w:rsidRPr="00047212">
        <w:rPr>
          <w:rFonts w:hint="eastAsia"/>
          <w:rtl/>
        </w:rPr>
        <w:t>אוחזר</w:t>
      </w:r>
      <w:r w:rsidRPr="00047212">
        <w:rPr>
          <w:rtl/>
        </w:rPr>
        <w:t xml:space="preserve"> </w:t>
      </w:r>
      <w:r w:rsidRPr="00047212">
        <w:rPr>
          <w:rFonts w:hint="eastAsia"/>
          <w:rtl/>
        </w:rPr>
        <w:t>ביום</w:t>
      </w:r>
      <w:r w:rsidRPr="00047212">
        <w:rPr>
          <w:rtl/>
        </w:rPr>
        <w:t>:</w:t>
      </w:r>
      <w:r w:rsidRPr="00047212">
        <w:t xml:space="preserve"> </w:t>
      </w:r>
      <w:r w:rsidRPr="00047212">
        <w:rPr>
          <w:rtl/>
        </w:rPr>
        <w:t>22.7.25.</w:t>
      </w:r>
    </w:p>
  </w:footnote>
  <w:footnote w:id="151">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eastAsia"/>
          <w:rtl/>
        </w:rPr>
        <w:t>מטרת</w:t>
      </w:r>
      <w:r w:rsidRPr="00047212">
        <w:rPr>
          <w:rtl/>
        </w:rPr>
        <w:t xml:space="preserve"> </w:t>
      </w:r>
      <w:r w:rsidRPr="00047212">
        <w:rPr>
          <w:rFonts w:hint="eastAsia"/>
          <w:rtl/>
        </w:rPr>
        <w:t>נוהל</w:t>
      </w:r>
      <w:r w:rsidRPr="00047212">
        <w:rPr>
          <w:rtl/>
        </w:rPr>
        <w:t xml:space="preserve"> </w:t>
      </w:r>
      <w:r w:rsidRPr="00047212">
        <w:rPr>
          <w:rFonts w:hint="cs"/>
          <w:rtl/>
        </w:rPr>
        <w:t>2/2015</w:t>
      </w:r>
      <w:r w:rsidRPr="00047212">
        <w:rPr>
          <w:rtl/>
        </w:rPr>
        <w:t xml:space="preserve"> - "להסדיר את כל נושא הטיפול במוגבלי הניידות מתחילת ההליך של קבלת הבקשה לבדיקת הזכאות לשימוש בתג לנכה, הליך קביעת אגרה מופחתת והזכאות להחזר אגרה. כמו-כן, תהליך ניפוק התג לנכה"</w:t>
      </w:r>
      <w:r w:rsidRPr="00047212">
        <w:rPr>
          <w:rFonts w:hint="cs"/>
          <w:rtl/>
        </w:rPr>
        <w:t xml:space="preserve">. </w:t>
      </w:r>
      <w:r w:rsidRPr="00047212">
        <w:rPr>
          <w:rtl/>
        </w:rPr>
        <w:t xml:space="preserve">מטרת נוהל </w:t>
      </w:r>
      <w:r w:rsidRPr="00047212">
        <w:rPr>
          <w:rFonts w:hint="cs"/>
          <w:rtl/>
        </w:rPr>
        <w:t>2025</w:t>
      </w:r>
      <w:r w:rsidRPr="00047212">
        <w:rPr>
          <w:rtl/>
        </w:rPr>
        <w:t xml:space="preserve"> </w:t>
      </w:r>
      <w:r w:rsidRPr="00047212">
        <w:rPr>
          <w:rFonts w:hint="cs"/>
          <w:rtl/>
        </w:rPr>
        <w:t>היא</w:t>
      </w:r>
      <w:r w:rsidRPr="00047212">
        <w:rPr>
          <w:rtl/>
        </w:rPr>
        <w:t xml:space="preserve"> לטייב ולייעל את הטיפול בבקשות לתגי חניה לנכה, </w:t>
      </w:r>
      <w:r w:rsidRPr="00047212">
        <w:rPr>
          <w:rFonts w:hint="cs"/>
          <w:rtl/>
        </w:rPr>
        <w:t xml:space="preserve">כדי </w:t>
      </w:r>
      <w:r w:rsidRPr="00047212">
        <w:rPr>
          <w:rtl/>
        </w:rPr>
        <w:t>לתת שירות טוב ומהיר יותר לציבור על ידי ח</w:t>
      </w:r>
      <w:r w:rsidRPr="00047212">
        <w:rPr>
          <w:rFonts w:hint="cs"/>
          <w:rtl/>
        </w:rPr>
        <w:t>י</w:t>
      </w:r>
      <w:r w:rsidRPr="00047212">
        <w:rPr>
          <w:rtl/>
        </w:rPr>
        <w:t>סכון בזמן ניהולי ורפואי.</w:t>
      </w:r>
    </w:p>
  </w:footnote>
  <w:footnote w:id="152">
    <w:p w:rsidR="00047212" w:rsidRPr="00047212" w:rsidP="00A210E9">
      <w:pPr>
        <w:pStyle w:val="FootnoteText"/>
      </w:pPr>
      <w:r w:rsidRPr="00047212">
        <w:rPr>
          <w:rStyle w:val="FootnoteReference1"/>
        </w:rPr>
        <w:footnoteRef/>
      </w:r>
      <w:r w:rsidRPr="00047212">
        <w:rPr>
          <w:rtl/>
        </w:rPr>
        <w:t xml:space="preserve"> </w:t>
      </w:r>
      <w:r w:rsidRPr="00047212">
        <w:rPr>
          <w:rtl/>
        </w:rPr>
        <w:tab/>
      </w:r>
      <w:hyperlink r:id="rId56" w:history="1">
        <w:r w:rsidRPr="00047212">
          <w:rPr>
            <w:rStyle w:val="Hyperlink"/>
            <w:color w:val="auto"/>
            <w:u w:val="none"/>
          </w:rPr>
          <w:t>www.gov.il/he/pages/terms_conditions_use_disability_parking_badge</w:t>
        </w:r>
      </w:hyperlink>
      <w:r w:rsidRPr="00047212">
        <w:rPr>
          <w:rtl/>
        </w:rPr>
        <w:t>.</w:t>
      </w:r>
    </w:p>
  </w:footnote>
  <w:footnote w:id="153">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eastAsia"/>
          <w:rtl/>
        </w:rPr>
        <w:t>אתר</w:t>
      </w:r>
      <w:r w:rsidRPr="00047212">
        <w:rPr>
          <w:rtl/>
        </w:rPr>
        <w:t xml:space="preserve"> </w:t>
      </w:r>
      <w:r w:rsidRPr="00047212">
        <w:rPr>
          <w:rFonts w:hint="eastAsia"/>
          <w:rtl/>
        </w:rPr>
        <w:t>משרד</w:t>
      </w:r>
      <w:r w:rsidRPr="00047212">
        <w:rPr>
          <w:rtl/>
        </w:rPr>
        <w:t xml:space="preserve"> </w:t>
      </w:r>
      <w:r w:rsidRPr="00047212">
        <w:rPr>
          <w:rFonts w:hint="eastAsia"/>
          <w:rtl/>
        </w:rPr>
        <w:t xml:space="preserve">התחבורה </w:t>
      </w:r>
      <w:r w:rsidRPr="00047212">
        <w:rPr>
          <w:rFonts w:hint="cs"/>
          <w:rtl/>
        </w:rPr>
        <w:t>ב</w:t>
      </w:r>
      <w:r w:rsidRPr="00047212">
        <w:rPr>
          <w:rFonts w:hint="eastAsia"/>
          <w:rtl/>
        </w:rPr>
        <w:t>מרשתת</w:t>
      </w:r>
      <w:r w:rsidRPr="00047212">
        <w:rPr>
          <w:rFonts w:hint="cs"/>
          <w:rtl/>
        </w:rPr>
        <w:t>,</w:t>
      </w:r>
      <w:r w:rsidRPr="00047212">
        <w:rPr>
          <w:rtl/>
        </w:rPr>
        <w:t xml:space="preserve"> </w:t>
      </w:r>
      <w:r w:rsidRPr="00047212">
        <w:rPr>
          <w:rFonts w:hint="eastAsia"/>
          <w:rtl/>
        </w:rPr>
        <w:t>אוחזר</w:t>
      </w:r>
      <w:r w:rsidRPr="00047212">
        <w:rPr>
          <w:rtl/>
        </w:rPr>
        <w:t xml:space="preserve"> </w:t>
      </w:r>
      <w:r w:rsidRPr="00047212">
        <w:rPr>
          <w:rFonts w:hint="eastAsia"/>
          <w:rtl/>
        </w:rPr>
        <w:t>מאתר</w:t>
      </w:r>
      <w:r w:rsidRPr="00047212">
        <w:rPr>
          <w:rtl/>
        </w:rPr>
        <w:t>:</w:t>
      </w:r>
    </w:p>
    <w:p w:rsidR="00047212" w:rsidRPr="00047212" w:rsidP="00A210E9">
      <w:pPr>
        <w:pStyle w:val="FootnoteText"/>
        <w:ind w:firstLine="0"/>
        <w:rPr>
          <w:rtl/>
        </w:rPr>
      </w:pPr>
      <w:hyperlink r:id="rId57" w:history="1">
        <w:r w:rsidRPr="00047212">
          <w:rPr>
            <w:rStyle w:val="Hyperlink"/>
            <w:color w:val="auto"/>
            <w:u w:val="none"/>
          </w:rPr>
          <w:t>www.gov.il/he/pages/terms_conditions_use_disability_parking_badge?chapterIndex=4</w:t>
        </w:r>
      </w:hyperlink>
      <w:r w:rsidRPr="00047212">
        <w:rPr>
          <w:rtl/>
        </w:rPr>
        <w:t xml:space="preserve">, </w:t>
      </w:r>
      <w:r w:rsidRPr="00047212">
        <w:rPr>
          <w:rFonts w:hint="eastAsia"/>
          <w:rtl/>
        </w:rPr>
        <w:t>אוחזר</w:t>
      </w:r>
      <w:r w:rsidRPr="00047212">
        <w:rPr>
          <w:rtl/>
        </w:rPr>
        <w:t xml:space="preserve"> </w:t>
      </w:r>
      <w:r w:rsidRPr="00047212">
        <w:rPr>
          <w:rFonts w:hint="eastAsia"/>
          <w:rtl/>
        </w:rPr>
        <w:t>ביום</w:t>
      </w:r>
      <w:r w:rsidRPr="00047212">
        <w:rPr>
          <w:rtl/>
        </w:rPr>
        <w:t>: 22.7.25.</w:t>
      </w:r>
    </w:p>
  </w:footnote>
  <w:footnote w:id="154">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eastAsia"/>
          <w:rtl/>
        </w:rPr>
        <w:t>פורסם</w:t>
      </w:r>
      <w:r w:rsidRPr="00047212">
        <w:rPr>
          <w:rtl/>
        </w:rPr>
        <w:t xml:space="preserve"> להערות </w:t>
      </w:r>
      <w:r w:rsidRPr="00047212">
        <w:rPr>
          <w:rFonts w:hint="cs"/>
          <w:rtl/>
        </w:rPr>
        <w:t>ה</w:t>
      </w:r>
      <w:r w:rsidRPr="00047212">
        <w:rPr>
          <w:rtl/>
        </w:rPr>
        <w:t xml:space="preserve">ציבור למשך שלושה שבועות במהלך אפריל 2025. </w:t>
      </w:r>
    </w:p>
  </w:footnote>
  <w:footnote w:id="155">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תוצרי הבדיקה הוגשו למשרד התחבורה במאי 2025.</w:t>
      </w:r>
    </w:p>
  </w:footnote>
  <w:footnote w:id="156">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במקרים שתועדו הוגשו עד 80 בקשות חוזרות.</w:t>
      </w:r>
    </w:p>
  </w:footnote>
  <w:footnote w:id="157">
    <w:p w:rsidR="00047212" w:rsidRPr="00047212" w:rsidP="00A210E9">
      <w:pPr>
        <w:pStyle w:val="FootnoteText"/>
        <w:spacing w:line="240" w:lineRule="atLeast"/>
      </w:pPr>
      <w:r w:rsidRPr="00047212">
        <w:rPr>
          <w:rStyle w:val="FootnoteReference1"/>
        </w:rPr>
        <w:footnoteRef/>
      </w:r>
      <w:r w:rsidRPr="00047212">
        <w:rPr>
          <w:rtl/>
        </w:rPr>
        <w:t xml:space="preserve"> </w:t>
      </w:r>
      <w:r w:rsidRPr="00047212">
        <w:rPr>
          <w:rtl/>
        </w:rPr>
        <w:tab/>
      </w:r>
      <w:r w:rsidRPr="00047212">
        <w:rPr>
          <w:rFonts w:hint="eastAsia"/>
          <w:rtl/>
        </w:rPr>
        <w:t>אתר</w:t>
      </w:r>
      <w:r w:rsidRPr="00047212">
        <w:rPr>
          <w:rtl/>
        </w:rPr>
        <w:t xml:space="preserve"> ממשלת </w:t>
      </w:r>
      <w:r w:rsidRPr="00047212">
        <w:rPr>
          <w:rFonts w:hint="cs"/>
          <w:rtl/>
        </w:rPr>
        <w:t>אנגליה</w:t>
      </w:r>
      <w:r w:rsidRPr="00047212">
        <w:rPr>
          <w:rtl/>
        </w:rPr>
        <w:t xml:space="preserve"> </w:t>
      </w:r>
      <w:r w:rsidRPr="00047212">
        <w:rPr>
          <w:rFonts w:hint="cs"/>
          <w:rtl/>
        </w:rPr>
        <w:t>ב</w:t>
      </w:r>
      <w:r w:rsidRPr="00047212">
        <w:rPr>
          <w:rtl/>
        </w:rPr>
        <w:t xml:space="preserve">מרשתת, </w:t>
      </w:r>
      <w:hyperlink r:id="rId58" w:history="1">
        <w:r w:rsidRPr="00047212">
          <w:rPr>
            <w:rStyle w:val="Hyperlink"/>
            <w:color w:val="auto"/>
            <w:u w:val="none"/>
          </w:rPr>
          <w:t>www.gov.uk/apply-blue-badge</w:t>
        </w:r>
      </w:hyperlink>
      <w:r w:rsidRPr="00047212">
        <w:rPr>
          <w:rtl/>
        </w:rPr>
        <w:t>, אוחזר ב-9.7.25.</w:t>
      </w:r>
    </w:p>
  </w:footnote>
  <w:footnote w:id="158">
    <w:p w:rsidR="00047212" w:rsidRPr="00047212" w:rsidP="00A210E9">
      <w:pPr>
        <w:pStyle w:val="FootnoteText"/>
        <w:spacing w:line="240" w:lineRule="atLeast"/>
        <w:jc w:val="left"/>
      </w:pPr>
      <w:r w:rsidRPr="00047212">
        <w:rPr>
          <w:rStyle w:val="FootnoteReference1"/>
        </w:rPr>
        <w:footnoteRef/>
      </w:r>
      <w:r w:rsidRPr="00047212">
        <w:rPr>
          <w:rtl/>
        </w:rPr>
        <w:t xml:space="preserve"> </w:t>
      </w:r>
      <w:r w:rsidRPr="00047212">
        <w:rPr>
          <w:rtl/>
        </w:rPr>
        <w:tab/>
      </w:r>
      <w:r w:rsidRPr="00047212">
        <w:rPr>
          <w:rFonts w:hint="eastAsia"/>
          <w:rtl/>
        </w:rPr>
        <w:t>אתר</w:t>
      </w:r>
      <w:r w:rsidRPr="00047212">
        <w:rPr>
          <w:rtl/>
        </w:rPr>
        <w:t xml:space="preserve"> מרשתת של ממשלת הולנד, אוחזר מאתר: </w:t>
      </w:r>
      <w:hyperlink r:id="rId59" w:history="1">
        <w:r w:rsidRPr="00047212">
          <w:rPr>
            <w:rStyle w:val="Hyperlink"/>
            <w:color w:val="auto"/>
            <w:u w:val="none"/>
          </w:rPr>
          <w:t>www.amsterdam.nl/en/parking/disability-parkcard</w:t>
        </w:r>
      </w:hyperlink>
      <w:r w:rsidRPr="00047212">
        <w:rPr>
          <w:rtl/>
        </w:rPr>
        <w:t xml:space="preserve">, </w:t>
      </w:r>
      <w:r w:rsidRPr="00047212">
        <w:rPr>
          <w:rFonts w:hint="eastAsia"/>
          <w:rtl/>
        </w:rPr>
        <w:t>אוחזר ב-</w:t>
      </w:r>
      <w:r w:rsidRPr="00047212">
        <w:rPr>
          <w:rtl/>
        </w:rPr>
        <w:t>9.7.25.</w:t>
      </w:r>
    </w:p>
  </w:footnote>
  <w:footnote w:id="159">
    <w:p w:rsidR="00047212" w:rsidRPr="00047212" w:rsidP="00A210E9">
      <w:pPr>
        <w:pStyle w:val="FootnoteText"/>
        <w:spacing w:line="240" w:lineRule="atLeast"/>
        <w:rPr>
          <w:rtl/>
        </w:rPr>
      </w:pPr>
      <w:r w:rsidRPr="00047212">
        <w:rPr>
          <w:rStyle w:val="FootnoteReference1"/>
        </w:rPr>
        <w:footnoteRef/>
      </w:r>
      <w:r w:rsidRPr="00047212">
        <w:rPr>
          <w:rtl/>
        </w:rPr>
        <w:t xml:space="preserve"> </w:t>
      </w:r>
      <w:r w:rsidRPr="00047212">
        <w:rPr>
          <w:rtl/>
        </w:rPr>
        <w:tab/>
      </w:r>
      <w:r w:rsidRPr="00047212">
        <w:rPr>
          <w:rFonts w:hint="eastAsia"/>
          <w:rtl/>
        </w:rPr>
        <w:t>אתר</w:t>
      </w:r>
      <w:r w:rsidRPr="00047212">
        <w:rPr>
          <w:rtl/>
        </w:rPr>
        <w:t xml:space="preserve"> ממשלת דנמרק </w:t>
      </w:r>
      <w:r w:rsidRPr="00047212">
        <w:rPr>
          <w:rFonts w:hint="cs"/>
          <w:rtl/>
        </w:rPr>
        <w:t>ב</w:t>
      </w:r>
      <w:r w:rsidRPr="00047212">
        <w:rPr>
          <w:rtl/>
        </w:rPr>
        <w:t xml:space="preserve">מרשתת, אוחזר מאתר: </w:t>
      </w:r>
      <w:hyperlink r:id="rId60" w:history="1">
        <w:r w:rsidRPr="00047212">
          <w:rPr>
            <w:rStyle w:val="Hyperlink"/>
            <w:color w:val="auto"/>
            <w:u w:val="none"/>
          </w:rPr>
          <w:t>international.kk.dk/live/healthcare/support-for-people-with-disabilities/parking-card-for-the-disabled</w:t>
        </w:r>
      </w:hyperlink>
      <w:r w:rsidRPr="00047212">
        <w:rPr>
          <w:rtl/>
        </w:rPr>
        <w:t xml:space="preserve">, </w:t>
      </w:r>
      <w:r w:rsidRPr="00047212">
        <w:rPr>
          <w:rFonts w:hint="eastAsia"/>
          <w:rtl/>
        </w:rPr>
        <w:t>אוחזר ב-</w:t>
      </w:r>
      <w:r w:rsidRPr="00047212">
        <w:rPr>
          <w:rtl/>
        </w:rPr>
        <w:t>9.7.25.</w:t>
      </w:r>
    </w:p>
  </w:footnote>
  <w:footnote w:id="160">
    <w:p w:rsidR="00047212" w:rsidRPr="00047212" w:rsidP="00A210E9">
      <w:pPr>
        <w:pStyle w:val="FootnoteText"/>
        <w:spacing w:line="360" w:lineRule="auto"/>
      </w:pPr>
      <w:r w:rsidRPr="00047212">
        <w:rPr>
          <w:rStyle w:val="FootnoteReference1"/>
        </w:rPr>
        <w:footnoteRef/>
      </w:r>
      <w:r w:rsidRPr="00047212">
        <w:rPr>
          <w:rtl/>
        </w:rPr>
        <w:t xml:space="preserve"> </w:t>
      </w:r>
      <w:r w:rsidRPr="00047212">
        <w:rPr>
          <w:rtl/>
        </w:rPr>
        <w:tab/>
      </w:r>
      <w:r w:rsidRPr="00047212">
        <w:rPr>
          <w:rFonts w:hint="eastAsia"/>
          <w:rtl/>
        </w:rPr>
        <w:t>חלק</w:t>
      </w:r>
      <w:r w:rsidRPr="00047212">
        <w:rPr>
          <w:rtl/>
        </w:rPr>
        <w:t xml:space="preserve"> </w:t>
      </w:r>
      <w:r w:rsidRPr="00047212">
        <w:rPr>
          <w:rFonts w:hint="eastAsia"/>
          <w:rtl/>
        </w:rPr>
        <w:t>מהמקרים</w:t>
      </w:r>
      <w:r w:rsidRPr="00047212">
        <w:rPr>
          <w:rtl/>
        </w:rPr>
        <w:t xml:space="preserve"> </w:t>
      </w:r>
      <w:r w:rsidRPr="00047212">
        <w:rPr>
          <w:rFonts w:hint="eastAsia"/>
          <w:rtl/>
        </w:rPr>
        <w:t>עוסקים</w:t>
      </w:r>
      <w:r w:rsidRPr="00047212">
        <w:rPr>
          <w:rtl/>
        </w:rPr>
        <w:t xml:space="preserve"> </w:t>
      </w:r>
      <w:r w:rsidRPr="00047212">
        <w:rPr>
          <w:rFonts w:hint="eastAsia"/>
          <w:rtl/>
        </w:rPr>
        <w:t>גם</w:t>
      </w:r>
      <w:r w:rsidRPr="00047212">
        <w:rPr>
          <w:rtl/>
        </w:rPr>
        <w:t xml:space="preserve"> </w:t>
      </w:r>
      <w:r w:rsidRPr="00047212">
        <w:rPr>
          <w:rFonts w:hint="eastAsia"/>
          <w:rtl/>
        </w:rPr>
        <w:t>בשינוי</w:t>
      </w:r>
      <w:r w:rsidRPr="00047212">
        <w:rPr>
          <w:rtl/>
        </w:rPr>
        <w:t xml:space="preserve"> </w:t>
      </w:r>
      <w:r w:rsidRPr="00047212">
        <w:rPr>
          <w:rFonts w:hint="eastAsia"/>
          <w:rtl/>
        </w:rPr>
        <w:t>תוקף</w:t>
      </w:r>
      <w:r w:rsidRPr="00047212">
        <w:rPr>
          <w:rtl/>
        </w:rPr>
        <w:t xml:space="preserve"> </w:t>
      </w:r>
      <w:r w:rsidRPr="00047212">
        <w:rPr>
          <w:rFonts w:hint="eastAsia"/>
          <w:rtl/>
        </w:rPr>
        <w:t>התג</w:t>
      </w:r>
      <w:r w:rsidRPr="00047212">
        <w:rPr>
          <w:rtl/>
        </w:rPr>
        <w:t xml:space="preserve"> </w:t>
      </w:r>
      <w:r w:rsidRPr="00047212">
        <w:rPr>
          <w:rFonts w:hint="eastAsia"/>
          <w:rtl/>
        </w:rPr>
        <w:t>לצמיתות</w:t>
      </w:r>
      <w:r w:rsidRPr="00047212">
        <w:rPr>
          <w:rtl/>
        </w:rPr>
        <w:t xml:space="preserve">, </w:t>
      </w:r>
      <w:r w:rsidRPr="00047212">
        <w:rPr>
          <w:rFonts w:hint="eastAsia"/>
          <w:rtl/>
        </w:rPr>
        <w:t>אולם</w:t>
      </w:r>
      <w:r w:rsidRPr="00047212">
        <w:rPr>
          <w:rtl/>
        </w:rPr>
        <w:t xml:space="preserve"> </w:t>
      </w:r>
      <w:r w:rsidRPr="00047212">
        <w:rPr>
          <w:rFonts w:hint="eastAsia"/>
          <w:rtl/>
        </w:rPr>
        <w:t>מדובר</w:t>
      </w:r>
      <w:r w:rsidRPr="00047212">
        <w:rPr>
          <w:rtl/>
        </w:rPr>
        <w:t xml:space="preserve"> </w:t>
      </w:r>
      <w:r w:rsidRPr="00047212">
        <w:rPr>
          <w:rFonts w:hint="eastAsia"/>
          <w:rtl/>
        </w:rPr>
        <w:t>במקרים</w:t>
      </w:r>
      <w:r w:rsidRPr="00047212">
        <w:rPr>
          <w:rtl/>
        </w:rPr>
        <w:t xml:space="preserve"> </w:t>
      </w:r>
      <w:r w:rsidRPr="00047212">
        <w:rPr>
          <w:rFonts w:hint="eastAsia"/>
          <w:rtl/>
        </w:rPr>
        <w:t>בודדים</w:t>
      </w:r>
      <w:r w:rsidRPr="00047212">
        <w:rPr>
          <w:rtl/>
        </w:rPr>
        <w:t>.</w:t>
      </w:r>
    </w:p>
  </w:footnote>
  <w:footnote w:id="161">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 xml:space="preserve">אוחזר מאתר: </w:t>
      </w:r>
      <w:hyperlink r:id="rId61" w:history="1">
        <w:r w:rsidRPr="00047212">
          <w:rPr>
            <w:rStyle w:val="Hyperlink"/>
            <w:color w:val="auto"/>
            <w:u w:val="none"/>
          </w:rPr>
          <w:t>www.gov.il/he/service/amputees_badge</w:t>
        </w:r>
      </w:hyperlink>
      <w:r w:rsidRPr="00047212">
        <w:rPr>
          <w:rFonts w:hint="cs"/>
          <w:rtl/>
        </w:rPr>
        <w:t>, אוחזר ביום: 27.7.25.</w:t>
      </w:r>
    </w:p>
  </w:footnote>
  <w:footnote w:id="162">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t>ב</w:t>
      </w:r>
      <w:r w:rsidRPr="00047212">
        <w:rPr>
          <w:rFonts w:hint="cs"/>
          <w:rtl/>
        </w:rPr>
        <w:t>דיון ב</w:t>
      </w:r>
      <w:r w:rsidRPr="00047212">
        <w:rPr>
          <w:rtl/>
        </w:rPr>
        <w:t xml:space="preserve">וועדת </w:t>
      </w:r>
      <w:r w:rsidRPr="00047212">
        <w:rPr>
          <w:rFonts w:hint="cs"/>
          <w:rtl/>
        </w:rPr>
        <w:t>הכלכלה של הכנסת ב</w:t>
      </w:r>
      <w:r w:rsidRPr="00047212">
        <w:rPr>
          <w:rtl/>
        </w:rPr>
        <w:t xml:space="preserve">שנת 2025 </w:t>
      </w:r>
      <w:r w:rsidRPr="00047212">
        <w:rPr>
          <w:rFonts w:hint="cs"/>
          <w:rtl/>
        </w:rPr>
        <w:t>ציין מנהל אגף הרישוי</w:t>
      </w:r>
      <w:r w:rsidRPr="00047212">
        <w:rPr>
          <w:rtl/>
        </w:rPr>
        <w:t xml:space="preserve"> כי </w:t>
      </w:r>
      <w:r w:rsidRPr="00047212">
        <w:rPr>
          <w:rFonts w:hint="cs"/>
          <w:rtl/>
        </w:rPr>
        <w:t>אישור</w:t>
      </w:r>
      <w:r w:rsidRPr="00047212">
        <w:rPr>
          <w:rtl/>
        </w:rPr>
        <w:t xml:space="preserve"> </w:t>
      </w:r>
      <w:r w:rsidRPr="00047212">
        <w:rPr>
          <w:rFonts w:hint="cs"/>
          <w:rtl/>
        </w:rPr>
        <w:t>ה</w:t>
      </w:r>
      <w:r w:rsidRPr="00047212">
        <w:rPr>
          <w:rtl/>
        </w:rPr>
        <w:t xml:space="preserve">תג לצמיתות </w:t>
      </w:r>
      <w:r w:rsidRPr="00047212">
        <w:rPr>
          <w:rFonts w:hint="cs"/>
          <w:rtl/>
        </w:rPr>
        <w:t>עוגן בהנחיות פנימיות באגף - "</w:t>
      </w:r>
      <w:r w:rsidRPr="00047212">
        <w:rPr>
          <w:rtl/>
        </w:rPr>
        <w:t>לגבי קטועי הרגליים</w:t>
      </w:r>
      <w:r w:rsidRPr="00047212">
        <w:rPr>
          <w:rFonts w:hint="cs"/>
          <w:rtl/>
        </w:rPr>
        <w:t xml:space="preserve">... </w:t>
      </w:r>
      <w:r w:rsidRPr="00047212">
        <w:rPr>
          <w:rtl/>
        </w:rPr>
        <w:t xml:space="preserve">היה קריטריון שעל פיו הרופאים הונחו, בהנחיה כתובה, שכל מי שקטוע מתחת לברך </w:t>
      </w:r>
      <w:r w:rsidRPr="00047212">
        <w:rPr>
          <w:rFonts w:hint="cs"/>
          <w:rtl/>
        </w:rPr>
        <w:t>-</w:t>
      </w:r>
      <w:r w:rsidRPr="00047212">
        <w:rPr>
          <w:rtl/>
        </w:rPr>
        <w:t xml:space="preserve"> מקבל תג זמני. מי שקטוע מעל הברך </w:t>
      </w:r>
      <w:r w:rsidRPr="00047212">
        <w:rPr>
          <w:rFonts w:hint="cs"/>
          <w:rtl/>
        </w:rPr>
        <w:t>-</w:t>
      </w:r>
      <w:r w:rsidRPr="00047212">
        <w:rPr>
          <w:rtl/>
        </w:rPr>
        <w:t xml:space="preserve"> מקבל תג קבוע</w:t>
      </w:r>
      <w:r w:rsidRPr="00047212">
        <w:rPr>
          <w:rFonts w:hint="cs"/>
          <w:rtl/>
        </w:rPr>
        <w:t>"</w:t>
      </w:r>
      <w:r w:rsidRPr="00047212">
        <w:rPr>
          <w:rtl/>
        </w:rPr>
        <w:t>.</w:t>
      </w:r>
    </w:p>
    <w:p w:rsidR="00946518" w:rsidP="00A210E9">
      <w:pPr>
        <w:pStyle w:val="FootnoteText"/>
        <w:ind w:firstLine="0"/>
        <w:rPr>
          <w:rtl/>
        </w:rPr>
      </w:pPr>
      <w:r w:rsidRPr="00047212">
        <w:rPr>
          <w:rFonts w:hint="cs"/>
          <w:rtl/>
        </w:rPr>
        <w:t xml:space="preserve">אוחזר מאתר: </w:t>
      </w:r>
      <w:hyperlink r:id="rId62" w:history="1">
        <w:r w:rsidRPr="00047212">
          <w:rPr>
            <w:rStyle w:val="Hyperlink"/>
            <w:color w:val="auto"/>
            <w:u w:val="none"/>
          </w:rPr>
          <w:t>fs.knesset.gov.il/25/Committees/25_ptv_9350025.doc</w:t>
        </w:r>
      </w:hyperlink>
      <w:r w:rsidRPr="00047212">
        <w:rPr>
          <w:rFonts w:hint="cs"/>
          <w:rtl/>
        </w:rPr>
        <w:t>, אוחזר ביום: 2.12.25.</w:t>
      </w:r>
    </w:p>
    <w:p w:rsidR="00047212" w:rsidRPr="00047212" w:rsidP="00A210E9">
      <w:pPr>
        <w:pStyle w:val="FootnoteText"/>
        <w:ind w:firstLine="0"/>
      </w:pPr>
      <w:r w:rsidRPr="00047212">
        <w:t>mvdocd2app.mevaker.loc/D2/?docbase=NM_PRD&amp;locateId=090bc09b84a5505c</w:t>
      </w:r>
    </w:p>
  </w:footnote>
  <w:footnote w:id="163">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hyperlink r:id="rId63" w:history="1">
        <w:r w:rsidRPr="00047212">
          <w:rPr>
            <w:rStyle w:val="Hyperlink"/>
            <w:rFonts w:hint="cs"/>
            <w:color w:val="auto"/>
            <w:u w:val="none"/>
            <w:rtl/>
          </w:rPr>
          <w:t>הוראת שעה תו חניה זמני - פצועי חרבות ברזל (9.11.2023)</w:t>
        </w:r>
      </w:hyperlink>
      <w:r w:rsidRPr="00047212">
        <w:rPr>
          <w:rFonts w:hint="cs"/>
          <w:rtl/>
        </w:rPr>
        <w:t>.</w:t>
      </w:r>
    </w:p>
  </w:footnote>
  <w:footnote w:id="164">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 xml:space="preserve">אוחזר מאתר: </w:t>
      </w:r>
      <w:hyperlink r:id="rId64" w:history="1">
        <w:r w:rsidRPr="00047212">
          <w:rPr>
            <w:rStyle w:val="Hyperlink"/>
            <w:color w:val="auto"/>
            <w:u w:val="none"/>
          </w:rPr>
          <w:t>shikum.mod.gov.il/transportation/parking-badge</w:t>
        </w:r>
      </w:hyperlink>
      <w:r w:rsidRPr="00047212">
        <w:rPr>
          <w:rFonts w:hint="cs"/>
          <w:rtl/>
        </w:rPr>
        <w:t>, אוחזר ביום 20.11.25.</w:t>
      </w:r>
    </w:p>
  </w:footnote>
  <w:footnote w:id="165">
    <w:p w:rsidR="00047212" w:rsidRPr="00047212" w:rsidP="00A210E9">
      <w:pPr>
        <w:pStyle w:val="FootnoteText"/>
      </w:pPr>
      <w:r w:rsidRPr="00047212">
        <w:rPr>
          <w:rStyle w:val="FootnoteReference1"/>
        </w:rPr>
        <w:footnoteRef/>
      </w:r>
      <w:r w:rsidRPr="00047212">
        <w:rPr>
          <w:rtl/>
        </w:rPr>
        <w:t xml:space="preserve"> </w:t>
      </w:r>
      <w:r w:rsidRPr="00047212">
        <w:rPr>
          <w:rtl/>
        </w:rPr>
        <w:tab/>
        <w:t xml:space="preserve">יצוין כי </w:t>
      </w:r>
      <w:r w:rsidRPr="00047212">
        <w:rPr>
          <w:rFonts w:hint="cs"/>
          <w:rtl/>
        </w:rPr>
        <w:t>לפעמים</w:t>
      </w:r>
      <w:r w:rsidRPr="00047212">
        <w:rPr>
          <w:rtl/>
        </w:rPr>
        <w:t xml:space="preserve"> שבעקבות פניות נציבות הציבור, ניתנו הוראות הנפקה נוספות למתלוננים שלא קיבלו את התג בדואר</w:t>
      </w:r>
      <w:r w:rsidRPr="00047212">
        <w:rPr>
          <w:rFonts w:hint="cs"/>
          <w:rtl/>
        </w:rPr>
        <w:t>.</w:t>
      </w:r>
    </w:p>
  </w:footnote>
  <w:footnote w:id="166">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 xml:space="preserve">נכון למאי 2026, החקירה עדיין לא הסתיימה. </w:t>
      </w:r>
    </w:p>
  </w:footnote>
  <w:footnote w:id="167">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מרכז המחקר והמידע של הכנסת, "</w:t>
      </w:r>
      <w:r w:rsidRPr="00047212">
        <w:rPr>
          <w:rtl/>
        </w:rPr>
        <w:t>קביעת זכאות לתג חניה לנכה</w:t>
      </w:r>
      <w:r w:rsidRPr="00047212">
        <w:rPr>
          <w:rFonts w:hint="cs"/>
          <w:rtl/>
        </w:rPr>
        <w:t>", פברואר 2012.</w:t>
      </w:r>
    </w:p>
  </w:footnote>
  <w:footnote w:id="168">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hyperlink r:id="rId65" w:history="1">
        <w:r w:rsidRPr="00047212">
          <w:rPr>
            <w:rStyle w:val="Hyperlink"/>
            <w:color w:val="auto"/>
            <w:u w:val="none"/>
          </w:rPr>
          <w:t>mr.gov.il/ilgstorefront/he/p/565816</w:t>
        </w:r>
      </w:hyperlink>
    </w:p>
  </w:footnote>
  <w:footnote w:id="169">
    <w:p w:rsidR="00047212" w:rsidRPr="00047212" w:rsidP="00A210E9">
      <w:pPr>
        <w:pStyle w:val="FootnoteText"/>
        <w:jc w:val="left"/>
        <w:rPr>
          <w:rtl/>
        </w:rPr>
      </w:pPr>
      <w:r w:rsidRPr="00047212">
        <w:rPr>
          <w:rStyle w:val="FootnoteReference1"/>
        </w:rPr>
        <w:footnoteRef/>
      </w:r>
      <w:r w:rsidRPr="00047212">
        <w:rPr>
          <w:rtl/>
        </w:rPr>
        <w:t xml:space="preserve"> </w:t>
      </w:r>
      <w:r w:rsidRPr="00047212">
        <w:rPr>
          <w:rtl/>
        </w:rPr>
        <w:tab/>
      </w:r>
      <w:r w:rsidRPr="00047212">
        <w:rPr>
          <w:rFonts w:hint="cs"/>
          <w:rtl/>
        </w:rPr>
        <w:t xml:space="preserve">משרד התחבורה, </w:t>
      </w:r>
    </w:p>
    <w:p w:rsidR="00047212" w:rsidRPr="00047212" w:rsidP="0029344A">
      <w:pPr>
        <w:pStyle w:val="FootnoteText"/>
        <w:ind w:firstLine="0"/>
        <w:jc w:val="left"/>
        <w:rPr>
          <w:rtl/>
        </w:rPr>
      </w:pPr>
      <w:hyperlink r:id="rId66" w:history="1">
        <w:r w:rsidRPr="00047212">
          <w:rPr>
            <w:rStyle w:val="Hyperlink"/>
            <w:color w:val="auto"/>
            <w:u w:val="none"/>
          </w:rPr>
          <w:t>www.gov.il/BlobFolder/dynamiccollectorresultitem/pemiprimium/he/repository-of-answers_ministry-of-transport-and-road-safety_pemiprimium.xlsx?__cf_chl_tk=dIQLHJ9dpexgdJct4R4RwhBAQzM_lGUZeOj.rMEOtuc-1763917352-1.0.1.1-v3YPa1qKcjKZ0lY3ay5oapD6aAlhJHmONbfr.VVk8fI</w:t>
        </w:r>
      </w:hyperlink>
      <w:r w:rsidRPr="00047212">
        <w:rPr>
          <w:rFonts w:hint="cs"/>
          <w:rtl/>
        </w:rPr>
        <w:t>; מרכז המחקר של הכנסת, 2012</w:t>
      </w:r>
    </w:p>
  </w:footnote>
  <w:footnote w:id="170">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 xml:space="preserve">המכרז נערך בשנת 2017, ובדצמבר 2022 פורסמה הודעה לגבי המשך התקשרות בפטור עם החברה. </w:t>
      </w:r>
    </w:p>
  </w:footnote>
  <w:footnote w:id="171">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חברה ב' סיפקה את השירותים משנת 2013. בינואר 2023 עדיין סיפקה את השירותים לביטוח הלאומי.</w:t>
      </w:r>
    </w:p>
  </w:footnote>
  <w:footnote w:id="172">
    <w:p w:rsidR="00047212" w:rsidRPr="00047212" w:rsidP="00A210E9">
      <w:pPr>
        <w:pStyle w:val="FootnoteText"/>
      </w:pPr>
      <w:r w:rsidRPr="00047212">
        <w:rPr>
          <w:rStyle w:val="FootnoteReference1"/>
        </w:rPr>
        <w:footnoteRef/>
      </w:r>
      <w:r w:rsidRPr="00047212">
        <w:rPr>
          <w:rtl/>
        </w:rPr>
        <w:t xml:space="preserve"> </w:t>
      </w:r>
      <w:r w:rsidRPr="00047212">
        <w:rPr>
          <w:rtl/>
        </w:rPr>
        <w:tab/>
        <w:t xml:space="preserve">על פי הודעת </w:t>
      </w:r>
      <w:r w:rsidRPr="00047212">
        <w:rPr>
          <w:rFonts w:hint="cs"/>
          <w:rtl/>
        </w:rPr>
        <w:t xml:space="preserve">דוברות </w:t>
      </w:r>
      <w:r w:rsidRPr="00047212">
        <w:rPr>
          <w:rtl/>
        </w:rPr>
        <w:t>המשטרה, 9.12.24</w:t>
      </w:r>
      <w:r w:rsidRPr="00047212">
        <w:rPr>
          <w:rFonts w:ascii="Arial" w:hAnsi="Arial" w:cs="Arial" w:hint="cs"/>
          <w:rtl/>
        </w:rPr>
        <w:t>.</w:t>
      </w:r>
      <w:r w:rsidRPr="00047212">
        <w:rPr>
          <w:rFonts w:ascii="Arial" w:hAnsi="Arial" w:cs="Arial"/>
          <w:rtl/>
        </w:rPr>
        <w:t xml:space="preserve"> </w:t>
      </w:r>
      <w:hyperlink r:id="rId7" w:history="1">
        <w:r w:rsidRPr="00047212">
          <w:rPr>
            <w:rStyle w:val="Hyperlink"/>
            <w:rFonts w:cs="Arial"/>
            <w:color w:val="auto"/>
            <w:u w:val="none"/>
          </w:rPr>
          <w:t>www.gov.il/he/pages/police_09-12-24_tag</w:t>
        </w:r>
      </w:hyperlink>
      <w:r w:rsidRPr="00047212">
        <w:rPr>
          <w:rFonts w:ascii="Arial" w:hAnsi="Arial" w:cs="Arial" w:hint="cs"/>
          <w:rtl/>
        </w:rPr>
        <w:t xml:space="preserve"> </w:t>
      </w:r>
    </w:p>
  </w:footnote>
  <w:footnote w:id="173">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ועדת הכלכלה בכנסת</w:t>
      </w:r>
      <w:r w:rsidRPr="00047212">
        <w:rPr>
          <w:rFonts w:hint="cs"/>
          <w:b/>
          <w:bCs/>
          <w:rtl/>
        </w:rPr>
        <w:t xml:space="preserve">, </w:t>
      </w:r>
      <w:r w:rsidRPr="00047212">
        <w:rPr>
          <w:rFonts w:hint="cs"/>
          <w:rtl/>
        </w:rPr>
        <w:t>'</w:t>
      </w:r>
      <w:r w:rsidRPr="00047212">
        <w:rPr>
          <w:rtl/>
        </w:rPr>
        <w:t>הצעה לדיון מהיר בנושא: "הערכה כי מחצית מתגי הנכה שניתנו</w:t>
      </w:r>
      <w:r w:rsidRPr="00047212">
        <w:rPr>
          <w:rFonts w:hint="cs"/>
          <w:rtl/>
        </w:rPr>
        <w:t xml:space="preserve"> </w:t>
      </w:r>
      <w:r w:rsidRPr="00047212">
        <w:rPr>
          <w:rtl/>
        </w:rPr>
        <w:t>מאז שנת 2020 הינם מזויפים</w:t>
      </w:r>
      <w:r w:rsidRPr="00047212">
        <w:rPr>
          <w:rFonts w:hint="cs"/>
          <w:rtl/>
        </w:rPr>
        <w:t xml:space="preserve">', 11.2.26. </w:t>
      </w:r>
    </w:p>
  </w:footnote>
  <w:footnote w:id="174">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 xml:space="preserve">בג"ץ 15906-04-25, </w:t>
      </w:r>
      <w:r w:rsidRPr="00047212">
        <w:rPr>
          <w:rFonts w:hint="cs"/>
          <w:b/>
          <w:bCs/>
          <w:rtl/>
        </w:rPr>
        <w:t xml:space="preserve">אורלי </w:t>
      </w:r>
      <w:r w:rsidRPr="00047212">
        <w:rPr>
          <w:rFonts w:hint="eastAsia"/>
          <w:b/>
          <w:bCs/>
          <w:rtl/>
        </w:rPr>
        <w:t>צפריר</w:t>
      </w:r>
      <w:r w:rsidRPr="00047212">
        <w:rPr>
          <w:b/>
          <w:bCs/>
          <w:rtl/>
        </w:rPr>
        <w:t xml:space="preserve"> נ' מדינת ישראל </w:t>
      </w:r>
      <w:r w:rsidRPr="00047212">
        <w:rPr>
          <w:rFonts w:hint="cs"/>
          <w:b/>
          <w:bCs/>
          <w:rtl/>
        </w:rPr>
        <w:t xml:space="preserve">- </w:t>
      </w:r>
      <w:r w:rsidRPr="00047212">
        <w:rPr>
          <w:b/>
          <w:bCs/>
          <w:rtl/>
        </w:rPr>
        <w:t>שרת התחבורה</w:t>
      </w:r>
      <w:r w:rsidRPr="00047212">
        <w:rPr>
          <w:rFonts w:hint="cs"/>
          <w:b/>
          <w:bCs/>
          <w:rtl/>
        </w:rPr>
        <w:t xml:space="preserve"> ואח' </w:t>
      </w:r>
      <w:r w:rsidRPr="00047212">
        <w:rPr>
          <w:rFonts w:hint="cs"/>
          <w:rtl/>
        </w:rPr>
        <w:t>(</w:t>
      </w:r>
      <w:r w:rsidR="0087347C">
        <w:rPr>
          <w:rFonts w:hint="cs"/>
          <w:rtl/>
        </w:rPr>
        <w:t>פורסם במאגר ממוחשב,</w:t>
      </w:r>
      <w:r w:rsidRPr="00047212">
        <w:rPr>
          <w:rFonts w:hint="cs"/>
          <w:rtl/>
        </w:rPr>
        <w:t xml:space="preserve"> 8.9.25). </w:t>
      </w:r>
    </w:p>
  </w:footnote>
  <w:footnote w:id="175">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t xml:space="preserve">תקנות הביטוח הלאומי </w:t>
      </w:r>
      <w:r w:rsidRPr="00047212">
        <w:rPr>
          <w:rFonts w:hint="cs"/>
          <w:rtl/>
        </w:rPr>
        <w:t>(</w:t>
      </w:r>
      <w:r w:rsidRPr="00047212">
        <w:rPr>
          <w:rtl/>
        </w:rPr>
        <w:t>קביעת דרגת נכות לנפגעי עבודה</w:t>
      </w:r>
      <w:r w:rsidRPr="00047212">
        <w:rPr>
          <w:rFonts w:hint="cs"/>
          <w:rtl/>
        </w:rPr>
        <w:t>)</w:t>
      </w:r>
      <w:r w:rsidRPr="00047212">
        <w:rPr>
          <w:rtl/>
        </w:rPr>
        <w:t xml:space="preserve"> תשט"ז 1956</w:t>
      </w:r>
      <w:r w:rsidRPr="00047212">
        <w:rPr>
          <w:rFonts w:hint="cs"/>
          <w:rtl/>
        </w:rPr>
        <w:t xml:space="preserve">, </w:t>
      </w:r>
    </w:p>
    <w:p w:rsidR="00047212" w:rsidRPr="00047212" w:rsidP="00A210E9">
      <w:pPr>
        <w:pStyle w:val="FootnoteText"/>
        <w:ind w:firstLine="0"/>
      </w:pPr>
      <w:r w:rsidRPr="00047212">
        <w:rPr>
          <w:rFonts w:hint="cs"/>
          <w:rtl/>
        </w:rPr>
        <w:t xml:space="preserve">אוחזר מאתר: </w:t>
      </w:r>
      <w:hyperlink r:id="rId67" w:history="1">
        <w:r w:rsidRPr="00047212">
          <w:rPr>
            <w:rStyle w:val="Hyperlink"/>
            <w:color w:val="auto"/>
            <w:u w:val="none"/>
          </w:rPr>
          <w:t>https://www.btl.gov.il/Laws1/02_0001_150700.pdf</w:t>
        </w:r>
      </w:hyperlink>
      <w:r w:rsidRPr="00047212">
        <w:rPr>
          <w:rFonts w:hint="cs"/>
          <w:rtl/>
        </w:rPr>
        <w:t>, אוחזר ב</w:t>
      </w:r>
      <w:r w:rsidR="0087347C">
        <w:rPr>
          <w:rFonts w:hint="cs"/>
          <w:rtl/>
        </w:rPr>
        <w:t>-</w:t>
      </w:r>
      <w:r w:rsidRPr="00047212">
        <w:rPr>
          <w:rFonts w:hint="cs"/>
          <w:rtl/>
        </w:rPr>
        <w:t>17.12.20.</w:t>
      </w:r>
    </w:p>
  </w:footnote>
  <w:footnote w:id="176">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hyperlink r:id="rId68" w:history="1">
        <w:r w:rsidRPr="00047212">
          <w:rPr>
            <w:rStyle w:val="Hyperlink"/>
            <w:color w:val="auto"/>
            <w:u w:val="none"/>
          </w:rPr>
          <w:t>med.tau.ac.il/disability</w:t>
        </w:r>
      </w:hyperlink>
      <w:r w:rsidRPr="00047212">
        <w:rPr>
          <w:rFonts w:hint="cs"/>
          <w:rtl/>
        </w:rPr>
        <w:t>;</w:t>
      </w:r>
    </w:p>
    <w:p w:rsidR="00047212" w:rsidRPr="00047212" w:rsidP="00A210E9">
      <w:pPr>
        <w:pStyle w:val="FootnoteText"/>
        <w:ind w:firstLine="0"/>
      </w:pPr>
      <w:hyperlink r:id="rId69" w:history="1">
        <w:r w:rsidRPr="00047212">
          <w:rPr>
            <w:rStyle w:val="Hyperlink"/>
            <w:color w:val="auto"/>
            <w:u w:val="none"/>
          </w:rPr>
          <w:t>https:/cont-edu.technion.ac.il/programs</w:t>
        </w:r>
        <w:r w:rsidRPr="00047212">
          <w:rPr>
            <w:rStyle w:val="Hyperlink"/>
            <w:color w:val="auto"/>
            <w:u w:val="none"/>
            <w:rtl/>
          </w:rPr>
          <w:t>/לימודי-המשך-ברפואה/הערכת-נכות-רפואית</w:t>
        </w:r>
      </w:hyperlink>
    </w:p>
  </w:footnote>
  <w:footnote w:id="177">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 xml:space="preserve">חישוב זה מתבסס על הנחה שהרופא עובד 24 שעות ברציפות. </w:t>
      </w:r>
    </w:p>
  </w:footnote>
  <w:footnote w:id="178">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 xml:space="preserve">עוד </w:t>
      </w:r>
      <w:r w:rsidRPr="00047212">
        <w:rPr>
          <w:rtl/>
        </w:rPr>
        <w:t>ב</w:t>
      </w:r>
      <w:r w:rsidRPr="00047212">
        <w:rPr>
          <w:rFonts w:hint="cs"/>
          <w:rtl/>
        </w:rPr>
        <w:t xml:space="preserve">שנים </w:t>
      </w:r>
      <w:r w:rsidRPr="00047212">
        <w:rPr>
          <w:rtl/>
        </w:rPr>
        <w:t>2010 ו</w:t>
      </w:r>
      <w:r w:rsidRPr="00047212">
        <w:rPr>
          <w:rFonts w:hint="cs"/>
          <w:rtl/>
        </w:rPr>
        <w:t>-</w:t>
      </w:r>
      <w:r w:rsidRPr="00047212">
        <w:rPr>
          <w:rtl/>
        </w:rPr>
        <w:t>2012</w:t>
      </w:r>
      <w:r w:rsidRPr="00047212">
        <w:rPr>
          <w:rFonts w:hint="cs"/>
          <w:rtl/>
        </w:rPr>
        <w:t xml:space="preserve"> צוין במסמכים שהכין מרכז המחקר והמידע של הכנסת</w:t>
      </w:r>
      <w:r w:rsidRPr="00047212">
        <w:rPr>
          <w:rtl/>
        </w:rPr>
        <w:t xml:space="preserve"> על כך שהליך רפואי משמעותי כזה מבוצע ללא התרשמות ישירה מהתפקוד של האדם עם מוגבלות וללא שימוש בכלי אבחנה רב-מערכתיים לצורך בחינת המוגבלות</w:t>
      </w:r>
      <w:r w:rsidRPr="00047212">
        <w:rPr>
          <w:rFonts w:hint="cs"/>
          <w:rtl/>
        </w:rPr>
        <w:t>.</w:t>
      </w:r>
    </w:p>
    <w:p w:rsidR="00047212" w:rsidRPr="00047212" w:rsidP="00A210E9">
      <w:pPr>
        <w:pStyle w:val="FootnoteText"/>
        <w:ind w:firstLine="0"/>
        <w:rPr>
          <w:rtl/>
        </w:rPr>
      </w:pPr>
      <w:r w:rsidRPr="00047212">
        <w:rPr>
          <w:rFonts w:hint="cs"/>
          <w:rtl/>
        </w:rPr>
        <w:t xml:space="preserve">מרכז המחקר ומידע של הכנסת, </w:t>
      </w:r>
      <w:r w:rsidRPr="00047212">
        <w:rPr>
          <w:b/>
          <w:bCs/>
          <w:rtl/>
        </w:rPr>
        <w:t>קביעת זכאות לתג חניה לנכה</w:t>
      </w:r>
      <w:r w:rsidRPr="00047212">
        <w:rPr>
          <w:rFonts w:hint="cs"/>
          <w:rtl/>
        </w:rPr>
        <w:t xml:space="preserve">, מוגש לוועדה המיוחדת לפניות ציבור, 2012; </w:t>
      </w:r>
      <w:r w:rsidRPr="00047212">
        <w:rPr>
          <w:b/>
          <w:bCs/>
          <w:rtl/>
        </w:rPr>
        <w:t>פניות ציבור בדבר התנהלות אגף הרישוי</w:t>
      </w:r>
      <w:r w:rsidRPr="00047212">
        <w:rPr>
          <w:rFonts w:hint="cs"/>
          <w:b/>
          <w:bCs/>
          <w:rtl/>
        </w:rPr>
        <w:t xml:space="preserve"> </w:t>
      </w:r>
      <w:r w:rsidRPr="00047212">
        <w:rPr>
          <w:b/>
          <w:bCs/>
          <w:rtl/>
        </w:rPr>
        <w:t>בנושא תגי חניה לנכים</w:t>
      </w:r>
      <w:r w:rsidRPr="00047212">
        <w:rPr>
          <w:rFonts w:hint="cs"/>
          <w:rtl/>
        </w:rPr>
        <w:t>, מוגש לוועדה המיוחדת לפניות ציבור, 2010.</w:t>
      </w:r>
    </w:p>
  </w:footnote>
  <w:footnote w:id="179">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 xml:space="preserve">מכרז 31/14, סעיף 7.5; מכרז 53/20, סעיף 2.5 - </w:t>
      </w:r>
      <w:r w:rsidRPr="00047212">
        <w:rPr>
          <w:rtl/>
        </w:rPr>
        <w:t>הרופא המוסמך</w:t>
      </w:r>
      <w:r w:rsidRPr="00047212">
        <w:rPr>
          <w:rFonts w:hint="cs"/>
          <w:rtl/>
        </w:rPr>
        <w:t xml:space="preserve"> </w:t>
      </w:r>
      <w:r w:rsidRPr="00047212">
        <w:rPr>
          <w:rtl/>
        </w:rPr>
        <w:t>יסמן את האופציה המומלצת על ידו, תוך ציון נימוקים רפואיים להחלטה</w:t>
      </w:r>
      <w:r w:rsidRPr="00047212">
        <w:rPr>
          <w:rFonts w:hint="cs"/>
          <w:rtl/>
        </w:rPr>
        <w:t>.</w:t>
      </w:r>
    </w:p>
  </w:footnote>
  <w:footnote w:id="180">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חברה ב' כתבה בתשובתה כי שדות אלה לא היו שדות חובה אלא אופציונליים בלבד.</w:t>
      </w:r>
    </w:p>
  </w:footnote>
  <w:footnote w:id="181">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 xml:space="preserve">נציב תלונות הציבור, </w:t>
      </w:r>
      <w:r w:rsidRPr="00047212">
        <w:rPr>
          <w:rFonts w:hint="cs"/>
          <w:b/>
          <w:bCs/>
          <w:rtl/>
        </w:rPr>
        <w:t>דוח שנתי 44 לשנת 2017</w:t>
      </w:r>
      <w:r w:rsidRPr="00047212">
        <w:rPr>
          <w:rFonts w:hint="cs"/>
          <w:rtl/>
        </w:rPr>
        <w:t xml:space="preserve">, 2018; </w:t>
      </w:r>
      <w:r w:rsidRPr="00047212">
        <w:rPr>
          <w:rFonts w:hint="cs"/>
          <w:b/>
          <w:bCs/>
          <w:rtl/>
        </w:rPr>
        <w:t>דוח שנתי 45 לשנת 2018</w:t>
      </w:r>
      <w:r w:rsidRPr="00047212">
        <w:rPr>
          <w:rFonts w:hint="cs"/>
          <w:rtl/>
        </w:rPr>
        <w:t>, 2019.</w:t>
      </w:r>
    </w:p>
  </w:footnote>
  <w:footnote w:id="182">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כאמור עד תחילת 2025 המשיך משרד התחבורה להנפיק תג חניה לכיסא גלגלים, אך במהלך שנה זו החל המשרד לאשר תג כיסא גלגלים רק למי שממציא אישור מביטוח לאומי או מאגף השיקום שהוא מרותק לכיסא גלגלים.</w:t>
      </w:r>
    </w:p>
  </w:footnote>
  <w:footnote w:id="183">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הממצאים עלו במסגרת הבקרה המדגמית שביצעה החשבות של משרד התחבורה על הנימוקים שניתנו בבקשות לתגי חניה במהלך יוני-ספטמבר 2025.</w:t>
      </w:r>
    </w:p>
  </w:footnote>
  <w:footnote w:id="184">
    <w:p w:rsidR="00047212" w:rsidRPr="00047212" w:rsidP="00A210E9">
      <w:pPr>
        <w:pStyle w:val="FootnoteText"/>
      </w:pPr>
      <w:r w:rsidRPr="00047212">
        <w:rPr>
          <w:rStyle w:val="FootnoteReference1"/>
        </w:rPr>
        <w:footnoteRef/>
      </w:r>
      <w:r w:rsidRPr="00047212">
        <w:rPr>
          <w:rtl/>
        </w:rPr>
        <w:t xml:space="preserve"> </w:t>
      </w:r>
      <w:r w:rsidRPr="00047212">
        <w:rPr>
          <w:rtl/>
        </w:rPr>
        <w:tab/>
      </w:r>
      <w:hyperlink r:id="rId70" w:history="1">
        <w:r w:rsidRPr="00047212">
          <w:rPr>
            <w:rStyle w:val="Hyperlink"/>
            <w:color w:val="auto"/>
            <w:u w:val="none"/>
            <w:rtl/>
          </w:rPr>
          <w:t xml:space="preserve">תקנות הביטוח הלאומי </w:t>
        </w:r>
        <w:r w:rsidRPr="00047212">
          <w:rPr>
            <w:rStyle w:val="Hyperlink"/>
            <w:rFonts w:hint="cs"/>
            <w:color w:val="auto"/>
            <w:u w:val="none"/>
            <w:rtl/>
          </w:rPr>
          <w:t>(</w:t>
        </w:r>
        <w:r w:rsidRPr="00047212">
          <w:rPr>
            <w:rStyle w:val="Hyperlink"/>
            <w:color w:val="auto"/>
            <w:u w:val="none"/>
            <w:rtl/>
          </w:rPr>
          <w:t>קביעת דרגת נכות לנפגעי עבודה</w:t>
        </w:r>
        <w:r w:rsidRPr="00047212">
          <w:rPr>
            <w:rStyle w:val="Hyperlink"/>
            <w:rFonts w:hint="cs"/>
            <w:color w:val="auto"/>
            <w:u w:val="none"/>
            <w:rtl/>
          </w:rPr>
          <w:t>)</w:t>
        </w:r>
      </w:hyperlink>
      <w:r w:rsidRPr="00047212">
        <w:rPr>
          <w:rFonts w:hint="cs"/>
          <w:rtl/>
        </w:rPr>
        <w:t>,</w:t>
      </w:r>
      <w:r w:rsidRPr="00047212">
        <w:rPr>
          <w:rtl/>
        </w:rPr>
        <w:t xml:space="preserve"> </w:t>
      </w:r>
      <w:r w:rsidRPr="00047212">
        <w:rPr>
          <w:rFonts w:hint="cs"/>
          <w:rtl/>
        </w:rPr>
        <w:t>ה</w:t>
      </w:r>
      <w:r w:rsidRPr="00047212">
        <w:rPr>
          <w:rtl/>
        </w:rPr>
        <w:t>תשט"ז</w:t>
      </w:r>
      <w:r w:rsidRPr="00047212">
        <w:rPr>
          <w:rFonts w:hint="cs"/>
          <w:rtl/>
        </w:rPr>
        <w:t>-</w:t>
      </w:r>
      <w:r w:rsidRPr="00047212">
        <w:rPr>
          <w:rtl/>
        </w:rPr>
        <w:t>1956</w:t>
      </w:r>
      <w:r w:rsidRPr="00047212">
        <w:rPr>
          <w:rFonts w:hint="cs"/>
          <w:rtl/>
        </w:rPr>
        <w:t>.</w:t>
      </w:r>
    </w:p>
  </w:footnote>
  <w:footnote w:id="185">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 xml:space="preserve">בביקורת שביצעה החשבות נמצא גם כי </w:t>
      </w:r>
      <w:r w:rsidRPr="00047212">
        <w:rPr>
          <w:rtl/>
        </w:rPr>
        <w:t>במקרה של בקשה פיזית</w:t>
      </w:r>
      <w:r w:rsidRPr="00047212">
        <w:rPr>
          <w:rFonts w:hint="cs"/>
          <w:rtl/>
        </w:rPr>
        <w:t xml:space="preserve"> לתג</w:t>
      </w:r>
      <w:r w:rsidRPr="00047212">
        <w:rPr>
          <w:rtl/>
        </w:rPr>
        <w:t xml:space="preserve"> שהגיעה בדואר</w:t>
      </w:r>
      <w:r w:rsidRPr="00047212">
        <w:rPr>
          <w:rFonts w:hint="cs"/>
          <w:rtl/>
        </w:rPr>
        <w:t>,</w:t>
      </w:r>
      <w:r w:rsidRPr="00047212">
        <w:rPr>
          <w:rtl/>
        </w:rPr>
        <w:t xml:space="preserve"> במשרדי הרישוי </w:t>
      </w:r>
      <w:r w:rsidRPr="00047212">
        <w:rPr>
          <w:rFonts w:hint="cs"/>
          <w:rtl/>
        </w:rPr>
        <w:t>הדפיסו</w:t>
      </w:r>
      <w:r w:rsidRPr="00047212">
        <w:rPr>
          <w:rtl/>
        </w:rPr>
        <w:t xml:space="preserve"> למבקשים את </w:t>
      </w:r>
      <w:r w:rsidRPr="00047212">
        <w:rPr>
          <w:rFonts w:hint="cs"/>
          <w:rtl/>
        </w:rPr>
        <w:t xml:space="preserve">ההחלטה </w:t>
      </w:r>
      <w:r w:rsidRPr="00047212">
        <w:rPr>
          <w:rtl/>
        </w:rPr>
        <w:t>עם המלל התקול</w:t>
      </w:r>
      <w:r w:rsidRPr="00047212">
        <w:rPr>
          <w:rFonts w:hint="cs"/>
          <w:rtl/>
        </w:rPr>
        <w:t xml:space="preserve"> והלא קריא</w:t>
      </w:r>
      <w:r w:rsidRPr="00047212">
        <w:rPr>
          <w:rtl/>
        </w:rPr>
        <w:t>, ללא תיקונו</w:t>
      </w:r>
      <w:r w:rsidRPr="00047212">
        <w:rPr>
          <w:rFonts w:hint="cs"/>
          <w:rtl/>
        </w:rPr>
        <w:t>.</w:t>
      </w:r>
    </w:p>
  </w:footnote>
  <w:footnote w:id="186">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 xml:space="preserve">מקרים אלה שונו בהמשך והוסבו באופן טכני להשלמת מסמכים. </w:t>
      </w:r>
    </w:p>
  </w:footnote>
  <w:footnote w:id="187">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לדוגמה, מענה רפואי "רגליו בריאות מספיק" בבקשה שסיווגה הרפואי התאים למחלת לב.</w:t>
      </w:r>
    </w:p>
  </w:footnote>
  <w:footnote w:id="188">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 xml:space="preserve">במסגרת תהליך ההתחשבנות בין הספק לבין משרד התחבורה הספק מגיש חשבונית על פי מספר הבקשות שבדק. </w:t>
      </w:r>
    </w:p>
  </w:footnote>
  <w:footnote w:id="189">
    <w:p w:rsidR="00047212" w:rsidRPr="00047212" w:rsidP="00A210E9">
      <w:pPr>
        <w:pStyle w:val="FootnoteText"/>
      </w:pPr>
      <w:r w:rsidRPr="00047212">
        <w:rPr>
          <w:rStyle w:val="FootnoteReference1"/>
        </w:rPr>
        <w:footnoteRef/>
      </w:r>
      <w:r w:rsidRPr="00047212">
        <w:rPr>
          <w:rtl/>
        </w:rPr>
        <w:t xml:space="preserve"> </w:t>
      </w:r>
      <w:r w:rsidRPr="00047212">
        <w:rPr>
          <w:rtl/>
        </w:rPr>
        <w:tab/>
        <w:t xml:space="preserve">בגין בדיקות תגי </w:t>
      </w:r>
      <w:r w:rsidRPr="00047212">
        <w:rPr>
          <w:rFonts w:hint="cs"/>
          <w:rtl/>
        </w:rPr>
        <w:t>חניה</w:t>
      </w:r>
      <w:r w:rsidRPr="00047212">
        <w:rPr>
          <w:rtl/>
        </w:rPr>
        <w:t xml:space="preserve"> ובגין שירותים נוספים שהחברה מספקת למשרד מכ</w:t>
      </w:r>
      <w:r w:rsidRPr="00047212">
        <w:rPr>
          <w:rFonts w:hint="cs"/>
          <w:rtl/>
        </w:rPr>
        <w:t>ו</w:t>
      </w:r>
      <w:r w:rsidRPr="00047212">
        <w:rPr>
          <w:rtl/>
        </w:rPr>
        <w:t>ח מכרזים אחרים.</w:t>
      </w:r>
    </w:p>
  </w:footnote>
  <w:footnote w:id="190">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הגדרת השירותים מופיעה בסעיף 3 במסמכי המכרז.</w:t>
      </w:r>
    </w:p>
  </w:footnote>
  <w:footnote w:id="191">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t>בהנחה ששיעור הנימוקים בדגימה</w:t>
      </w:r>
      <w:r w:rsidRPr="00047212">
        <w:rPr>
          <w:rFonts w:hint="cs"/>
          <w:rtl/>
        </w:rPr>
        <w:t xml:space="preserve"> </w:t>
      </w:r>
      <w:r w:rsidRPr="00047212">
        <w:rPr>
          <w:rtl/>
        </w:rPr>
        <w:t>זהה לשיעורם בכלל אוכלוסיית המדגם</w:t>
      </w:r>
      <w:r w:rsidRPr="00047212">
        <w:rPr>
          <w:rFonts w:hint="cs"/>
          <w:rtl/>
        </w:rPr>
        <w:t>.</w:t>
      </w:r>
    </w:p>
  </w:footnote>
  <w:footnote w:id="192">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בדיון השתתפו נציגים מחשבות משרד התחבורה, מהמחלקה המשפטית, מאגף הרישוי ומאגף טכנולוגיות דיגיטליות ומידע.</w:t>
      </w:r>
    </w:p>
  </w:footnote>
  <w:footnote w:id="193">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t>מעילות והונאות הן מעשים בלתי חוקיים של תרמית, הסתרה או יצירת מצג שווא במטרה להטעות, להונות או לכזב, תוך פגיעה בזכויותיו החוקיות של אחר, כדי לזכות ברווח בלתי הוגן - כסף, רכוש, טובות הנאה, שירותים וכד</w:t>
      </w:r>
      <w:r w:rsidRPr="00047212">
        <w:rPr>
          <w:rFonts w:hint="cs"/>
          <w:rtl/>
        </w:rPr>
        <w:t>ומה.</w:t>
      </w:r>
      <w:r w:rsidRPr="00047212">
        <w:rPr>
          <w:rtl/>
        </w:rPr>
        <w:t xml:space="preserve"> הונאה כוללת מצג שווא ביודעין או העלמה ביודעין של עובדה מהותית במטרה להשפיע על אחר לפעול או להימנע מלפעול ב</w:t>
      </w:r>
      <w:r w:rsidRPr="00047212">
        <w:rPr>
          <w:rFonts w:hint="cs"/>
          <w:rtl/>
        </w:rPr>
        <w:t xml:space="preserve">אופן </w:t>
      </w:r>
      <w:r w:rsidRPr="00047212">
        <w:rPr>
          <w:rtl/>
        </w:rPr>
        <w:t>מסוי</w:t>
      </w:r>
      <w:r w:rsidRPr="00047212">
        <w:rPr>
          <w:rFonts w:hint="cs"/>
          <w:rtl/>
        </w:rPr>
        <w:t>ם</w:t>
      </w:r>
      <w:r w:rsidRPr="00047212">
        <w:rPr>
          <w:rtl/>
        </w:rPr>
        <w:t xml:space="preserve"> (מעילה </w:t>
      </w:r>
      <w:r w:rsidRPr="00047212">
        <w:rPr>
          <w:rFonts w:hint="cs"/>
          <w:rtl/>
        </w:rPr>
        <w:t xml:space="preserve">היא </w:t>
      </w:r>
      <w:r w:rsidRPr="00047212">
        <w:rPr>
          <w:rtl/>
        </w:rPr>
        <w:t xml:space="preserve">סוג של הונאה המתייחסת לגניבת כספים או נכסים תוך הסתרת ביצוע הפעולה באמצעות רישומים כוזבים או טכניקות אחרות). בבסיס ההונאות עומד צורך </w:t>
      </w:r>
      <w:r w:rsidRPr="00047212">
        <w:rPr>
          <w:rFonts w:hint="cs"/>
          <w:rtl/>
        </w:rPr>
        <w:t>רב</w:t>
      </w:r>
      <w:r w:rsidRPr="00047212">
        <w:rPr>
          <w:rtl/>
        </w:rPr>
        <w:t xml:space="preserve"> (לרוב כלכלי) של יוזם ההונאה, הזדמנות לביצועה (לרוב בעקבות היעדר פיקוח או בקרה נאותים) ורציונליזציה שבאמצעותה עולה בידי מבצע ההונאה להצדיק את מעשיו בפני עצמו.</w:t>
      </w:r>
    </w:p>
  </w:footnote>
  <w:footnote w:id="194">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ועדת הכלכלה בכנסת</w:t>
      </w:r>
      <w:r w:rsidRPr="00047212">
        <w:rPr>
          <w:rFonts w:hint="cs"/>
          <w:b/>
          <w:bCs/>
          <w:rtl/>
        </w:rPr>
        <w:t xml:space="preserve">, </w:t>
      </w:r>
      <w:r w:rsidRPr="00047212">
        <w:rPr>
          <w:rFonts w:hint="cs"/>
          <w:rtl/>
        </w:rPr>
        <w:t>"</w:t>
      </w:r>
      <w:r w:rsidRPr="00047212">
        <w:rPr>
          <w:rtl/>
        </w:rPr>
        <w:t>זיוף תגי חניה של נכים</w:t>
      </w:r>
      <w:r w:rsidRPr="00047212">
        <w:rPr>
          <w:rFonts w:hint="cs"/>
          <w:rtl/>
        </w:rPr>
        <w:t>", 26.2.08;</w:t>
      </w:r>
      <w:r w:rsidRPr="00047212">
        <w:rPr>
          <w:rtl/>
        </w:rPr>
        <w:t xml:space="preserve"> הוועדה לענייני ביקורת המדינה</w:t>
      </w:r>
      <w:r w:rsidRPr="00047212">
        <w:rPr>
          <w:rFonts w:hint="cs"/>
          <w:rtl/>
        </w:rPr>
        <w:t>,</w:t>
      </w:r>
      <w:r w:rsidRPr="00047212">
        <w:rPr>
          <w:rtl/>
        </w:rPr>
        <w:t xml:space="preserve"> </w:t>
      </w:r>
      <w:r w:rsidRPr="00047212">
        <w:rPr>
          <w:rFonts w:hint="cs"/>
          <w:rtl/>
        </w:rPr>
        <w:t>"</w:t>
      </w:r>
      <w:r w:rsidRPr="00047212">
        <w:rPr>
          <w:rtl/>
        </w:rPr>
        <w:t>זיוף תגי חניה של נכים</w:t>
      </w:r>
      <w:r w:rsidRPr="00047212">
        <w:rPr>
          <w:rFonts w:hint="cs"/>
          <w:rtl/>
        </w:rPr>
        <w:t xml:space="preserve">", 9.6.08. </w:t>
      </w:r>
    </w:p>
  </w:footnote>
  <w:footnote w:id="195">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משרד התחבורה, אגף בכיר ביקורת פנימית, "</w:t>
      </w:r>
      <w:r w:rsidRPr="00047212">
        <w:rPr>
          <w:rFonts w:hint="eastAsia"/>
          <w:rtl/>
        </w:rPr>
        <w:t>סקר</w:t>
      </w:r>
      <w:r w:rsidRPr="00047212">
        <w:rPr>
          <w:rtl/>
        </w:rPr>
        <w:t xml:space="preserve"> סיכונים מעילות והונאות </w:t>
      </w:r>
      <w:r w:rsidRPr="00047212">
        <w:rPr>
          <w:rFonts w:hint="eastAsia"/>
          <w:rtl/>
        </w:rPr>
        <w:t>במינהל</w:t>
      </w:r>
      <w:r w:rsidRPr="00047212">
        <w:rPr>
          <w:rtl/>
        </w:rPr>
        <w:t xml:space="preserve"> תנועה</w:t>
      </w:r>
      <w:r w:rsidRPr="00047212">
        <w:rPr>
          <w:rFonts w:hint="cs"/>
          <w:rtl/>
        </w:rPr>
        <w:t>", ינואר 2024.</w:t>
      </w:r>
    </w:p>
  </w:footnote>
  <w:footnote w:id="196">
    <w:p w:rsidR="00047212" w:rsidRPr="00047212" w:rsidP="0087347C">
      <w:pPr>
        <w:pStyle w:val="FootnoteText"/>
        <w:jc w:val="left"/>
        <w:rPr>
          <w:rtl/>
        </w:rPr>
      </w:pPr>
      <w:r w:rsidRPr="00047212">
        <w:rPr>
          <w:rStyle w:val="FootnoteReference1"/>
        </w:rPr>
        <w:footnoteRef/>
      </w:r>
      <w:r w:rsidRPr="00047212">
        <w:rPr>
          <w:rtl/>
        </w:rPr>
        <w:t xml:space="preserve"> </w:t>
      </w:r>
      <w:r w:rsidRPr="00047212">
        <w:rPr>
          <w:rtl/>
        </w:rPr>
        <w:tab/>
      </w:r>
      <w:r w:rsidRPr="00047212">
        <w:rPr>
          <w:rFonts w:hint="cs"/>
          <w:rtl/>
        </w:rPr>
        <w:t>סיכון שיורי מחושב כפונקציה של רמת ההשפעה וההסתברות, בהתחשב בתגובות הקיימות (לפי יישום בפועל) (אגף החשכ"ל, "</w:t>
      </w:r>
      <w:r w:rsidRPr="00047212">
        <w:rPr>
          <w:rFonts w:hint="eastAsia"/>
          <w:rtl/>
        </w:rPr>
        <w:t>ניהול</w:t>
      </w:r>
      <w:r w:rsidRPr="00047212">
        <w:rPr>
          <w:rtl/>
        </w:rPr>
        <w:t xml:space="preserve"> סיכונים תפעוליים</w:t>
      </w:r>
      <w:r w:rsidRPr="00047212">
        <w:rPr>
          <w:rFonts w:hint="cs"/>
          <w:rtl/>
        </w:rPr>
        <w:t xml:space="preserve">", 2015). אוחזר מאתר: </w:t>
      </w:r>
      <w:hyperlink r:id="rId71" w:history="1">
        <w:r w:rsidRPr="00047212">
          <w:rPr>
            <w:rStyle w:val="Hyperlink"/>
            <w:color w:val="auto"/>
            <w:u w:val="none"/>
          </w:rPr>
          <w:t>www.gov.il/BlobFolder/generalpage/audit_methodologies/he/risk-audit-management_files_audit_methodologies.pdf</w:t>
        </w:r>
      </w:hyperlink>
      <w:r w:rsidRPr="00047212">
        <w:rPr>
          <w:rFonts w:hint="cs"/>
          <w:rtl/>
        </w:rPr>
        <w:t>, אוחזר ב-15.12.25.</w:t>
      </w:r>
    </w:p>
  </w:footnote>
  <w:footnote w:id="197">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לאגף הרישוי ארבעה משרדים מחוזיים המפעילים 28 סניפים מקומיים ברחבי הארץ. בסניפים אלה ניתן לבצע פעולות הנוגעות לרישוי רכב ורישוי נהיגה באופן פרונטלי באמצעות פקידי הרישוי.</w:t>
      </w:r>
    </w:p>
  </w:footnote>
  <w:footnote w:id="198">
    <w:p w:rsidR="00047212" w:rsidRPr="00047212" w:rsidP="00A210E9">
      <w:pPr>
        <w:pStyle w:val="FootnoteText"/>
        <w:rPr>
          <w:b/>
          <w:bCs/>
          <w:rtl/>
        </w:rPr>
      </w:pPr>
      <w:r w:rsidRPr="00047212">
        <w:rPr>
          <w:rStyle w:val="FootnoteReference1"/>
        </w:rPr>
        <w:footnoteRef/>
      </w:r>
      <w:r w:rsidRPr="00047212">
        <w:rPr>
          <w:rtl/>
        </w:rPr>
        <w:t xml:space="preserve"> </w:t>
      </w:r>
      <w:r w:rsidRPr="00047212">
        <w:rPr>
          <w:rtl/>
        </w:rPr>
        <w:tab/>
      </w:r>
      <w:r w:rsidRPr="00047212">
        <w:rPr>
          <w:rFonts w:hint="cs"/>
          <w:rtl/>
        </w:rPr>
        <w:t xml:space="preserve">על פי הודעת המשטרה, 9.12.24 </w:t>
      </w:r>
      <w:hyperlink r:id="rId7" w:history="1">
        <w:r w:rsidRPr="00047212">
          <w:rPr>
            <w:rStyle w:val="Hyperlink"/>
            <w:color w:val="auto"/>
            <w:u w:val="none"/>
          </w:rPr>
          <w:t>www.gov.il/he/pages/police_09-12-24_tag</w:t>
        </w:r>
      </w:hyperlink>
      <w:r w:rsidRPr="00047212">
        <w:rPr>
          <w:rFonts w:hint="cs"/>
          <w:rtl/>
        </w:rPr>
        <w:t xml:space="preserve"> (אוחזר ביום 19.8.25).</w:t>
      </w:r>
    </w:p>
  </w:footnote>
  <w:footnote w:id="199">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סעיף 5 לחוק חניה לנכים.</w:t>
      </w:r>
    </w:p>
  </w:footnote>
  <w:footnote w:id="200">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t>המכון הרפואי לבטיחות בדרכים (מרב"ד) הוא "הרופא המוסמך" לביצוע בדיקות בריאותיות לנהגים ומספק חוות דעת והמלצות מקצועיות בנוגע לכשירות הבריאותית לנהיגה.</w:t>
      </w:r>
      <w:r w:rsidRPr="00047212">
        <w:rPr>
          <w:rFonts w:hint="cs"/>
          <w:rtl/>
        </w:rPr>
        <w:t xml:space="preserve"> אוחזר מאתר:</w:t>
      </w:r>
      <w:r w:rsidRPr="00047212">
        <w:rPr>
          <w:rFonts w:hint="cs"/>
        </w:rPr>
        <w:t xml:space="preserve"> </w:t>
      </w:r>
      <w:hyperlink r:id="rId72" w:history="1">
        <w:r w:rsidRPr="00047212">
          <w:rPr>
            <w:rStyle w:val="Hyperlink"/>
            <w:color w:val="auto"/>
            <w:u w:val="none"/>
          </w:rPr>
          <w:t>www.gov.il/he/service/medical-fitness-tests-for-driving</w:t>
        </w:r>
      </w:hyperlink>
      <w:r w:rsidRPr="00047212">
        <w:rPr>
          <w:rFonts w:hint="cs"/>
          <w:rtl/>
        </w:rPr>
        <w:t xml:space="preserve">, אוחזר ב-3.3.25. המרב"ד גם אמון על </w:t>
      </w:r>
      <w:r w:rsidRPr="00047212">
        <w:rPr>
          <w:rtl/>
        </w:rPr>
        <w:t>התאמת רכב ואביזרי נהיגה לאנשים עם מוגבלות</w:t>
      </w:r>
      <w:r w:rsidRPr="00047212">
        <w:rPr>
          <w:rFonts w:hint="cs"/>
          <w:rtl/>
        </w:rPr>
        <w:t xml:space="preserve"> ומיועד</w:t>
      </w:r>
      <w:r w:rsidRPr="00047212">
        <w:rPr>
          <w:rtl/>
        </w:rPr>
        <w:t xml:space="preserve"> ל</w:t>
      </w:r>
      <w:r w:rsidRPr="00047212">
        <w:rPr>
          <w:rFonts w:hint="cs"/>
          <w:rtl/>
        </w:rPr>
        <w:t xml:space="preserve">אנשים עם </w:t>
      </w:r>
      <w:r w:rsidRPr="00047212">
        <w:rPr>
          <w:rtl/>
        </w:rPr>
        <w:t xml:space="preserve">מוגבלות בניידות המופנים </w:t>
      </w:r>
      <w:r w:rsidRPr="00047212">
        <w:rPr>
          <w:rFonts w:hint="cs"/>
          <w:rtl/>
        </w:rPr>
        <w:t>אליו מ</w:t>
      </w:r>
      <w:r w:rsidRPr="00047212">
        <w:rPr>
          <w:rtl/>
        </w:rPr>
        <w:t xml:space="preserve">מחלקת ניידות </w:t>
      </w:r>
      <w:r w:rsidRPr="00047212">
        <w:rPr>
          <w:rFonts w:hint="cs"/>
          <w:rtl/>
        </w:rPr>
        <w:t>ב</w:t>
      </w:r>
      <w:r w:rsidRPr="00047212">
        <w:rPr>
          <w:rtl/>
        </w:rPr>
        <w:t xml:space="preserve">ביטוח </w:t>
      </w:r>
      <w:r w:rsidRPr="00047212">
        <w:rPr>
          <w:rFonts w:hint="cs"/>
          <w:rtl/>
        </w:rPr>
        <w:t>ה</w:t>
      </w:r>
      <w:r w:rsidRPr="00047212">
        <w:rPr>
          <w:rtl/>
        </w:rPr>
        <w:t>לאומי</w:t>
      </w:r>
      <w:r w:rsidRPr="00047212">
        <w:rPr>
          <w:rFonts w:hint="cs"/>
          <w:rtl/>
        </w:rPr>
        <w:t>. אוחזר מאתר:</w:t>
      </w:r>
      <w:r w:rsidRPr="00047212">
        <w:rPr>
          <w:rFonts w:hint="cs"/>
        </w:rPr>
        <w:t xml:space="preserve"> </w:t>
      </w:r>
      <w:hyperlink r:id="rId73" w:history="1">
        <w:r w:rsidRPr="00047212">
          <w:rPr>
            <w:rStyle w:val="Hyperlink"/>
            <w:color w:val="auto"/>
            <w:u w:val="none"/>
          </w:rPr>
          <w:t>www.gov.il/he/service/vehicle-adaptation-and-driving-accessories-committee</w:t>
        </w:r>
      </w:hyperlink>
      <w:r w:rsidRPr="00047212">
        <w:t xml:space="preserve"> </w:t>
      </w:r>
      <w:r w:rsidRPr="00047212">
        <w:rPr>
          <w:rFonts w:hint="cs"/>
          <w:rtl/>
        </w:rPr>
        <w:t xml:space="preserve">, אוחזר ב-3.3.25. </w:t>
      </w:r>
    </w:p>
  </w:footnote>
  <w:footnote w:id="201">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התחומים נקבעו על ידי שלושה רופאים מביטוח לאומי וממשרד הבריאות, שהיו חברי הצוות.</w:t>
      </w:r>
    </w:p>
  </w:footnote>
  <w:footnote w:id="202">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כגון, בעיות אורתופדיות, נוירולוגיות או נשימתיות, בעיות לב, בעיות פרקים, עיוורון, קוגניטיביות ושימוש באביזרי עזר.</w:t>
      </w:r>
    </w:p>
  </w:footnote>
  <w:footnote w:id="203">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 xml:space="preserve">הוצע </w:t>
      </w:r>
      <w:r w:rsidRPr="00047212">
        <w:rPr>
          <w:rtl/>
        </w:rPr>
        <w:t>כי הו</w:t>
      </w:r>
      <w:r w:rsidRPr="00047212">
        <w:rPr>
          <w:rFonts w:hint="cs"/>
          <w:rtl/>
        </w:rPr>
        <w:t>ו</w:t>
      </w:r>
      <w:r w:rsidRPr="00047212">
        <w:rPr>
          <w:rtl/>
        </w:rPr>
        <w:t xml:space="preserve">עדה תהיה רשאית לקבל החלטה לאחר הגשת המסמכים </w:t>
      </w:r>
      <w:r w:rsidRPr="00047212">
        <w:rPr>
          <w:rFonts w:hint="cs"/>
          <w:rtl/>
        </w:rPr>
        <w:t xml:space="preserve">הרפואיים, </w:t>
      </w:r>
      <w:r w:rsidRPr="00047212">
        <w:rPr>
          <w:rtl/>
        </w:rPr>
        <w:t xml:space="preserve">ובמקרים מסוימים תזמן </w:t>
      </w:r>
      <w:r w:rsidRPr="00047212">
        <w:rPr>
          <w:rFonts w:hint="cs"/>
          <w:rtl/>
        </w:rPr>
        <w:t>את ה</w:t>
      </w:r>
      <w:r w:rsidRPr="00047212">
        <w:rPr>
          <w:rtl/>
        </w:rPr>
        <w:t xml:space="preserve">אזרח לבדיקה פיזית כדי להכריע אם </w:t>
      </w:r>
      <w:r w:rsidRPr="00047212">
        <w:rPr>
          <w:rFonts w:hint="cs"/>
          <w:rtl/>
        </w:rPr>
        <w:t xml:space="preserve">הוא </w:t>
      </w:r>
      <w:r w:rsidRPr="00047212">
        <w:rPr>
          <w:rtl/>
        </w:rPr>
        <w:t>זכאי לתג.</w:t>
      </w:r>
    </w:p>
  </w:footnote>
  <w:footnote w:id="204">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 xml:space="preserve">הצוות החל את פעילותו כבר ביולי 2025. </w:t>
      </w:r>
    </w:p>
  </w:footnote>
  <w:footnote w:id="205">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eastAsia"/>
          <w:rtl/>
        </w:rPr>
        <w:t>בפנייתם</w:t>
      </w:r>
      <w:r w:rsidRPr="00047212">
        <w:rPr>
          <w:rtl/>
        </w:rPr>
        <w:t xml:space="preserve"> ביקשו הרופאים המחוזיים שמשרד התחבורה יעסיק בכל לשכת בריאות מחוזית רופא בחצי משרה ומזכירה במשרה מלאה, וזאת עד שמשרד התחבורה ישלים את היערכותו בנושא. </w:t>
      </w:r>
    </w:p>
  </w:footnote>
  <w:footnote w:id="206">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מרכז המחקר ב</w:t>
      </w:r>
      <w:r w:rsidRPr="00047212">
        <w:rPr>
          <w:rtl/>
        </w:rPr>
        <w:t>כנסת</w:t>
      </w:r>
      <w:r w:rsidRPr="00047212">
        <w:rPr>
          <w:rFonts w:hint="cs"/>
          <w:rtl/>
        </w:rPr>
        <w:t>, "</w:t>
      </w:r>
      <w:r w:rsidRPr="00047212">
        <w:rPr>
          <w:rtl/>
        </w:rPr>
        <w:t>נתונים על תגי נכה ומספר כלי הרכב הרשומים עם תגי חניה</w:t>
      </w:r>
      <w:r w:rsidRPr="00047212">
        <w:rPr>
          <w:rFonts w:hint="cs"/>
          <w:rtl/>
        </w:rPr>
        <w:t xml:space="preserve">", 25.2.22, עמ' 3. </w:t>
      </w:r>
    </w:p>
  </w:footnote>
  <w:footnote w:id="207">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אלה האוכלוסיות שביטוח לאומי זיהה בהקשר זה: מקבלי קצבת שר"ם בשיעור 112%, מקבלי קצבת סיעוד ברמות 4 - 6, מקבלי קצבת נכות מעבודה ואזרחים שנפגעו מפעולות איבה (</w:t>
      </w:r>
      <w:r w:rsidRPr="00047212">
        <w:rPr>
          <w:rFonts w:hint="eastAsia"/>
          <w:rtl/>
        </w:rPr>
        <w:t>אוכלוסייה</w:t>
      </w:r>
      <w:r w:rsidRPr="00047212">
        <w:rPr>
          <w:rtl/>
        </w:rPr>
        <w:t xml:space="preserve"> </w:t>
      </w:r>
      <w:r w:rsidRPr="00047212">
        <w:rPr>
          <w:rFonts w:hint="eastAsia"/>
          <w:rtl/>
        </w:rPr>
        <w:t>זו</w:t>
      </w:r>
      <w:r w:rsidRPr="00047212">
        <w:rPr>
          <w:rtl/>
        </w:rPr>
        <w:t xml:space="preserve"> </w:t>
      </w:r>
      <w:r w:rsidRPr="00047212">
        <w:rPr>
          <w:rFonts w:hint="eastAsia"/>
          <w:rtl/>
        </w:rPr>
        <w:t>הוצגה</w:t>
      </w:r>
      <w:r w:rsidRPr="00047212">
        <w:rPr>
          <w:rtl/>
        </w:rPr>
        <w:t xml:space="preserve"> </w:t>
      </w:r>
      <w:r w:rsidRPr="00047212">
        <w:rPr>
          <w:rFonts w:hint="eastAsia"/>
          <w:rtl/>
        </w:rPr>
        <w:t>כאוכלוסייה</w:t>
      </w:r>
      <w:r w:rsidRPr="00047212">
        <w:rPr>
          <w:rtl/>
        </w:rPr>
        <w:t xml:space="preserve"> </w:t>
      </w:r>
      <w:r w:rsidRPr="00047212">
        <w:rPr>
          <w:rFonts w:hint="eastAsia"/>
          <w:rtl/>
        </w:rPr>
        <w:t>שיש</w:t>
      </w:r>
      <w:r w:rsidRPr="00047212">
        <w:rPr>
          <w:rtl/>
        </w:rPr>
        <w:t xml:space="preserve"> </w:t>
      </w:r>
      <w:r w:rsidRPr="00047212">
        <w:rPr>
          <w:rFonts w:hint="eastAsia"/>
          <w:rtl/>
        </w:rPr>
        <w:t>לגביה</w:t>
      </w:r>
      <w:r w:rsidRPr="00047212">
        <w:rPr>
          <w:rtl/>
        </w:rPr>
        <w:t xml:space="preserve"> </w:t>
      </w:r>
      <w:r w:rsidRPr="00047212">
        <w:rPr>
          <w:rFonts w:hint="eastAsia"/>
          <w:rtl/>
        </w:rPr>
        <w:t>עדיין</w:t>
      </w:r>
      <w:r w:rsidRPr="00047212">
        <w:rPr>
          <w:rtl/>
        </w:rPr>
        <w:t xml:space="preserve"> </w:t>
      </w:r>
      <w:r w:rsidRPr="00047212">
        <w:rPr>
          <w:rFonts w:hint="eastAsia"/>
          <w:rtl/>
        </w:rPr>
        <w:t>סימן</w:t>
      </w:r>
      <w:r w:rsidRPr="00047212">
        <w:rPr>
          <w:rtl/>
        </w:rPr>
        <w:t xml:space="preserve"> </w:t>
      </w:r>
      <w:r w:rsidRPr="00047212">
        <w:rPr>
          <w:rFonts w:hint="eastAsia"/>
          <w:rtl/>
        </w:rPr>
        <w:t>שאלה</w:t>
      </w:r>
      <w:r w:rsidRPr="00047212">
        <w:rPr>
          <w:rtl/>
        </w:rPr>
        <w:t xml:space="preserve"> </w:t>
      </w:r>
      <w:r w:rsidRPr="00047212">
        <w:rPr>
          <w:rFonts w:hint="eastAsia"/>
          <w:rtl/>
        </w:rPr>
        <w:t>אם</w:t>
      </w:r>
      <w:r w:rsidRPr="00047212">
        <w:rPr>
          <w:rtl/>
        </w:rPr>
        <w:t xml:space="preserve"> </w:t>
      </w:r>
      <w:r w:rsidRPr="00047212">
        <w:rPr>
          <w:rFonts w:hint="eastAsia"/>
          <w:rtl/>
        </w:rPr>
        <w:t>להעבירה</w:t>
      </w:r>
      <w:r w:rsidRPr="00047212">
        <w:rPr>
          <w:rtl/>
        </w:rPr>
        <w:t xml:space="preserve"> </w:t>
      </w:r>
      <w:r w:rsidRPr="00047212">
        <w:rPr>
          <w:rFonts w:hint="eastAsia"/>
          <w:rtl/>
        </w:rPr>
        <w:t>באופן</w:t>
      </w:r>
      <w:r w:rsidRPr="00047212">
        <w:rPr>
          <w:rtl/>
        </w:rPr>
        <w:t xml:space="preserve"> </w:t>
      </w:r>
      <w:r w:rsidRPr="00047212">
        <w:rPr>
          <w:rFonts w:hint="eastAsia"/>
          <w:rtl/>
        </w:rPr>
        <w:t>אוטומטי</w:t>
      </w:r>
      <w:r w:rsidRPr="00047212">
        <w:rPr>
          <w:rFonts w:hint="cs"/>
          <w:rtl/>
        </w:rPr>
        <w:t xml:space="preserve">). כמו כן, הציע בט"ל להרחיב את האוכלוסיות הזכאיות באופן אוטומטי לתג כיסא גלגלים מתוקף החלטת הוועדות הרפואיות, ולכלול בהן </w:t>
      </w:r>
      <w:r w:rsidRPr="00047212">
        <w:rPr>
          <w:rtl/>
        </w:rPr>
        <w:t xml:space="preserve">ילדים </w:t>
      </w:r>
      <w:r w:rsidRPr="00047212">
        <w:rPr>
          <w:rFonts w:hint="cs"/>
          <w:rtl/>
        </w:rPr>
        <w:t>ומבוגרים ה</w:t>
      </w:r>
      <w:r w:rsidRPr="00047212">
        <w:rPr>
          <w:rtl/>
        </w:rPr>
        <w:t xml:space="preserve">זקוקים </w:t>
      </w:r>
      <w:r w:rsidRPr="00047212">
        <w:rPr>
          <w:rFonts w:hint="cs"/>
          <w:rtl/>
        </w:rPr>
        <w:t xml:space="preserve">לכיסא גלגלים </w:t>
      </w:r>
      <w:r w:rsidRPr="00047212">
        <w:rPr>
          <w:rtl/>
        </w:rPr>
        <w:t xml:space="preserve">ומשתמשים </w:t>
      </w:r>
      <w:r w:rsidRPr="00047212">
        <w:rPr>
          <w:rFonts w:hint="cs"/>
          <w:rtl/>
        </w:rPr>
        <w:t>בו.</w:t>
      </w:r>
    </w:p>
  </w:footnote>
  <w:footnote w:id="208">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eastAsia"/>
          <w:rtl/>
        </w:rPr>
        <w:t>סביר</w:t>
      </w:r>
      <w:r w:rsidRPr="00047212">
        <w:rPr>
          <w:rtl/>
        </w:rPr>
        <w:t xml:space="preserve"> להניח כי חלק מאוכלוסייה זו כבר מחזיק בתג חניה</w:t>
      </w:r>
      <w:r w:rsidRPr="00047212">
        <w:rPr>
          <w:rFonts w:hint="cs"/>
          <w:rtl/>
        </w:rPr>
        <w:t xml:space="preserve"> עקב </w:t>
      </w:r>
      <w:r w:rsidRPr="00047212">
        <w:rPr>
          <w:rtl/>
        </w:rPr>
        <w:t xml:space="preserve">פנייה ישירה לאגף הרישוי. </w:t>
      </w:r>
    </w:p>
  </w:footnote>
  <w:footnote w:id="209">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מרכז המחקר והמידע של הכנסת, "</w:t>
      </w:r>
      <w:r w:rsidRPr="00047212">
        <w:rPr>
          <w:rtl/>
        </w:rPr>
        <w:t>קביעת זכאות לתג חניה לנכה</w:t>
      </w:r>
      <w:r w:rsidRPr="00047212">
        <w:rPr>
          <w:rFonts w:hint="cs"/>
          <w:rtl/>
        </w:rPr>
        <w:t xml:space="preserve">", 2012; הכנסת ה-20 מושב שני, </w:t>
      </w:r>
      <w:r w:rsidRPr="00047212">
        <w:rPr>
          <w:rtl/>
        </w:rPr>
        <w:t>ישיבת הוועדה לפניות הציבור</w:t>
      </w:r>
      <w:r w:rsidRPr="00047212">
        <w:rPr>
          <w:rFonts w:hint="cs"/>
          <w:rtl/>
        </w:rPr>
        <w:t>, "</w:t>
      </w:r>
      <w:r w:rsidRPr="00047212">
        <w:rPr>
          <w:rFonts w:hint="eastAsia"/>
          <w:rtl/>
        </w:rPr>
        <w:t>סדר</w:t>
      </w:r>
      <w:r w:rsidRPr="00047212">
        <w:rPr>
          <w:rtl/>
        </w:rPr>
        <w:t xml:space="preserve"> יום - פניות ציבור לגבי הליך קבלת תווי חניה לנכים</w:t>
      </w:r>
      <w:r w:rsidRPr="00047212">
        <w:rPr>
          <w:rFonts w:hint="cs"/>
          <w:rtl/>
        </w:rPr>
        <w:t xml:space="preserve">", פרוטוקול מס' 48, 7.3.16; </w:t>
      </w:r>
      <w:r w:rsidRPr="00047212">
        <w:rPr>
          <w:rFonts w:hint="eastAsia"/>
          <w:rtl/>
        </w:rPr>
        <w:t>הכנסת</w:t>
      </w:r>
      <w:r w:rsidRPr="00047212">
        <w:rPr>
          <w:rtl/>
        </w:rPr>
        <w:t xml:space="preserve"> ה-24 מושב שני, </w:t>
      </w:r>
      <w:r w:rsidRPr="00047212">
        <w:rPr>
          <w:rFonts w:hint="eastAsia"/>
          <w:b/>
          <w:bCs/>
          <w:rtl/>
        </w:rPr>
        <w:t>סדר</w:t>
      </w:r>
      <w:r w:rsidRPr="00047212">
        <w:rPr>
          <w:b/>
          <w:bCs/>
          <w:rtl/>
        </w:rPr>
        <w:t xml:space="preserve"> היום - חניית נכים - פיקוח ואכיפה</w:t>
      </w:r>
      <w:r w:rsidRPr="00047212">
        <w:rPr>
          <w:rtl/>
        </w:rPr>
        <w:t xml:space="preserve">, </w:t>
      </w:r>
      <w:hyperlink r:id="rId74" w:history="1">
        <w:r w:rsidRPr="00047212">
          <w:rPr>
            <w:rStyle w:val="Hyperlink"/>
            <w:rFonts w:hint="eastAsia"/>
            <w:color w:val="auto"/>
            <w:u w:val="none"/>
            <w:rtl/>
          </w:rPr>
          <w:t>פרוטוקול</w:t>
        </w:r>
        <w:r w:rsidRPr="00047212">
          <w:rPr>
            <w:rStyle w:val="Hyperlink"/>
            <w:color w:val="auto"/>
            <w:u w:val="none"/>
            <w:rtl/>
          </w:rPr>
          <w:t xml:space="preserve"> מס' 1</w:t>
        </w:r>
      </w:hyperlink>
      <w:r w:rsidRPr="00047212">
        <w:rPr>
          <w:rtl/>
        </w:rPr>
        <w:t>, מישיבת ועדת העבודה והרווחה, משנה לעניין נגישות עירונית, 22.2.22.</w:t>
      </w:r>
    </w:p>
  </w:footnote>
  <w:footnote w:id="210">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eastAsia"/>
          <w:rtl/>
        </w:rPr>
        <w:t>נוסף</w:t>
      </w:r>
      <w:r w:rsidRPr="00047212">
        <w:rPr>
          <w:rtl/>
        </w:rPr>
        <w:t xml:space="preserve"> </w:t>
      </w:r>
      <w:r w:rsidRPr="00047212">
        <w:rPr>
          <w:rFonts w:hint="eastAsia"/>
          <w:rtl/>
        </w:rPr>
        <w:t>על</w:t>
      </w:r>
      <w:r w:rsidRPr="00047212">
        <w:rPr>
          <w:rtl/>
        </w:rPr>
        <w:t xml:space="preserve"> </w:t>
      </w:r>
      <w:r w:rsidRPr="00047212">
        <w:rPr>
          <w:rFonts w:hint="eastAsia"/>
          <w:rtl/>
        </w:rPr>
        <w:t>כך</w:t>
      </w:r>
      <w:r w:rsidRPr="00047212">
        <w:rPr>
          <w:rtl/>
        </w:rPr>
        <w:t xml:space="preserve">, </w:t>
      </w:r>
      <w:r w:rsidRPr="00047212">
        <w:rPr>
          <w:rFonts w:hint="eastAsia"/>
          <w:rtl/>
        </w:rPr>
        <w:t>לפי</w:t>
      </w:r>
      <w:r w:rsidRPr="00047212">
        <w:rPr>
          <w:rtl/>
        </w:rPr>
        <w:t xml:space="preserve"> </w:t>
      </w:r>
      <w:r w:rsidRPr="00047212">
        <w:rPr>
          <w:rFonts w:hint="eastAsia"/>
          <w:rtl/>
        </w:rPr>
        <w:t>המכתב</w:t>
      </w:r>
      <w:r w:rsidRPr="00047212">
        <w:rPr>
          <w:rtl/>
        </w:rPr>
        <w:t xml:space="preserve"> </w:t>
      </w:r>
      <w:r w:rsidRPr="00047212">
        <w:rPr>
          <w:rFonts w:hint="eastAsia"/>
          <w:rtl/>
        </w:rPr>
        <w:t>יטופלו במשרד</w:t>
      </w:r>
      <w:r w:rsidRPr="00047212">
        <w:rPr>
          <w:rtl/>
        </w:rPr>
        <w:t xml:space="preserve"> </w:t>
      </w:r>
      <w:r w:rsidRPr="00047212">
        <w:rPr>
          <w:rFonts w:hint="eastAsia"/>
          <w:rtl/>
        </w:rPr>
        <w:t>הביטחון חיילים</w:t>
      </w:r>
      <w:r w:rsidRPr="00047212">
        <w:rPr>
          <w:rtl/>
        </w:rPr>
        <w:t xml:space="preserve"> (בסדיר </w:t>
      </w:r>
      <w:r w:rsidRPr="00047212">
        <w:rPr>
          <w:rFonts w:hint="eastAsia"/>
          <w:rtl/>
        </w:rPr>
        <w:t>ובמילואים</w:t>
      </w:r>
      <w:r w:rsidRPr="00047212">
        <w:rPr>
          <w:rtl/>
        </w:rPr>
        <w:t xml:space="preserve">) </w:t>
      </w:r>
      <w:r w:rsidRPr="00047212">
        <w:rPr>
          <w:rFonts w:hint="eastAsia"/>
          <w:rtl/>
        </w:rPr>
        <w:t>שנפגעו</w:t>
      </w:r>
      <w:r w:rsidRPr="00047212">
        <w:rPr>
          <w:rtl/>
        </w:rPr>
        <w:t xml:space="preserve"> </w:t>
      </w:r>
      <w:r w:rsidRPr="00047212">
        <w:rPr>
          <w:rFonts w:hint="eastAsia"/>
          <w:rtl/>
        </w:rPr>
        <w:t>במהלך</w:t>
      </w:r>
      <w:r w:rsidRPr="00047212">
        <w:rPr>
          <w:rtl/>
        </w:rPr>
        <w:t xml:space="preserve"> </w:t>
      </w:r>
      <w:r w:rsidRPr="00047212">
        <w:rPr>
          <w:rFonts w:hint="eastAsia"/>
          <w:rtl/>
        </w:rPr>
        <w:t>שירותם</w:t>
      </w:r>
      <w:r w:rsidRPr="00047212">
        <w:rPr>
          <w:rtl/>
        </w:rPr>
        <w:t xml:space="preserve"> </w:t>
      </w:r>
      <w:r w:rsidRPr="00047212">
        <w:rPr>
          <w:rFonts w:hint="eastAsia"/>
          <w:rtl/>
        </w:rPr>
        <w:t>הצבאי</w:t>
      </w:r>
      <w:r w:rsidRPr="00047212">
        <w:rPr>
          <w:rtl/>
        </w:rPr>
        <w:t>.</w:t>
      </w:r>
    </w:p>
  </w:footnote>
  <w:footnote w:id="211">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משרד האוצר, "</w:t>
      </w:r>
      <w:r w:rsidRPr="00047212">
        <w:rPr>
          <w:rFonts w:hint="eastAsia"/>
          <w:rtl/>
        </w:rPr>
        <w:t>התוכנית</w:t>
      </w:r>
      <w:r w:rsidRPr="00047212">
        <w:rPr>
          <w:rtl/>
        </w:rPr>
        <w:t xml:space="preserve"> הכלכלית לשנת 2026 - שינויים מבניים</w:t>
      </w:r>
      <w:r w:rsidRPr="00047212">
        <w:rPr>
          <w:rFonts w:hint="cs"/>
          <w:rtl/>
        </w:rPr>
        <w:t>", דצמבר 2025. טיוטה למסמך זה פורסמה עוד בנובמבר 2025.</w:t>
      </w:r>
    </w:p>
  </w:footnote>
  <w:footnote w:id="212">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צוין כי עמדת היועץ המשפטי של משרד האוצר תצורף במסגרת חוות דעת לממשלה לתוכנית הכלכלית לשנת 2025</w:t>
      </w:r>
      <w:r w:rsidRPr="00047212">
        <w:rPr>
          <w:rtl/>
        </w:rPr>
        <w:t xml:space="preserve"> (</w:t>
      </w:r>
      <w:r w:rsidRPr="00047212">
        <w:rPr>
          <w:rFonts w:hint="cs"/>
          <w:rtl/>
        </w:rPr>
        <w:t xml:space="preserve">צ"ל </w:t>
      </w:r>
      <w:r w:rsidRPr="00047212">
        <w:rPr>
          <w:rtl/>
        </w:rPr>
        <w:t>2026)</w:t>
      </w:r>
      <w:r w:rsidRPr="00047212">
        <w:rPr>
          <w:rFonts w:hint="cs"/>
          <w:rtl/>
        </w:rPr>
        <w:t>.</w:t>
      </w:r>
    </w:p>
  </w:footnote>
  <w:footnote w:id="213">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המוסד לביטוח לאומי, "</w:t>
      </w:r>
      <w:r w:rsidRPr="00047212">
        <w:rPr>
          <w:rtl/>
        </w:rPr>
        <w:t>משרד האוצר מבקש להעמיס על פעילות הועדות הרפואיות ובכך לפגוע בשירות לאזרחים ובנפגעי פעולות איבה</w:t>
      </w:r>
      <w:r w:rsidRPr="00047212">
        <w:rPr>
          <w:rFonts w:hint="cs"/>
          <w:rtl/>
        </w:rPr>
        <w:t>", 30.11.25, אוחזר ב-6.1.26, אוחזר מאתר:</w:t>
      </w:r>
    </w:p>
    <w:p w:rsidR="00047212" w:rsidRPr="00047212" w:rsidP="00A210E9">
      <w:pPr>
        <w:pStyle w:val="FootnoteText"/>
        <w:ind w:firstLine="0"/>
        <w:rPr>
          <w:rtl/>
        </w:rPr>
      </w:pPr>
      <w:hyperlink r:id="rId75" w:history="1">
        <w:r w:rsidRPr="00047212">
          <w:rPr>
            <w:rStyle w:val="Hyperlink"/>
            <w:color w:val="auto"/>
            <w:u w:val="none"/>
          </w:rPr>
          <w:t>www.btl.gov.il/About/news/Pages</w:t>
        </w:r>
        <w:r w:rsidRPr="00047212">
          <w:rPr>
            <w:rStyle w:val="Hyperlink"/>
            <w:color w:val="auto"/>
            <w:sz w:val="18"/>
            <w:szCs w:val="18"/>
            <w:u w:val="none"/>
          </w:rPr>
          <w:t>/HADASATAVNACHA</w:t>
        </w:r>
        <w:r w:rsidRPr="00047212">
          <w:rPr>
            <w:rStyle w:val="Hyperlink"/>
            <w:color w:val="auto"/>
            <w:u w:val="none"/>
          </w:rPr>
          <w:t>.aspx</w:t>
        </w:r>
      </w:hyperlink>
    </w:p>
  </w:footnote>
  <w:footnote w:id="214">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 xml:space="preserve">בינואר 2026 יו"ר הצוות הבין-משרדי מסרה למשרד מבקר המדינה כי ההצעה הסופית עדיין לא גובשה ולכן לא הועברה לצוות הביקורת. </w:t>
      </w:r>
    </w:p>
  </w:footnote>
  <w:footnote w:id="215">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משרד הבריאות מפעיל עבור הביטוח הלאומי ועדות רפואיות לקביעת זכאות לגמלת ניידות.</w:t>
      </w:r>
    </w:p>
  </w:footnote>
  <w:footnote w:id="216">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קיימות 25 רמות סיכון - סיכון המוערך מעל רמה 12 נחשב רמת סיכון גבוהה; רמת סיכון 9 נחשבת רמת סיכון בינונית.</w:t>
      </w:r>
    </w:p>
  </w:footnote>
  <w:footnote w:id="217">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האתר של נציבות שוויון זכויות לאנשים עם מוגבלות במרשתת, 4.6.18 (עודכן ב-9.11.25)</w:t>
      </w:r>
    </w:p>
    <w:p w:rsidR="00047212" w:rsidRPr="00047212" w:rsidP="00A210E9">
      <w:pPr>
        <w:pStyle w:val="FootnoteText"/>
        <w:ind w:firstLine="0"/>
        <w:rPr>
          <w:rtl/>
        </w:rPr>
      </w:pPr>
      <w:hyperlink r:id="rId76" w:history="1">
        <w:r w:rsidRPr="00047212">
          <w:rPr>
            <w:rStyle w:val="Hyperlink"/>
            <w:color w:val="auto"/>
            <w:u w:val="none"/>
          </w:rPr>
          <w:t>www.gov.il/he/pages/about_the_commission</w:t>
        </w:r>
      </w:hyperlink>
      <w:r w:rsidRPr="00047212">
        <w:rPr>
          <w:rFonts w:hint="cs"/>
          <w:rtl/>
        </w:rPr>
        <w:t>.</w:t>
      </w:r>
    </w:p>
    <w:p w:rsidR="00047212" w:rsidRPr="00047212" w:rsidP="00A210E9">
      <w:pPr>
        <w:pStyle w:val="FootnoteText"/>
        <w:rPr>
          <w:rtl/>
        </w:rPr>
      </w:pPr>
    </w:p>
    <w:p w:rsidR="00047212" w:rsidRPr="00047212" w:rsidP="00A210E9">
      <w:pPr>
        <w:pStyle w:val="FootnoteText"/>
      </w:pPr>
    </w:p>
  </w:footnote>
  <w:footnote w:id="218">
    <w:p w:rsidR="00047212" w:rsidRPr="00047212" w:rsidP="00A210E9">
      <w:pPr>
        <w:pStyle w:val="FootnoteText"/>
      </w:pPr>
      <w:r w:rsidRPr="00047212">
        <w:rPr>
          <w:rStyle w:val="FootnoteReference1"/>
        </w:rPr>
        <w:footnoteRef/>
      </w:r>
      <w:r w:rsidRPr="00047212">
        <w:rPr>
          <w:rtl/>
        </w:rPr>
        <w:t xml:space="preserve"> </w:t>
      </w:r>
      <w:r w:rsidRPr="00047212">
        <w:rPr>
          <w:rtl/>
        </w:rPr>
        <w:tab/>
      </w:r>
      <w:hyperlink r:id="rId28" w:history="1">
        <w:r w:rsidRPr="00047212">
          <w:rPr>
            <w:rStyle w:val="Hyperlink"/>
            <w:rFonts w:hint="cs"/>
            <w:color w:val="auto"/>
            <w:u w:val="none"/>
            <w:rtl/>
          </w:rPr>
          <w:t>פרוטוקול</w:t>
        </w:r>
      </w:hyperlink>
      <w:r w:rsidRPr="00047212">
        <w:rPr>
          <w:rFonts w:hint="cs"/>
          <w:rtl/>
        </w:rPr>
        <w:t xml:space="preserve"> ישיבת ועדת העבודה והרווחה משנה לעניין נגישות עירונית בנושא "חניות נכים - פיקוח ואכיפה", 22.2.22.</w:t>
      </w:r>
    </w:p>
  </w:footnote>
  <w:footnote w:id="219">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 xml:space="preserve">ראו למשל סעיף 19ט(ח) לחוק שוויון זכויות. </w:t>
      </w:r>
    </w:p>
  </w:footnote>
  <w:footnote w:id="220">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hyperlink r:id="rId77" w:history="1">
        <w:r w:rsidRPr="00047212">
          <w:rPr>
            <w:rStyle w:val="Hyperlink"/>
            <w:rFonts w:hint="eastAsia"/>
            <w:color w:val="auto"/>
            <w:u w:val="none"/>
            <w:rtl/>
          </w:rPr>
          <w:t>אתר</w:t>
        </w:r>
        <w:r w:rsidRPr="00047212">
          <w:rPr>
            <w:rStyle w:val="Hyperlink"/>
            <w:color w:val="auto"/>
            <w:u w:val="none"/>
            <w:rtl/>
          </w:rPr>
          <w:t xml:space="preserve"> </w:t>
        </w:r>
        <w:r w:rsidRPr="00047212">
          <w:rPr>
            <w:rStyle w:val="Hyperlink"/>
            <w:rFonts w:hint="eastAsia"/>
            <w:color w:val="auto"/>
            <w:u w:val="none"/>
            <w:rtl/>
          </w:rPr>
          <w:t>מרכז</w:t>
        </w:r>
        <w:r w:rsidRPr="00047212">
          <w:rPr>
            <w:rStyle w:val="Hyperlink"/>
            <w:color w:val="auto"/>
            <w:u w:val="none"/>
            <w:rtl/>
          </w:rPr>
          <w:t xml:space="preserve"> </w:t>
        </w:r>
        <w:r w:rsidRPr="00047212">
          <w:rPr>
            <w:rStyle w:val="Hyperlink"/>
            <w:rFonts w:hint="eastAsia"/>
            <w:color w:val="auto"/>
            <w:u w:val="none"/>
            <w:rtl/>
          </w:rPr>
          <w:t>השלטון</w:t>
        </w:r>
        <w:r w:rsidRPr="00047212">
          <w:rPr>
            <w:rStyle w:val="Hyperlink"/>
            <w:color w:val="auto"/>
            <w:u w:val="none"/>
            <w:rtl/>
          </w:rPr>
          <w:t xml:space="preserve"> </w:t>
        </w:r>
        <w:r w:rsidRPr="00047212">
          <w:rPr>
            <w:rStyle w:val="Hyperlink"/>
            <w:rFonts w:hint="eastAsia"/>
            <w:color w:val="auto"/>
            <w:u w:val="none"/>
            <w:rtl/>
          </w:rPr>
          <w:t>המקומי</w:t>
        </w:r>
        <w:r w:rsidRPr="00047212">
          <w:rPr>
            <w:rStyle w:val="Hyperlink"/>
            <w:color w:val="auto"/>
            <w:u w:val="none"/>
            <w:rtl/>
          </w:rPr>
          <w:t xml:space="preserve"> </w:t>
        </w:r>
        <w:r w:rsidRPr="00047212">
          <w:rPr>
            <w:rStyle w:val="Hyperlink"/>
            <w:rFonts w:hint="eastAsia"/>
            <w:color w:val="auto"/>
            <w:u w:val="none"/>
            <w:rtl/>
          </w:rPr>
          <w:t>בישראל</w:t>
        </w:r>
      </w:hyperlink>
      <w:r w:rsidRPr="00047212">
        <w:rPr>
          <w:rtl/>
        </w:rPr>
        <w:t>.</w:t>
      </w:r>
    </w:p>
  </w:footnote>
  <w:footnote w:id="221">
    <w:p w:rsidR="00047212" w:rsidRPr="00047212" w:rsidP="00A210E9">
      <w:pPr>
        <w:pStyle w:val="FootnoteText"/>
        <w:rPr>
          <w:rtl/>
        </w:rPr>
      </w:pPr>
      <w:r w:rsidRPr="00047212">
        <w:rPr>
          <w:rStyle w:val="FootnoteReference1"/>
        </w:rPr>
        <w:footnoteRef/>
      </w:r>
      <w:r w:rsidRPr="00047212">
        <w:rPr>
          <w:rtl/>
        </w:rPr>
        <w:t xml:space="preserve"> </w:t>
      </w:r>
      <w:r w:rsidRPr="00047212">
        <w:rPr>
          <w:rtl/>
        </w:rPr>
        <w:tab/>
      </w:r>
      <w:r w:rsidRPr="00047212">
        <w:rPr>
          <w:rFonts w:hint="cs"/>
          <w:rtl/>
        </w:rPr>
        <w:t>"מבנה ציבור קיים" הוא בניין ששימש עוד לפני התקנת תקנות אלה לצרכים ציבוריים, כגון בית ספר, בית חולים, בית כנסת וכו'. "מקום שאינו בניין" הוא שטח ציבורי פתוח או סגור המיועד לפעילויות ביקור, שהות או חוויה, כגון, אתרי הנצחה, חניונים פתוחים ומקומות קדושים.</w:t>
      </w:r>
    </w:p>
  </w:footnote>
  <w:footnote w:id="222">
    <w:p w:rsidR="00047212" w:rsidRPr="00047212" w:rsidP="00A210E9">
      <w:pPr>
        <w:pStyle w:val="FootnoteText"/>
      </w:pPr>
      <w:r w:rsidRPr="00047212">
        <w:rPr>
          <w:rStyle w:val="FootnoteReference1"/>
        </w:rPr>
        <w:footnoteRef/>
      </w:r>
      <w:r w:rsidRPr="00047212">
        <w:rPr>
          <w:rtl/>
        </w:rPr>
        <w:t xml:space="preserve"> </w:t>
      </w:r>
      <w:r w:rsidRPr="00047212">
        <w:rPr>
          <w:rtl/>
        </w:rPr>
        <w:tab/>
      </w:r>
      <w:r w:rsidRPr="00047212">
        <w:rPr>
          <w:rFonts w:hint="cs"/>
          <w:rtl/>
        </w:rPr>
        <w:t xml:space="preserve">המנהלת </w:t>
      </w:r>
      <w:hyperlink r:id="rId78" w:history="1">
        <w:r w:rsidRPr="00047212">
          <w:rPr>
            <w:rStyle w:val="Hyperlink"/>
            <w:rFonts w:hint="cs"/>
            <w:color w:val="auto"/>
            <w:u w:val="none"/>
            <w:rtl/>
          </w:rPr>
          <w:t>עסקה</w:t>
        </w:r>
      </w:hyperlink>
      <w:r w:rsidRPr="00047212">
        <w:rPr>
          <w:rFonts w:hint="cs"/>
          <w:rtl/>
        </w:rPr>
        <w:t xml:space="preserve"> עד לשנת 2021 בקידום חקיקה וטיפול בניצול תקציבים קיימים ממשרד הפנים לצורך יישום התקנות. לאחר שנת 2021 </w:t>
      </w:r>
      <w:hyperlink r:id="rId79" w:history="1">
        <w:r w:rsidRPr="00047212">
          <w:rPr>
            <w:rStyle w:val="Hyperlink"/>
            <w:rFonts w:hint="cs"/>
            <w:color w:val="auto"/>
            <w:u w:val="none"/>
            <w:rtl/>
          </w:rPr>
          <w:t>לא קיימה</w:t>
        </w:r>
      </w:hyperlink>
      <w:r w:rsidRPr="00047212">
        <w:rPr>
          <w:rFonts w:hint="cs"/>
          <w:rtl/>
        </w:rPr>
        <w:t xml:space="preserve"> המנהלת ישיבות נוספות.</w:t>
      </w:r>
    </w:p>
  </w:footnote>
  <w:footnote w:id="223">
    <w:p w:rsidR="00047212" w:rsidRPr="00047212" w:rsidP="00A210E9">
      <w:pPr>
        <w:pStyle w:val="FootnoteText"/>
      </w:pPr>
    </w:p>
  </w:footnote>
  <w:footnote w:id="224">
    <w:p w:rsidR="00047212" w:rsidRPr="00047212" w:rsidP="00A210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47212" w:rsidRPr="0062451B" w:rsidP="001F4412">
    <w:pPr>
      <w:pStyle w:val="Header"/>
      <w:tabs>
        <w:tab w:val="clear" w:pos="8306"/>
        <w:tab w:val="right" w:pos="8504"/>
      </w:tabs>
      <w:ind w:right="-709"/>
      <w:jc w:val="right"/>
      <w:rPr>
        <w:rFonts w:asciiTheme="minorHAnsi" w:hAnsiTheme="minorHAnsi" w:cstheme="minorHAnsi"/>
        <w:color w:val="002060"/>
        <w:szCs w:val="20"/>
      </w:rPr>
    </w:pP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6432" behindDoc="0" locked="0" layoutInCell="1" allowOverlap="1">
              <wp:simplePos x="0" y="0"/>
              <wp:positionH relativeFrom="margin">
                <wp:posOffset>2520315</wp:posOffset>
              </wp:positionH>
              <wp:positionV relativeFrom="paragraph">
                <wp:posOffset>216535</wp:posOffset>
              </wp:positionV>
              <wp:extent cx="3500755" cy="285750"/>
              <wp:effectExtent l="0" t="0" r="0" b="0"/>
              <wp:wrapSquare wrapText="bothSides"/>
              <wp:docPr id="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500755" cy="285750"/>
                      </a:xfrm>
                      <a:prstGeom prst="rect">
                        <a:avLst/>
                      </a:prstGeom>
                      <a:noFill/>
                      <a:ln w="9525">
                        <a:noFill/>
                        <a:miter lim="800000"/>
                        <a:headEnd/>
                        <a:tailEnd/>
                      </a:ln>
                    </wps:spPr>
                    <wps:txbx>
                      <w:txbxContent>
                        <w:p w:rsidR="00047212" w:rsidRPr="001E204F" w:rsidP="00354F9A">
                          <w:pPr>
                            <w:rPr>
                              <w:rFonts w:ascii="Calibri" w:hAnsi="Calibri" w:cs="Calibri"/>
                              <w:color w:val="002060"/>
                              <w:szCs w:val="20"/>
                              <w:rtl/>
                            </w:rPr>
                          </w:pPr>
                          <w:r w:rsidRPr="00A210E9">
                            <w:rPr>
                              <w:rFonts w:ascii="Calibri" w:hAnsi="Calibri" w:cs="Calibri"/>
                              <w:color w:val="002060"/>
                              <w:szCs w:val="20"/>
                              <w:rtl/>
                            </w:rPr>
                            <w:t>תגי חניה לאנשים עם מוגבלות</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49" type="#_x0000_t202" style="width:275.65pt;height:22.5pt;margin-top:17.05pt;margin-left:198.45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7456" filled="f" stroked="f">
              <v:textbox>
                <w:txbxContent>
                  <w:p w:rsidR="00047212" w:rsidRPr="001E204F" w:rsidP="00354F9A">
                    <w:pPr>
                      <w:rPr>
                        <w:rFonts w:ascii="Calibri" w:hAnsi="Calibri" w:cs="Calibri"/>
                        <w:color w:val="002060"/>
                        <w:szCs w:val="20"/>
                        <w:rtl/>
                      </w:rPr>
                    </w:pPr>
                    <w:r w:rsidRPr="00A210E9">
                      <w:rPr>
                        <w:rFonts w:ascii="Calibri" w:hAnsi="Calibri" w:cs="Calibri"/>
                        <w:color w:val="002060"/>
                        <w:szCs w:val="20"/>
                        <w:rtl/>
                      </w:rPr>
                      <w:t>תגי חניה לאנשים עם מוגבלות</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2336" behindDoc="0" locked="0" layoutInCell="1" allowOverlap="1">
              <wp:simplePos x="0" y="0"/>
              <wp:positionH relativeFrom="column">
                <wp:posOffset>1344930</wp:posOffset>
              </wp:positionH>
              <wp:positionV relativeFrom="paragraph">
                <wp:posOffset>-100965</wp:posOffset>
              </wp:positionV>
              <wp:extent cx="4675505" cy="285750"/>
              <wp:effectExtent l="0" t="0" r="0" b="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4675505" cy="285750"/>
                      </a:xfrm>
                      <a:prstGeom prst="rect">
                        <a:avLst/>
                      </a:prstGeom>
                      <a:noFill/>
                      <a:ln w="9525">
                        <a:noFill/>
                        <a:miter lim="800000"/>
                        <a:headEnd/>
                        <a:tailEnd/>
                      </a:ln>
                    </wps:spPr>
                    <wps:txbx>
                      <w:txbxContent>
                        <w:p w:rsidR="00047212" w:rsidRPr="0062451B">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Pr>
                              <w:rFonts w:ascii="Calibri" w:hAnsi="Calibri" w:cs="Calibri" w:hint="cs"/>
                              <w:color w:val="002060"/>
                              <w:sz w:val="22"/>
                              <w:szCs w:val="22"/>
                              <w:rtl/>
                            </w:rPr>
                            <w:t xml:space="preserve"> | </w:t>
                          </w:r>
                          <w:r w:rsidRPr="00CD0511">
                            <w:rPr>
                              <w:rFonts w:ascii="Calibri" w:hAnsi="Calibri" w:cs="Calibri"/>
                              <w:color w:val="002060"/>
                              <w:sz w:val="22"/>
                              <w:szCs w:val="22"/>
                              <w:rtl/>
                            </w:rPr>
                            <w:t>התמודדות המדינה עם סיכונים סביבתיים, טכנולוגיים וחברתיים</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0" type="#_x0000_t202" style="width:368.15pt;height:22.5pt;margin-top:-7.95pt;margin-left:105.9pt;flip:x;mso-height-percent:0;mso-height-relative:margin;mso-width-percent:0;mso-width-relative:margin;mso-wrap-distance-bottom:3.6pt;mso-wrap-distance-left:9pt;mso-wrap-distance-right:9pt;mso-wrap-distance-top:3.6pt;mso-wrap-style:square;position:absolute;visibility:visible;v-text-anchor:top;z-index:251663360" filled="f" stroked="f">
              <v:textbox>
                <w:txbxContent>
                  <w:p w:rsidR="00047212" w:rsidRPr="0062451B">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Pr>
                        <w:rFonts w:ascii="Calibri" w:hAnsi="Calibri" w:cs="Calibri" w:hint="cs"/>
                        <w:color w:val="002060"/>
                        <w:sz w:val="22"/>
                        <w:szCs w:val="22"/>
                        <w:rtl/>
                      </w:rPr>
                      <w:t xml:space="preserve"> | </w:t>
                    </w:r>
                    <w:r w:rsidRPr="00CD0511">
                      <w:rPr>
                        <w:rFonts w:ascii="Calibri" w:hAnsi="Calibri" w:cs="Calibri"/>
                        <w:color w:val="002060"/>
                        <w:sz w:val="22"/>
                        <w:szCs w:val="22"/>
                        <w:rtl/>
                      </w:rPr>
                      <w:t>התמודדות המדינה עם סיכונים סביבתיים, טכנולוגיים וחברתיים</w:t>
                    </w:r>
                  </w:p>
                </w:txbxContent>
              </v:textbox>
              <w10:wrap type="square"/>
            </v:shape>
          </w:pict>
        </mc:Fallback>
      </mc:AlternateContent>
    </w:r>
    <w:r>
      <w:rPr>
        <w:rFonts w:asciiTheme="minorHAnsi" w:hAnsiTheme="minorHAnsi" w:cstheme="minorHAnsi"/>
        <w:noProof/>
        <w:color w:val="002060"/>
        <w:szCs w:val="20"/>
        <w:rtl/>
        <w:lang w:val="he-IL"/>
      </w:rPr>
      <mc:AlternateContent>
        <mc:Choice Requires="wps">
          <w:drawing>
            <wp:anchor distT="0" distB="0" distL="114300" distR="114300" simplePos="0" relativeHeight="251660288" behindDoc="0" locked="0" layoutInCell="1" allowOverlap="1">
              <wp:simplePos x="0" y="0"/>
              <wp:positionH relativeFrom="column">
                <wp:posOffset>-485140</wp:posOffset>
              </wp:positionH>
              <wp:positionV relativeFrom="paragraph">
                <wp:posOffset>221720</wp:posOffset>
              </wp:positionV>
              <wp:extent cx="6434455" cy="0"/>
              <wp:effectExtent l="0" t="0" r="0" b="0"/>
              <wp:wrapNone/>
              <wp:docPr id="4" name="מחבר ישר 4"/>
              <wp:cNvGraphicFramePr/>
              <a:graphic xmlns:a="http://schemas.openxmlformats.org/drawingml/2006/main">
                <a:graphicData uri="http://schemas.microsoft.com/office/word/2010/wordprocessingShape">
                  <wps:wsp xmlns:wps="http://schemas.microsoft.com/office/word/2010/wordprocessingShape">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4" o:spid="_x0000_s2051" style="flip:y;mso-height-percent:0;mso-height-relative:margin;mso-width-percent:0;mso-width-relative:margin;mso-wrap-distance-bottom:0;mso-wrap-distance-left:9pt;mso-wrap-distance-right:9pt;mso-wrap-distance-top:0;mso-wrap-style:square;position:absolute;visibility:visible;z-index:251661312" from="-38.2pt,17.45pt" to="468.45pt,17.45pt" strokecolor="#4579b8"/>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4384" behindDoc="1" locked="0" layoutInCell="1" allowOverlap="1">
              <wp:simplePos x="0" y="0"/>
              <wp:positionH relativeFrom="page">
                <wp:posOffset>515515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047212" w:rsidRPr="0062451B" w:rsidP="0062451B">
                          <w:pPr>
                            <w:jc w:val="right"/>
                            <w:rPr>
                              <w:rFonts w:ascii="Calibri" w:hAnsi="Calibri" w:cs="Calibri"/>
                              <w:color w:val="002060"/>
                              <w:szCs w:val="20"/>
                              <w:rtl/>
                            </w:rPr>
                          </w:pPr>
                          <w:r>
                            <w:rPr>
                              <w:rFonts w:ascii="Calibri" w:hAnsi="Calibri" w:cs="Calibri" w:hint="cs"/>
                              <w:color w:val="002060"/>
                              <w:szCs w:val="20"/>
                              <w:rtl/>
                            </w:rPr>
                            <w:t>תמוז</w:t>
                          </w:r>
                          <w:r w:rsidRPr="00D125D2">
                            <w:rPr>
                              <w:rFonts w:ascii="Calibri" w:hAnsi="Calibri" w:cs="Calibri" w:hint="cs"/>
                              <w:color w:val="002060"/>
                              <w:szCs w:val="20"/>
                              <w:rtl/>
                            </w:rPr>
                            <w:t xml:space="preserve"> התשפ"ו </w:t>
                          </w:r>
                          <w:r w:rsidRPr="00D125D2">
                            <w:rPr>
                              <w:rFonts w:asciiTheme="minorHAnsi" w:hAnsiTheme="minorHAnsi" w:cstheme="minorHAnsi"/>
                              <w:color w:val="002060"/>
                              <w:spacing w:val="20"/>
                              <w:sz w:val="22"/>
                              <w:szCs w:val="22"/>
                            </w:rPr>
                            <w:t xml:space="preserve"> </w:t>
                          </w:r>
                          <w:r w:rsidRPr="00D125D2">
                            <w:rPr>
                              <w:rFonts w:ascii="Wingdings" w:hAnsi="Wingdings" w:cstheme="minorHAnsi"/>
                              <w:color w:val="002060"/>
                              <w:spacing w:val="20"/>
                              <w:sz w:val="22"/>
                              <w:szCs w:val="22"/>
                            </w:rPr>
                            <w:sym w:font="Wingdings" w:char="F0A7"/>
                          </w:r>
                          <w:r>
                            <w:rPr>
                              <w:rFonts w:ascii="Calibri" w:hAnsi="Calibri" w:cs="Calibri" w:hint="cs"/>
                              <w:color w:val="002060"/>
                              <w:szCs w:val="20"/>
                              <w:rtl/>
                            </w:rPr>
                            <w:t>יוני</w:t>
                          </w:r>
                          <w:r w:rsidRPr="00D125D2">
                            <w:rPr>
                              <w:rFonts w:ascii="Calibri" w:hAnsi="Calibri" w:cs="Calibri" w:hint="cs"/>
                              <w:color w:val="002060"/>
                              <w:szCs w:val="20"/>
                              <w:rtl/>
                            </w:rPr>
                            <w:t xml:space="preserve"> 202</w:t>
                          </w:r>
                          <w:r>
                            <w:rPr>
                              <w:rFonts w:ascii="Calibri" w:hAnsi="Calibri" w:cs="Calibri" w:hint="cs"/>
                              <w:color w:val="002060"/>
                              <w:szCs w:val="20"/>
                              <w:rtl/>
                            </w:rPr>
                            <w:t>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2" type="#_x0000_t202" style="width:249.15pt;height:22.5pt;margin-top:18.55pt;margin-left:40.6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51072" filled="f" stroked="f">
              <v:textbox>
                <w:txbxContent>
                  <w:p w:rsidR="00047212" w:rsidRPr="0062451B" w:rsidP="0062451B">
                    <w:pPr>
                      <w:jc w:val="right"/>
                      <w:rPr>
                        <w:rFonts w:ascii="Calibri" w:hAnsi="Calibri" w:cs="Calibri"/>
                        <w:color w:val="002060"/>
                        <w:szCs w:val="20"/>
                        <w:rtl/>
                      </w:rPr>
                    </w:pPr>
                    <w:r>
                      <w:rPr>
                        <w:rFonts w:ascii="Calibri" w:hAnsi="Calibri" w:cs="Calibri" w:hint="cs"/>
                        <w:color w:val="002060"/>
                        <w:szCs w:val="20"/>
                        <w:rtl/>
                      </w:rPr>
                      <w:t>תמוז</w:t>
                    </w:r>
                    <w:r w:rsidRPr="00D125D2">
                      <w:rPr>
                        <w:rFonts w:ascii="Calibri" w:hAnsi="Calibri" w:cs="Calibri" w:hint="cs"/>
                        <w:color w:val="002060"/>
                        <w:szCs w:val="20"/>
                        <w:rtl/>
                      </w:rPr>
                      <w:t xml:space="preserve"> התשפ"ו </w:t>
                    </w:r>
                    <w:r w:rsidRPr="00D125D2">
                      <w:rPr>
                        <w:rFonts w:asciiTheme="minorHAnsi" w:hAnsiTheme="minorHAnsi" w:cstheme="minorHAnsi"/>
                        <w:color w:val="002060"/>
                        <w:spacing w:val="20"/>
                        <w:sz w:val="22"/>
                        <w:szCs w:val="22"/>
                      </w:rPr>
                      <w:t xml:space="preserve"> </w:t>
                    </w:r>
                    <w:r w:rsidRPr="00D125D2">
                      <w:rPr>
                        <w:rFonts w:ascii="Wingdings" w:hAnsi="Wingdings" w:cstheme="minorHAnsi"/>
                        <w:color w:val="002060"/>
                        <w:spacing w:val="20"/>
                        <w:sz w:val="22"/>
                        <w:szCs w:val="22"/>
                      </w:rPr>
                      <w:sym w:font="Wingdings" w:char="F0A7"/>
                    </w:r>
                    <w:r>
                      <w:rPr>
                        <w:rFonts w:ascii="Calibri" w:hAnsi="Calibri" w:cs="Calibri" w:hint="cs"/>
                        <w:color w:val="002060"/>
                        <w:szCs w:val="20"/>
                        <w:rtl/>
                      </w:rPr>
                      <w:t>יוני</w:t>
                    </w:r>
                    <w:r w:rsidRPr="00D125D2">
                      <w:rPr>
                        <w:rFonts w:ascii="Calibri" w:hAnsi="Calibri" w:cs="Calibri" w:hint="cs"/>
                        <w:color w:val="002060"/>
                        <w:szCs w:val="20"/>
                        <w:rtl/>
                      </w:rPr>
                      <w:t xml:space="preserve"> 202</w:t>
                    </w:r>
                    <w:r>
                      <w:rPr>
                        <w:rFonts w:ascii="Calibri" w:hAnsi="Calibri" w:cs="Calibri" w:hint="cs"/>
                        <w:color w:val="002060"/>
                        <w:szCs w:val="20"/>
                        <w:rtl/>
                      </w:rPr>
                      <w:t>6</w:t>
                    </w:r>
                    <w:r w:rsidRPr="0062451B">
                      <w:rPr>
                        <w:rFonts w:ascii="Calibri" w:hAnsi="Calibri" w:cs="Calibri" w:hint="cs"/>
                        <w:color w:val="002060"/>
                        <w:szCs w:val="20"/>
                        <w:rtl/>
                      </w:rPr>
                      <w:t xml:space="preserve"> </w:t>
                    </w:r>
                  </w:p>
                </w:txbxContent>
              </v:textbox>
              <w10:wrap type="tight"/>
            </v:shape>
          </w:pict>
        </mc:Fallback>
      </mc:AlternateConten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47212">
    <w:pPr>
      <w:pStyle w:val="Header"/>
    </w:pPr>
    <w:r>
      <w:rPr>
        <w:noProof/>
      </w:rPr>
      <mc:AlternateContent>
        <mc:Choice Requires="wpg">
          <w:drawing>
            <wp:anchor distT="0" distB="0" distL="114300" distR="114300" simplePos="0" relativeHeight="251658240" behindDoc="0" locked="0" layoutInCell="1" allowOverlap="1">
              <wp:simplePos x="0" y="0"/>
              <wp:positionH relativeFrom="margin">
                <wp:align>center</wp:align>
              </wp:positionH>
              <wp:positionV relativeFrom="paragraph">
                <wp:posOffset>-464185</wp:posOffset>
              </wp:positionV>
              <wp:extent cx="2959100" cy="10690225"/>
              <wp:effectExtent l="0" t="0" r="0" b="0"/>
              <wp:wrapNone/>
              <wp:docPr id="52" name="קבוצה 52"/>
              <wp:cNvGraphicFramePr/>
              <a:graphic xmlns:a="http://schemas.openxmlformats.org/drawingml/2006/main">
                <a:graphicData uri="http://schemas.microsoft.com/office/word/2010/wordprocessingGroup">
                  <wpg:wgp xmlns:wpg="http://schemas.microsoft.com/office/word/2010/wordprocessingGroup">
                    <wpg:cNvGrpSpPr/>
                    <wpg:grpSpPr>
                      <a:xfrm>
                        <a:off x="0" y="0"/>
                        <a:ext cx="2959100" cy="10690225"/>
                        <a:chOff x="0" y="0"/>
                        <a:chExt cx="2959100" cy="10690225"/>
                      </a:xfrm>
                    </wpg:grpSpPr>
                    <wpg:grpSp>
                      <wpg:cNvPr id="53" name="קבוצה 53"/>
                      <wpg:cNvGrpSpPr/>
                      <wpg:grpSpPr>
                        <a:xfrm>
                          <a:off x="0" y="0"/>
                          <a:ext cx="2959100" cy="3009900"/>
                          <a:chOff x="0" y="0"/>
                          <a:chExt cx="2959100" cy="3009900"/>
                        </a:xfrm>
                      </wpg:grpSpPr>
                      <wps:wsp xmlns:wps="http://schemas.microsoft.com/office/word/2010/wordprocessingShape">
                        <wps:cNvPr id="54" name="מלבן 54"/>
                        <wps:cNvSpPr/>
                        <wps:spPr>
                          <a:xfrm>
                            <a:off x="628650" y="0"/>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55" name="גרפיקה 55"/>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038225" y="1438275"/>
                            <a:ext cx="871220" cy="570865"/>
                          </a:xfrm>
                          <a:prstGeom prst="rect">
                            <a:avLst/>
                          </a:prstGeom>
                        </pic:spPr>
                      </pic:pic>
                      <wps:wsp xmlns:wps="http://schemas.microsoft.com/office/word/2010/wordprocessingShape">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7" name="תיבת טקסט 57"/>
                        <wps:cNvSpPr txBox="1"/>
                        <wps:spPr>
                          <a:xfrm>
                            <a:off x="0" y="2600325"/>
                            <a:ext cx="2959100" cy="273050"/>
                          </a:xfrm>
                          <a:prstGeom prst="rect">
                            <a:avLst/>
                          </a:prstGeom>
                          <a:noFill/>
                          <a:ln w="6350">
                            <a:noFill/>
                          </a:ln>
                        </wps:spPr>
                        <wps:txbx>
                          <w:txbxContent>
                            <w:p w:rsidR="00047212" w:rsidRPr="00CD28D9" w:rsidP="0062451B">
                              <w:pPr>
                                <w:jc w:val="center"/>
                                <w:rPr>
                                  <w:rFonts w:ascii="Calibri" w:hAnsi="Calibri" w:cs="Calibri"/>
                                  <w:color w:val="002060"/>
                                  <w:spacing w:val="80"/>
                                </w:rPr>
                              </w:pPr>
                              <w:r w:rsidRPr="00CD28D9">
                                <w:rPr>
                                  <w:rFonts w:ascii="Calibri" w:hAnsi="Calibri" w:cs="Calibri"/>
                                  <w:color w:val="002060"/>
                                  <w:spacing w:val="80"/>
                                  <w:rtl/>
                                </w:rPr>
                                <w:t>דוח מבקר המדינה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grpSp>
                    <wpg:grpSp>
                      <wpg:cNvPr id="58" name="קבוצה 58"/>
                      <wpg:cNvGrpSpPr/>
                      <wpg:grpSpPr>
                        <a:xfrm>
                          <a:off x="219075" y="8324850"/>
                          <a:ext cx="2512060" cy="2365375"/>
                          <a:chOff x="0" y="0"/>
                          <a:chExt cx="2512060" cy="2365375"/>
                        </a:xfrm>
                      </wpg:grpSpPr>
                      <wps:wsp xmlns:wps="http://schemas.microsoft.com/office/word/2010/wordprocessingShape">
                        <wps:cNvPr id="59" name="tbMMHF"/>
                        <wps:cNvSpPr txBox="1"/>
                        <wps:spPr>
                          <a:xfrm>
                            <a:off x="0" y="180975"/>
                            <a:ext cx="2512060" cy="304800"/>
                          </a:xfrm>
                          <a:prstGeom prst="rect">
                            <a:avLst/>
                          </a:prstGeom>
                          <a:solidFill>
                            <a:schemeClr val="bg1"/>
                          </a:solidFill>
                          <a:ln w="6350">
                            <a:noFill/>
                          </a:ln>
                        </wps:spPr>
                        <wps:txbx>
                          <w:txbxContent>
                            <w:p w:rsidR="00047212" w:rsidRPr="0062451B" w:rsidP="0062451B">
                              <w:pPr>
                                <w:spacing w:line="240" w:lineRule="auto"/>
                                <w:jc w:val="center"/>
                                <w:rPr>
                                  <w:rFonts w:asciiTheme="minorHAnsi" w:hAnsiTheme="minorHAnsi" w:cstheme="minorHAnsi"/>
                                  <w:color w:val="002060"/>
                                  <w:spacing w:val="20"/>
                                  <w:sz w:val="22"/>
                                  <w:szCs w:val="22"/>
                                  <w:rtl/>
                                </w:rPr>
                              </w:pPr>
                              <w:r w:rsidRPr="00D125D2">
                                <w:rPr>
                                  <w:rFonts w:ascii="Wingdings" w:hAnsi="Wingdings" w:cstheme="minorHAnsi"/>
                                  <w:color w:val="002060"/>
                                  <w:spacing w:val="20"/>
                                  <w:sz w:val="22"/>
                                  <w:szCs w:val="22"/>
                                </w:rPr>
                                <w:sym w:font="Wingdings" w:char="F0A7"/>
                              </w:r>
                              <w:r w:rsidRPr="00D125D2">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D125D2">
                                <w:rPr>
                                  <w:rFonts w:asciiTheme="minorHAnsi" w:hAnsiTheme="minorHAnsi" w:cstheme="minorHAnsi"/>
                                  <w:color w:val="002060"/>
                                  <w:spacing w:val="20"/>
                                  <w:sz w:val="22"/>
                                  <w:szCs w:val="22"/>
                                  <w:rtl/>
                                </w:rPr>
                                <w:t xml:space="preserve"> התשפ"</w:t>
                              </w:r>
                              <w:r w:rsidRPr="00D125D2">
                                <w:rPr>
                                  <w:rFonts w:asciiTheme="minorHAnsi" w:hAnsiTheme="minorHAnsi" w:cstheme="minorHAnsi" w:hint="cs"/>
                                  <w:color w:val="002060"/>
                                  <w:spacing w:val="20"/>
                                  <w:sz w:val="22"/>
                                  <w:szCs w:val="22"/>
                                  <w:rtl/>
                                </w:rPr>
                                <w:t>ו</w:t>
                              </w:r>
                              <w:r w:rsidRPr="00D125D2">
                                <w:rPr>
                                  <w:rFonts w:asciiTheme="minorHAnsi" w:hAnsiTheme="minorHAnsi" w:cstheme="minorHAnsi"/>
                                  <w:color w:val="002060"/>
                                  <w:spacing w:val="20"/>
                                  <w:sz w:val="22"/>
                                  <w:szCs w:val="22"/>
                                  <w:rtl/>
                                </w:rPr>
                                <w:t xml:space="preserve"> </w:t>
                              </w:r>
                              <w:r w:rsidRPr="00D125D2">
                                <w:rPr>
                                  <w:rFonts w:asciiTheme="minorHAnsi" w:hAnsiTheme="minorHAnsi" w:cstheme="minorHAnsi"/>
                                  <w:color w:val="002060"/>
                                  <w:spacing w:val="20"/>
                                  <w:sz w:val="22"/>
                                  <w:szCs w:val="22"/>
                                </w:rPr>
                                <w:t xml:space="preserve"> </w:t>
                              </w:r>
                              <w:r w:rsidRPr="00D125D2">
                                <w:rPr>
                                  <w:rFonts w:ascii="Wingdings" w:hAnsi="Wingdings" w:cstheme="minorHAnsi"/>
                                  <w:color w:val="002060"/>
                                  <w:spacing w:val="20"/>
                                  <w:sz w:val="22"/>
                                  <w:szCs w:val="22"/>
                                </w:rPr>
                                <w:sym w:font="Wingdings" w:char="F0A7"/>
                              </w:r>
                              <w:r>
                                <w:rPr>
                                  <w:rFonts w:asciiTheme="minorHAnsi" w:hAnsiTheme="minorHAnsi" w:cstheme="minorHAnsi" w:hint="cs"/>
                                  <w:color w:val="002060"/>
                                  <w:spacing w:val="20"/>
                                  <w:sz w:val="22"/>
                                  <w:szCs w:val="22"/>
                                  <w:rtl/>
                                </w:rPr>
                                <w:t>יוני</w:t>
                              </w:r>
                              <w:r w:rsidRPr="00D125D2">
                                <w:rPr>
                                  <w:rFonts w:asciiTheme="minorHAnsi" w:hAnsiTheme="minorHAnsi" w:cstheme="minorHAnsi" w:hint="cs"/>
                                  <w:color w:val="002060"/>
                                  <w:spacing w:val="20"/>
                                  <w:sz w:val="22"/>
                                  <w:szCs w:val="22"/>
                                  <w:rtl/>
                                </w:rPr>
                                <w:t xml:space="preserve"> 2026</w:t>
                              </w:r>
                              <w:r w:rsidRPr="00D125D2">
                                <w:rPr>
                                  <w:rFonts w:asciiTheme="minorHAnsi" w:hAnsiTheme="minorHAnsi" w:cstheme="minorHAnsi"/>
                                  <w:color w:val="002060"/>
                                  <w:spacing w:val="20"/>
                                  <w:sz w:val="22"/>
                                  <w:szCs w:val="22"/>
                                  <w:rtl/>
                                </w:rPr>
                                <w:t xml:space="preserve"> </w:t>
                              </w:r>
                              <w:r w:rsidRPr="00D125D2">
                                <w:rPr>
                                  <w:rFonts w:ascii="Wingdings" w:hAnsi="Wingdings" w:cstheme="minorHAnsi"/>
                                  <w:color w:val="002060"/>
                                  <w:spacing w:val="20"/>
                                  <w:sz w:val="22"/>
                                  <w:szCs w:val="22"/>
                                </w:rPr>
                                <w:sym w:font="Wingdings" w:char="F0A7"/>
                              </w:r>
                              <w:r w:rsidRPr="00D125D2">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61" name="מלבן 61"/>
                        <wps:cNvSpPr/>
                        <wps:spPr>
                          <a:xfrm>
                            <a:off x="409575"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wgp>
                </a:graphicData>
              </a:graphic>
            </wp:anchor>
          </w:drawing>
        </mc:Choice>
        <mc:Fallback>
          <w:pict>
            <v:group id="קבוצה 52" o:spid="_x0000_s2053" style="width:233pt;height:841.75pt;margin-top:-36.55pt;margin-left:0;mso-position-horizontal:center;mso-position-horizontal-relative:margin;position:absolute;z-index:251659264" coordsize="29591,106902">
              <v:group id="קבוצה 53" o:spid="_x0000_s2054" style="width:29591;height:30099;position:absolute" coordsize="29591,30099">
                <v:rect id="מלבן 54" o:spid="_x0000_s2055" style="width:16910;height:24638;left:6286;mso-wrap-style:square;position:absolute;visibility:visible;v-text-anchor:middle"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2056" type="#_x0000_t75" style="width:8712;height:5709;left:10382;mso-wrap-style:square;position:absolute;top:14382;visibility:visible">
                  <v:imagedata r:id="rId3" o:title=""/>
                </v:shape>
                <v:line id="מחבר ישר 56" o:spid="_x0000_s2057" style="mso-wrap-style:square;position:absolute;visibility:visible" from="6477,30099" to="23241,30099" o:connectortype="straight" strokecolor="#002060" strokeweight="2pt"/>
                <v:shapetype id="_x0000_t202" coordsize="21600,21600" o:spt="202" path="m,l,21600r21600,l21600,xe">
                  <v:stroke joinstyle="miter"/>
                  <v:path gradientshapeok="t" o:connecttype="rect"/>
                </v:shapetype>
                <v:shape id="תיבת טקסט 57" o:spid="_x0000_s2058" type="#_x0000_t202" style="width:29591;height:2730;mso-wrap-style:square;position:absolute;top:26003;visibility:visible;v-text-anchor:top" filled="f" stroked="f" strokeweight="0.5pt">
                  <v:textbox>
                    <w:txbxContent>
                      <w:p w:rsidR="00047212" w:rsidRPr="00CD28D9" w:rsidP="0062451B">
                        <w:pPr>
                          <w:jc w:val="center"/>
                          <w:rPr>
                            <w:rFonts w:ascii="Calibri" w:hAnsi="Calibri" w:cs="Calibri"/>
                            <w:color w:val="002060"/>
                            <w:spacing w:val="80"/>
                          </w:rPr>
                        </w:pPr>
                        <w:r w:rsidRPr="00CD28D9">
                          <w:rPr>
                            <w:rFonts w:ascii="Calibri" w:hAnsi="Calibri" w:cs="Calibri"/>
                            <w:color w:val="002060"/>
                            <w:spacing w:val="80"/>
                            <w:rtl/>
                          </w:rPr>
                          <w:t>דוח מבקר המדינה</w:t>
                        </w:r>
                      </w:p>
                    </w:txbxContent>
                  </v:textbox>
                </v:shape>
              </v:group>
              <v:group id="קבוצה 58" o:spid="_x0000_s2059" style="width:25121;height:23654;left:2190;position:absolute;top:83248" coordsize="25120,23653">
                <v:shape id="tbMMHF" o:spid="_x0000_s2060" type="#_x0000_t202" style="width:25120;height:3048;mso-wrap-style:square;position:absolute;top:1809;visibility:visible;v-text-anchor:top" fillcolor="white" stroked="f" strokeweight="0.5pt">
                  <v:textbox>
                    <w:txbxContent>
                      <w:p w:rsidR="00047212" w:rsidRPr="0062451B" w:rsidP="0062451B">
                        <w:pPr>
                          <w:spacing w:line="240" w:lineRule="auto"/>
                          <w:jc w:val="center"/>
                          <w:rPr>
                            <w:rFonts w:asciiTheme="minorHAnsi" w:hAnsiTheme="minorHAnsi" w:cstheme="minorHAnsi"/>
                            <w:color w:val="002060"/>
                            <w:spacing w:val="20"/>
                            <w:sz w:val="22"/>
                            <w:szCs w:val="22"/>
                            <w:rtl/>
                          </w:rPr>
                        </w:pPr>
                        <w:r w:rsidRPr="00D125D2">
                          <w:rPr>
                            <w:rFonts w:ascii="Wingdings" w:hAnsi="Wingdings" w:cstheme="minorHAnsi"/>
                            <w:color w:val="002060"/>
                            <w:spacing w:val="20"/>
                            <w:sz w:val="22"/>
                            <w:szCs w:val="22"/>
                          </w:rPr>
                          <w:sym w:font="Wingdings" w:char="F0A7"/>
                        </w:r>
                        <w:r w:rsidRPr="00D125D2">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D125D2">
                          <w:rPr>
                            <w:rFonts w:asciiTheme="minorHAnsi" w:hAnsiTheme="minorHAnsi" w:cstheme="minorHAnsi"/>
                            <w:color w:val="002060"/>
                            <w:spacing w:val="20"/>
                            <w:sz w:val="22"/>
                            <w:szCs w:val="22"/>
                            <w:rtl/>
                          </w:rPr>
                          <w:t xml:space="preserve"> התשפ"</w:t>
                        </w:r>
                        <w:r w:rsidRPr="00D125D2">
                          <w:rPr>
                            <w:rFonts w:asciiTheme="minorHAnsi" w:hAnsiTheme="minorHAnsi" w:cstheme="minorHAnsi" w:hint="cs"/>
                            <w:color w:val="002060"/>
                            <w:spacing w:val="20"/>
                            <w:sz w:val="22"/>
                            <w:szCs w:val="22"/>
                            <w:rtl/>
                          </w:rPr>
                          <w:t>ו</w:t>
                        </w:r>
                        <w:r w:rsidRPr="00D125D2">
                          <w:rPr>
                            <w:rFonts w:asciiTheme="minorHAnsi" w:hAnsiTheme="minorHAnsi" w:cstheme="minorHAnsi"/>
                            <w:color w:val="002060"/>
                            <w:spacing w:val="20"/>
                            <w:sz w:val="22"/>
                            <w:szCs w:val="22"/>
                            <w:rtl/>
                          </w:rPr>
                          <w:t xml:space="preserve"> </w:t>
                        </w:r>
                        <w:r w:rsidRPr="00D125D2">
                          <w:rPr>
                            <w:rFonts w:asciiTheme="minorHAnsi" w:hAnsiTheme="minorHAnsi" w:cstheme="minorHAnsi"/>
                            <w:color w:val="002060"/>
                            <w:spacing w:val="20"/>
                            <w:sz w:val="22"/>
                            <w:szCs w:val="22"/>
                          </w:rPr>
                          <w:t xml:space="preserve"> </w:t>
                        </w:r>
                        <w:r w:rsidRPr="00D125D2">
                          <w:rPr>
                            <w:rFonts w:ascii="Wingdings" w:hAnsi="Wingdings" w:cstheme="minorHAnsi"/>
                            <w:color w:val="002060"/>
                            <w:spacing w:val="20"/>
                            <w:sz w:val="22"/>
                            <w:szCs w:val="22"/>
                          </w:rPr>
                          <w:sym w:font="Wingdings" w:char="F0A7"/>
                        </w:r>
                        <w:r>
                          <w:rPr>
                            <w:rFonts w:asciiTheme="minorHAnsi" w:hAnsiTheme="minorHAnsi" w:cstheme="minorHAnsi" w:hint="cs"/>
                            <w:color w:val="002060"/>
                            <w:spacing w:val="20"/>
                            <w:sz w:val="22"/>
                            <w:szCs w:val="22"/>
                            <w:rtl/>
                          </w:rPr>
                          <w:t>יוני</w:t>
                        </w:r>
                        <w:r w:rsidRPr="00D125D2">
                          <w:rPr>
                            <w:rFonts w:asciiTheme="minorHAnsi" w:hAnsiTheme="minorHAnsi" w:cstheme="minorHAnsi" w:hint="cs"/>
                            <w:color w:val="002060"/>
                            <w:spacing w:val="20"/>
                            <w:sz w:val="22"/>
                            <w:szCs w:val="22"/>
                            <w:rtl/>
                          </w:rPr>
                          <w:t xml:space="preserve"> 2026</w:t>
                        </w:r>
                        <w:r w:rsidRPr="00D125D2">
                          <w:rPr>
                            <w:rFonts w:asciiTheme="minorHAnsi" w:hAnsiTheme="minorHAnsi" w:cstheme="minorHAnsi"/>
                            <w:color w:val="002060"/>
                            <w:spacing w:val="20"/>
                            <w:sz w:val="22"/>
                            <w:szCs w:val="22"/>
                            <w:rtl/>
                          </w:rPr>
                          <w:t xml:space="preserve"> </w:t>
                        </w:r>
                        <w:r w:rsidRPr="00D125D2">
                          <w:rPr>
                            <w:rFonts w:ascii="Wingdings" w:hAnsi="Wingdings" w:cstheme="minorHAnsi"/>
                            <w:color w:val="002060"/>
                            <w:spacing w:val="20"/>
                            <w:sz w:val="22"/>
                            <w:szCs w:val="22"/>
                          </w:rPr>
                          <w:sym w:font="Wingdings" w:char="F0A7"/>
                        </w:r>
                        <w:r w:rsidRPr="00D125D2">
                          <w:rPr>
                            <w:rFonts w:asciiTheme="minorHAnsi" w:hAnsiTheme="minorHAnsi" w:cstheme="minorHAnsi"/>
                            <w:color w:val="002060"/>
                            <w:spacing w:val="20"/>
                            <w:sz w:val="22"/>
                            <w:szCs w:val="22"/>
                          </w:rPr>
                          <w:softHyphen/>
                        </w:r>
                      </w:p>
                    </w:txbxContent>
                  </v:textbox>
                </v:shape>
                <v:line id="מחבר ישר 60" o:spid="_x0000_s2061" style="mso-wrap-style:square;position:absolute;visibility:visible" from="4286,0" to="21050,0" o:connectortype="straight" strokecolor="#002060" strokeweight="1.25pt"/>
                <v:rect id="מלבן 61" o:spid="_x0000_s2062" style="width:16910;height:17843;left:4095;mso-wrap-style:square;position:absolute;top:5810;visibility:visible;v-text-anchor:middle" fillcolor="#002060" stroked="f" strokeweight="2pt"/>
              </v:group>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47212" w:rsidRPr="003B2B50" w:rsidP="00EF4539">
    <w:pPr>
      <w:pStyle w:val="Header"/>
      <w:tabs>
        <w:tab w:val="clear" w:pos="8306"/>
        <w:tab w:val="right" w:pos="8504"/>
      </w:tabs>
      <w:ind w:right="-709"/>
      <w:jc w:val="right"/>
      <w:rPr>
        <w:rFonts w:ascii="Calibri" w:hAnsi="Calibri" w:cs="Calibri"/>
        <w:color w:val="002060"/>
        <w:szCs w:val="20"/>
      </w:rPr>
    </w:pPr>
    <w:r w:rsidRPr="003B2B50">
      <w:rPr>
        <w:rFonts w:ascii="Calibri" w:hAnsi="Calibri" w:cs="Times New Roman"/>
        <w:noProof/>
        <w:color w:val="002060"/>
        <w:szCs w:val="20"/>
        <w:rtl/>
      </w:rPr>
      <mc:AlternateContent>
        <mc:Choice Requires="wps">
          <w:drawing>
            <wp:anchor distT="45720" distB="45720" distL="114300" distR="114300" simplePos="0" relativeHeight="251670528" behindDoc="0" locked="0" layoutInCell="1" allowOverlap="1">
              <wp:simplePos x="0" y="0"/>
              <wp:positionH relativeFrom="column">
                <wp:posOffset>817880</wp:posOffset>
              </wp:positionH>
              <wp:positionV relativeFrom="paragraph">
                <wp:posOffset>-100965</wp:posOffset>
              </wp:positionV>
              <wp:extent cx="5202555" cy="285750"/>
              <wp:effectExtent l="0" t="0" r="0" b="0"/>
              <wp:wrapSquare wrapText="bothSides"/>
              <wp:docPr id="2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5202555" cy="285750"/>
                      </a:xfrm>
                      <a:prstGeom prst="rect">
                        <a:avLst/>
                      </a:prstGeom>
                      <a:noFill/>
                      <a:ln w="9525">
                        <a:noFill/>
                        <a:miter lim="800000"/>
                        <a:headEnd/>
                        <a:tailEnd/>
                      </a:ln>
                    </wps:spPr>
                    <wps:txbx>
                      <w:txbxContent>
                        <w:p w:rsidR="00047212" w:rsidRPr="0062451B" w:rsidP="00EF4539">
                          <w:pPr>
                            <w:rPr>
                              <w:rFonts w:ascii="Calibri" w:hAnsi="Calibri" w:cs="Calibri"/>
                              <w:color w:val="002060"/>
                              <w:sz w:val="22"/>
                              <w:szCs w:val="22"/>
                              <w:rtl/>
                            </w:rPr>
                          </w:pPr>
                          <w:r w:rsidRPr="0010181C">
                            <w:rPr>
                              <w:rFonts w:ascii="Calibri" w:hAnsi="Calibri" w:cs="Calibri"/>
                              <w:color w:val="002060"/>
                              <w:sz w:val="22"/>
                              <w:szCs w:val="22"/>
                              <w:rtl/>
                            </w:rPr>
                            <w:t>מבקר המדינה |</w:t>
                          </w:r>
                          <w:r w:rsidRPr="00047212">
                            <w:rPr>
                              <w:rFonts w:ascii="Calibri" w:hAnsi="Calibri" w:cs="Calibri"/>
                              <w:color w:val="002060"/>
                              <w:sz w:val="36"/>
                              <w:szCs w:val="36"/>
                              <w:rtl/>
                            </w:rPr>
                            <w:t xml:space="preserve"> </w:t>
                          </w:r>
                          <w:r w:rsidRPr="0010181C">
                            <w:rPr>
                              <w:rFonts w:ascii="Calibri" w:hAnsi="Calibri" w:cs="Calibri"/>
                              <w:color w:val="002060"/>
                              <w:sz w:val="22"/>
                              <w:szCs w:val="22"/>
                              <w:rtl/>
                            </w:rPr>
                            <w:t>דוח מיוחד - התמודדות המדינה עם סיכונים סביבתיים, טכנולוגיים וחברתיים</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4" type="#_x0000_t202" style="width:409.65pt;height:22.5pt;margin-top:-7.95pt;margin-left:64.4pt;flip:x;mso-height-percent:0;mso-height-relative:margin;mso-width-percent:0;mso-width-relative:margin;mso-wrap-distance-bottom:3.6pt;mso-wrap-distance-left:9pt;mso-wrap-distance-right:9pt;mso-wrap-distance-top:3.6pt;mso-wrap-style:square;position:absolute;visibility:visible;v-text-anchor:top;z-index:251671552" filled="f" stroked="f">
              <v:textbox>
                <w:txbxContent>
                  <w:p w:rsidR="00047212" w:rsidRPr="0062451B" w:rsidP="00EF4539">
                    <w:pPr>
                      <w:rPr>
                        <w:rFonts w:ascii="Calibri" w:hAnsi="Calibri" w:cs="Calibri"/>
                        <w:color w:val="002060"/>
                        <w:sz w:val="22"/>
                        <w:szCs w:val="22"/>
                        <w:rtl/>
                      </w:rPr>
                    </w:pPr>
                    <w:r w:rsidRPr="0010181C">
                      <w:rPr>
                        <w:rFonts w:ascii="Calibri" w:hAnsi="Calibri" w:cs="Calibri"/>
                        <w:color w:val="002060"/>
                        <w:sz w:val="22"/>
                        <w:szCs w:val="22"/>
                        <w:rtl/>
                      </w:rPr>
                      <w:t>מבקר המדינה |</w:t>
                    </w:r>
                    <w:r w:rsidRPr="00047212">
                      <w:rPr>
                        <w:rFonts w:ascii="Calibri" w:hAnsi="Calibri" w:cs="Calibri"/>
                        <w:color w:val="002060"/>
                        <w:sz w:val="36"/>
                        <w:szCs w:val="36"/>
                        <w:rtl/>
                      </w:rPr>
                      <w:t xml:space="preserve"> </w:t>
                    </w:r>
                    <w:r w:rsidRPr="0010181C">
                      <w:rPr>
                        <w:rFonts w:ascii="Calibri" w:hAnsi="Calibri" w:cs="Calibri"/>
                        <w:color w:val="002060"/>
                        <w:sz w:val="22"/>
                        <w:szCs w:val="22"/>
                        <w:rtl/>
                      </w:rPr>
                      <w:t>דוח מיוחד - התמודדות המדינה עם סיכונים סביבתיים, טכנולוגיים וחברתיים</w:t>
                    </w:r>
                  </w:p>
                </w:txbxContent>
              </v:textbox>
              <w10:wrap type="square"/>
            </v:shape>
          </w:pict>
        </mc:Fallback>
      </mc:AlternateContent>
    </w:r>
    <w:r w:rsidRPr="003B2B50">
      <w:rPr>
        <w:rFonts w:ascii="Calibri" w:hAnsi="Calibri" w:cs="Calibri"/>
        <w:noProof/>
        <w:color w:val="002060"/>
        <w:szCs w:val="20"/>
        <w:rtl/>
        <w:lang w:val="he-IL"/>
      </w:rPr>
      <mc:AlternateContent>
        <mc:Choice Requires="wps">
          <w:drawing>
            <wp:anchor distT="0" distB="0" distL="114300" distR="114300" simplePos="0" relativeHeight="251668480" behindDoc="0" locked="0" layoutInCell="1" allowOverlap="1">
              <wp:simplePos x="0" y="0"/>
              <wp:positionH relativeFrom="column">
                <wp:posOffset>-485140</wp:posOffset>
              </wp:positionH>
              <wp:positionV relativeFrom="paragraph">
                <wp:posOffset>221720</wp:posOffset>
              </wp:positionV>
              <wp:extent cx="6434455" cy="0"/>
              <wp:effectExtent l="0" t="0" r="0" b="0"/>
              <wp:wrapNone/>
              <wp:docPr id="19" name="מחבר ישר 19"/>
              <wp:cNvGraphicFramePr/>
              <a:graphic xmlns:a="http://schemas.openxmlformats.org/drawingml/2006/main">
                <a:graphicData uri="http://schemas.microsoft.com/office/word/2010/wordprocessingShape">
                  <wps:wsp xmlns:wps="http://schemas.microsoft.com/office/word/2010/wordprocessingShape">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19" o:spid="_x0000_s2065" style="flip:y;mso-height-percent:0;mso-height-relative:margin;mso-width-percent:0;mso-width-relative:margin;mso-wrap-distance-bottom:0;mso-wrap-distance-left:9pt;mso-wrap-distance-right:9pt;mso-wrap-distance-top:0;mso-wrap-style:square;position:absolute;visibility:visible;z-index:251669504" from="-38.2pt,17.45pt" to="468.45pt,17.45pt" strokecolor="#4579b8"/>
          </w:pict>
        </mc:Fallback>
      </mc:AlternateContent>
    </w:r>
    <w:r w:rsidRPr="003B2B50">
      <w:rPr>
        <w:rFonts w:ascii="Calibri" w:hAnsi="Calibri" w:cs="Times New Roman"/>
        <w:noProof/>
        <w:color w:val="002060"/>
        <w:szCs w:val="20"/>
        <w:rtl/>
      </w:rPr>
      <mc:AlternateContent>
        <mc:Choice Requires="wps">
          <w:drawing>
            <wp:anchor distT="45720" distB="45720" distL="114300" distR="114300" simplePos="0" relativeHeight="251672576" behindDoc="1" locked="0" layoutInCell="1" allowOverlap="1">
              <wp:simplePos x="0" y="0"/>
              <wp:positionH relativeFrom="page">
                <wp:posOffset>515515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2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047212" w:rsidRPr="0062451B" w:rsidP="00EF4539">
                          <w:pPr>
                            <w:jc w:val="right"/>
                            <w:rPr>
                              <w:rFonts w:ascii="Calibri" w:hAnsi="Calibri" w:cs="Calibri"/>
                              <w:color w:val="002060"/>
                              <w:szCs w:val="20"/>
                              <w:rtl/>
                            </w:rPr>
                          </w:pPr>
                          <w:r>
                            <w:rPr>
                              <w:rFonts w:ascii="Calibri" w:hAnsi="Calibri" w:cs="Calibri" w:hint="cs"/>
                              <w:color w:val="002060"/>
                              <w:szCs w:val="20"/>
                              <w:rtl/>
                            </w:rPr>
                            <w:t>תמוז</w:t>
                          </w:r>
                          <w:r w:rsidRPr="00D125D2">
                            <w:rPr>
                              <w:rFonts w:ascii="Calibri" w:hAnsi="Calibri" w:cs="Calibri" w:hint="cs"/>
                              <w:color w:val="002060"/>
                              <w:szCs w:val="20"/>
                              <w:rtl/>
                            </w:rPr>
                            <w:t xml:space="preserve"> התשפ"ו </w:t>
                          </w:r>
                          <w:r w:rsidRPr="003B2B50">
                            <w:rPr>
                              <w:rFonts w:ascii="Calibri" w:hAnsi="Calibri" w:cs="Calibri"/>
                              <w:color w:val="002060"/>
                              <w:spacing w:val="20"/>
                              <w:sz w:val="22"/>
                              <w:szCs w:val="22"/>
                            </w:rPr>
                            <w:t xml:space="preserve"> </w:t>
                          </w:r>
                          <w:r w:rsidRPr="003B2B50">
                            <w:rPr>
                              <w:rFonts w:ascii="Wingdings" w:hAnsi="Wingdings" w:cs="Calibri"/>
                              <w:color w:val="002060"/>
                              <w:spacing w:val="20"/>
                              <w:sz w:val="22"/>
                              <w:szCs w:val="22"/>
                            </w:rPr>
                            <w:sym w:font="Wingdings" w:char="F0A7"/>
                          </w:r>
                          <w:r w:rsidRPr="00D125D2">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6" type="#_x0000_t202" style="width:249.15pt;height:22.5pt;margin-top:18.55pt;margin-left:40.6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42880" filled="f" stroked="f">
              <v:textbox>
                <w:txbxContent>
                  <w:p w:rsidR="00A157C9" w:rsidRPr="0062451B" w:rsidP="00EF4539">
                    <w:pPr>
                      <w:jc w:val="right"/>
                      <w:rPr>
                        <w:rFonts w:ascii="Calibri" w:hAnsi="Calibri" w:cs="Calibri"/>
                        <w:color w:val="002060"/>
                        <w:szCs w:val="20"/>
                        <w:rtl/>
                      </w:rPr>
                    </w:pPr>
                    <w:r>
                      <w:rPr>
                        <w:rFonts w:ascii="Calibri" w:hAnsi="Calibri" w:cs="Calibri" w:hint="cs"/>
                        <w:color w:val="002060"/>
                        <w:szCs w:val="20"/>
                        <w:rtl/>
                      </w:rPr>
                      <w:t>תמוז</w:t>
                    </w:r>
                    <w:r w:rsidRPr="00D125D2">
                      <w:rPr>
                        <w:rFonts w:ascii="Calibri" w:hAnsi="Calibri" w:cs="Calibri" w:hint="cs"/>
                        <w:color w:val="002060"/>
                        <w:szCs w:val="20"/>
                        <w:rtl/>
                      </w:rPr>
                      <w:t xml:space="preserve"> </w:t>
                    </w:r>
                    <w:r w:rsidRPr="00D125D2">
                      <w:rPr>
                        <w:rFonts w:ascii="Calibri" w:hAnsi="Calibri" w:cs="Calibri" w:hint="cs"/>
                        <w:color w:val="002060"/>
                        <w:szCs w:val="20"/>
                        <w:rtl/>
                      </w:rPr>
                      <w:t>התשפ"ו</w:t>
                    </w:r>
                    <w:r w:rsidRPr="00D125D2">
                      <w:rPr>
                        <w:rFonts w:ascii="Calibri" w:hAnsi="Calibri" w:cs="Calibri" w:hint="cs"/>
                        <w:color w:val="002060"/>
                        <w:szCs w:val="20"/>
                        <w:rtl/>
                      </w:rPr>
                      <w:t xml:space="preserve"> </w:t>
                    </w:r>
                    <w:r w:rsidRPr="003B2B50">
                      <w:rPr>
                        <w:rFonts w:ascii="Calibri" w:hAnsi="Calibri" w:cs="Calibri"/>
                        <w:color w:val="002060"/>
                        <w:spacing w:val="20"/>
                        <w:sz w:val="22"/>
                        <w:szCs w:val="22"/>
                      </w:rPr>
                      <w:t xml:space="preserve"> </w:t>
                    </w:r>
                    <w:r w:rsidRPr="003B2B50">
                      <w:rPr>
                        <w:rFonts w:ascii="Wingdings" w:hAnsi="Wingdings" w:cs="Calibri"/>
                        <w:color w:val="002060"/>
                        <w:spacing w:val="20"/>
                        <w:sz w:val="22"/>
                        <w:szCs w:val="22"/>
                      </w:rPr>
                      <w:sym w:font="Wingdings" w:char="F0A7"/>
                    </w:r>
                    <w:r w:rsidRPr="00D125D2">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v:textbox>
              <w10:wrap type="tight"/>
            </v:shape>
          </w:pict>
        </mc:Fallback>
      </mc:AlternateContent>
    </w:r>
    <w:r w:rsidRPr="003B2B50">
      <w:rPr>
        <w:rFonts w:ascii="Calibri" w:hAnsi="Calibri" w:cs="Calibri"/>
        <w:color w:val="002060"/>
        <w:szCs w:val="20"/>
        <w:rtl/>
      </w:rPr>
      <w:fldChar w:fldCharType="begin"/>
    </w:r>
    <w:r w:rsidRPr="003B2B50">
      <w:rPr>
        <w:rFonts w:ascii="Calibri" w:hAnsi="Calibri" w:cs="Calibri"/>
        <w:color w:val="002060"/>
        <w:szCs w:val="20"/>
        <w:rtl/>
      </w:rPr>
      <w:instrText xml:space="preserve"> </w:instrText>
    </w:r>
    <w:r w:rsidRPr="003B2B50">
      <w:rPr>
        <w:rFonts w:ascii="Calibri" w:hAnsi="Calibri" w:cs="Calibri"/>
        <w:color w:val="002060"/>
        <w:szCs w:val="20"/>
      </w:rPr>
      <w:instrText>PAGE</w:instrText>
    </w:r>
    <w:r w:rsidRPr="003B2B50">
      <w:rPr>
        <w:rFonts w:ascii="Calibri" w:hAnsi="Calibri" w:cs="Calibri"/>
        <w:color w:val="002060"/>
        <w:szCs w:val="20"/>
        <w:rtl/>
      </w:rPr>
      <w:instrText xml:space="preserve">  \* </w:instrText>
    </w:r>
    <w:r w:rsidRPr="003B2B50">
      <w:rPr>
        <w:rFonts w:ascii="Calibri" w:hAnsi="Calibri" w:cs="Calibri"/>
        <w:color w:val="002060"/>
        <w:szCs w:val="20"/>
      </w:rPr>
      <w:instrText>MERGEFORMAT</w:instrText>
    </w:r>
    <w:r w:rsidRPr="003B2B50">
      <w:rPr>
        <w:rFonts w:ascii="Calibri" w:hAnsi="Calibri" w:cs="Calibri"/>
        <w:color w:val="002060"/>
        <w:szCs w:val="20"/>
        <w:rtl/>
      </w:rPr>
      <w:instrText xml:space="preserve"> </w:instrText>
    </w:r>
    <w:r w:rsidRPr="003B2B50">
      <w:rPr>
        <w:rFonts w:ascii="Calibri" w:hAnsi="Calibri" w:cs="Calibri"/>
        <w:color w:val="002060"/>
        <w:szCs w:val="20"/>
        <w:rtl/>
      </w:rPr>
      <w:fldChar w:fldCharType="separate"/>
    </w:r>
    <w:r w:rsidRPr="003B2B50">
      <w:rPr>
        <w:rFonts w:ascii="Calibri" w:hAnsi="Calibri" w:cs="Calibri"/>
        <w:color w:val="002060"/>
        <w:szCs w:val="20"/>
        <w:rtl/>
      </w:rPr>
      <w:t>3</w:t>
    </w:r>
    <w:r w:rsidRPr="003B2B50">
      <w:rPr>
        <w:rFonts w:ascii="Calibri" w:hAnsi="Calibri" w:cs="Calibri"/>
        <w:color w:val="002060"/>
        <w:szCs w:val="20"/>
        <w:rtl/>
      </w:rPr>
      <w:fldChar w:fldCharType="end"/>
    </w:r>
    <w:r w:rsidRPr="003B2B50">
      <w:rPr>
        <w:rFonts w:ascii="Calibri" w:hAnsi="Calibri" w:cs="Calibri"/>
        <w:color w:val="002060"/>
        <w:szCs w:val="20"/>
        <w:rtl/>
      </w:rPr>
      <w:t xml:space="preserve"> </w:t>
    </w:r>
  </w:p>
  <w:p w:rsidR="00047212" w:rsidRPr="00EF4539" w:rsidP="00EF45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A92C55"/>
    <w:multiLevelType w:val="multilevel"/>
    <w:tmpl w:val="CDF84A2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088216AB"/>
    <w:multiLevelType w:val="hybridMultilevel"/>
    <w:tmpl w:val="BB7ADECA"/>
    <w:lvl w:ilvl="0">
      <w:start w:val="1"/>
      <w:numFmt w:val="hebrew1"/>
      <w:pStyle w:val="15"/>
      <w:lvlText w:val="%1."/>
      <w:lvlJc w:val="center"/>
      <w:pPr>
        <w:ind w:left="1915" w:hanging="360"/>
      </w:pPr>
    </w:lvl>
    <w:lvl w:ilvl="1" w:tentative="1">
      <w:start w:val="1"/>
      <w:numFmt w:val="lowerLetter"/>
      <w:lvlText w:val="%2."/>
      <w:lvlJc w:val="left"/>
      <w:pPr>
        <w:ind w:left="2635" w:hanging="360"/>
      </w:pPr>
    </w:lvl>
    <w:lvl w:ilvl="2" w:tentative="1">
      <w:start w:val="1"/>
      <w:numFmt w:val="lowerRoman"/>
      <w:lvlText w:val="%3."/>
      <w:lvlJc w:val="right"/>
      <w:pPr>
        <w:ind w:left="3355" w:hanging="180"/>
      </w:pPr>
    </w:lvl>
    <w:lvl w:ilvl="3" w:tentative="1">
      <w:start w:val="1"/>
      <w:numFmt w:val="decimal"/>
      <w:lvlText w:val="%4."/>
      <w:lvlJc w:val="left"/>
      <w:pPr>
        <w:ind w:left="4075" w:hanging="360"/>
      </w:pPr>
    </w:lvl>
    <w:lvl w:ilvl="4" w:tentative="1">
      <w:start w:val="1"/>
      <w:numFmt w:val="lowerLetter"/>
      <w:lvlText w:val="%5."/>
      <w:lvlJc w:val="left"/>
      <w:pPr>
        <w:ind w:left="4795" w:hanging="360"/>
      </w:pPr>
    </w:lvl>
    <w:lvl w:ilvl="5" w:tentative="1">
      <w:start w:val="1"/>
      <w:numFmt w:val="lowerRoman"/>
      <w:lvlText w:val="%6."/>
      <w:lvlJc w:val="right"/>
      <w:pPr>
        <w:ind w:left="5515" w:hanging="180"/>
      </w:pPr>
    </w:lvl>
    <w:lvl w:ilvl="6" w:tentative="1">
      <w:start w:val="1"/>
      <w:numFmt w:val="decimal"/>
      <w:lvlText w:val="%7."/>
      <w:lvlJc w:val="left"/>
      <w:pPr>
        <w:ind w:left="6235" w:hanging="360"/>
      </w:pPr>
    </w:lvl>
    <w:lvl w:ilvl="7" w:tentative="1">
      <w:start w:val="1"/>
      <w:numFmt w:val="lowerLetter"/>
      <w:lvlText w:val="%8."/>
      <w:lvlJc w:val="left"/>
      <w:pPr>
        <w:ind w:left="6955" w:hanging="360"/>
      </w:pPr>
    </w:lvl>
    <w:lvl w:ilvl="8" w:tentative="1">
      <w:start w:val="1"/>
      <w:numFmt w:val="lowerRoman"/>
      <w:lvlText w:val="%9."/>
      <w:lvlJc w:val="right"/>
      <w:pPr>
        <w:ind w:left="7675" w:hanging="180"/>
      </w:pPr>
    </w:lvl>
  </w:abstractNum>
  <w:abstractNum w:abstractNumId="2">
    <w:nsid w:val="09B94148"/>
    <w:multiLevelType w:val="multilevel"/>
    <w:tmpl w:val="CA8E232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0C2175EA"/>
    <w:multiLevelType w:val="multilevel"/>
    <w:tmpl w:val="3360720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nsid w:val="15120DBC"/>
    <w:multiLevelType w:val="hybridMultilevel"/>
    <w:tmpl w:val="FE6E819C"/>
    <w:lvl w:ilvl="0">
      <w:start w:val="1"/>
      <w:numFmt w:val="decimal"/>
      <w:lvlText w:val="%1."/>
      <w:lvlJc w:val="left"/>
      <w:pPr>
        <w:ind w:left="360" w:hanging="360"/>
      </w:pPr>
      <w:rPr>
        <w:rFonts w:hint="default"/>
      </w:rPr>
    </w:lvl>
    <w:lvl w:ilvl="1">
      <w:start w:val="1"/>
      <w:numFmt w:val="hebrew1"/>
      <w:lvlText w:val="%2."/>
      <w:lvlJc w:val="center"/>
      <w:pPr>
        <w:ind w:left="1080" w:hanging="360"/>
      </w:pPr>
      <w:rPr>
        <w:b/>
        <w:bCs/>
      </w:r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
    <w:nsid w:val="19C9734C"/>
    <w:multiLevelType w:val="multilevel"/>
    <w:tmpl w:val="FF587FB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nsid w:val="1A0A18A5"/>
    <w:multiLevelType w:val="hybridMultilevel"/>
    <w:tmpl w:val="430A41C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7">
    <w:nsid w:val="1BD61192"/>
    <w:multiLevelType w:val="hybridMultilevel"/>
    <w:tmpl w:val="8D462E7A"/>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
    <w:nsid w:val="233968A9"/>
    <w:multiLevelType w:val="hybridMultilevel"/>
    <w:tmpl w:val="B7D4DB52"/>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nsid w:val="30D17255"/>
    <w:multiLevelType w:val="hybridMultilevel"/>
    <w:tmpl w:val="F1AE1FFC"/>
    <w:lvl w:ilvl="0">
      <w:start w:val="1"/>
      <w:numFmt w:val="decimal"/>
      <w:pStyle w:val="a39"/>
      <w:lvlText w:val="לוח %1:"/>
      <w:lvlJc w:val="left"/>
      <w:pPr>
        <w:ind w:left="185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0">
    <w:nsid w:val="316B14B9"/>
    <w:multiLevelType w:val="hybridMultilevel"/>
    <w:tmpl w:val="378E9214"/>
    <w:lvl w:ilvl="0">
      <w:start w:val="1"/>
      <w:numFmt w:val="decimal"/>
      <w:pStyle w:val="a37"/>
      <w:lvlText w:val="תמונה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1">
    <w:nsid w:val="33A86F96"/>
    <w:multiLevelType w:val="hybridMultilevel"/>
    <w:tmpl w:val="220A2AB2"/>
    <w:lvl w:ilvl="0">
      <w:start w:val="1"/>
      <w:numFmt w:val="decimal"/>
      <w:pStyle w:val="a41"/>
      <w:lvlText w:val="מפה %1:"/>
      <w:lvlJc w:val="left"/>
      <w:pPr>
        <w:ind w:left="1858"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934" w:hanging="360"/>
      </w:pPr>
    </w:lvl>
    <w:lvl w:ilvl="2" w:tentative="1">
      <w:start w:val="1"/>
      <w:numFmt w:val="lowerRoman"/>
      <w:lvlText w:val="%3."/>
      <w:lvlJc w:val="right"/>
      <w:pPr>
        <w:ind w:left="3654" w:hanging="180"/>
      </w:pPr>
    </w:lvl>
    <w:lvl w:ilvl="3" w:tentative="1">
      <w:start w:val="1"/>
      <w:numFmt w:val="decimal"/>
      <w:lvlText w:val="%4."/>
      <w:lvlJc w:val="left"/>
      <w:pPr>
        <w:ind w:left="4374" w:hanging="360"/>
      </w:pPr>
    </w:lvl>
    <w:lvl w:ilvl="4" w:tentative="1">
      <w:start w:val="1"/>
      <w:numFmt w:val="lowerLetter"/>
      <w:lvlText w:val="%5."/>
      <w:lvlJc w:val="left"/>
      <w:pPr>
        <w:ind w:left="5094" w:hanging="360"/>
      </w:pPr>
    </w:lvl>
    <w:lvl w:ilvl="5" w:tentative="1">
      <w:start w:val="1"/>
      <w:numFmt w:val="lowerRoman"/>
      <w:lvlText w:val="%6."/>
      <w:lvlJc w:val="right"/>
      <w:pPr>
        <w:ind w:left="5814" w:hanging="180"/>
      </w:pPr>
    </w:lvl>
    <w:lvl w:ilvl="6" w:tentative="1">
      <w:start w:val="1"/>
      <w:numFmt w:val="decimal"/>
      <w:lvlText w:val="%7."/>
      <w:lvlJc w:val="left"/>
      <w:pPr>
        <w:ind w:left="6534" w:hanging="360"/>
      </w:pPr>
    </w:lvl>
    <w:lvl w:ilvl="7" w:tentative="1">
      <w:start w:val="1"/>
      <w:numFmt w:val="lowerLetter"/>
      <w:lvlText w:val="%8."/>
      <w:lvlJc w:val="left"/>
      <w:pPr>
        <w:ind w:left="7254" w:hanging="360"/>
      </w:pPr>
    </w:lvl>
    <w:lvl w:ilvl="8" w:tentative="1">
      <w:start w:val="1"/>
      <w:numFmt w:val="lowerRoman"/>
      <w:lvlText w:val="%9."/>
      <w:lvlJc w:val="right"/>
      <w:pPr>
        <w:ind w:left="7974" w:hanging="180"/>
      </w:pPr>
    </w:lvl>
  </w:abstractNum>
  <w:abstractNum w:abstractNumId="12">
    <w:nsid w:val="36FE69C9"/>
    <w:multiLevelType w:val="multilevel"/>
    <w:tmpl w:val="B6267B1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3A923526"/>
    <w:multiLevelType w:val="hybridMultilevel"/>
    <w:tmpl w:val="4E74417E"/>
    <w:lvl w:ilvl="0">
      <w:start w:val="1"/>
      <w:numFmt w:val="decimal"/>
      <w:pStyle w:val="a35"/>
      <w:lvlText w:val="תרשים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4">
    <w:nsid w:val="3B1713C4"/>
    <w:multiLevelType w:val="multilevel"/>
    <w:tmpl w:val="CB480952"/>
    <w:lvl w:ilvl="0">
      <w:start w:val="1"/>
      <w:numFmt w:val="decimal"/>
      <w:pStyle w:val="a50"/>
      <w:lvlText w:val="%1."/>
      <w:lvlJc w:val="right"/>
      <w:pPr>
        <w:tabs>
          <w:tab w:val="num" w:pos="737"/>
        </w:tabs>
        <w:ind w:left="737" w:hanging="397"/>
      </w:pPr>
      <w:rPr>
        <w:rFonts w:hint="default"/>
        <w:b w:val="0"/>
        <w:bCs w:val="0"/>
        <w:i w:val="0"/>
        <w:iCs w:val="0"/>
        <w:u w:val="none"/>
      </w:rPr>
    </w:lvl>
    <w:lvl w:ilvl="1">
      <w:start w:val="1"/>
      <w:numFmt w:val="decimal"/>
      <w:lvlText w:val="%1.%2."/>
      <w:lvlJc w:val="right"/>
      <w:pPr>
        <w:tabs>
          <w:tab w:val="num" w:pos="1418"/>
        </w:tabs>
        <w:ind w:left="1418" w:hanging="341"/>
      </w:pPr>
      <w:rPr>
        <w:rFonts w:hint="default"/>
      </w:rPr>
    </w:lvl>
    <w:lvl w:ilvl="2">
      <w:start w:val="1"/>
      <w:numFmt w:val="decimal"/>
      <w:lvlText w:val="%1.%2.%3."/>
      <w:lvlJc w:val="right"/>
      <w:pPr>
        <w:tabs>
          <w:tab w:val="num" w:pos="2155"/>
        </w:tabs>
        <w:ind w:left="2155" w:hanging="227"/>
      </w:pPr>
      <w:rPr>
        <w:rFonts w:hint="default"/>
      </w:rPr>
    </w:lvl>
    <w:lvl w:ilvl="3">
      <w:start w:val="1"/>
      <w:numFmt w:val="decimal"/>
      <w:lvlText w:val="%1.%2.%3.%4."/>
      <w:lvlJc w:val="right"/>
      <w:pPr>
        <w:tabs>
          <w:tab w:val="num" w:pos="2892"/>
        </w:tabs>
        <w:ind w:left="2892" w:hanging="114"/>
      </w:pPr>
      <w:rPr>
        <w:rFonts w:hint="default"/>
      </w:rPr>
    </w:lvl>
    <w:lvl w:ilvl="4">
      <w:start w:val="1"/>
      <w:numFmt w:val="upperRoman"/>
      <w:lvlText w:val="%5."/>
      <w:lvlJc w:val="center"/>
      <w:pPr>
        <w:tabs>
          <w:tab w:val="num" w:pos="4309"/>
        </w:tabs>
        <w:ind w:left="4309" w:hanging="765"/>
      </w:pPr>
      <w:rPr>
        <w:rFonts w:hint="default"/>
      </w:rPr>
    </w:lvl>
    <w:lvl w:ilvl="5">
      <w:start w:val="1"/>
      <w:numFmt w:val="decimal"/>
      <w:lvlText w:val="(%6)"/>
      <w:lvlJc w:val="center"/>
      <w:pPr>
        <w:tabs>
          <w:tab w:val="num" w:pos="4706"/>
        </w:tabs>
        <w:ind w:left="4706" w:hanging="385"/>
      </w:pPr>
      <w:rPr>
        <w:rFonts w:hint="default"/>
      </w:rPr>
    </w:lvl>
    <w:lvl w:ilvl="6">
      <w:start w:val="1"/>
      <w:numFmt w:val="upperRoman"/>
      <w:lvlText w:val="%1.%2.%3.%4.%5.%6.%7."/>
      <w:lvlJc w:val="center"/>
      <w:pPr>
        <w:tabs>
          <w:tab w:val="num" w:pos="2818"/>
        </w:tabs>
        <w:ind w:left="2438" w:hanging="340"/>
      </w:pPr>
      <w:rPr>
        <w:rFonts w:hint="default"/>
      </w:rPr>
    </w:lvl>
    <w:lvl w:ilvl="7">
      <w:start w:val="1"/>
      <w:numFmt w:val="decimal"/>
      <w:lvlText w:val="%1.%2.%3.%4.%5.%6.%7.%8."/>
      <w:lvlJc w:val="center"/>
      <w:pPr>
        <w:tabs>
          <w:tab w:val="num" w:pos="3158"/>
        </w:tabs>
        <w:ind w:left="2778" w:hanging="340"/>
      </w:pPr>
      <w:rPr>
        <w:rFonts w:hint="default"/>
      </w:rPr>
    </w:lvl>
    <w:lvl w:ilvl="8">
      <w:start w:val="1"/>
      <w:numFmt w:val="upperRoman"/>
      <w:lvlText w:val="%1.%2.%3.%4.%5.%6.%7.%8.%9."/>
      <w:lvlJc w:val="center"/>
      <w:pPr>
        <w:tabs>
          <w:tab w:val="num" w:pos="3498"/>
        </w:tabs>
        <w:ind w:left="3175" w:hanging="397"/>
      </w:pPr>
      <w:rPr>
        <w:rFonts w:hint="default"/>
      </w:rPr>
    </w:lvl>
  </w:abstractNum>
  <w:abstractNum w:abstractNumId="15">
    <w:nsid w:val="3DD71544"/>
    <w:multiLevelType w:val="hybridMultilevel"/>
    <w:tmpl w:val="F0768D48"/>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6">
    <w:nsid w:val="40DC7E01"/>
    <w:multiLevelType w:val="hybridMultilevel"/>
    <w:tmpl w:val="5D24C320"/>
    <w:lvl w:ilvl="0">
      <w:start w:val="1"/>
      <w:numFmt w:val="decimal"/>
      <w:pStyle w:val="30"/>
      <w:lvlText w:val="%1.1.1"/>
      <w:lvlJc w:val="left"/>
      <w:pPr>
        <w:ind w:left="1854" w:hanging="360"/>
      </w:pPr>
      <w:rPr>
        <w:rFonts w:hint="default"/>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7">
    <w:nsid w:val="41F354F7"/>
    <w:multiLevelType w:val="multilevel"/>
    <w:tmpl w:val="48F0761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nsid w:val="441A6670"/>
    <w:multiLevelType w:val="hybridMultilevel"/>
    <w:tmpl w:val="369C82D6"/>
    <w:lvl w:ilvl="0">
      <w:start w:val="1"/>
      <w:numFmt w:val="hebrew1"/>
      <w:pStyle w:val="32"/>
      <w:lvlText w:val="%1."/>
      <w:lvlJc w:val="center"/>
      <w:pPr>
        <w:ind w:left="2705" w:hanging="360"/>
      </w:pPr>
    </w:lvl>
    <w:lvl w:ilvl="1" w:tentative="1">
      <w:start w:val="1"/>
      <w:numFmt w:val="lowerLetter"/>
      <w:lvlText w:val="%2."/>
      <w:lvlJc w:val="left"/>
      <w:pPr>
        <w:ind w:left="3425" w:hanging="360"/>
      </w:pPr>
    </w:lvl>
    <w:lvl w:ilvl="2" w:tentative="1">
      <w:start w:val="1"/>
      <w:numFmt w:val="lowerRoman"/>
      <w:lvlText w:val="%3."/>
      <w:lvlJc w:val="right"/>
      <w:pPr>
        <w:ind w:left="4145" w:hanging="180"/>
      </w:pPr>
    </w:lvl>
    <w:lvl w:ilvl="3" w:tentative="1">
      <w:start w:val="1"/>
      <w:numFmt w:val="decimal"/>
      <w:lvlText w:val="%4."/>
      <w:lvlJc w:val="left"/>
      <w:pPr>
        <w:ind w:left="4865" w:hanging="360"/>
      </w:pPr>
    </w:lvl>
    <w:lvl w:ilvl="4" w:tentative="1">
      <w:start w:val="1"/>
      <w:numFmt w:val="lowerLetter"/>
      <w:lvlText w:val="%5."/>
      <w:lvlJc w:val="left"/>
      <w:pPr>
        <w:ind w:left="5585" w:hanging="360"/>
      </w:pPr>
    </w:lvl>
    <w:lvl w:ilvl="5" w:tentative="1">
      <w:start w:val="1"/>
      <w:numFmt w:val="lowerRoman"/>
      <w:lvlText w:val="%6."/>
      <w:lvlJc w:val="right"/>
      <w:pPr>
        <w:ind w:left="6305" w:hanging="180"/>
      </w:pPr>
    </w:lvl>
    <w:lvl w:ilvl="6" w:tentative="1">
      <w:start w:val="1"/>
      <w:numFmt w:val="decimal"/>
      <w:lvlText w:val="%7."/>
      <w:lvlJc w:val="left"/>
      <w:pPr>
        <w:ind w:left="7025" w:hanging="360"/>
      </w:pPr>
    </w:lvl>
    <w:lvl w:ilvl="7" w:tentative="1">
      <w:start w:val="1"/>
      <w:numFmt w:val="lowerLetter"/>
      <w:lvlText w:val="%8."/>
      <w:lvlJc w:val="left"/>
      <w:pPr>
        <w:ind w:left="7745" w:hanging="360"/>
      </w:pPr>
    </w:lvl>
    <w:lvl w:ilvl="8" w:tentative="1">
      <w:start w:val="1"/>
      <w:numFmt w:val="lowerRoman"/>
      <w:lvlText w:val="%9."/>
      <w:lvlJc w:val="right"/>
      <w:pPr>
        <w:ind w:left="8465" w:hanging="180"/>
      </w:pPr>
    </w:lvl>
  </w:abstractNum>
  <w:abstractNum w:abstractNumId="19">
    <w:nsid w:val="484702DF"/>
    <w:multiLevelType w:val="multilevel"/>
    <w:tmpl w:val="45D6AC0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0">
    <w:nsid w:val="49934141"/>
    <w:multiLevelType w:val="hybridMultilevel"/>
    <w:tmpl w:val="050CF4BC"/>
    <w:lvl w:ilvl="0">
      <w:start w:val="1"/>
      <w:numFmt w:val="hebrew1"/>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decimal"/>
      <w:lvlText w:val="%3."/>
      <w:lvlJc w:val="left"/>
      <w:pPr>
        <w:ind w:left="2700" w:hanging="72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4DD35436"/>
    <w:multiLevelType w:val="hybridMultilevel"/>
    <w:tmpl w:val="EC1EC164"/>
    <w:lvl w:ilvl="0">
      <w:start w:val="1"/>
      <w:numFmt w:val="decimal"/>
      <w:pStyle w:val="20"/>
      <w:lvlText w:val="%1.1"/>
      <w:lvlJc w:val="left"/>
      <w:pPr>
        <w:ind w:left="1860" w:hanging="360"/>
      </w:pPr>
      <w:rPr>
        <w:rFonts w:hint="default"/>
      </w:rPr>
    </w:lvl>
    <w:lvl w:ilvl="1" w:tentative="1">
      <w:start w:val="1"/>
      <w:numFmt w:val="lowerLetter"/>
      <w:lvlText w:val="%2."/>
      <w:lvlJc w:val="left"/>
      <w:pPr>
        <w:ind w:left="2580" w:hanging="360"/>
      </w:pPr>
    </w:lvl>
    <w:lvl w:ilvl="2" w:tentative="1">
      <w:start w:val="1"/>
      <w:numFmt w:val="lowerRoman"/>
      <w:lvlText w:val="%3."/>
      <w:lvlJc w:val="right"/>
      <w:pPr>
        <w:ind w:left="3300" w:hanging="180"/>
      </w:pPr>
    </w:lvl>
    <w:lvl w:ilvl="3" w:tentative="1">
      <w:start w:val="1"/>
      <w:numFmt w:val="decimal"/>
      <w:lvlText w:val="%4."/>
      <w:lvlJc w:val="left"/>
      <w:pPr>
        <w:ind w:left="4020" w:hanging="360"/>
      </w:pPr>
    </w:lvl>
    <w:lvl w:ilvl="4" w:tentative="1">
      <w:start w:val="1"/>
      <w:numFmt w:val="lowerLetter"/>
      <w:lvlText w:val="%5."/>
      <w:lvlJc w:val="left"/>
      <w:pPr>
        <w:ind w:left="4740" w:hanging="360"/>
      </w:pPr>
    </w:lvl>
    <w:lvl w:ilvl="5" w:tentative="1">
      <w:start w:val="1"/>
      <w:numFmt w:val="lowerRoman"/>
      <w:lvlText w:val="%6."/>
      <w:lvlJc w:val="right"/>
      <w:pPr>
        <w:ind w:left="5460" w:hanging="180"/>
      </w:pPr>
    </w:lvl>
    <w:lvl w:ilvl="6" w:tentative="1">
      <w:start w:val="1"/>
      <w:numFmt w:val="decimal"/>
      <w:lvlText w:val="%7."/>
      <w:lvlJc w:val="left"/>
      <w:pPr>
        <w:ind w:left="6180" w:hanging="360"/>
      </w:pPr>
    </w:lvl>
    <w:lvl w:ilvl="7" w:tentative="1">
      <w:start w:val="1"/>
      <w:numFmt w:val="lowerLetter"/>
      <w:lvlText w:val="%8."/>
      <w:lvlJc w:val="left"/>
      <w:pPr>
        <w:ind w:left="6900" w:hanging="360"/>
      </w:pPr>
    </w:lvl>
    <w:lvl w:ilvl="8" w:tentative="1">
      <w:start w:val="1"/>
      <w:numFmt w:val="lowerRoman"/>
      <w:lvlText w:val="%9."/>
      <w:lvlJc w:val="right"/>
      <w:pPr>
        <w:ind w:left="7620" w:hanging="180"/>
      </w:pPr>
    </w:lvl>
  </w:abstractNum>
  <w:abstractNum w:abstractNumId="22">
    <w:nsid w:val="665B09CB"/>
    <w:multiLevelType w:val="hybridMultilevel"/>
    <w:tmpl w:val="F98283A0"/>
    <w:lvl w:ilvl="0">
      <w:start w:val="1"/>
      <w:numFmt w:val="bullet"/>
      <w:pStyle w:val="50"/>
      <w:lvlText w:val=""/>
      <w:lvlJc w:val="left"/>
      <w:pPr>
        <w:ind w:left="1854" w:hanging="360"/>
      </w:pPr>
      <w:rPr>
        <w:rFonts w:ascii="Wingdings" w:hAnsi="Wingdings" w:hint="default"/>
        <w:color w:val="FFF400"/>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23">
    <w:nsid w:val="74E25A59"/>
    <w:multiLevelType w:val="multilevel"/>
    <w:tmpl w:val="915E4B9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4">
    <w:nsid w:val="77F420E6"/>
    <w:multiLevelType w:val="multilevel"/>
    <w:tmpl w:val="F684A790"/>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5">
    <w:nsid w:val="7E431D00"/>
    <w:multiLevelType w:val="hybridMultilevel"/>
    <w:tmpl w:val="7576C230"/>
    <w:lvl w:ilvl="0">
      <w:start w:val="1"/>
      <w:numFmt w:val="decimal"/>
      <w:pStyle w:val="13"/>
      <w:lvlText w:val="%1."/>
      <w:lvlJc w:val="left"/>
      <w:pPr>
        <w:ind w:left="1858" w:hanging="360"/>
      </w:pPr>
      <w:rPr>
        <w:rFonts w:ascii="Calibri" w:hAnsi="Calibri" w:cs="Calibri" w:hint="default"/>
        <w:b/>
        <w:bCs/>
        <w:i w:val="0"/>
        <w:iCs w:val="0"/>
        <w:color w:val="002060"/>
        <w:sz w:val="40"/>
        <w:szCs w:val="40"/>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num w:numId="1">
    <w:abstractNumId w:val="25"/>
  </w:num>
  <w:num w:numId="2">
    <w:abstractNumId w:val="21"/>
  </w:num>
  <w:num w:numId="3">
    <w:abstractNumId w:val="16"/>
  </w:num>
  <w:num w:numId="4">
    <w:abstractNumId w:val="1"/>
  </w:num>
  <w:num w:numId="5">
    <w:abstractNumId w:val="18"/>
  </w:num>
  <w:num w:numId="6">
    <w:abstractNumId w:val="22"/>
  </w:num>
  <w:num w:numId="7">
    <w:abstractNumId w:val="13"/>
  </w:num>
  <w:num w:numId="8">
    <w:abstractNumId w:val="10"/>
  </w:num>
  <w:num w:numId="9">
    <w:abstractNumId w:val="9"/>
  </w:num>
  <w:num w:numId="10">
    <w:abstractNumId w:val="11"/>
  </w:num>
  <w:num w:numId="11">
    <w:abstractNumId w:val="4"/>
  </w:num>
  <w:num w:numId="12">
    <w:abstractNumId w:val="6"/>
  </w:num>
  <w:num w:numId="13">
    <w:abstractNumId w:val="20"/>
  </w:num>
  <w:num w:numId="14">
    <w:abstractNumId w:val="5"/>
  </w:num>
  <w:num w:numId="15">
    <w:abstractNumId w:val="23"/>
  </w:num>
  <w:num w:numId="16">
    <w:abstractNumId w:val="2"/>
  </w:num>
  <w:num w:numId="17">
    <w:abstractNumId w:val="3"/>
  </w:num>
  <w:num w:numId="18">
    <w:abstractNumId w:val="0"/>
  </w:num>
  <w:num w:numId="19">
    <w:abstractNumId w:val="12"/>
  </w:num>
  <w:num w:numId="20">
    <w:abstractNumId w:val="17"/>
  </w:num>
  <w:num w:numId="21">
    <w:abstractNumId w:val="7"/>
  </w:num>
  <w:num w:numId="22">
    <w:abstractNumId w:val="15"/>
  </w:num>
  <w:num w:numId="23">
    <w:abstractNumId w:val="24"/>
  </w:num>
  <w:num w:numId="24">
    <w:abstractNumId w:val="8"/>
  </w:num>
  <w:num w:numId="25">
    <w:abstractNumId w:val="14"/>
  </w:num>
  <w:num w:numId="26">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stylePaneSortMethod w:val="nam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51B"/>
    <w:rsid w:val="00003B77"/>
    <w:rsid w:val="00013880"/>
    <w:rsid w:val="0001735B"/>
    <w:rsid w:val="000405CD"/>
    <w:rsid w:val="00042837"/>
    <w:rsid w:val="00047212"/>
    <w:rsid w:val="000501A4"/>
    <w:rsid w:val="000532AA"/>
    <w:rsid w:val="000B1102"/>
    <w:rsid w:val="000C7459"/>
    <w:rsid w:val="000E013E"/>
    <w:rsid w:val="000F7725"/>
    <w:rsid w:val="0010181C"/>
    <w:rsid w:val="00101D0F"/>
    <w:rsid w:val="00113E28"/>
    <w:rsid w:val="00114325"/>
    <w:rsid w:val="00136D6F"/>
    <w:rsid w:val="00141DC3"/>
    <w:rsid w:val="00166477"/>
    <w:rsid w:val="001730B0"/>
    <w:rsid w:val="001960B4"/>
    <w:rsid w:val="001A613C"/>
    <w:rsid w:val="001B2821"/>
    <w:rsid w:val="001C057E"/>
    <w:rsid w:val="001C6185"/>
    <w:rsid w:val="001E204F"/>
    <w:rsid w:val="001F330E"/>
    <w:rsid w:val="001F4412"/>
    <w:rsid w:val="00203604"/>
    <w:rsid w:val="002064F7"/>
    <w:rsid w:val="00240887"/>
    <w:rsid w:val="00245E55"/>
    <w:rsid w:val="00263521"/>
    <w:rsid w:val="0029344A"/>
    <w:rsid w:val="002A7D21"/>
    <w:rsid w:val="002C0FD0"/>
    <w:rsid w:val="002C1EE0"/>
    <w:rsid w:val="002C4139"/>
    <w:rsid w:val="002C6C3A"/>
    <w:rsid w:val="00301153"/>
    <w:rsid w:val="003079D5"/>
    <w:rsid w:val="00315B1D"/>
    <w:rsid w:val="00323027"/>
    <w:rsid w:val="00340767"/>
    <w:rsid w:val="003407AD"/>
    <w:rsid w:val="00354F9A"/>
    <w:rsid w:val="0037370B"/>
    <w:rsid w:val="0037752E"/>
    <w:rsid w:val="00380052"/>
    <w:rsid w:val="0039415D"/>
    <w:rsid w:val="003948B8"/>
    <w:rsid w:val="003B2B50"/>
    <w:rsid w:val="003D18F4"/>
    <w:rsid w:val="003D61C6"/>
    <w:rsid w:val="003E4BC0"/>
    <w:rsid w:val="003E58C2"/>
    <w:rsid w:val="00410847"/>
    <w:rsid w:val="00455119"/>
    <w:rsid w:val="004779AA"/>
    <w:rsid w:val="0049522B"/>
    <w:rsid w:val="00496F3E"/>
    <w:rsid w:val="004A0385"/>
    <w:rsid w:val="004C7D9F"/>
    <w:rsid w:val="005006C5"/>
    <w:rsid w:val="00551B42"/>
    <w:rsid w:val="00551FF7"/>
    <w:rsid w:val="00574579"/>
    <w:rsid w:val="00580C5C"/>
    <w:rsid w:val="00584BF0"/>
    <w:rsid w:val="005A021D"/>
    <w:rsid w:val="0062451B"/>
    <w:rsid w:val="00634DAD"/>
    <w:rsid w:val="00640B60"/>
    <w:rsid w:val="006457EB"/>
    <w:rsid w:val="006531CB"/>
    <w:rsid w:val="00654E79"/>
    <w:rsid w:val="0066340C"/>
    <w:rsid w:val="00673C9C"/>
    <w:rsid w:val="006C2C6D"/>
    <w:rsid w:val="006D4161"/>
    <w:rsid w:val="006D786C"/>
    <w:rsid w:val="006E1414"/>
    <w:rsid w:val="006F285F"/>
    <w:rsid w:val="0072219B"/>
    <w:rsid w:val="007474F0"/>
    <w:rsid w:val="00753ADE"/>
    <w:rsid w:val="00773F61"/>
    <w:rsid w:val="007A4EBD"/>
    <w:rsid w:val="007B112B"/>
    <w:rsid w:val="007B5B26"/>
    <w:rsid w:val="007B691A"/>
    <w:rsid w:val="007C1FF6"/>
    <w:rsid w:val="007D61B8"/>
    <w:rsid w:val="007F7FF2"/>
    <w:rsid w:val="00805B42"/>
    <w:rsid w:val="008102AD"/>
    <w:rsid w:val="008131AD"/>
    <w:rsid w:val="00837997"/>
    <w:rsid w:val="008529F8"/>
    <w:rsid w:val="00867FC5"/>
    <w:rsid w:val="0087347C"/>
    <w:rsid w:val="00892F80"/>
    <w:rsid w:val="00893F79"/>
    <w:rsid w:val="008A06B3"/>
    <w:rsid w:val="008B4F41"/>
    <w:rsid w:val="008C6F75"/>
    <w:rsid w:val="008E3D8A"/>
    <w:rsid w:val="008E7355"/>
    <w:rsid w:val="009015B2"/>
    <w:rsid w:val="00903778"/>
    <w:rsid w:val="00906E90"/>
    <w:rsid w:val="00906FB1"/>
    <w:rsid w:val="0091051D"/>
    <w:rsid w:val="00933E1C"/>
    <w:rsid w:val="00936F84"/>
    <w:rsid w:val="00940851"/>
    <w:rsid w:val="00946518"/>
    <w:rsid w:val="009679D9"/>
    <w:rsid w:val="009802D2"/>
    <w:rsid w:val="009B4C57"/>
    <w:rsid w:val="009B757F"/>
    <w:rsid w:val="009C6066"/>
    <w:rsid w:val="009D73F5"/>
    <w:rsid w:val="009E1A3F"/>
    <w:rsid w:val="009E53CF"/>
    <w:rsid w:val="009F0BD3"/>
    <w:rsid w:val="00A157C9"/>
    <w:rsid w:val="00A210E9"/>
    <w:rsid w:val="00A222E2"/>
    <w:rsid w:val="00A42D44"/>
    <w:rsid w:val="00A61AD5"/>
    <w:rsid w:val="00A73038"/>
    <w:rsid w:val="00A76C99"/>
    <w:rsid w:val="00A81EBE"/>
    <w:rsid w:val="00AC6B95"/>
    <w:rsid w:val="00AF652A"/>
    <w:rsid w:val="00B00E5C"/>
    <w:rsid w:val="00B4321D"/>
    <w:rsid w:val="00B666B9"/>
    <w:rsid w:val="00B76DC1"/>
    <w:rsid w:val="00B862C0"/>
    <w:rsid w:val="00BA7687"/>
    <w:rsid w:val="00BE2DD8"/>
    <w:rsid w:val="00C21358"/>
    <w:rsid w:val="00C2305A"/>
    <w:rsid w:val="00C23CC9"/>
    <w:rsid w:val="00C30B3D"/>
    <w:rsid w:val="00C33AE2"/>
    <w:rsid w:val="00C41BD9"/>
    <w:rsid w:val="00C44C5A"/>
    <w:rsid w:val="00C8096C"/>
    <w:rsid w:val="00C8100B"/>
    <w:rsid w:val="00C85B62"/>
    <w:rsid w:val="00CA41D2"/>
    <w:rsid w:val="00CA4F20"/>
    <w:rsid w:val="00CC1800"/>
    <w:rsid w:val="00CC712C"/>
    <w:rsid w:val="00CD0511"/>
    <w:rsid w:val="00CD28D9"/>
    <w:rsid w:val="00D05C85"/>
    <w:rsid w:val="00D125D2"/>
    <w:rsid w:val="00D22748"/>
    <w:rsid w:val="00D26918"/>
    <w:rsid w:val="00D37121"/>
    <w:rsid w:val="00D4573C"/>
    <w:rsid w:val="00D779F7"/>
    <w:rsid w:val="00D87542"/>
    <w:rsid w:val="00D95C20"/>
    <w:rsid w:val="00D97C16"/>
    <w:rsid w:val="00DE1DAB"/>
    <w:rsid w:val="00DE20A2"/>
    <w:rsid w:val="00DF0B89"/>
    <w:rsid w:val="00E0724A"/>
    <w:rsid w:val="00E122EE"/>
    <w:rsid w:val="00E35682"/>
    <w:rsid w:val="00E45626"/>
    <w:rsid w:val="00E46EA3"/>
    <w:rsid w:val="00E51C1B"/>
    <w:rsid w:val="00E53DA7"/>
    <w:rsid w:val="00EC6B44"/>
    <w:rsid w:val="00EC7E43"/>
    <w:rsid w:val="00EE37A3"/>
    <w:rsid w:val="00EE57E1"/>
    <w:rsid w:val="00EF4539"/>
    <w:rsid w:val="00F36CB4"/>
    <w:rsid w:val="00F4385E"/>
    <w:rsid w:val="00F627EB"/>
    <w:rsid w:val="00F70506"/>
    <w:rsid w:val="00F75A10"/>
    <w:rsid w:val="00F77276"/>
    <w:rsid w:val="00F954E4"/>
    <w:rsid w:val="00F95853"/>
    <w:rsid w:val="00FB3F26"/>
    <w:rsid w:val="00FC3213"/>
    <w:rsid w:val="00FC48C6"/>
    <w:rsid w:val="00FF5E54"/>
  </w:rsids>
  <w:docVars>
    <w:docVar w:name="sivug" w:val="1"/>
    <w:docVar w:name="space" w:val="True"/>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3392CE29"/>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01A4"/>
    <w:pPr>
      <w:bidi/>
      <w:spacing w:after="0" w:line="312" w:lineRule="auto"/>
    </w:pPr>
  </w:style>
  <w:style w:type="paragraph" w:styleId="Heading1">
    <w:name w:val="heading 1"/>
    <w:basedOn w:val="Normal"/>
    <w:next w:val="Normal"/>
    <w:link w:val="1"/>
    <w:uiPriority w:val="1"/>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4"/>
    <w:uiPriority w:val="1"/>
    <w:qFormat/>
    <w:rsid w:val="006D786C"/>
    <w:pPr>
      <w:keepNext/>
      <w:keepLines/>
      <w:spacing w:before="120"/>
      <w:outlineLvl w:val="3"/>
    </w:pPr>
    <w:rPr>
      <w:rFonts w:eastAsiaTheme="majorEastAsia"/>
      <w:bCs/>
      <w:szCs w:val="26"/>
    </w:rPr>
  </w:style>
  <w:style w:type="paragraph" w:styleId="Heading5">
    <w:name w:val="heading 5"/>
    <w:basedOn w:val="Normal"/>
    <w:next w:val="Normal"/>
    <w:link w:val="5"/>
    <w:uiPriority w:val="1"/>
    <w:qFormat/>
    <w:rsid w:val="000501A4"/>
    <w:pPr>
      <w:keepNext/>
      <w:keepLines/>
      <w:outlineLvl w:val="4"/>
    </w:pPr>
    <w:rPr>
      <w:rFonts w:eastAsiaTheme="majorEastAsia"/>
      <w:bCs/>
      <w:spacing w:val="40"/>
    </w:rPr>
  </w:style>
  <w:style w:type="paragraph" w:styleId="Heading6">
    <w:name w:val="heading 6"/>
    <w:basedOn w:val="Normal"/>
    <w:next w:val="Normal"/>
    <w:link w:val="6"/>
    <w:uiPriority w:val="1"/>
    <w:qFormat/>
    <w:rsid w:val="000501A4"/>
    <w:pPr>
      <w:keepNext/>
      <w:keepLines/>
      <w:outlineLvl w:val="5"/>
    </w:pPr>
    <w:rPr>
      <w:rFonts w:eastAsiaTheme="majorEastAsia"/>
      <w:spacing w:val="40"/>
    </w:rPr>
  </w:style>
  <w:style w:type="paragraph" w:styleId="Heading7">
    <w:name w:val="heading 7"/>
    <w:basedOn w:val="Normal"/>
    <w:next w:val="Normal"/>
    <w:link w:val="7"/>
    <w:uiPriority w:val="1"/>
    <w:qFormat/>
    <w:rsid w:val="000501A4"/>
    <w:pPr>
      <w:keepNext/>
      <w:keepLines/>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0501A4"/>
    <w:rPr>
      <w:rFonts w:eastAsiaTheme="majorEastAsia"/>
      <w:bCs/>
      <w:szCs w:val="36"/>
      <w:u w:val="single"/>
    </w:rPr>
  </w:style>
  <w:style w:type="character" w:customStyle="1" w:styleId="2">
    <w:name w:val="כותרת 2 תו"/>
    <w:basedOn w:val="DefaultParagraphFont"/>
    <w:link w:val="Heading2"/>
    <w:uiPriority w:val="1"/>
    <w:rsid w:val="000501A4"/>
    <w:rPr>
      <w:rFonts w:eastAsiaTheme="majorEastAsia"/>
      <w:bCs/>
      <w:szCs w:val="32"/>
    </w:rPr>
  </w:style>
  <w:style w:type="character" w:customStyle="1" w:styleId="3">
    <w:name w:val="כותרת 3 תו"/>
    <w:basedOn w:val="DefaultParagraphFont"/>
    <w:link w:val="Heading3"/>
    <w:uiPriority w:val="1"/>
    <w:rsid w:val="006D786C"/>
    <w:rPr>
      <w:rFonts w:eastAsiaTheme="majorEastAsia"/>
      <w:bCs/>
      <w:szCs w:val="28"/>
      <w:u w:val="single"/>
    </w:rPr>
  </w:style>
  <w:style w:type="character" w:customStyle="1" w:styleId="4">
    <w:name w:val="כותרת 4 תו"/>
    <w:basedOn w:val="DefaultParagraphFont"/>
    <w:link w:val="Heading4"/>
    <w:uiPriority w:val="1"/>
    <w:rsid w:val="006D786C"/>
    <w:rPr>
      <w:rFonts w:eastAsiaTheme="majorEastAsia"/>
      <w:bCs/>
      <w:szCs w:val="26"/>
    </w:rPr>
  </w:style>
  <w:style w:type="character" w:customStyle="1" w:styleId="5">
    <w:name w:val="כותרת 5 תו"/>
    <w:basedOn w:val="DefaultParagraphFont"/>
    <w:link w:val="Heading5"/>
    <w:uiPriority w:val="1"/>
    <w:rsid w:val="000501A4"/>
    <w:rPr>
      <w:rFonts w:eastAsiaTheme="majorEastAsia"/>
      <w:bCs/>
      <w:spacing w:val="40"/>
    </w:rPr>
  </w:style>
  <w:style w:type="character" w:customStyle="1" w:styleId="6">
    <w:name w:val="כותרת 6 תו"/>
    <w:basedOn w:val="DefaultParagraphFont"/>
    <w:link w:val="Heading6"/>
    <w:uiPriority w:val="1"/>
    <w:rsid w:val="000501A4"/>
    <w:rPr>
      <w:rFonts w:eastAsiaTheme="majorEastAsia"/>
      <w:spacing w:val="40"/>
    </w:rPr>
  </w:style>
  <w:style w:type="character" w:customStyle="1" w:styleId="7">
    <w:name w:val="כותרת 7 תו"/>
    <w:basedOn w:val="DefaultParagraphFont"/>
    <w:link w:val="Heading7"/>
    <w:uiPriority w:val="1"/>
    <w:rsid w:val="000501A4"/>
    <w:rPr>
      <w:rFonts w:eastAsiaTheme="majorEastAsia"/>
      <w:bCs/>
      <w:spacing w:val="40"/>
    </w:rPr>
  </w:style>
  <w:style w:type="character" w:customStyle="1" w:styleId="8">
    <w:name w:val="כותרת 8 תו"/>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aliases w:val=" Char,Char,F1,FOOTNOTES,Footnote Text - Sharp,Footnote Text - Sharp Char,Footnote Text - Sharp Char Char,Footnote Text Char Char Char Char Char,Footnote reference,Sharp - Footnote Text,Sharp - Footnote Text1 Char,fn,footnote text"/>
    <w:basedOn w:val="Normal"/>
    <w:link w:val="a4"/>
    <w:uiPriority w:val="99"/>
    <w:rsid w:val="00574579"/>
    <w:pPr>
      <w:spacing w:line="240" w:lineRule="auto"/>
      <w:ind w:left="720" w:hanging="720"/>
    </w:pPr>
    <w:rPr>
      <w:szCs w:val="20"/>
    </w:rPr>
  </w:style>
  <w:style w:type="character" w:customStyle="1" w:styleId="a4">
    <w:name w:val="טקסט הערת שוליים תו"/>
    <w:aliases w:val=" Char תו,Char תו,FOOTNOTES תו,Footnote Text - Sharp Char Char תו,Footnote Text - Sharp Char תו,Footnote Text - Sharp תו,Footnote Text Char Char Char Char Char תו,Footnote reference תו,Sharp - Footnote Text תו,fn תו,footnote text תו"/>
    <w:basedOn w:val="DefaultParagraphFont"/>
    <w:link w:val="FootnoteText"/>
    <w:uiPriority w:val="99"/>
    <w:rsid w:val="00574579"/>
    <w:rPr>
      <w:szCs w:val="20"/>
    </w:rPr>
  </w:style>
  <w:style w:type="character" w:styleId="FootnoteReference1">
    <w:name w:val="footnote reference"/>
    <w:aliases w:val="Footnote Reference_0,Footnote Reference_0_0,Footnote Reference_0_0_0,Footnote Reference_0_0_0_0,Footnote Reference_1,Footnote Reference_2,Footnote Reference_3,Footnote Reference_3_0,Footnote Reference_4,Footnote text,fr,מ"/>
    <w:basedOn w:val="DefaultParagraphFont"/>
    <w:uiPriority w:val="99"/>
    <w:unhideWhenUsed/>
    <w:rsid w:val="000501A4"/>
    <w:rPr>
      <w:vertAlign w:val="superscript"/>
    </w:rPr>
  </w:style>
  <w:style w:type="paragraph" w:styleId="ListParagraph">
    <w:name w:val="List Paragraph"/>
    <w:aliases w:val="1st level - Bullet List Paragraph,Bullet Number,Bullet Points,Dot pt,F5 List Paragraph,Heading 2_sj,Indicator Text,LP1,Lettre d'introduction,List Paragraph Char Char Char,MAIN CONTENT,Num Bullet 1,Use Case List Paragraph,style 2,פיסקת רשימה1"/>
    <w:basedOn w:val="Normal"/>
    <w:link w:val="a9"/>
    <w:uiPriority w:val="34"/>
    <w:qFormat/>
    <w:rsid w:val="00B4321D"/>
    <w:pPr>
      <w:ind w:left="720"/>
      <w:contextualSpacing/>
    </w:pPr>
  </w:style>
  <w:style w:type="table" w:styleId="TableGrid">
    <w:name w:val="Table Grid"/>
    <w:basedOn w:val="TableNormal"/>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a5"/>
    <w:uiPriority w:val="99"/>
    <w:semiHidden/>
    <w:unhideWhenUsed/>
    <w:rsid w:val="00B4321D"/>
    <w:pPr>
      <w:spacing w:line="240" w:lineRule="auto"/>
    </w:pPr>
    <w:rPr>
      <w:rFonts w:ascii="Tahoma" w:hAnsi="Tahoma" w:cs="Tahoma"/>
      <w:sz w:val="18"/>
      <w:szCs w:val="18"/>
    </w:rPr>
  </w:style>
  <w:style w:type="character" w:customStyle="1" w:styleId="a5">
    <w:name w:val="טקסט בלונים תו"/>
    <w:basedOn w:val="DefaultParagraphFont"/>
    <w:link w:val="BalloonText"/>
    <w:uiPriority w:val="99"/>
    <w:semiHidden/>
    <w:rsid w:val="00B4321D"/>
    <w:rPr>
      <w:rFonts w:ascii="Tahoma" w:hAnsi="Tahoma" w:cs="Tahoma"/>
      <w:sz w:val="18"/>
      <w:szCs w:val="18"/>
    </w:rPr>
  </w:style>
  <w:style w:type="character" w:styleId="CommentReference">
    <w:name w:val="annotation reference"/>
    <w:basedOn w:val="DefaultParagraphFont"/>
    <w:semiHidden/>
    <w:unhideWhenUsed/>
    <w:rsid w:val="00B4321D"/>
    <w:rPr>
      <w:sz w:val="16"/>
      <w:szCs w:val="16"/>
    </w:rPr>
  </w:style>
  <w:style w:type="paragraph" w:styleId="CommentText">
    <w:name w:val="annotation text"/>
    <w:basedOn w:val="Normal"/>
    <w:link w:val="a6"/>
    <w:unhideWhenUsed/>
    <w:rsid w:val="00B4321D"/>
    <w:pPr>
      <w:spacing w:line="240" w:lineRule="auto"/>
    </w:pPr>
    <w:rPr>
      <w:szCs w:val="20"/>
    </w:rPr>
  </w:style>
  <w:style w:type="character" w:customStyle="1" w:styleId="a6">
    <w:name w:val="טקסט הערה תו"/>
    <w:basedOn w:val="DefaultParagraphFont"/>
    <w:link w:val="CommentText"/>
    <w:rsid w:val="00B4321D"/>
    <w:rPr>
      <w:szCs w:val="20"/>
    </w:rPr>
  </w:style>
  <w:style w:type="paragraph" w:styleId="CommentSubject">
    <w:name w:val="annotation subject"/>
    <w:basedOn w:val="CommentText"/>
    <w:next w:val="CommentText"/>
    <w:link w:val="a7"/>
    <w:uiPriority w:val="99"/>
    <w:semiHidden/>
    <w:unhideWhenUsed/>
    <w:rsid w:val="00B4321D"/>
    <w:rPr>
      <w:b/>
      <w:bCs/>
    </w:rPr>
  </w:style>
  <w:style w:type="character" w:customStyle="1" w:styleId="a7">
    <w:name w:val="נושא הערה תו"/>
    <w:basedOn w:val="a6"/>
    <w:link w:val="CommentSubject"/>
    <w:uiPriority w:val="99"/>
    <w:semiHidden/>
    <w:rsid w:val="00B4321D"/>
    <w:rPr>
      <w:b/>
      <w:bCs/>
      <w:szCs w:val="20"/>
    </w:rPr>
  </w:style>
  <w:style w:type="paragraph" w:styleId="Revision">
    <w:name w:val="Revision"/>
    <w:hidden/>
    <w:uiPriority w:val="99"/>
    <w:semiHidden/>
    <w:rsid w:val="00B4321D"/>
    <w:pPr>
      <w:spacing w:after="0" w:line="240" w:lineRule="auto"/>
      <w:jc w:val="left"/>
    </w:pPr>
  </w:style>
  <w:style w:type="paragraph" w:styleId="NoSpacing">
    <w:name w:val="No Spacing"/>
    <w:aliases w:val="מספורנוהל"/>
    <w:basedOn w:val="Normal"/>
    <w:link w:val="a8"/>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8">
    <w:name w:val="ללא מרווח תו"/>
    <w:aliases w:val="מספורנוהל תו"/>
    <w:basedOn w:val="DefaultParagraphFont"/>
    <w:link w:val="NoSpacing"/>
    <w:uiPriority w:val="1"/>
    <w:rsid w:val="00B4321D"/>
    <w:rPr>
      <w:rFonts w:ascii="David" w:eastAsia="Times New Roman" w:hAnsi="David"/>
      <w:b/>
      <w:sz w:val="24"/>
      <w:lang w:eastAsia="he-IL"/>
    </w:rPr>
  </w:style>
  <w:style w:type="paragraph" w:styleId="NormalWeb">
    <w:name w:val="Normal (Web)"/>
    <w:basedOn w:val="Normal"/>
    <w:uiPriority w:val="99"/>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1">
    <w:name w:val="רשת טבלה1"/>
    <w:basedOn w:val="TableNormal"/>
    <w:next w:val="TableGrid"/>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פיסקת רשימה תו"/>
    <w:aliases w:val="1st level - Bullet List Paragraph תו,Bullet Number תו,Bullet Points תו,Dot pt תו,F5 List Paragraph תו,Heading 2_sj תו,Indicator Text תו,LP1 תו,Lettre d'introduction תו,Num Bullet 1 תו,Use Case List Paragraph תו,style 2 תו,פיסקת רשימה1 תו"/>
    <w:link w:val="ListParagraph"/>
    <w:uiPriority w:val="34"/>
    <w:qFormat/>
    <w:rsid w:val="00B4321D"/>
  </w:style>
  <w:style w:type="table" w:styleId="GridTable1LightAccent5">
    <w:name w:val="Grid Table 1 Light Accent 5"/>
    <w:basedOn w:val="TableNormal"/>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B4321D"/>
    <w:rPr>
      <w:color w:val="0000FF" w:themeColor="hyperlink"/>
      <w:u w:val="single"/>
    </w:rPr>
  </w:style>
  <w:style w:type="paragraph" w:customStyle="1" w:styleId="75">
    <w:name w:val="75א מספור הערות שוליים"/>
    <w:basedOn w:val="Normal"/>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DefaultParagraphFont"/>
    <w:uiPriority w:val="99"/>
    <w:semiHidden/>
    <w:unhideWhenUsed/>
    <w:rsid w:val="00B4321D"/>
    <w:rPr>
      <w:color w:val="800080" w:themeColor="followedHyperlink"/>
      <w:u w:val="single"/>
    </w:rPr>
  </w:style>
  <w:style w:type="character" w:styleId="UnresolvedMention">
    <w:name w:val="Unresolved Mention"/>
    <w:basedOn w:val="DefaultParagraphFont"/>
    <w:uiPriority w:val="99"/>
    <w:semiHidden/>
    <w:unhideWhenUsed/>
    <w:rsid w:val="00B4321D"/>
    <w:rPr>
      <w:color w:val="605E5C"/>
      <w:shd w:val="clear" w:color="auto" w:fill="E1DFDD"/>
    </w:rPr>
  </w:style>
  <w:style w:type="paragraph" w:customStyle="1" w:styleId="a10">
    <w:name w:val="פרטי הדוח ממה"/>
    <w:basedOn w:val="Normal"/>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11">
    <w:name w:val="כותרת הדוח ממה"/>
    <w:basedOn w:val="Normal"/>
    <w:link w:val="a1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12">
    <w:name w:val="כותרת הדוח ממה תו"/>
    <w:basedOn w:val="DefaultParagraphFont"/>
    <w:link w:val="a11"/>
    <w:rsid w:val="00B4321D"/>
    <w:rPr>
      <w:rFonts w:ascii="Calibri" w:hAnsi="Calibri" w:cs="Calibri"/>
      <w:b/>
      <w:bCs/>
      <w:color w:val="FFFFFF" w:themeColor="background1"/>
      <w:sz w:val="60"/>
      <w:szCs w:val="60"/>
    </w:rPr>
  </w:style>
  <w:style w:type="paragraph" w:customStyle="1" w:styleId="a13">
    <w:name w:val="טקסט שם מונח ממה"/>
    <w:basedOn w:val="Normal"/>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14">
    <w:name w:val="טקסט הגדרת מונח ממה"/>
    <w:link w:val="a1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15">
    <w:name w:val="טקסט הגדרת מונח ממה תו"/>
    <w:basedOn w:val="DefaultParagraphFont"/>
    <w:link w:val="a14"/>
    <w:rsid w:val="00B4321D"/>
    <w:rPr>
      <w:rFonts w:ascii="Calibri" w:eastAsia="DengXian" w:hAnsi="Calibri" w:cs="Calibri"/>
      <w:color w:val="002060"/>
      <w:sz w:val="24"/>
      <w:lang w:val="en-GB"/>
    </w:rPr>
  </w:style>
  <w:style w:type="paragraph" w:customStyle="1" w:styleId="a16">
    <w:name w:val="מבוא ממה"/>
    <w:basedOn w:val="Normal"/>
    <w:next w:val="Normal"/>
    <w:link w:val="a1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17">
    <w:name w:val="מבוא ממה תו"/>
    <w:basedOn w:val="DefaultParagraphFont"/>
    <w:link w:val="a1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18">
    <w:name w:val="מראה מקום ממה"/>
    <w:basedOn w:val="Normal"/>
    <w:next w:val="Normal"/>
    <w:link w:val="a1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19">
    <w:name w:val="מראה מקום ממה תו"/>
    <w:basedOn w:val="DefaultParagraphFont"/>
    <w:link w:val="a18"/>
    <w:rsid w:val="00B4321D"/>
    <w:rPr>
      <w:rFonts w:ascii="Calibri" w:eastAsia="Calibri" w:hAnsi="Calibri" w:cs="Calibri"/>
      <w:b/>
      <w:bCs/>
      <w:color w:val="002060"/>
      <w:sz w:val="18"/>
      <w:szCs w:val="18"/>
      <w:shd w:val="solid" w:color="F3F7FF" w:fill="auto"/>
    </w:rPr>
  </w:style>
  <w:style w:type="paragraph" w:customStyle="1" w:styleId="a20">
    <w:name w:val="כותרת עליונה ממה"/>
    <w:basedOn w:val="Normal"/>
    <w:next w:val="Normal"/>
    <w:link w:val="a21"/>
    <w:qFormat/>
    <w:rsid w:val="00B4321D"/>
    <w:pPr>
      <w:spacing w:line="240" w:lineRule="auto"/>
      <w:ind w:left="737"/>
      <w:jc w:val="left"/>
    </w:pPr>
    <w:rPr>
      <w:rFonts w:ascii="Calibri" w:eastAsia="Calibri" w:hAnsi="Calibri" w:cs="Calibri"/>
      <w:color w:val="002060"/>
      <w:sz w:val="18"/>
      <w:szCs w:val="18"/>
    </w:rPr>
  </w:style>
  <w:style w:type="character" w:customStyle="1" w:styleId="a21">
    <w:name w:val="כותרת עליונה ממה תו"/>
    <w:basedOn w:val="DefaultParagraphFont"/>
    <w:link w:val="a20"/>
    <w:rsid w:val="00B4321D"/>
    <w:rPr>
      <w:rFonts w:ascii="Calibri" w:eastAsia="Calibri" w:hAnsi="Calibri" w:cs="Calibri"/>
      <w:color w:val="002060"/>
      <w:sz w:val="18"/>
      <w:szCs w:val="18"/>
    </w:rPr>
  </w:style>
  <w:style w:type="paragraph" w:customStyle="1" w:styleId="13">
    <w:name w:val="כותרת 1 ממה"/>
    <w:basedOn w:val="Normal"/>
    <w:next w:val="Normal"/>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DefaultParagraphFont"/>
    <w:link w:val="13"/>
    <w:rsid w:val="00B4321D"/>
    <w:rPr>
      <w:rFonts w:ascii="Calibri" w:eastAsia="Calibri" w:hAnsi="Calibri" w:cs="Calibri"/>
      <w:b/>
      <w:bCs/>
      <w:color w:val="002060"/>
      <w:sz w:val="40"/>
      <w:szCs w:val="40"/>
    </w:rPr>
  </w:style>
  <w:style w:type="paragraph" w:customStyle="1" w:styleId="20">
    <w:name w:val="כותרת 2 ממה"/>
    <w:basedOn w:val="Normal"/>
    <w:next w:val="Normal"/>
    <w:link w:val="21"/>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1">
    <w:name w:val="כותרת 2 ממה תו"/>
    <w:basedOn w:val="2"/>
    <w:link w:val="20"/>
    <w:rsid w:val="00B4321D"/>
    <w:rPr>
      <w:rFonts w:ascii="Calibri" w:eastAsia="Calibri" w:hAnsi="Calibri" w:cs="Calibri"/>
      <w:b/>
      <w:bCs/>
      <w:color w:val="002060"/>
      <w:sz w:val="36"/>
      <w:szCs w:val="36"/>
    </w:rPr>
  </w:style>
  <w:style w:type="paragraph" w:customStyle="1" w:styleId="30">
    <w:name w:val="כותרת 3 ממה"/>
    <w:basedOn w:val="Normal"/>
    <w:next w:val="Normal"/>
    <w:link w:val="31"/>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1">
    <w:name w:val="כותרת 3 ממה תו"/>
    <w:basedOn w:val="3"/>
    <w:link w:val="30"/>
    <w:rsid w:val="00B4321D"/>
    <w:rPr>
      <w:rFonts w:ascii="Calibri" w:eastAsia="Calibri" w:hAnsi="Calibri" w:cs="Calibri"/>
      <w:b/>
      <w:bCs/>
      <w:color w:val="002060"/>
      <w:sz w:val="28"/>
      <w:szCs w:val="28"/>
      <w:u w:val="single"/>
    </w:rPr>
  </w:style>
  <w:style w:type="paragraph" w:customStyle="1" w:styleId="40">
    <w:name w:val="כותרת 4 ממה"/>
    <w:basedOn w:val="Normal"/>
    <w:next w:val="Normal"/>
    <w:link w:val="41"/>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1">
    <w:name w:val="כותרת 4 ממה תו"/>
    <w:basedOn w:val="DefaultParagraphFont"/>
    <w:link w:val="40"/>
    <w:rsid w:val="00B4321D"/>
    <w:rPr>
      <w:rFonts w:ascii="Calibri" w:eastAsia="Calibri" w:hAnsi="Calibri" w:cs="Calibri"/>
      <w:color w:val="002060"/>
      <w:sz w:val="28"/>
      <w:szCs w:val="28"/>
    </w:rPr>
  </w:style>
  <w:style w:type="paragraph" w:customStyle="1" w:styleId="15">
    <w:name w:val="רשימה1 ממה"/>
    <w:basedOn w:val="Normal"/>
    <w:link w:val="16"/>
    <w:qFormat/>
    <w:rsid w:val="00B4321D"/>
    <w:pPr>
      <w:widowControl w:val="0"/>
      <w:numPr>
        <w:numId w:val="4"/>
      </w:numPr>
      <w:spacing w:line="280" w:lineRule="exact"/>
    </w:pPr>
    <w:rPr>
      <w:rFonts w:ascii="Calibri" w:eastAsia="Calibri" w:hAnsi="Calibri" w:cs="Calibri"/>
      <w:color w:val="002060"/>
      <w:sz w:val="24"/>
    </w:rPr>
  </w:style>
  <w:style w:type="character" w:customStyle="1" w:styleId="16">
    <w:name w:val="רשימה1 ממה תו"/>
    <w:basedOn w:val="DefaultParagraphFont"/>
    <w:link w:val="15"/>
    <w:rsid w:val="00B4321D"/>
    <w:rPr>
      <w:rFonts w:ascii="Calibri" w:eastAsia="Calibri" w:hAnsi="Calibri" w:cs="Calibri"/>
      <w:color w:val="002060"/>
      <w:sz w:val="24"/>
    </w:rPr>
  </w:style>
  <w:style w:type="paragraph" w:customStyle="1" w:styleId="22">
    <w:name w:val="רשימה2 ממה"/>
    <w:basedOn w:val="Normal"/>
    <w:link w:val="23"/>
    <w:qFormat/>
    <w:rsid w:val="00B4321D"/>
    <w:pPr>
      <w:widowControl w:val="0"/>
      <w:spacing w:line="280" w:lineRule="exact"/>
      <w:ind w:left="1871"/>
    </w:pPr>
    <w:rPr>
      <w:rFonts w:ascii="Calibri" w:eastAsia="Calibri" w:hAnsi="Calibri" w:cs="Calibri"/>
      <w:color w:val="002060"/>
      <w:sz w:val="24"/>
    </w:rPr>
  </w:style>
  <w:style w:type="character" w:customStyle="1" w:styleId="23">
    <w:name w:val="רשימה2 ממה תו"/>
    <w:basedOn w:val="DefaultParagraphFont"/>
    <w:link w:val="22"/>
    <w:rsid w:val="00B4321D"/>
    <w:rPr>
      <w:rFonts w:ascii="Calibri" w:eastAsia="Calibri" w:hAnsi="Calibri" w:cs="Calibri"/>
      <w:color w:val="002060"/>
      <w:sz w:val="24"/>
    </w:rPr>
  </w:style>
  <w:style w:type="paragraph" w:customStyle="1" w:styleId="32">
    <w:name w:val="רשימה3 ממה"/>
    <w:basedOn w:val="Normal"/>
    <w:link w:val="33"/>
    <w:qFormat/>
    <w:rsid w:val="00B4321D"/>
    <w:pPr>
      <w:widowControl w:val="0"/>
      <w:numPr>
        <w:numId w:val="5"/>
      </w:numPr>
      <w:spacing w:line="280" w:lineRule="exact"/>
    </w:pPr>
    <w:rPr>
      <w:rFonts w:ascii="Calibri" w:eastAsia="Calibri" w:hAnsi="Calibri" w:cs="Calibri"/>
      <w:color w:val="002060"/>
      <w:sz w:val="24"/>
    </w:rPr>
  </w:style>
  <w:style w:type="character" w:customStyle="1" w:styleId="33">
    <w:name w:val="רשימה3 ממה תו"/>
    <w:basedOn w:val="DefaultParagraphFont"/>
    <w:link w:val="32"/>
    <w:rsid w:val="00B4321D"/>
    <w:rPr>
      <w:rFonts w:ascii="Calibri" w:eastAsia="Calibri" w:hAnsi="Calibri" w:cs="Calibri"/>
      <w:color w:val="002060"/>
      <w:sz w:val="24"/>
    </w:rPr>
  </w:style>
  <w:style w:type="paragraph" w:customStyle="1" w:styleId="42">
    <w:name w:val="רשימה4 ממה"/>
    <w:basedOn w:val="Normal"/>
    <w:link w:val="43"/>
    <w:qFormat/>
    <w:rsid w:val="00B4321D"/>
    <w:pPr>
      <w:widowControl w:val="0"/>
      <w:spacing w:line="280" w:lineRule="exact"/>
      <w:ind w:left="2552"/>
    </w:pPr>
    <w:rPr>
      <w:rFonts w:ascii="Calibri" w:eastAsia="Calibri" w:hAnsi="Calibri" w:cs="Calibri"/>
      <w:color w:val="002060"/>
      <w:sz w:val="24"/>
    </w:rPr>
  </w:style>
  <w:style w:type="character" w:customStyle="1" w:styleId="43">
    <w:name w:val="רשימה4 ממה תו"/>
    <w:basedOn w:val="DefaultParagraphFont"/>
    <w:link w:val="42"/>
    <w:rsid w:val="00B4321D"/>
    <w:rPr>
      <w:rFonts w:ascii="Calibri" w:eastAsia="Calibri" w:hAnsi="Calibri" w:cs="Calibri"/>
      <w:color w:val="002060"/>
      <w:sz w:val="24"/>
    </w:rPr>
  </w:style>
  <w:style w:type="paragraph" w:customStyle="1" w:styleId="50">
    <w:name w:val="רשימה5 ממה"/>
    <w:basedOn w:val="Normal"/>
    <w:link w:val="51"/>
    <w:qFormat/>
    <w:rsid w:val="00B4321D"/>
    <w:pPr>
      <w:widowControl w:val="0"/>
      <w:numPr>
        <w:numId w:val="6"/>
      </w:numPr>
      <w:spacing w:line="280" w:lineRule="exact"/>
    </w:pPr>
    <w:rPr>
      <w:rFonts w:ascii="Calibri" w:eastAsia="Calibri" w:hAnsi="Calibri" w:cs="Calibri"/>
      <w:color w:val="002060"/>
      <w:sz w:val="24"/>
    </w:rPr>
  </w:style>
  <w:style w:type="character" w:customStyle="1" w:styleId="51">
    <w:name w:val="רשימה5 ממה תו"/>
    <w:basedOn w:val="DefaultParagraphFont"/>
    <w:link w:val="50"/>
    <w:rsid w:val="00B4321D"/>
    <w:rPr>
      <w:rFonts w:ascii="Calibri" w:eastAsia="Calibri" w:hAnsi="Calibri" w:cs="Calibri"/>
      <w:color w:val="002060"/>
      <w:sz w:val="24"/>
    </w:rPr>
  </w:style>
  <w:style w:type="paragraph" w:customStyle="1" w:styleId="a22">
    <w:name w:val="הערת שוליים ממה"/>
    <w:basedOn w:val="Normal"/>
    <w:link w:val="a23"/>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23">
    <w:name w:val="הערת שוליים ממה תו"/>
    <w:basedOn w:val="DefaultParagraphFont"/>
    <w:link w:val="a22"/>
    <w:rsid w:val="00B4321D"/>
    <w:rPr>
      <w:rFonts w:ascii="Calibri" w:eastAsia="Calibri" w:hAnsi="Calibri" w:cs="Calibri"/>
      <w:color w:val="002060"/>
      <w:sz w:val="24"/>
      <w:szCs w:val="20"/>
    </w:rPr>
  </w:style>
  <w:style w:type="paragraph" w:customStyle="1" w:styleId="a24">
    <w:name w:val="הערת סיום ממה"/>
    <w:basedOn w:val="Normal"/>
    <w:link w:val="a25"/>
    <w:qFormat/>
    <w:rsid w:val="00B4321D"/>
    <w:pPr>
      <w:widowControl w:val="0"/>
      <w:spacing w:line="240" w:lineRule="auto"/>
      <w:ind w:left="1134"/>
    </w:pPr>
    <w:rPr>
      <w:rFonts w:ascii="Calibri" w:eastAsia="Calibri" w:hAnsi="Calibri" w:cs="Calibri"/>
      <w:color w:val="002060"/>
      <w:sz w:val="24"/>
      <w:szCs w:val="20"/>
    </w:rPr>
  </w:style>
  <w:style w:type="character" w:customStyle="1" w:styleId="a25">
    <w:name w:val="הערת סיום ממה תו"/>
    <w:basedOn w:val="DefaultParagraphFont"/>
    <w:link w:val="a24"/>
    <w:rsid w:val="00B4321D"/>
    <w:rPr>
      <w:rFonts w:ascii="Calibri" w:eastAsia="Calibri" w:hAnsi="Calibri" w:cs="Calibri"/>
      <w:color w:val="002060"/>
      <w:sz w:val="24"/>
      <w:szCs w:val="20"/>
    </w:rPr>
  </w:style>
  <w:style w:type="paragraph" w:customStyle="1" w:styleId="17">
    <w:name w:val="ליקוי/ממצא חיובי/המלצה1 ממה"/>
    <w:next w:val="Normal"/>
    <w:link w:val="18"/>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8">
    <w:name w:val="ליקוי/ממצא חיובי/המלצה1 ממה תו"/>
    <w:basedOn w:val="DefaultParagraphFont"/>
    <w:link w:val="17"/>
    <w:rsid w:val="00B4321D"/>
    <w:rPr>
      <w:rFonts w:ascii="Calibri" w:eastAsia="Calibri" w:hAnsi="Calibri" w:cs="Calibri"/>
      <w:color w:val="002060"/>
      <w:sz w:val="24"/>
    </w:rPr>
  </w:style>
  <w:style w:type="paragraph" w:customStyle="1" w:styleId="24">
    <w:name w:val="ליקוי/ממצא חיובי/המלצה2 ממה"/>
    <w:basedOn w:val="Normal"/>
    <w:next w:val="Normal"/>
    <w:link w:val="25"/>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5">
    <w:name w:val="ליקוי/ממצא חיובי/המלצה2 ממה תו"/>
    <w:basedOn w:val="18"/>
    <w:link w:val="24"/>
    <w:rsid w:val="00B4321D"/>
    <w:rPr>
      <w:rFonts w:ascii="Calibri" w:eastAsia="Calibri" w:hAnsi="Calibri" w:cs="Calibri"/>
      <w:color w:val="002060"/>
      <w:sz w:val="24"/>
    </w:rPr>
  </w:style>
  <w:style w:type="paragraph" w:customStyle="1" w:styleId="34">
    <w:name w:val="ליקוי/ממצא חיובי/המלצה3 ממה"/>
    <w:basedOn w:val="Normal"/>
    <w:link w:val="35"/>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5">
    <w:name w:val="ליקוי/ממצא חיובי/המלצה3 ממה תו"/>
    <w:basedOn w:val="DefaultParagraphFont"/>
    <w:link w:val="34"/>
    <w:rsid w:val="00B4321D"/>
    <w:rPr>
      <w:rFonts w:ascii="Calibri" w:eastAsia="Calibri" w:hAnsi="Calibri" w:cs="Calibri"/>
      <w:color w:val="002060"/>
      <w:sz w:val="24"/>
    </w:rPr>
  </w:style>
  <w:style w:type="paragraph" w:customStyle="1" w:styleId="a26">
    <w:name w:val="נבנצאל ממה"/>
    <w:basedOn w:val="Normal"/>
    <w:next w:val="Normal"/>
    <w:link w:val="a27"/>
    <w:uiPriority w:val="99"/>
    <w:qFormat/>
    <w:rsid w:val="00B4321D"/>
    <w:pPr>
      <w:keepNext/>
      <w:spacing w:line="280" w:lineRule="exact"/>
      <w:jc w:val="left"/>
    </w:pPr>
    <w:rPr>
      <w:rFonts w:ascii="Calibri" w:eastAsia="Calibri" w:hAnsi="Calibri" w:cs="Calibri"/>
      <w:color w:val="002060"/>
      <w:szCs w:val="20"/>
    </w:rPr>
  </w:style>
  <w:style w:type="character" w:customStyle="1" w:styleId="a27">
    <w:name w:val="נבנצאל ממה תו"/>
    <w:basedOn w:val="DefaultParagraphFont"/>
    <w:link w:val="a26"/>
    <w:uiPriority w:val="99"/>
    <w:rsid w:val="00B4321D"/>
    <w:rPr>
      <w:rFonts w:ascii="Calibri" w:eastAsia="Calibri" w:hAnsi="Calibri" w:cs="Calibri"/>
      <w:color w:val="002060"/>
      <w:szCs w:val="20"/>
    </w:rPr>
  </w:style>
  <w:style w:type="paragraph" w:customStyle="1" w:styleId="a28">
    <w:name w:val="רגיל ממה"/>
    <w:basedOn w:val="Normal"/>
    <w:link w:val="a29"/>
    <w:qFormat/>
    <w:rsid w:val="00B4321D"/>
    <w:pPr>
      <w:widowControl w:val="0"/>
      <w:spacing w:line="280" w:lineRule="exact"/>
      <w:ind w:left="1134"/>
    </w:pPr>
    <w:rPr>
      <w:rFonts w:ascii="Calibri" w:eastAsia="Calibri" w:hAnsi="Calibri" w:cs="Calibri"/>
      <w:color w:val="002060"/>
      <w:sz w:val="24"/>
    </w:rPr>
  </w:style>
  <w:style w:type="character" w:customStyle="1" w:styleId="a29">
    <w:name w:val="רגיל ממה תו"/>
    <w:basedOn w:val="DefaultParagraphFont"/>
    <w:link w:val="a28"/>
    <w:rsid w:val="00B4321D"/>
    <w:rPr>
      <w:rFonts w:ascii="Calibri" w:eastAsia="Calibri" w:hAnsi="Calibri" w:cs="Calibri"/>
      <w:color w:val="002060"/>
      <w:sz w:val="24"/>
    </w:rPr>
  </w:style>
  <w:style w:type="paragraph" w:customStyle="1" w:styleId="a30">
    <w:name w:val="סיכום ממה"/>
    <w:basedOn w:val="Normal"/>
    <w:next w:val="Normal"/>
    <w:link w:val="a31"/>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31">
    <w:name w:val="סיכום ממה תו"/>
    <w:basedOn w:val="DefaultParagraphFont"/>
    <w:link w:val="a30"/>
    <w:rsid w:val="00B4321D"/>
    <w:rPr>
      <w:rFonts w:ascii="Calibri" w:eastAsia="Calibri" w:hAnsi="Calibri" w:cs="Calibri"/>
      <w:b/>
      <w:bCs/>
      <w:color w:val="FFFFFF" w:themeColor="background1"/>
      <w:sz w:val="2"/>
      <w:szCs w:val="2"/>
    </w:rPr>
  </w:style>
  <w:style w:type="paragraph" w:customStyle="1" w:styleId="a32">
    <w:name w:val="טקסט סיכום ממה"/>
    <w:basedOn w:val="Normal"/>
    <w:next w:val="Normal"/>
    <w:qFormat/>
    <w:rsid w:val="00B4321D"/>
    <w:pPr>
      <w:widowControl w:val="0"/>
      <w:spacing w:after="240" w:line="280" w:lineRule="exact"/>
      <w:ind w:left="1140"/>
    </w:pPr>
    <w:rPr>
      <w:rFonts w:ascii="Calibri" w:eastAsia="Calibri" w:hAnsi="Calibri" w:cs="Calibri"/>
      <w:bCs/>
      <w:color w:val="002060"/>
      <w:sz w:val="24"/>
    </w:rPr>
  </w:style>
  <w:style w:type="paragraph" w:customStyle="1" w:styleId="a33">
    <w:name w:val="סיכום ביניים ממה"/>
    <w:basedOn w:val="Normal"/>
    <w:next w:val="Normal"/>
    <w:qFormat/>
    <w:rsid w:val="00B4321D"/>
    <w:pPr>
      <w:widowControl w:val="0"/>
      <w:spacing w:before="240" w:after="240"/>
      <w:ind w:left="1134"/>
    </w:pPr>
    <w:rPr>
      <w:rFonts w:ascii="Calibri" w:eastAsia="Calibri" w:hAnsi="Calibri" w:cs="Calibri"/>
      <w:noProof/>
      <w:color w:val="002060"/>
      <w:sz w:val="24"/>
    </w:rPr>
  </w:style>
  <w:style w:type="paragraph" w:customStyle="1" w:styleId="a34">
    <w:name w:val="טקסט סיכום ביניים ממה"/>
    <w:basedOn w:val="Normal"/>
    <w:next w:val="Normal"/>
    <w:qFormat/>
    <w:rsid w:val="00B4321D"/>
    <w:pPr>
      <w:widowControl w:val="0"/>
      <w:spacing w:after="240" w:line="280" w:lineRule="exact"/>
      <w:ind w:left="1134"/>
    </w:pPr>
    <w:rPr>
      <w:rFonts w:ascii="Calibri" w:eastAsia="Calibri" w:hAnsi="Calibri" w:cs="Calibri"/>
      <w:bCs/>
      <w:color w:val="002060"/>
      <w:sz w:val="24"/>
    </w:rPr>
  </w:style>
  <w:style w:type="paragraph" w:customStyle="1" w:styleId="a35">
    <w:name w:val="תרשים ממה"/>
    <w:basedOn w:val="Normal"/>
    <w:next w:val="Normal"/>
    <w:link w:val="a36"/>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36">
    <w:name w:val="תרשים ממה תו"/>
    <w:basedOn w:val="DefaultParagraphFont"/>
    <w:link w:val="a35"/>
    <w:rsid w:val="00B4321D"/>
    <w:rPr>
      <w:rFonts w:ascii="Calibri" w:eastAsia="Calibri" w:hAnsi="Calibri" w:cs="Calibri"/>
      <w:b/>
      <w:bCs/>
      <w:color w:val="002060"/>
      <w:sz w:val="24"/>
    </w:rPr>
  </w:style>
  <w:style w:type="paragraph" w:customStyle="1" w:styleId="a37">
    <w:name w:val="תמונה ממה"/>
    <w:basedOn w:val="Normal"/>
    <w:next w:val="Normal"/>
    <w:link w:val="a38"/>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38">
    <w:name w:val="תמונה ממה תו"/>
    <w:basedOn w:val="DefaultParagraphFont"/>
    <w:link w:val="a37"/>
    <w:rsid w:val="00B4321D"/>
    <w:rPr>
      <w:rFonts w:ascii="Calibri" w:eastAsia="Calibri" w:hAnsi="Calibri" w:cs="Calibri"/>
      <w:b/>
      <w:bCs/>
      <w:color w:val="002060"/>
      <w:sz w:val="24"/>
    </w:rPr>
  </w:style>
  <w:style w:type="paragraph" w:customStyle="1" w:styleId="a39">
    <w:name w:val="לוח ממה"/>
    <w:basedOn w:val="Normal"/>
    <w:next w:val="Normal"/>
    <w:link w:val="a40"/>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40">
    <w:name w:val="לוח ממה תו"/>
    <w:basedOn w:val="DefaultParagraphFont"/>
    <w:link w:val="a39"/>
    <w:rsid w:val="00B4321D"/>
    <w:rPr>
      <w:rFonts w:ascii="Calibri" w:eastAsia="Calibri" w:hAnsi="Calibri" w:cs="Calibri"/>
      <w:b/>
      <w:bCs/>
      <w:color w:val="002060"/>
      <w:sz w:val="24"/>
    </w:rPr>
  </w:style>
  <w:style w:type="paragraph" w:customStyle="1" w:styleId="a41">
    <w:name w:val="מפה ממה"/>
    <w:basedOn w:val="Normal"/>
    <w:next w:val="Normal"/>
    <w:link w:val="a42"/>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42">
    <w:name w:val="מפה ממה תו"/>
    <w:basedOn w:val="DefaultParagraphFont"/>
    <w:link w:val="a41"/>
    <w:rsid w:val="00B4321D"/>
    <w:rPr>
      <w:rFonts w:ascii="Calibri" w:eastAsia="Calibri" w:hAnsi="Calibri" w:cs="Calibri"/>
      <w:b/>
      <w:bCs/>
      <w:color w:val="002060"/>
      <w:sz w:val="24"/>
    </w:rPr>
  </w:style>
  <w:style w:type="paragraph" w:customStyle="1" w:styleId="a43">
    <w:name w:val="מקור ממה"/>
    <w:basedOn w:val="Normal"/>
    <w:next w:val="Normal"/>
    <w:qFormat/>
    <w:rsid w:val="00B4321D"/>
    <w:pPr>
      <w:keepNext/>
      <w:keepLines/>
      <w:widowControl w:val="0"/>
      <w:ind w:left="1134"/>
    </w:pPr>
    <w:rPr>
      <w:rFonts w:ascii="Calibri" w:eastAsia="Calibri" w:hAnsi="Calibri" w:cs="Calibri"/>
      <w:color w:val="002060"/>
      <w:szCs w:val="20"/>
    </w:rPr>
  </w:style>
  <w:style w:type="paragraph" w:customStyle="1" w:styleId="a44">
    <w:name w:val="אובייקט ממה"/>
    <w:basedOn w:val="Normal"/>
    <w:next w:val="Normal"/>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45">
    <w:name w:val="רכיבי המבוא ממה"/>
    <w:basedOn w:val="Normal"/>
    <w:link w:val="a46"/>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46">
    <w:name w:val="רכיבי המבוא ממה תו"/>
    <w:basedOn w:val="DefaultParagraphFont"/>
    <w:link w:val="a45"/>
    <w:rsid w:val="00B4321D"/>
    <w:rPr>
      <w:rFonts w:ascii="Calibri" w:eastAsia="Calibri" w:hAnsi="Calibri" w:cs="Calibri"/>
      <w:color w:val="002060"/>
      <w:szCs w:val="20"/>
    </w:rPr>
  </w:style>
  <w:style w:type="paragraph" w:customStyle="1" w:styleId="a47">
    <w:name w:val="אייקון במבוא ממה"/>
    <w:basedOn w:val="Normal"/>
    <w:link w:val="a48"/>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48">
    <w:name w:val="אייקון במבוא ממה תו"/>
    <w:basedOn w:val="DefaultParagraphFont"/>
    <w:link w:val="a47"/>
    <w:rsid w:val="00B4321D"/>
    <w:rPr>
      <w:rFonts w:ascii="Calibri" w:eastAsia="Calibri" w:hAnsi="Calibri" w:cs="Calibri"/>
      <w:bCs/>
      <w:color w:val="002060"/>
      <w:sz w:val="24"/>
      <w:szCs w:val="20"/>
    </w:rPr>
  </w:style>
  <w:style w:type="paragraph" w:customStyle="1" w:styleId="739">
    <w:name w:val="73א טקסט רץ 9"/>
    <w:basedOn w:val="Normal"/>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DefaultParagraphFont"/>
    <w:link w:val="739"/>
    <w:rsid w:val="00B4321D"/>
    <w:rPr>
      <w:rFonts w:ascii="Tahoma" w:hAnsi="Tahoma" w:cs="Tahoma"/>
      <w:color w:val="0D0D0D" w:themeColor="text1" w:themeTint="F2"/>
      <w:sz w:val="18"/>
      <w:szCs w:val="18"/>
    </w:rPr>
  </w:style>
  <w:style w:type="table" w:styleId="GridTable4Accent1">
    <w:name w:val="Grid Table 4 Accent 1"/>
    <w:basedOn w:val="TableNormal"/>
    <w:uiPriority w:val="49"/>
    <w:rsid w:val="00354F9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9">
    <w:name w:val="אזכור לא מזוהה1"/>
    <w:basedOn w:val="DefaultParagraphFont"/>
    <w:uiPriority w:val="99"/>
    <w:semiHidden/>
    <w:unhideWhenUsed/>
    <w:rsid w:val="00354F9A"/>
    <w:rPr>
      <w:color w:val="605E5C"/>
      <w:shd w:val="clear" w:color="auto" w:fill="E1DFDD"/>
    </w:rPr>
  </w:style>
  <w:style w:type="table" w:styleId="GridTable5DarkAccent1">
    <w:name w:val="Grid Table 5 Dark Accent 1"/>
    <w:basedOn w:val="TableNormal"/>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
    <w:name w:val="71ג הערות שוליים"/>
    <w:basedOn w:val="FootnoteText"/>
    <w:link w:val="71Char"/>
    <w:qFormat/>
    <w:rsid w:val="00654E79"/>
    <w:pPr>
      <w:spacing w:after="60" w:line="220" w:lineRule="exact"/>
      <w:ind w:left="397" w:hanging="397"/>
    </w:pPr>
    <w:rPr>
      <w:rFonts w:ascii="Tahoma" w:hAnsi="Tahoma" w:cs="Tahoma"/>
      <w:color w:val="0D0D0D"/>
      <w:sz w:val="14"/>
      <w:szCs w:val="14"/>
    </w:rPr>
  </w:style>
  <w:style w:type="character" w:customStyle="1" w:styleId="71Char">
    <w:name w:val="71ג הערות שוליים Char"/>
    <w:basedOn w:val="DefaultParagraphFont"/>
    <w:link w:val="71"/>
    <w:rsid w:val="00654E79"/>
    <w:rPr>
      <w:rFonts w:ascii="Tahoma" w:hAnsi="Tahoma" w:cs="Tahoma"/>
      <w:color w:val="0D0D0D"/>
      <w:sz w:val="14"/>
      <w:szCs w:val="14"/>
    </w:rPr>
  </w:style>
  <w:style w:type="paragraph" w:customStyle="1" w:styleId="710">
    <w:name w:val="71ג לוחות/תרשימים/תמונות/אינפוגרפיקה/מפות"/>
    <w:basedOn w:val="Normal"/>
    <w:qFormat/>
    <w:rsid w:val="00654E79"/>
    <w:pPr>
      <w:keepNext/>
      <w:spacing w:before="240" w:after="240" w:line="260" w:lineRule="exact"/>
      <w:jc w:val="center"/>
    </w:pPr>
    <w:rPr>
      <w:rFonts w:ascii="Tahoma" w:eastAsia="Times New Roman" w:hAnsi="Tahoma" w:cs="Tahoma"/>
      <w:b/>
      <w:bCs/>
      <w:color w:val="0D0D0D"/>
      <w:szCs w:val="20"/>
    </w:rPr>
  </w:style>
  <w:style w:type="paragraph" w:customStyle="1" w:styleId="711">
    <w:name w:val="71ג מקרא+הערות לתרשים/לוח/תמונה"/>
    <w:basedOn w:val="71"/>
    <w:link w:val="71Char0"/>
    <w:qFormat/>
    <w:rsid w:val="00654E79"/>
    <w:pPr>
      <w:spacing w:before="120" w:after="240" w:line="240" w:lineRule="exact"/>
      <w:ind w:left="0" w:firstLine="0"/>
    </w:pPr>
    <w:rPr>
      <w:sz w:val="16"/>
      <w:szCs w:val="16"/>
    </w:rPr>
  </w:style>
  <w:style w:type="character" w:customStyle="1" w:styleId="71Char0">
    <w:name w:val="71ג מקרא+הערות לתרשים/לוח/תמונה Char"/>
    <w:basedOn w:val="71Char"/>
    <w:link w:val="711"/>
    <w:rsid w:val="00654E79"/>
    <w:rPr>
      <w:rFonts w:ascii="Tahoma" w:hAnsi="Tahoma" w:cs="Tahoma"/>
      <w:color w:val="0D0D0D"/>
      <w:sz w:val="16"/>
      <w:szCs w:val="16"/>
    </w:rPr>
  </w:style>
  <w:style w:type="paragraph" w:customStyle="1" w:styleId="00">
    <w:name w:val="00 הערות שוליים אנגלית צד שמאל"/>
    <w:basedOn w:val="FootnoteText"/>
    <w:link w:val="000"/>
    <w:qFormat/>
    <w:rsid w:val="00654E79"/>
    <w:pPr>
      <w:keepNext/>
      <w:keepLines/>
      <w:spacing w:after="60" w:line="220" w:lineRule="exact"/>
      <w:ind w:left="397" w:hanging="397"/>
    </w:pPr>
    <w:rPr>
      <w:rFonts w:ascii="Tahoma" w:hAnsi="Tahoma" w:cs="Tahoma"/>
      <w:color w:val="0D0D0D"/>
      <w:sz w:val="14"/>
      <w:szCs w:val="14"/>
    </w:rPr>
  </w:style>
  <w:style w:type="character" w:customStyle="1" w:styleId="000">
    <w:name w:val="00 הערות שוליים אנגלית צד שמאל תו"/>
    <w:basedOn w:val="DefaultParagraphFont"/>
    <w:link w:val="00"/>
    <w:rsid w:val="00654E79"/>
    <w:rPr>
      <w:rFonts w:ascii="Tahoma" w:hAnsi="Tahoma" w:cs="Tahoma"/>
      <w:color w:val="0D0D0D"/>
      <w:sz w:val="14"/>
      <w:szCs w:val="14"/>
    </w:rPr>
  </w:style>
  <w:style w:type="paragraph" w:styleId="EndnoteText">
    <w:name w:val="endnote text"/>
    <w:basedOn w:val="Normal"/>
    <w:link w:val="a49"/>
    <w:uiPriority w:val="99"/>
    <w:unhideWhenUsed/>
    <w:rsid w:val="00654E79"/>
    <w:pPr>
      <w:spacing w:line="240" w:lineRule="auto"/>
    </w:pPr>
    <w:rPr>
      <w:szCs w:val="20"/>
    </w:rPr>
  </w:style>
  <w:style w:type="character" w:customStyle="1" w:styleId="a49">
    <w:name w:val="טקסט הערת סיום תו"/>
    <w:basedOn w:val="DefaultParagraphFont"/>
    <w:link w:val="EndnoteText"/>
    <w:uiPriority w:val="99"/>
    <w:rsid w:val="00654E79"/>
    <w:rPr>
      <w:szCs w:val="20"/>
    </w:rPr>
  </w:style>
  <w:style w:type="character" w:styleId="EndnoteReference">
    <w:name w:val="endnote reference"/>
    <w:basedOn w:val="DefaultParagraphFont"/>
    <w:uiPriority w:val="99"/>
    <w:semiHidden/>
    <w:unhideWhenUsed/>
    <w:rsid w:val="00654E79"/>
    <w:rPr>
      <w:vertAlign w:val="superscript"/>
    </w:rPr>
  </w:style>
  <w:style w:type="paragraph" w:customStyle="1" w:styleId="0-">
    <w:name w:val="0-מידת תיקון הליקוי"/>
    <w:basedOn w:val="Normal"/>
    <w:link w:val="0-0"/>
    <w:qFormat/>
    <w:rsid w:val="00654E79"/>
    <w:pPr>
      <w:keepNext/>
      <w:keepLines/>
      <w:spacing w:before="180" w:after="180" w:line="260" w:lineRule="exact"/>
      <w:jc w:val="center"/>
    </w:pPr>
    <w:rPr>
      <w:rFonts w:ascii="Tahoma" w:hAnsi="Tahoma" w:cs="Tahoma"/>
      <w:b/>
      <w:bCs/>
      <w:color w:val="0D0D0D"/>
      <w:sz w:val="18"/>
      <w:szCs w:val="18"/>
    </w:rPr>
  </w:style>
  <w:style w:type="character" w:customStyle="1" w:styleId="0-0">
    <w:name w:val="0-מידת תיקון הליקוי תו"/>
    <w:basedOn w:val="DefaultParagraphFont"/>
    <w:link w:val="0-"/>
    <w:rsid w:val="00654E79"/>
    <w:rPr>
      <w:rFonts w:ascii="Tahoma" w:hAnsi="Tahoma" w:cs="Tahoma"/>
      <w:b/>
      <w:bCs/>
      <w:color w:val="0D0D0D"/>
      <w:sz w:val="18"/>
      <w:szCs w:val="18"/>
    </w:rPr>
  </w:style>
  <w:style w:type="paragraph" w:customStyle="1" w:styleId="73">
    <w:name w:val="73א הערות שוליים"/>
    <w:basedOn w:val="FootnoteText"/>
    <w:link w:val="730"/>
    <w:qFormat/>
    <w:rsid w:val="00654E79"/>
    <w:pPr>
      <w:keepNext/>
      <w:keepLines/>
      <w:spacing w:after="60" w:line="220" w:lineRule="exact"/>
      <w:ind w:left="397" w:hanging="397"/>
    </w:pPr>
    <w:rPr>
      <w:rFonts w:ascii="Tahoma" w:hAnsi="Tahoma" w:cs="Tahoma"/>
      <w:color w:val="0D0D0D"/>
      <w:sz w:val="14"/>
      <w:szCs w:val="14"/>
    </w:rPr>
  </w:style>
  <w:style w:type="character" w:customStyle="1" w:styleId="730">
    <w:name w:val="73א הערות שוליים תו"/>
    <w:basedOn w:val="DefaultParagraphFont"/>
    <w:link w:val="73"/>
    <w:rsid w:val="00654E79"/>
    <w:rPr>
      <w:rFonts w:ascii="Tahoma" w:hAnsi="Tahoma" w:cs="Tahoma"/>
      <w:color w:val="0D0D0D"/>
      <w:sz w:val="14"/>
      <w:szCs w:val="14"/>
    </w:rPr>
  </w:style>
  <w:style w:type="table" w:customStyle="1" w:styleId="MRV">
    <w:name w:val="MRV"/>
    <w:basedOn w:val="TableNormal"/>
    <w:uiPriority w:val="99"/>
    <w:rsid w:val="00654E79"/>
    <w:pPr>
      <w:spacing w:after="0" w:line="240" w:lineRule="auto"/>
      <w:jc w:val="left"/>
    </w:pPr>
    <w:rPr>
      <w:rFonts w:ascii="Calibri" w:hAnsi="Calibri" w:cs="Arial"/>
      <w:sz w:val="22"/>
      <w:szCs w:val="22"/>
    </w:rPr>
    <w:tblPr>
      <w:tblBorders>
        <w:bottom w:val="single" w:sz="4" w:space="0" w:color="BFBFBF"/>
        <w:insideH w:val="single" w:sz="4" w:space="0" w:color="BFBFBF"/>
      </w:tblBorders>
    </w:tblPr>
    <w:tcPr>
      <w:vAlign w:val="center"/>
    </w:tcPr>
    <w:tblStylePr w:type="firstRow">
      <w:rPr>
        <w:rFonts w:ascii="Calibri Light" w:hAnsi="Calibri Light"/>
        <w:b/>
      </w:rPr>
      <w:tblPr/>
      <w:tcPr>
        <w:shd w:val="clear" w:color="auto" w:fill="CFE9EA"/>
      </w:tcPr>
    </w:tblStylePr>
    <w:tblStylePr w:type="firstCol">
      <w:pPr>
        <w:jc w:val="center"/>
      </w:pPr>
      <w:rPr>
        <w:rFonts w:ascii="Calibri" w:hAnsi="Calibri"/>
        <w:b/>
      </w:rPr>
      <w:tblPr/>
      <w:tcPr>
        <w:shd w:val="clear" w:color="auto" w:fill="F2F2F2"/>
      </w:tcPr>
    </w:tblStylePr>
  </w:style>
  <w:style w:type="paragraph" w:customStyle="1" w:styleId="110">
    <w:name w:val="כיתוב1"/>
    <w:basedOn w:val="Normal"/>
    <w:next w:val="Normal"/>
    <w:uiPriority w:val="35"/>
    <w:unhideWhenUsed/>
    <w:qFormat/>
    <w:rsid w:val="00654E79"/>
    <w:pPr>
      <w:spacing w:after="200" w:line="240" w:lineRule="auto"/>
    </w:pPr>
    <w:rPr>
      <w:rFonts w:ascii="Calibri" w:hAnsi="Calibri" w:cs="Arial"/>
      <w:i/>
      <w:iCs/>
      <w:color w:val="1F497D"/>
      <w:sz w:val="18"/>
      <w:szCs w:val="18"/>
    </w:rPr>
  </w:style>
  <w:style w:type="character" w:customStyle="1" w:styleId="111">
    <w:name w:val="הפניה עדינה1"/>
    <w:basedOn w:val="DefaultParagraphFont"/>
    <w:uiPriority w:val="31"/>
    <w:qFormat/>
    <w:rsid w:val="00654E79"/>
    <w:rPr>
      <w:smallCaps/>
      <w:color w:val="5A5A5A"/>
    </w:rPr>
  </w:style>
  <w:style w:type="table" w:customStyle="1" w:styleId="MRV1">
    <w:name w:val="MRV1"/>
    <w:basedOn w:val="TableNormal"/>
    <w:uiPriority w:val="99"/>
    <w:rsid w:val="00654E79"/>
    <w:pPr>
      <w:spacing w:after="0" w:line="240" w:lineRule="auto"/>
      <w:jc w:val="left"/>
    </w:pPr>
    <w:rPr>
      <w:rFonts w:ascii="Calibri" w:hAnsi="Calibri" w:cs="Arial"/>
      <w:sz w:val="22"/>
      <w:szCs w:val="22"/>
    </w:rPr>
    <w:tblPr>
      <w:tblBorders>
        <w:bottom w:val="single" w:sz="4" w:space="0" w:color="BFBFBF"/>
        <w:insideH w:val="single" w:sz="4" w:space="0" w:color="BFBFBF"/>
      </w:tblBorders>
    </w:tblPr>
    <w:tcPr>
      <w:vAlign w:val="center"/>
    </w:tcPr>
    <w:tblStylePr w:type="firstRow">
      <w:rPr>
        <w:rFonts w:ascii="Calibri Light" w:hAnsi="Calibri Light"/>
        <w:b/>
      </w:rPr>
      <w:tblPr/>
      <w:tcPr>
        <w:shd w:val="clear" w:color="auto" w:fill="CFE9EA"/>
      </w:tcPr>
    </w:tblStylePr>
    <w:tblStylePr w:type="firstCol">
      <w:pPr>
        <w:jc w:val="center"/>
      </w:pPr>
      <w:rPr>
        <w:rFonts w:ascii="Calibri" w:hAnsi="Calibri"/>
        <w:b/>
      </w:rPr>
      <w:tblPr/>
      <w:tcPr>
        <w:shd w:val="clear" w:color="auto" w:fill="F2F2F2"/>
      </w:tcPr>
    </w:tblStylePr>
  </w:style>
  <w:style w:type="character" w:customStyle="1" w:styleId="italic">
    <w:name w:val="italic"/>
    <w:basedOn w:val="DefaultParagraphFont"/>
    <w:rsid w:val="00654E79"/>
  </w:style>
  <w:style w:type="paragraph" w:customStyle="1" w:styleId="731">
    <w:name w:val="73א היפרלינק"/>
    <w:basedOn w:val="00"/>
    <w:link w:val="732"/>
    <w:qFormat/>
    <w:rsid w:val="00654E79"/>
    <w:pPr>
      <w:bidi w:val="0"/>
    </w:pPr>
    <w:rPr>
      <w:color w:val="6090CC"/>
      <w:u w:val="single"/>
    </w:rPr>
  </w:style>
  <w:style w:type="character" w:customStyle="1" w:styleId="732">
    <w:name w:val="73א היפרלינק תו"/>
    <w:basedOn w:val="000"/>
    <w:link w:val="731"/>
    <w:rsid w:val="00654E79"/>
    <w:rPr>
      <w:rFonts w:ascii="Tahoma" w:hAnsi="Tahoma" w:cs="Tahoma"/>
      <w:color w:val="6090CC"/>
      <w:sz w:val="14"/>
      <w:szCs w:val="14"/>
      <w:u w:val="single"/>
    </w:rPr>
  </w:style>
  <w:style w:type="paragraph" w:customStyle="1" w:styleId="712">
    <w:name w:val="71ג הזחה ראשונה ללא מספר"/>
    <w:basedOn w:val="Normal"/>
    <w:uiPriority w:val="99"/>
    <w:qFormat/>
    <w:rsid w:val="00654E79"/>
    <w:pPr>
      <w:spacing w:after="180" w:line="260" w:lineRule="exact"/>
      <w:ind w:left="397"/>
    </w:pPr>
    <w:rPr>
      <w:rFonts w:ascii="Tahoma" w:hAnsi="Tahoma" w:cs="Tahoma"/>
      <w:color w:val="0D0D0D"/>
      <w:sz w:val="18"/>
      <w:szCs w:val="18"/>
    </w:rPr>
  </w:style>
  <w:style w:type="paragraph" w:customStyle="1" w:styleId="733">
    <w:name w:val="73א לוחות/תרשימים/תמונות/אינפוגרפיקה/מפות"/>
    <w:basedOn w:val="Normal"/>
    <w:qFormat/>
    <w:rsid w:val="00654E79"/>
    <w:pPr>
      <w:keepNext/>
      <w:keepLines/>
      <w:widowControl w:val="0"/>
      <w:spacing w:before="240" w:after="240" w:line="260" w:lineRule="exact"/>
      <w:jc w:val="center"/>
      <w:outlineLvl w:val="6"/>
    </w:pPr>
    <w:rPr>
      <w:rFonts w:ascii="Tahoma" w:eastAsia="Times New Roman" w:hAnsi="Tahoma" w:cs="Tahoma"/>
      <w:b/>
      <w:bCs/>
      <w:color w:val="0D0D0D"/>
      <w:szCs w:val="20"/>
    </w:rPr>
  </w:style>
  <w:style w:type="paragraph" w:customStyle="1" w:styleId="734">
    <w:name w:val="73א מקרא+הערות לתרשים/לוח/תמונה"/>
    <w:basedOn w:val="00"/>
    <w:link w:val="735"/>
    <w:qFormat/>
    <w:rsid w:val="00654E79"/>
    <w:pPr>
      <w:keepNext w:val="0"/>
      <w:keepLines w:val="0"/>
      <w:spacing w:before="120" w:after="240" w:line="260" w:lineRule="exact"/>
      <w:ind w:left="0" w:firstLine="0"/>
    </w:pPr>
    <w:rPr>
      <w:sz w:val="16"/>
      <w:szCs w:val="16"/>
    </w:rPr>
  </w:style>
  <w:style w:type="character" w:customStyle="1" w:styleId="735">
    <w:name w:val="73א מקרא+הערות לתרשים/לוח/תמונה תו"/>
    <w:basedOn w:val="000"/>
    <w:link w:val="734"/>
    <w:rsid w:val="00654E79"/>
    <w:rPr>
      <w:rFonts w:ascii="Tahoma" w:hAnsi="Tahoma" w:cs="Tahoma"/>
      <w:color w:val="0D0D0D"/>
      <w:sz w:val="16"/>
      <w:szCs w:val="16"/>
    </w:rPr>
  </w:style>
  <w:style w:type="character" w:styleId="Emphasis">
    <w:name w:val="Emphasis"/>
    <w:basedOn w:val="DefaultParagraphFont"/>
    <w:uiPriority w:val="20"/>
    <w:qFormat/>
    <w:rsid w:val="00654E79"/>
    <w:rPr>
      <w:i/>
      <w:iCs/>
    </w:rPr>
  </w:style>
  <w:style w:type="character" w:customStyle="1" w:styleId="citation-705">
    <w:name w:val="citation-705"/>
    <w:basedOn w:val="DefaultParagraphFont"/>
    <w:rsid w:val="00654E79"/>
  </w:style>
  <w:style w:type="character" w:customStyle="1" w:styleId="citation-668">
    <w:name w:val="citation-668"/>
    <w:basedOn w:val="DefaultParagraphFont"/>
    <w:rsid w:val="00654E79"/>
  </w:style>
  <w:style w:type="character" w:customStyle="1" w:styleId="citation-667">
    <w:name w:val="citation-667"/>
    <w:basedOn w:val="DefaultParagraphFont"/>
    <w:rsid w:val="00654E79"/>
  </w:style>
  <w:style w:type="character" w:customStyle="1" w:styleId="citation-704">
    <w:name w:val="citation-704"/>
    <w:basedOn w:val="DefaultParagraphFont"/>
    <w:rsid w:val="00654E79"/>
  </w:style>
  <w:style w:type="character" w:customStyle="1" w:styleId="citation-703">
    <w:name w:val="citation-703"/>
    <w:basedOn w:val="DefaultParagraphFont"/>
    <w:rsid w:val="00654E79"/>
  </w:style>
  <w:style w:type="paragraph" w:customStyle="1" w:styleId="736">
    <w:name w:val="73א קוביה כחולה בתוך הזחה ראשונה"/>
    <w:basedOn w:val="Normal"/>
    <w:qFormat/>
    <w:rsid w:val="00654E79"/>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20" w:line="260" w:lineRule="exact"/>
      <w:ind w:left="680" w:right="227"/>
    </w:pPr>
    <w:rPr>
      <w:rFonts w:ascii="Tahoma" w:eastAsia="Times New Roman" w:hAnsi="Tahoma" w:cs="Tahoma"/>
      <w:color w:val="0D0D0D"/>
      <w:sz w:val="18"/>
      <w:szCs w:val="18"/>
      <w:lang w:eastAsia="he-IL"/>
    </w:rPr>
  </w:style>
  <w:style w:type="paragraph" w:customStyle="1" w:styleId="737">
    <w:name w:val="73א הזחה ראשונה ללא מספר"/>
    <w:basedOn w:val="Normal"/>
    <w:rsid w:val="00654E79"/>
    <w:pPr>
      <w:spacing w:after="180" w:line="260" w:lineRule="exact"/>
      <w:ind w:left="397"/>
    </w:pPr>
    <w:rPr>
      <w:rFonts w:ascii="Tahoma" w:hAnsi="Tahoma" w:cs="Tahoma"/>
      <w:color w:val="0D0D0D"/>
      <w:sz w:val="18"/>
      <w:szCs w:val="18"/>
    </w:rPr>
  </w:style>
  <w:style w:type="paragraph" w:customStyle="1" w:styleId="sc-summary">
    <w:name w:val="sc-summary"/>
    <w:basedOn w:val="Normal"/>
    <w:rsid w:val="00654E79"/>
    <w:pPr>
      <w:bidi w:val="0"/>
      <w:spacing w:before="100" w:beforeAutospacing="1" w:after="100" w:afterAutospacing="1" w:line="240" w:lineRule="auto"/>
      <w:jc w:val="left"/>
    </w:pPr>
    <w:rPr>
      <w:rFonts w:eastAsia="Times New Roman" w:cs="Times New Roman"/>
      <w:sz w:val="24"/>
    </w:rPr>
  </w:style>
  <w:style w:type="paragraph" w:customStyle="1" w:styleId="719">
    <w:name w:val="71ג טקסט רץ 9"/>
    <w:basedOn w:val="Normal"/>
    <w:link w:val="719Char"/>
    <w:qFormat/>
    <w:rsid w:val="00654E79"/>
    <w:pPr>
      <w:spacing w:after="180" w:line="260" w:lineRule="exact"/>
      <w:outlineLvl w:val="3"/>
    </w:pPr>
    <w:rPr>
      <w:rFonts w:ascii="Tahoma" w:hAnsi="Tahoma" w:cs="Tahoma"/>
      <w:color w:val="0D0D0D"/>
      <w:sz w:val="18"/>
      <w:szCs w:val="18"/>
    </w:rPr>
  </w:style>
  <w:style w:type="character" w:customStyle="1" w:styleId="719Char">
    <w:name w:val="71ג טקסט רץ 9 Char"/>
    <w:basedOn w:val="DefaultParagraphFont"/>
    <w:link w:val="719"/>
    <w:rsid w:val="00654E79"/>
    <w:rPr>
      <w:rFonts w:ascii="Tahoma" w:hAnsi="Tahoma" w:cs="Tahoma"/>
      <w:color w:val="0D0D0D"/>
      <w:sz w:val="18"/>
      <w:szCs w:val="18"/>
    </w:rPr>
  </w:style>
  <w:style w:type="character" w:styleId="Strong">
    <w:name w:val="Strong"/>
    <w:basedOn w:val="DefaultParagraphFont"/>
    <w:uiPriority w:val="22"/>
    <w:qFormat/>
    <w:rsid w:val="00654E79"/>
    <w:rPr>
      <w:b/>
      <w:bCs/>
    </w:rPr>
  </w:style>
  <w:style w:type="character" w:styleId="PageNumber">
    <w:name w:val="page number"/>
    <w:basedOn w:val="DefaultParagraphFont"/>
    <w:uiPriority w:val="99"/>
    <w:semiHidden/>
    <w:unhideWhenUsed/>
    <w:rsid w:val="00654E79"/>
  </w:style>
  <w:style w:type="paragraph" w:customStyle="1" w:styleId="112">
    <w:name w:val="כותרת תוכן עניינים1"/>
    <w:basedOn w:val="Heading1"/>
    <w:next w:val="Normal"/>
    <w:uiPriority w:val="39"/>
    <w:unhideWhenUsed/>
    <w:qFormat/>
    <w:rsid w:val="00654E79"/>
    <w:pPr>
      <w:spacing w:before="240" w:line="259" w:lineRule="auto"/>
      <w:jc w:val="left"/>
      <w:outlineLvl w:val="9"/>
    </w:pPr>
    <w:rPr>
      <w:rFonts w:ascii="Cambria" w:hAnsi="Cambria" w:cs="Times New Roman"/>
      <w:bCs w:val="0"/>
      <w:color w:val="365F91"/>
      <w:sz w:val="32"/>
      <w:szCs w:val="32"/>
      <w:u w:val="none"/>
      <w:rtl/>
      <w:cs/>
    </w:rPr>
  </w:style>
  <w:style w:type="paragraph" w:styleId="TOC1">
    <w:name w:val="toc 1"/>
    <w:basedOn w:val="Normal"/>
    <w:next w:val="Normal"/>
    <w:autoRedefine/>
    <w:uiPriority w:val="39"/>
    <w:unhideWhenUsed/>
    <w:rsid w:val="00654E79"/>
    <w:pPr>
      <w:spacing w:after="100"/>
    </w:pPr>
  </w:style>
  <w:style w:type="paragraph" w:styleId="TOC3">
    <w:name w:val="toc 3"/>
    <w:basedOn w:val="Normal"/>
    <w:next w:val="Normal"/>
    <w:autoRedefine/>
    <w:uiPriority w:val="39"/>
    <w:unhideWhenUsed/>
    <w:rsid w:val="00654E79"/>
    <w:pPr>
      <w:spacing w:after="100"/>
      <w:ind w:left="400"/>
    </w:pPr>
  </w:style>
  <w:style w:type="paragraph" w:styleId="TOC2">
    <w:name w:val="toc 2"/>
    <w:basedOn w:val="Normal"/>
    <w:next w:val="Normal"/>
    <w:autoRedefine/>
    <w:uiPriority w:val="39"/>
    <w:unhideWhenUsed/>
    <w:rsid w:val="00654E79"/>
    <w:pPr>
      <w:spacing w:after="100"/>
      <w:ind w:left="200"/>
    </w:pPr>
  </w:style>
  <w:style w:type="paragraph" w:styleId="TOC4">
    <w:name w:val="toc 4"/>
    <w:basedOn w:val="Normal"/>
    <w:next w:val="Normal"/>
    <w:autoRedefine/>
    <w:uiPriority w:val="39"/>
    <w:unhideWhenUsed/>
    <w:rsid w:val="00654E79"/>
    <w:pPr>
      <w:spacing w:after="100"/>
      <w:ind w:left="600"/>
    </w:pPr>
  </w:style>
  <w:style w:type="paragraph" w:styleId="TOC5">
    <w:name w:val="toc 5"/>
    <w:basedOn w:val="Normal"/>
    <w:next w:val="Normal"/>
    <w:autoRedefine/>
    <w:uiPriority w:val="39"/>
    <w:unhideWhenUsed/>
    <w:rsid w:val="00654E79"/>
    <w:pPr>
      <w:spacing w:after="100"/>
      <w:ind w:left="800"/>
    </w:pPr>
  </w:style>
  <w:style w:type="paragraph" w:styleId="TOC6">
    <w:name w:val="toc 6"/>
    <w:basedOn w:val="Normal"/>
    <w:next w:val="Normal"/>
    <w:autoRedefine/>
    <w:uiPriority w:val="39"/>
    <w:unhideWhenUsed/>
    <w:rsid w:val="00654E79"/>
    <w:pPr>
      <w:spacing w:after="100"/>
      <w:ind w:left="1000"/>
    </w:pPr>
  </w:style>
  <w:style w:type="character" w:customStyle="1" w:styleId="ng-star-inserted">
    <w:name w:val="ng-star-inserted"/>
    <w:basedOn w:val="DefaultParagraphFont"/>
    <w:rsid w:val="00654E79"/>
  </w:style>
  <w:style w:type="character" w:styleId="SubtleReference">
    <w:name w:val="Subtle Reference"/>
    <w:basedOn w:val="DefaultParagraphFont"/>
    <w:uiPriority w:val="31"/>
    <w:rsid w:val="00654E79"/>
    <w:rPr>
      <w:smallCaps/>
      <w:color w:val="5A5A5A" w:themeColor="text1" w:themeTint="A5"/>
    </w:rPr>
  </w:style>
  <w:style w:type="character" w:customStyle="1" w:styleId="Bodytext2">
    <w:name w:val="Body text (2)_"/>
    <w:basedOn w:val="DefaultParagraphFont"/>
    <w:link w:val="Bodytext20"/>
    <w:rsid w:val="00A210E9"/>
    <w:rPr>
      <w:rFonts w:ascii="Tahoma" w:eastAsia="Tahoma" w:hAnsi="Tahoma" w:cs="Tahoma"/>
      <w:sz w:val="19"/>
      <w:szCs w:val="19"/>
      <w:shd w:val="clear" w:color="auto" w:fill="FFFFFF"/>
    </w:rPr>
  </w:style>
  <w:style w:type="character" w:customStyle="1" w:styleId="Bodytext285pt">
    <w:name w:val="Body text (2) + 8.5 pt"/>
    <w:aliases w:val="Body text (2) + 10 pt,Bold"/>
    <w:basedOn w:val="Bodytext2"/>
    <w:rsid w:val="00A210E9"/>
    <w:rPr>
      <w:rFonts w:ascii="Tahoma" w:eastAsia="Tahoma" w:hAnsi="Tahoma" w:cs="Tahoma"/>
      <w:b/>
      <w:bCs/>
      <w:color w:val="000000"/>
      <w:w w:val="100"/>
      <w:position w:val="0"/>
      <w:sz w:val="17"/>
      <w:szCs w:val="17"/>
      <w:shd w:val="clear" w:color="auto" w:fill="FFFFFF"/>
      <w:lang w:val="he-IL" w:eastAsia="he-IL" w:bidi="he-IL"/>
    </w:rPr>
  </w:style>
  <w:style w:type="paragraph" w:customStyle="1" w:styleId="Bodytext20">
    <w:name w:val="Body text (2)"/>
    <w:basedOn w:val="Normal"/>
    <w:link w:val="Bodytext2"/>
    <w:rsid w:val="00A210E9"/>
    <w:pPr>
      <w:widowControl w:val="0"/>
      <w:shd w:val="clear" w:color="auto" w:fill="FFFFFF"/>
      <w:spacing w:line="0" w:lineRule="atLeast"/>
      <w:ind w:hanging="720"/>
      <w:jc w:val="left"/>
    </w:pPr>
    <w:rPr>
      <w:rFonts w:ascii="Tahoma" w:eastAsia="Tahoma" w:hAnsi="Tahoma" w:cs="Tahoma"/>
      <w:sz w:val="19"/>
      <w:szCs w:val="19"/>
    </w:rPr>
  </w:style>
  <w:style w:type="table" w:customStyle="1" w:styleId="113">
    <w:name w:val="טבלת רשת 1 בהירה1"/>
    <w:basedOn w:val="TableNormal"/>
    <w:next w:val="GridTable1Light"/>
    <w:uiPriority w:val="46"/>
    <w:rsid w:val="00A210E9"/>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
    <w:name w:val="טבלת רשת 1 בהירה - הדגשה 11"/>
    <w:basedOn w:val="TableNormal"/>
    <w:next w:val="GridTable1LightAccent1"/>
    <w:uiPriority w:val="46"/>
    <w:rsid w:val="00A210E9"/>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4-31">
    <w:name w:val="טבלת רשת 4 - הדגשה 31"/>
    <w:basedOn w:val="TableNormal"/>
    <w:next w:val="GridTable4Accent3"/>
    <w:uiPriority w:val="49"/>
    <w:rsid w:val="00A210E9"/>
    <w:pPr>
      <w:spacing w:after="0" w:line="240" w:lineRule="auto"/>
      <w:jc w:val="left"/>
    </w:pPr>
    <w:rPr>
      <w:rFonts w:ascii="Calibri" w:eastAsia="Calibri" w:hAnsi="Calibri" w:cs="Arial"/>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32">
    <w:name w:val="טבלת רשת 4 - הדגשה 32"/>
    <w:basedOn w:val="TableNormal"/>
    <w:next w:val="GridTable4Accent3"/>
    <w:uiPriority w:val="49"/>
    <w:rsid w:val="00A210E9"/>
    <w:pPr>
      <w:spacing w:after="0" w:line="240" w:lineRule="auto"/>
    </w:p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relative">
    <w:name w:val="relative"/>
    <w:basedOn w:val="DefaultParagraphFont"/>
    <w:rsid w:val="00A210E9"/>
  </w:style>
  <w:style w:type="table" w:customStyle="1" w:styleId="5-11">
    <w:name w:val="טבלת רשת 5 כהה - הדגשה 11"/>
    <w:basedOn w:val="TableColumns4"/>
    <w:next w:val="GridTable5DarkAccent1"/>
    <w:uiPriority w:val="50"/>
    <w:rsid w:val="00A210E9"/>
    <w:pPr>
      <w:spacing w:line="240" w:lineRule="auto"/>
    </w:p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l2br w:val="none" w:sz="0" w:space="0" w:color="auto"/>
          <w:tr2bl w:val="none" w:sz="0" w:space="0" w:color="auto"/>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l2br w:val="none" w:sz="0" w:space="0" w:color="auto"/>
          <w:tr2bl w:val="none" w:sz="0" w:space="0" w:color="auto"/>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l2br w:val="none" w:sz="0" w:space="0" w:color="auto"/>
          <w:tr2bl w:val="none" w:sz="0" w:space="0" w:color="auto"/>
        </w:tcBorders>
        <w:shd w:val="clear" w:color="auto" w:fill="4F81BD"/>
      </w:tcPr>
    </w:tblStylePr>
    <w:tblStylePr w:type="band1Vert">
      <w:rPr>
        <w:color w:val="auto"/>
      </w:rPr>
      <w:tblPr/>
      <w:tcPr>
        <w:shd w:val="clear" w:color="auto" w:fill="B8CCE4"/>
      </w:tcPr>
    </w:tblStylePr>
    <w:tblStylePr w:type="band2Vert">
      <w:rPr>
        <w:color w:val="auto"/>
      </w:rPr>
      <w:tblPr/>
      <w:tcPr>
        <w:shd w:val="pct10" w:color="000000" w:fill="FFFFFF"/>
      </w:tcPr>
    </w:tblStylePr>
    <w:tblStylePr w:type="band1Horz">
      <w:tblPr/>
      <w:tcPr>
        <w:shd w:val="clear" w:color="auto" w:fill="B8CCE4"/>
      </w:tcPr>
    </w:tblStylePr>
  </w:style>
  <w:style w:type="table" w:customStyle="1" w:styleId="7-11">
    <w:name w:val="טבלת רשת 7 צבעונית - הדגשה 11"/>
    <w:basedOn w:val="TableNormal"/>
    <w:next w:val="GridTable7ColorfulAccent1"/>
    <w:uiPriority w:val="52"/>
    <w:rsid w:val="00A210E9"/>
    <w:pPr>
      <w:spacing w:after="0" w:line="240" w:lineRule="auto"/>
    </w:pPr>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3-11">
    <w:name w:val="טבלת רשת 3 - הדגשה 11"/>
    <w:basedOn w:val="TableNormal"/>
    <w:next w:val="GridTable3Accent1"/>
    <w:uiPriority w:val="48"/>
    <w:rsid w:val="00A210E9"/>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styleId="TableColumns4">
    <w:name w:val="Table Columns 4"/>
    <w:basedOn w:val="TableNormal"/>
    <w:uiPriority w:val="99"/>
    <w:semiHidden/>
    <w:unhideWhenUsed/>
    <w:rsid w:val="00A210E9"/>
    <w:pPr>
      <w:bidi/>
      <w:spacing w:after="0" w:line="312"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14">
    <w:name w:val="טבלה רגילה 11"/>
    <w:basedOn w:val="TableNormal"/>
    <w:next w:val="PlainTable1"/>
    <w:uiPriority w:val="41"/>
    <w:rsid w:val="00A210E9"/>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5">
    <w:name w:val="רשת טבלה בהירה1"/>
    <w:basedOn w:val="TableNormal"/>
    <w:next w:val="GridTableLight"/>
    <w:uiPriority w:val="40"/>
    <w:rsid w:val="00A210E9"/>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Ruller4">
    <w:name w:val="Ruller4"/>
    <w:basedOn w:val="Normal"/>
    <w:rsid w:val="00A210E9"/>
    <w:pPr>
      <w:tabs>
        <w:tab w:val="left" w:pos="800"/>
      </w:tabs>
      <w:overflowPunct w:val="0"/>
      <w:autoSpaceDE w:val="0"/>
      <w:autoSpaceDN w:val="0"/>
      <w:adjustRightInd w:val="0"/>
      <w:spacing w:line="360" w:lineRule="auto"/>
    </w:pPr>
    <w:rPr>
      <w:rFonts w:ascii="Arial TUR" w:eastAsia="Times New Roman" w:hAnsi="Arial TUR" w:cs="FrankRuehl"/>
      <w:spacing w:val="10"/>
      <w:sz w:val="22"/>
      <w:szCs w:val="28"/>
    </w:rPr>
  </w:style>
  <w:style w:type="character" w:customStyle="1" w:styleId="Bodytext295pt">
    <w:name w:val="Body text (2) + 9.5 pt"/>
    <w:basedOn w:val="Bodytext2"/>
    <w:rsid w:val="00A210E9"/>
    <w:rPr>
      <w:rFonts w:ascii="Calibri" w:eastAsia="Calibri" w:hAnsi="Calibri" w:cs="Calibri"/>
      <w:color w:val="000000"/>
      <w:spacing w:val="0"/>
      <w:w w:val="100"/>
      <w:position w:val="0"/>
      <w:sz w:val="19"/>
      <w:szCs w:val="19"/>
      <w:shd w:val="clear" w:color="auto" w:fill="FFFFFF"/>
      <w:lang w:val="he-IL" w:eastAsia="he-IL" w:bidi="he-IL"/>
    </w:rPr>
  </w:style>
  <w:style w:type="paragraph" w:customStyle="1" w:styleId="a50">
    <w:name w:val="ממוספר"/>
    <w:basedOn w:val="Normal"/>
    <w:rsid w:val="00A210E9"/>
    <w:pPr>
      <w:numPr>
        <w:numId w:val="25"/>
      </w:numPr>
      <w:spacing w:line="240" w:lineRule="auto"/>
      <w:jc w:val="left"/>
    </w:pPr>
    <w:rPr>
      <w:rFonts w:eastAsia="Times New Roman" w:cs="Times New Roman"/>
      <w:sz w:val="24"/>
    </w:rPr>
  </w:style>
  <w:style w:type="paragraph" w:customStyle="1" w:styleId="takzir">
    <w:name w:val="takzir"/>
    <w:basedOn w:val="Normal"/>
    <w:rsid w:val="00A210E9"/>
    <w:pPr>
      <w:spacing w:after="120" w:line="240" w:lineRule="exact"/>
    </w:pPr>
    <w:rPr>
      <w:rFonts w:eastAsia="Times New Roman"/>
      <w:b/>
      <w:bCs/>
      <w:noProof/>
      <w:sz w:val="22"/>
      <w:szCs w:val="22"/>
      <w:lang w:eastAsia="he-IL"/>
    </w:rPr>
  </w:style>
  <w:style w:type="table" w:styleId="GridTable1Light">
    <w:name w:val="Grid Table 1 Light"/>
    <w:basedOn w:val="TableNormal"/>
    <w:uiPriority w:val="46"/>
    <w:rsid w:val="00A210E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210E9"/>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A210E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7ColorfulAccent1">
    <w:name w:val="Grid Table 7 Colorful Accent 1"/>
    <w:basedOn w:val="TableNormal"/>
    <w:uiPriority w:val="52"/>
    <w:rsid w:val="00A210E9"/>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1">
    <w:name w:val="Grid Table 3 Accent 1"/>
    <w:basedOn w:val="TableNormal"/>
    <w:uiPriority w:val="48"/>
    <w:rsid w:val="00A210E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PlainTable1">
    <w:name w:val="Plain Table 1"/>
    <w:basedOn w:val="TableNormal"/>
    <w:uiPriority w:val="41"/>
    <w:rsid w:val="00A210E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Light">
    <w:name w:val="Grid Table Light"/>
    <w:basedOn w:val="TableNormal"/>
    <w:uiPriority w:val="40"/>
    <w:rsid w:val="00A210E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jpe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header" Target="header3.xml"/><Relationship Id="rId68" Type="http://schemas.openxmlformats.org/officeDocument/2006/relationships/customXml" Target="../customXml/item3.xml"/><Relationship Id="rId7" Type="http://schemas.openxmlformats.org/officeDocument/2006/relationships/header" Target="header2.xml"/><Relationship Id="rId16" Type="http://schemas.microsoft.com/office/2007/relationships/diagramDrawing" Target="diagrams/drawing2.xml"/><Relationship Id="rId2" Type="http://schemas.openxmlformats.org/officeDocument/2006/relationships/settings" Target="settings.xml"/><Relationship Id="rId29" Type="http://schemas.openxmlformats.org/officeDocument/2006/relationships/image" Target="media/image14.png"/><Relationship Id="rId11" Type="http://schemas.openxmlformats.org/officeDocument/2006/relationships/diagramLayout" Target="diagrams/layout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diagramLayout" Target="diagrams/layout3.xml"/><Relationship Id="rId58" Type="http://schemas.microsoft.com/office/2007/relationships/diagramDrawing" Target="diagrams/drawing4.xml"/><Relationship Id="rId66" Type="http://schemas.openxmlformats.org/officeDocument/2006/relationships/styles" Target="styles.xml"/><Relationship Id="rId5" Type="http://schemas.openxmlformats.org/officeDocument/2006/relationships/customXml" Target="../customXml/item1.xml"/><Relationship Id="rId61" Type="http://schemas.openxmlformats.org/officeDocument/2006/relationships/diagramQuickStyle" Target="diagrams/quickStyle4.xml"/><Relationship Id="rId19" Type="http://schemas.openxmlformats.org/officeDocument/2006/relationships/diagramQuickStyle" Target="diagrams/quickStyle2.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image" Target="media/image36.jpeg"/><Relationship Id="rId64" Type="http://schemas.openxmlformats.org/officeDocument/2006/relationships/theme" Target="theme/theme1.xml"/><Relationship Id="rId69" Type="http://schemas.openxmlformats.org/officeDocument/2006/relationships/customXml" Target="../customXml/item4.xml"/><Relationship Id="rId51" Type="http://schemas.microsoft.com/office/2007/relationships/diagramDrawing" Target="diagrams/drawing3.xml"/><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diagramQuickStyle" Target="diagrams/quickStyle1.xml"/><Relationship Id="rId17" Type="http://schemas.openxmlformats.org/officeDocument/2006/relationships/diagramData" Target="diagrams/data2.xml"/><Relationship Id="rId25" Type="http://schemas.openxmlformats.org/officeDocument/2006/relationships/image" Target="media/image10.jpeg"/><Relationship Id="rId33" Type="http://schemas.openxmlformats.org/officeDocument/2006/relationships/image" Target="media/image18.emf"/><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diagramData" Target="diagrams/data4.xml"/><Relationship Id="rId67" Type="http://schemas.openxmlformats.org/officeDocument/2006/relationships/customXml" Target="../customXml/item2.xml"/><Relationship Id="rId20" Type="http://schemas.openxmlformats.org/officeDocument/2006/relationships/diagramColors" Target="diagrams/colors2.xml"/><Relationship Id="rId41" Type="http://schemas.openxmlformats.org/officeDocument/2006/relationships/image" Target="media/image26.png"/><Relationship Id="rId54" Type="http://schemas.openxmlformats.org/officeDocument/2006/relationships/diagramQuickStyle" Target="diagrams/quickStyle3.xml"/><Relationship Id="rId62" Type="http://schemas.openxmlformats.org/officeDocument/2006/relationships/diagramColors" Target="diagrams/colors4.xml"/><Relationship Id="rId1" Type="http://schemas.openxmlformats.org/officeDocument/2006/relationships/footnotes" Target="footnotes.xml"/><Relationship Id="rId6" Type="http://schemas.openxmlformats.org/officeDocument/2006/relationships/header" Target="header1.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37.jpeg"/><Relationship Id="rId10" Type="http://schemas.openxmlformats.org/officeDocument/2006/relationships/diagramData" Target="diagrams/data1.xml"/><Relationship Id="rId31" Type="http://schemas.openxmlformats.org/officeDocument/2006/relationships/image" Target="media/image16.png"/><Relationship Id="rId44" Type="http://schemas.openxmlformats.org/officeDocument/2006/relationships/image" Target="media/image29.jpeg"/><Relationship Id="rId52" Type="http://schemas.openxmlformats.org/officeDocument/2006/relationships/diagramData" Target="diagrams/data3.xml"/><Relationship Id="rId60" Type="http://schemas.openxmlformats.org/officeDocument/2006/relationships/diagramLayout" Target="diagrams/layout4.xml"/><Relationship Id="rId65" Type="http://schemas.openxmlformats.org/officeDocument/2006/relationships/numbering" Target="numbering.xml"/><Relationship Id="rId4" Type="http://schemas.openxmlformats.org/officeDocument/2006/relationships/fontTable" Target="fontTable.xml"/><Relationship Id="rId9" Type="http://schemas.microsoft.com/office/2007/relationships/diagramDrawing" Target="diagrams/drawing1.xml"/><Relationship Id="rId13" Type="http://schemas.openxmlformats.org/officeDocument/2006/relationships/diagramColors" Target="diagrams/colors1.xml"/><Relationship Id="rId18" Type="http://schemas.openxmlformats.org/officeDocument/2006/relationships/diagramLayout" Target="diagrams/layout2.xml"/><Relationship Id="rId39" Type="http://schemas.openxmlformats.org/officeDocument/2006/relationships/image" Target="media/image24.png"/><Relationship Id="rId34" Type="http://schemas.openxmlformats.org/officeDocument/2006/relationships/image" Target="media/image19.emf"/><Relationship Id="rId50" Type="http://schemas.openxmlformats.org/officeDocument/2006/relationships/image" Target="media/image35.png"/><Relationship Id="rId55" Type="http://schemas.openxmlformats.org/officeDocument/2006/relationships/diagramColors" Target="diagrams/colors3.xml"/></Relationships>
</file>

<file path=word/_rels/footnotes.xml.rels><?xml version="1.0" encoding="utf-8" standalone="yes"?><Relationships xmlns="http://schemas.openxmlformats.org/package/2006/relationships"><Relationship Id="rId1" Type="http://schemas.openxmlformats.org/officeDocument/2006/relationships/hyperlink" Target="http://www.gov.il/he/pages/what_is_accessibility_guide?chapterIndex=2" TargetMode="External" /><Relationship Id="rId10" Type="http://schemas.openxmlformats.org/officeDocument/2006/relationships/hyperlink" Target="https://www.gov.il/he/pages/dec3584-2025" TargetMode="External" /><Relationship Id="rId11" Type="http://schemas.openxmlformats.org/officeDocument/2006/relationships/hyperlink" Target="https://shikum.mod.gov.il/transportation/parking-badge?utm_source=chatgpt.com" TargetMode="External" /><Relationship Id="rId12" Type="http://schemas.openxmlformats.org/officeDocument/2006/relationships/hyperlink" Target="https://www.gov.il/BlobFolder/policy/parking-plan/he/2412-23.pdf" TargetMode="External" /><Relationship Id="rId13" Type="http://schemas.openxmlformats.org/officeDocument/2006/relationships/hyperlink" Target="https://me.health.gov.il/mental-health/therapy-and-rehabilitation/social-rights/disabled-parking-placard/" TargetMode="External" /><Relationship Id="rId14" Type="http://schemas.openxmlformats.org/officeDocument/2006/relationships/hyperlink" Target="file:///F:\Eco%20Division\Agaf_12\&#1489;&#1497;&#1511;&#1493;&#1512;&#1514;\&#1491;&#1493;&#1495;%20&#1499;&#1500;&#1499;&#1500;&#1497;%202025\&#1514;&#1490;&#1497;%20&#1495;&#1504;&#1497;&#1492;%20&#1500;&#1504;&#1499;&#1497;&#1501;\&#1492;&#1511;&#1510;&#1488;&#1492;%20&#1493;&#1488;&#1499;&#1497;&#1508;&#1492;\&#1492;&#1514;&#1499;&#1504;&#1497;&#1514;%20&#1492;&#1500;&#1488;&#1493;&#1502;&#1497;&#1514;%20&#1500;&#1495;&#1504;&#1497;&#1492;%20-%20&#1502;&#1513;&#1512;&#1491;%20&#1492;&#1514;&#1495;&#1489;&#1493;&#1512;&#1492;.pdf" TargetMode="External" /><Relationship Id="rId15" Type="http://schemas.openxmlformats.org/officeDocument/2006/relationships/hyperlink" Target="https://www.nei.nih.gov/about/news-and-events/news/visual-impairment-blindness-cases-us-expected-double-2050" TargetMode="External" /><Relationship Id="rId16" Type="http://schemas.openxmlformats.org/officeDocument/2006/relationships/hyperlink" Target="https://www.btl.gov.il/benefits/Mobility/Pages/TagHANYA1.aspx" TargetMode="External" /><Relationship Id="rId17" Type="http://schemas.openxmlformats.org/officeDocument/2006/relationships/hyperlink" Target="http://mvdocd2app.mevaker.loc/D2/?docbase=NM_PRD&amp;locateId=090bc09b84caefe8" TargetMode="External" /><Relationship Id="rId18" Type="http://schemas.openxmlformats.org/officeDocument/2006/relationships/hyperlink" Target="https://www.gov.il/he/pages/drivers-car-license-fee-boards" TargetMode="External" /><Relationship Id="rId19" Type="http://schemas.openxmlformats.org/officeDocument/2006/relationships/hyperlink" Target="https://www.gov.uk/financial-help-disabled/vehicles-and-transport?utm_source=chatgpt.com" TargetMode="External" /><Relationship Id="rId2" Type="http://schemas.openxmlformats.org/officeDocument/2006/relationships/hyperlink" Target="http://www.gov.il/he/pages/negishut1" TargetMode="External" /><Relationship Id="rId20" Type="http://schemas.openxmlformats.org/officeDocument/2006/relationships/hyperlink" Target="https://www.government.nl/topics/vehicle-tax/vehicle-tax/applying-for-a-partial-exemption-from-vehicle-tax-for-a-wheelchair-facility" TargetMode="External" /><Relationship Id="rId21" Type="http://schemas.openxmlformats.org/officeDocument/2006/relationships/hyperlink" Target="https://www.ddai.ie/disabled-drivers-passengers-tax-relief-scheme" TargetMode="External" /><Relationship Id="rId22" Type="http://schemas.openxmlformats.org/officeDocument/2006/relationships/hyperlink" Target="https://alternative-fuels-observatory.ec.europa.eu/transport-mode/road/germany/incentives-legislations?utm_source=chatgpt.com" TargetMode="External" /><Relationship Id="rId23" Type="http://schemas.openxmlformats.org/officeDocument/2006/relationships/hyperlink" Target="http://www.suma.es/en/exenciones-minusvalia" TargetMode="External" /><Relationship Id="rId24" Type="http://schemas.openxmlformats.org/officeDocument/2006/relationships/hyperlink" Target="https://www.skatteverket.se/servicelankar/otherlanguages/inenglishengelska/individualsandemployees/congestiontax/applicationforexemptionfromtaxliabilityforcongestiontax.4.48cfd212185efbb440b1705.html" TargetMode="External" /><Relationship Id="rId25" Type="http://schemas.openxmlformats.org/officeDocument/2006/relationships/hyperlink" Target="http://mvdocd2app.mevaker.loc/D2/?docbase=NM_PRD&amp;locateId=090bc09b8496603a" TargetMode="External" /><Relationship Id="rId26" Type="http://schemas.openxmlformats.org/officeDocument/2006/relationships/hyperlink" Target="https://library.mevaker.gov.il/sites/DigitalLibrary/Documents/65c/2015-65c-103-Hakika.pdf" TargetMode="External" /><Relationship Id="rId27" Type="http://schemas.openxmlformats.org/officeDocument/2006/relationships/hyperlink" Target="http://mvdocd2app.mevaker.loc/D2/?docbase=NM_PRD&amp;locateId=090bc09b84966596" TargetMode="External" /><Relationship Id="rId28" Type="http://schemas.openxmlformats.org/officeDocument/2006/relationships/hyperlink" Target="https://main.knesset.gov.il/Activity/committees/Pages/AllCommitteesAgenda.aspx?Tab=3&amp;ItemID=2189688" TargetMode="External" /><Relationship Id="rId29" Type="http://schemas.openxmlformats.org/officeDocument/2006/relationships/hyperlink" Target="https://main.knesset.gov.il/Activity/committees/Pages/AllCommitteeProtocols.aspx?ItemID=2189688" TargetMode="External" /><Relationship Id="rId3" Type="http://schemas.openxmlformats.org/officeDocument/2006/relationships/hyperlink" Target="https://www.gov.il/he/pages/what_is_accessibility_guide?chapterIndex=3" TargetMode="External" /><Relationship Id="rId30" Type="http://schemas.openxmlformats.org/officeDocument/2006/relationships/hyperlink" Target="http://mvdocd2app.mevaker.loc/D2/?docbase=NM_PRD&amp;locateId=090bc09b8496603d" TargetMode="External" /><Relationship Id="rId31" Type="http://schemas.openxmlformats.org/officeDocument/2006/relationships/hyperlink" Target="http://mvdocd2app.mevaker.loc/D2/?docbase=NM_PRD&amp;locateId=090bc09b849a4786" TargetMode="External" /><Relationship Id="rId32" Type="http://schemas.openxmlformats.org/officeDocument/2006/relationships/hyperlink" Target="http://mvdocd2app.mevaker.loc/D2/?docbase=NM_PRD&amp;locateId=090bc09b84966598" TargetMode="External" /><Relationship Id="rId33" Type="http://schemas.openxmlformats.org/officeDocument/2006/relationships/hyperlink" Target="http://mvdocd2app.mevaker.loc/D2/?docbase=NM_PRD&amp;locateId=090bc09b84966599" TargetMode="External" /><Relationship Id="rId34" Type="http://schemas.openxmlformats.org/officeDocument/2006/relationships/hyperlink" Target="http://mvdocd2app.mevaker.loc/D2/?docbase=NM_PRD&amp;locateId=090bc09b8496659b" TargetMode="External" /><Relationship Id="rId35" Type="http://schemas.openxmlformats.org/officeDocument/2006/relationships/hyperlink" Target="http://mvdocd2app.mevaker.loc/D2/?docbase=NM_PRD&amp;locateId=090bc09b84966203" TargetMode="External" /><Relationship Id="rId36" Type="http://schemas.openxmlformats.org/officeDocument/2006/relationships/hyperlink" Target="http://mvdocd2app.mevaker.loc/D2/?docbase=NM_PRD&amp;locateId=090bc09b84991245" TargetMode="External" /><Relationship Id="rId37" Type="http://schemas.openxmlformats.org/officeDocument/2006/relationships/hyperlink" Target="http://mvdocd2app.mevaker.loc/D2/?docbase=NM_PRD&amp;locateId=090bc09b8496659a" TargetMode="External" /><Relationship Id="rId38" Type="http://schemas.openxmlformats.org/officeDocument/2006/relationships/hyperlink" Target="http://www.gov.il/BlobFolder/policy/parking-plan/he/2412-23.pdf" TargetMode="External" /><Relationship Id="rId39" Type="http://schemas.openxmlformats.org/officeDocument/2006/relationships/hyperlink" Target="http://mvdocd2app.mevaker.loc/D2/?docbase=NM_PRD&amp;locateId=090bc09b849661fb" TargetMode="External" /><Relationship Id="rId4" Type="http://schemas.openxmlformats.org/officeDocument/2006/relationships/hyperlink" Target="https://www.gov.il/he/pages/a_crpd_hebrew_fulltext" TargetMode="External" /><Relationship Id="rId40" Type="http://schemas.openxmlformats.org/officeDocument/2006/relationships/hyperlink" Target="http://mvdocd2app.mevaker.loc/D2/?docbase=NM_PRD&amp;locateId=090bc09b849661fc" TargetMode="External" /><Relationship Id="rId41" Type="http://schemas.openxmlformats.org/officeDocument/2006/relationships/hyperlink" Target="https://www.tel-aviv.gov.il/Residents/Transportation/Pages/Handicap.aspx" TargetMode="External" /><Relationship Id="rId42" Type="http://schemas.openxmlformats.org/officeDocument/2006/relationships/hyperlink" Target="http://mvdocd2app.mevaker.loc/D2/?docbase=NM_PRD&amp;locateId=090bc09b84962766" TargetMode="External" /><Relationship Id="rId43" Type="http://schemas.openxmlformats.org/officeDocument/2006/relationships/hyperlink" Target="http://mvdocd2app.mevaker.loc/D2/?docbase=NM_PRD&amp;locateId=090bc09b8496275e" TargetMode="External" /><Relationship Id="rId44" Type="http://schemas.openxmlformats.org/officeDocument/2006/relationships/hyperlink" Target="http://mvdocd2app.mevaker.loc/D2/?docbase=NM_PRD&amp;locateId=090bc09b84962721" TargetMode="External" /><Relationship Id="rId45" Type="http://schemas.openxmlformats.org/officeDocument/2006/relationships/hyperlink" Target="https://eur-lex.europa.eu/eli/dir/2024/2841/oj" TargetMode="External" /><Relationship Id="rId46" Type="http://schemas.openxmlformats.org/officeDocument/2006/relationships/hyperlink" Target="http://www.gov.il/he/pages/haniti-users-guid" TargetMode="External" /><Relationship Id="rId47" Type="http://schemas.openxmlformats.org/officeDocument/2006/relationships/hyperlink" Target="http://mvdocd2app.mevaker.loc/D2/?docbase=NM_PRD&amp;locateId=090bc09b84962765" TargetMode="External" /><Relationship Id="rId48" Type="http://schemas.openxmlformats.org/officeDocument/2006/relationships/hyperlink" Target="http://mvdocd2app.mevaker.loc/D2/?docbase=NM_PRD&amp;locateId=090bc09b84962802" TargetMode="External" /><Relationship Id="rId49" Type="http://schemas.openxmlformats.org/officeDocument/2006/relationships/hyperlink" Target="https://www.btl.gov.il/benefits/Mobility/LikuyList/Pages/default.aspx" TargetMode="External" /><Relationship Id="rId5" Type="http://schemas.openxmlformats.org/officeDocument/2006/relationships/hyperlink" Target="http://www.nevo.co.il/Law_word/law17/PROP-2201.pdf" TargetMode="External" /><Relationship Id="rId50" Type="http://schemas.openxmlformats.org/officeDocument/2006/relationships/hyperlink" Target="http://btl.gov.il/benefits/mobility/pages/default.aspx" TargetMode="External" /><Relationship Id="rId51" Type="http://schemas.openxmlformats.org/officeDocument/2006/relationships/hyperlink" Target="https://www.nevo.co.il/law_html/law01/310_007.htm" TargetMode="External" /><Relationship Id="rId52" Type="http://schemas.openxmlformats.org/officeDocument/2006/relationships/hyperlink" Target="https://harhayeda.gov.il/success-stories/parkingtag/" TargetMode="External" /><Relationship Id="rId53" Type="http://schemas.openxmlformats.org/officeDocument/2006/relationships/hyperlink" Target="https://www.btl.gov.il/benefits/Disability/otherbenefits/Pages/%D7%AA%D7%92%20%D7%97%D7%A0%D7%99%D7%94%20%D7%9C%D7%A8%D7%9B%D7%91%20%D7%A0%D7%9B%D7%94.aspx" TargetMode="External" /><Relationship Id="rId54" Type="http://schemas.openxmlformats.org/officeDocument/2006/relationships/hyperlink" Target="https://www.gov.il/he/pages/terms_conditions_use_disability_parking_badge?chapterIndex=2" TargetMode="External" /><Relationship Id="rId55" Type="http://schemas.openxmlformats.org/officeDocument/2006/relationships/hyperlink" Target="https://www.gov.il/he/pages/disabled-parking" TargetMode="External" /><Relationship Id="rId56" Type="http://schemas.openxmlformats.org/officeDocument/2006/relationships/hyperlink" Target="https://www.gov.il/he/pages/terms_conditions_use_disability_parking_badge" TargetMode="External" /><Relationship Id="rId57" Type="http://schemas.openxmlformats.org/officeDocument/2006/relationships/hyperlink" Target="https://www.gov.il/he/pages/terms_conditions_use_disability_parking_badge?chapterIndex=4" TargetMode="External" /><Relationship Id="rId58" Type="http://schemas.openxmlformats.org/officeDocument/2006/relationships/hyperlink" Target="https://www.gov.uk/apply-blue-badge" TargetMode="External" /><Relationship Id="rId59" Type="http://schemas.openxmlformats.org/officeDocument/2006/relationships/hyperlink" Target="https://www.amsterdam.nl/en/parking/disability-parkcard/?utm_source=chatgpt.com" TargetMode="External" /><Relationship Id="rId6" Type="http://schemas.openxmlformats.org/officeDocument/2006/relationships/hyperlink" Target="https://www.gov.il/he/pages/about-ministry-of-interior" TargetMode="External" /><Relationship Id="rId60" Type="http://schemas.openxmlformats.org/officeDocument/2006/relationships/hyperlink" Target="https://international.kk.dk/live/healthcare/support-for-people-with-disabilities/parking-card-for-the-disabled?utm_source=chatgpt.com" TargetMode="External" /><Relationship Id="rId61" Type="http://schemas.openxmlformats.org/officeDocument/2006/relationships/hyperlink" Target="https://www.gov.il/he/service/amputees_badge" TargetMode="External" /><Relationship Id="rId62" Type="http://schemas.openxmlformats.org/officeDocument/2006/relationships/hyperlink" Target="https://fs.knesset.gov.il/25/Committees/25_ptv_9350025.doc" TargetMode="External" /><Relationship Id="rId63" Type="http://schemas.openxmlformats.org/officeDocument/2006/relationships/hyperlink" Target="http://mvdocd2app.mevaker.loc/D2/?docbase=NM_PRD&amp;locateId=090bc09b849ea7a4" TargetMode="External" /><Relationship Id="rId64" Type="http://schemas.openxmlformats.org/officeDocument/2006/relationships/hyperlink" Target="https://shikum.mod.gov.il/transportation/parking-badge" TargetMode="External" /><Relationship Id="rId65" Type="http://schemas.openxmlformats.org/officeDocument/2006/relationships/hyperlink" Target="https://mr.gov.il/ilgstorefront/he/p/565816" TargetMode="External" /><Relationship Id="rId66" Type="http://schemas.openxmlformats.org/officeDocument/2006/relationships/hyperlink" Target="https://www.gov.il/BlobFolder/dynamiccollectorresultitem/pemiprimium/he/repository-of-answers_ministry-of-transport-and-road-safety_pemiprimium.xlsx?__cf_chl_tk=dIQLHJ9dpexgdJct4R4RwhBAQzM_lGUZeOj.rMEOtuc-1763917352-1.0.1.1-v3YPa1qKcjKZ0lY3ay5oapD6aAlhJHmONbfr.VVk8fI" TargetMode="External" /><Relationship Id="rId67" Type="http://schemas.openxmlformats.org/officeDocument/2006/relationships/hyperlink" Target="https://www.btl.gov.il/Laws1/02_0001_150700.pdf" TargetMode="External" /><Relationship Id="rId68" Type="http://schemas.openxmlformats.org/officeDocument/2006/relationships/hyperlink" Target="https://med.tau.ac.il/disability" TargetMode="External" /><Relationship Id="rId69" Type="http://schemas.openxmlformats.org/officeDocument/2006/relationships/hyperlink" Target="%20https:/cont-edu.technion.ac.il/programs/&#1500;&#1497;&#1502;&#1493;&#1491;&#1497;-&#1492;&#1502;&#1513;&#1498;-&#1489;&#1512;&#1508;&#1493;&#1488;&#1492;/&#1492;&#1506;&#1512;&#1499;&#1514;-&#1504;&#1499;&#1493;&#1514;-&#1512;&#1508;&#1493;&#1488;&#1497;&#1514;" TargetMode="External" /><Relationship Id="rId7" Type="http://schemas.openxmlformats.org/officeDocument/2006/relationships/hyperlink" Target="https://www.gov.il/he/pages/police_09-12-24_tag" TargetMode="External" /><Relationship Id="rId70" Type="http://schemas.openxmlformats.org/officeDocument/2006/relationships/hyperlink" Target="file:///C:\Users\menglman\AppData\Local\Microsoft\Windows\INetCache\Content.Outlook\8AJ2KL4U\%20https\www.btl.gov.il\Laws1\02_0001_150700.pdf" TargetMode="External" /><Relationship Id="rId71" Type="http://schemas.openxmlformats.org/officeDocument/2006/relationships/hyperlink" Target="https://www.gov.il/BlobFolder/generalpage/audit_methodologies/he/risk-audit-management_files_audit_methodologies.pdf" TargetMode="External" /><Relationship Id="rId72" Type="http://schemas.openxmlformats.org/officeDocument/2006/relationships/hyperlink" Target="https://www.gov.il/he/service/medical-fitness-tests-for-driving" TargetMode="External" /><Relationship Id="rId73" Type="http://schemas.openxmlformats.org/officeDocument/2006/relationships/hyperlink" Target="https://www.gov.il/he/service/vehicle-adaptation-and-driving-accessories-committee" TargetMode="External" /><Relationship Id="rId74" Type="http://schemas.openxmlformats.org/officeDocument/2006/relationships/hyperlink" Target="http://mvdocd2app.mevaker.loc/D2/?docbase=NM_PRD&amp;locateId=090bc09b84962760" TargetMode="External" /><Relationship Id="rId75" Type="http://schemas.openxmlformats.org/officeDocument/2006/relationships/hyperlink" Target="https://www.btl.gov.il/About/news/Pages/HADASATAVNACHA.aspx" TargetMode="External" /><Relationship Id="rId76" Type="http://schemas.openxmlformats.org/officeDocument/2006/relationships/hyperlink" Target="https://www.gov.il/he/pages/about_the_commission" TargetMode="External" /><Relationship Id="rId77" Type="http://schemas.openxmlformats.org/officeDocument/2006/relationships/hyperlink" Target="https://www.masham.org.il/%D7%9E%D7%99-%D7%90%D7%A0%D7%97%D7%A0%D7%95/" TargetMode="External" /><Relationship Id="rId78" Type="http://schemas.openxmlformats.org/officeDocument/2006/relationships/hyperlink" Target="http://mvdocd2app.mevaker.loc/D2/?docbase=NM_PRD&amp;locateId=090bc09b8496820f" TargetMode="External" /><Relationship Id="rId79" Type="http://schemas.openxmlformats.org/officeDocument/2006/relationships/hyperlink" Target="http://mvdocd2app.mevaker.loc/D2/?docbase=NM_PRD&amp;locateId=090bc09b84968210" TargetMode="External" /><Relationship Id="rId8" Type="http://schemas.openxmlformats.org/officeDocument/2006/relationships/hyperlink" Target="https://main.knesset.gov.il/Activity/committees/Economics/Pages/CommitteeTVarchive.aspx?TopicID=31529" TargetMode="External" /><Relationship Id="rId9" Type="http://schemas.openxmlformats.org/officeDocument/2006/relationships/hyperlink" Target="file:///F:\Eco%20Division\Agaf_12\&#1489;&#1497;&#1511;&#1493;&#1512;&#1514;\&#1491;&#1493;&#1495;%20&#1499;&#1500;&#1499;&#1500;&#1497;%202025\&#1514;&#1490;&#1497;%20&#1495;&#1504;&#1497;&#1492;%20&#1500;&#1504;&#1499;&#1497;&#1501;\&#1492;&#1511;&#1510;&#1488;&#1492;%20&#1493;&#1488;&#1499;&#1497;&#1508;&#1492;\&#1508;&#1505;&#1497;&#1511;&#1493;&#1514;\&#1489;&#1490;&#1510;%20583308&#1492;&#1493;&#1491;&#1506;&#1514;%20&#1506;&#1491;&#1499;&#1493;&#1503;.pdf"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image" Target="media/image2.svg" /><Relationship Id="rId3" Type="http://schemas.openxmlformats.org/officeDocument/2006/relationships/image" Target="media/image3.png" /></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4F092E-48DA-4C10-9893-16D62EA42F94}" type="doc">
      <dgm:prSet loTypeId="urn:microsoft.com/office/officeart/2005/8/layout/lProcess2" loCatId="relationship" qsTypeId="urn:microsoft.com/office/officeart/2005/8/quickstyle/simple2" qsCatId="simple" csTypeId="urn:microsoft.com/office/officeart/2005/8/colors/accent1_1" csCatId="accent1" phldr="1"/>
      <dgm:spPr/>
      <dgm:t>
        <a:bodyPr/>
        <a:lstStyle/>
        <a:p>
          <a:pPr rtl="1"/>
          <a:endParaRPr lang="he-IL"/>
        </a:p>
      </dgm:t>
    </dgm:pt>
    <dgm:pt modelId="{63362FB7-7F22-48B7-BE10-804D85C7099C}">
      <dgm:prSet phldrT="[טקסט]" custT="1"/>
      <dgm:spPr>
        <a:xfrm>
          <a:off x="3640551" y="1711484"/>
          <a:ext cx="1294196" cy="388324"/>
        </a:xfrm>
        <a:prstGeom prst="roundRect">
          <a:avLst>
            <a:gd name="adj" fmla="val 10000"/>
          </a:avLst>
        </a:prstGeom>
        <a:solidFill>
          <a:sysClr val="window" lastClr="FFFFFF">
            <a:hueOff val="0"/>
            <a:satOff val="0"/>
            <a:lumOff val="0"/>
            <a:alphaOff val="0"/>
          </a:sysClr>
        </a:solidFill>
        <a:ln w="38100">
          <a:solidFill>
            <a:srgbClr val="4F81BD">
              <a:shade val="80000"/>
              <a:hueOff val="0"/>
              <a:satOff val="0"/>
              <a:lumOff val="0"/>
              <a:alphaOff val="0"/>
            </a:srgbClr>
          </a:solidFill>
          <a:prstDash val="solid"/>
        </a:ln>
        <a:effectLst>
          <a:outerShdw blurRad="40000" dist="20000" dir="5400000" sx="100000" sy="100000" kx="0" ky="0" algn="b" rotWithShape="0">
            <a:srgbClr val="000000">
              <a:alpha val="38000"/>
            </a:srgbClr>
          </a:outerShdw>
        </a:effectLst>
      </dgm:spPr>
      <dgm:t>
        <a:bodyPr/>
        <a:lstStyle/>
        <a:p>
          <a:pPr rtl="1">
            <a:buNone/>
          </a:pPr>
          <a:r>
            <a:rPr lang="he-IL" sz="10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המוסד לביטוח לאומי**</a:t>
          </a:r>
        </a:p>
      </dgm:t>
    </dgm:pt>
    <dgm:pt modelId="{B8BC216C-8738-4916-800D-F9B52512CA90}" type="parTrans" cxnId="{D0AAB227-A5D6-41D1-B893-F5BD1DE8B428}">
      <dgm:prSet/>
      <dgm:spPr/>
      <dgm:t>
        <a:bodyPr/>
        <a:lstStyle/>
        <a:p>
          <a:pPr rtl="1"/>
          <a:endParaRPr lang="he-IL">
            <a:latin typeface="David" panose="020E0502060401010101" pitchFamily="34" charset="-79"/>
            <a:cs typeface="David" panose="020E0502060401010101" pitchFamily="34" charset="-79"/>
          </a:endParaRPr>
        </a:p>
      </dgm:t>
    </dgm:pt>
    <dgm:pt modelId="{17B4848A-6F89-4318-ACC1-ABF4CE607117}" type="sibTrans" cxnId="{D0AAB227-A5D6-41D1-B893-F5BD1DE8B428}">
      <dgm:prSet/>
      <dgm:spPr/>
      <dgm:t>
        <a:bodyPr/>
        <a:lstStyle/>
        <a:p>
          <a:pPr rtl="1"/>
          <a:endParaRPr lang="he-IL">
            <a:latin typeface="David" panose="020E0502060401010101" pitchFamily="34" charset="-79"/>
            <a:cs typeface="David" panose="020E0502060401010101" pitchFamily="34" charset="-79"/>
          </a:endParaRPr>
        </a:p>
      </dgm:t>
    </dgm:pt>
    <dgm:pt modelId="{7BD21BF9-6B62-4BC5-B380-2867AA5FBCAF}">
      <dgm:prSet phldrT="[טקסט]" custT="1"/>
      <dgm:spPr>
        <a:xfrm>
          <a:off x="3478776" y="0"/>
          <a:ext cx="1617746" cy="3306536"/>
        </a:xfrm>
        <a:prstGeom prst="roundRect">
          <a:avLst>
            <a:gd name="adj" fmla="val 10000"/>
          </a:avLst>
        </a:prstGeom>
        <a:solidFill>
          <a:srgbClr val="4F81BD">
            <a:tint val="40000"/>
            <a:hueOff val="0"/>
            <a:satOff val="0"/>
            <a:lumOff val="0"/>
            <a:alphaOff val="0"/>
          </a:srgbClr>
        </a:solidFill>
        <a:ln>
          <a:noFill/>
        </a:ln>
        <a:effectLst/>
      </dgm:spPr>
      <dgm:t>
        <a:bodyPr/>
        <a:lstStyle/>
        <a:p>
          <a:pPr rtl="1">
            <a:buNone/>
          </a:pPr>
          <a:r>
            <a:rPr lang="he-IL" sz="1200" b="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הנפקת התגים ומתן זכאות לתג</a:t>
          </a:r>
        </a:p>
      </dgm:t>
    </dgm:pt>
    <dgm:pt modelId="{BADFDC9A-2D24-47FA-A9FD-3C8FE5DAF339}" type="parTrans" cxnId="{E859B751-7457-4712-ACFF-11458DE0EF83}">
      <dgm:prSet/>
      <dgm:spPr/>
      <dgm:t>
        <a:bodyPr/>
        <a:lstStyle/>
        <a:p>
          <a:pPr rtl="1"/>
          <a:endParaRPr lang="he-IL">
            <a:latin typeface="David" panose="020E0502060401010101" pitchFamily="34" charset="-79"/>
            <a:cs typeface="David" panose="020E0502060401010101" pitchFamily="34" charset="-79"/>
          </a:endParaRPr>
        </a:p>
      </dgm:t>
    </dgm:pt>
    <dgm:pt modelId="{091CD28A-534C-4D4E-982A-676576569DD9}" type="sibTrans" cxnId="{E859B751-7457-4712-ACFF-11458DE0EF83}">
      <dgm:prSet/>
      <dgm:spPr/>
      <dgm:t>
        <a:bodyPr/>
        <a:lstStyle/>
        <a:p>
          <a:pPr rtl="1"/>
          <a:endParaRPr lang="he-IL">
            <a:latin typeface="David" panose="020E0502060401010101" pitchFamily="34" charset="-79"/>
            <a:cs typeface="David" panose="020E0502060401010101" pitchFamily="34" charset="-79"/>
          </a:endParaRPr>
        </a:p>
      </dgm:t>
    </dgm:pt>
    <dgm:pt modelId="{7016528E-CFAD-41BB-828D-3F2A19E7E221}">
      <dgm:prSet phldrT="[טקסט]" custT="1"/>
      <dgm:spPr>
        <a:xfrm>
          <a:off x="3640551" y="2169153"/>
          <a:ext cx="1294196" cy="450733"/>
        </a:xfrm>
        <a:prstGeom prst="roundRect">
          <a:avLst>
            <a:gd name="adj" fmla="val 10000"/>
          </a:avLst>
        </a:prstGeom>
        <a:solidFill>
          <a:sysClr val="window" lastClr="FFFFFF">
            <a:hueOff val="0"/>
            <a:satOff val="0"/>
            <a:lumOff val="0"/>
            <a:alphaOff val="0"/>
          </a:sysClr>
        </a:solidFill>
        <a:ln w="38100">
          <a:solidFill>
            <a:srgbClr val="4F81BD">
              <a:shade val="80000"/>
              <a:hueOff val="0"/>
              <a:satOff val="0"/>
              <a:lumOff val="0"/>
              <a:alphaOff val="0"/>
            </a:srgbClr>
          </a:solidFill>
          <a:prstDash val="solid"/>
        </a:ln>
        <a:effectLst>
          <a:outerShdw blurRad="40000" dist="20000" dir="5400000" sx="100000" sy="100000" kx="0" ky="0" algn="b" rotWithShape="0">
            <a:srgbClr val="000000">
              <a:alpha val="38000"/>
            </a:srgbClr>
          </a:outerShdw>
        </a:effectLst>
      </dgm:spPr>
      <dgm:t>
        <a:bodyPr/>
        <a:lstStyle/>
        <a:p>
          <a:pPr rtl="1">
            <a:buNone/>
          </a:pPr>
          <a:r>
            <a:rPr lang="he-IL" sz="10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אגף השיקום במשרד הביטחון</a:t>
          </a:r>
        </a:p>
      </dgm:t>
    </dgm:pt>
    <dgm:pt modelId="{780E7166-8016-4E4E-BFAD-07FAB91AD6A5}" type="parTrans" cxnId="{0FA04C32-8B05-4EC8-9372-6FD140CDDF52}">
      <dgm:prSet/>
      <dgm:spPr/>
      <dgm:t>
        <a:bodyPr/>
        <a:lstStyle/>
        <a:p>
          <a:pPr rtl="1"/>
          <a:endParaRPr lang="he-IL">
            <a:latin typeface="David" panose="020E0502060401010101" pitchFamily="34" charset="-79"/>
            <a:cs typeface="David" panose="020E0502060401010101" pitchFamily="34" charset="-79"/>
          </a:endParaRPr>
        </a:p>
      </dgm:t>
    </dgm:pt>
    <dgm:pt modelId="{54FDADA1-AB8C-4E57-A79B-0A4AFB74A22A}" type="sibTrans" cxnId="{0FA04C32-8B05-4EC8-9372-6FD140CDDF52}">
      <dgm:prSet/>
      <dgm:spPr/>
      <dgm:t>
        <a:bodyPr/>
        <a:lstStyle/>
        <a:p>
          <a:pPr rtl="1"/>
          <a:endParaRPr lang="he-IL">
            <a:latin typeface="David" panose="020E0502060401010101" pitchFamily="34" charset="-79"/>
            <a:cs typeface="David" panose="020E0502060401010101" pitchFamily="34" charset="-79"/>
          </a:endParaRPr>
        </a:p>
      </dgm:t>
    </dgm:pt>
    <dgm:pt modelId="{4FA0C3D3-9AE4-43BF-985D-95209DC0174E}">
      <dgm:prSet phldrT="[טקסט]" custT="1"/>
      <dgm:spPr>
        <a:xfrm>
          <a:off x="3640551" y="2689230"/>
          <a:ext cx="1294196" cy="450733"/>
        </a:xfrm>
        <a:prstGeom prst="roundRect">
          <a:avLst>
            <a:gd name="adj" fmla="val 10000"/>
          </a:avLst>
        </a:prstGeom>
        <a:solidFill>
          <a:sysClr val="window" lastClr="FFFFFF">
            <a:hueOff val="0"/>
            <a:satOff val="0"/>
            <a:lumOff val="0"/>
            <a:alphaOff val="0"/>
          </a:sysClr>
        </a:solidFill>
        <a:ln w="38100">
          <a:solidFill>
            <a:srgbClr val="4F81BD">
              <a:shade val="80000"/>
              <a:hueOff val="0"/>
              <a:satOff val="0"/>
              <a:lumOff val="0"/>
              <a:alphaOff val="0"/>
            </a:srgbClr>
          </a:solidFill>
          <a:prstDash val="solid"/>
        </a:ln>
        <a:effectLst>
          <a:outerShdw blurRad="40000" dist="20000" dir="5400000" sx="100000" sy="100000" kx="0" ky="0" algn="b" rotWithShape="0">
            <a:srgbClr val="000000">
              <a:alpha val="38000"/>
            </a:srgbClr>
          </a:outerShdw>
        </a:effectLst>
      </dgm:spPr>
      <dgm:t>
        <a:bodyPr/>
        <a:lstStyle/>
        <a:p>
          <a:pPr rtl="1">
            <a:buNone/>
          </a:pPr>
          <a:r>
            <a:rPr lang="he-IL" sz="1000" b="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משרד הרווחה והביטחון החברתי</a:t>
          </a:r>
        </a:p>
      </dgm:t>
    </dgm:pt>
    <dgm:pt modelId="{5940C8BD-15E5-4B49-884C-95ED1046F600}" type="parTrans" cxnId="{AD49AF54-365E-4101-9CDD-298EC9F3EFED}">
      <dgm:prSet/>
      <dgm:spPr/>
      <dgm:t>
        <a:bodyPr/>
        <a:lstStyle/>
        <a:p>
          <a:pPr rtl="1"/>
          <a:endParaRPr lang="he-IL">
            <a:latin typeface="David" panose="020E0502060401010101" pitchFamily="34" charset="-79"/>
            <a:cs typeface="David" panose="020E0502060401010101" pitchFamily="34" charset="-79"/>
          </a:endParaRPr>
        </a:p>
      </dgm:t>
    </dgm:pt>
    <dgm:pt modelId="{B6FFCC23-55A2-4A00-9542-0810A814F463}" type="sibTrans" cxnId="{AD49AF54-365E-4101-9CDD-298EC9F3EFED}">
      <dgm:prSet/>
      <dgm:spPr/>
      <dgm:t>
        <a:bodyPr/>
        <a:lstStyle/>
        <a:p>
          <a:pPr rtl="1"/>
          <a:endParaRPr lang="he-IL">
            <a:latin typeface="David" panose="020E0502060401010101" pitchFamily="34" charset="-79"/>
            <a:cs typeface="David" panose="020E0502060401010101" pitchFamily="34" charset="-79"/>
          </a:endParaRPr>
        </a:p>
      </dgm:t>
    </dgm:pt>
    <dgm:pt modelId="{EA1A7CB5-645E-4ED1-84F5-69F365402439}">
      <dgm:prSet phldrT="[טקסט]" custT="1"/>
      <dgm:spPr>
        <a:xfrm>
          <a:off x="3623545" y="650452"/>
          <a:ext cx="1294196" cy="648934"/>
        </a:xfrm>
        <a:prstGeom prst="roundRect">
          <a:avLst>
            <a:gd name="adj" fmla="val 10000"/>
          </a:avLst>
        </a:prstGeom>
        <a:solidFill>
          <a:sysClr val="window" lastClr="FFFFFF">
            <a:hueOff val="0"/>
            <a:satOff val="0"/>
            <a:lumOff val="0"/>
            <a:alphaOff val="0"/>
          </a:sysClr>
        </a:solidFill>
        <a:ln w="38100">
          <a:solidFill>
            <a:srgbClr val="C0504D"/>
          </a:solidFill>
          <a:prstDash val="solid"/>
        </a:ln>
        <a:effectLst>
          <a:outerShdw blurRad="40000" dist="20000" dir="5400000" sx="100000" sy="100000" kx="0" ky="0" algn="b" rotWithShape="0">
            <a:srgbClr val="000000">
              <a:alpha val="38000"/>
            </a:srgbClr>
          </a:outerShdw>
        </a:effectLst>
      </dgm:spPr>
      <dgm:t>
        <a:bodyPr/>
        <a:lstStyle/>
        <a:p>
          <a:pPr rtl="1">
            <a:buNone/>
          </a:pPr>
          <a:r>
            <a:rPr lang="he-IL" sz="10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אגף הרישוי במשרד התחבורה והבטיחות בדרכים</a:t>
          </a:r>
        </a:p>
      </dgm:t>
    </dgm:pt>
    <dgm:pt modelId="{A33DF818-A1F4-4927-BA33-28882DFA74D2}" type="parTrans" cxnId="{8D6C6CB9-FA96-43B4-81CA-165EED15164F}">
      <dgm:prSet/>
      <dgm:spPr/>
      <dgm:t>
        <a:bodyPr/>
        <a:lstStyle/>
        <a:p>
          <a:pPr rtl="1"/>
          <a:endParaRPr lang="he-IL">
            <a:latin typeface="David" panose="020E0502060401010101" pitchFamily="34" charset="-79"/>
            <a:cs typeface="David" panose="020E0502060401010101" pitchFamily="34" charset="-79"/>
          </a:endParaRPr>
        </a:p>
      </dgm:t>
    </dgm:pt>
    <dgm:pt modelId="{8F94318C-A199-41A5-A8E4-4F5B3580708F}" type="sibTrans" cxnId="{8D6C6CB9-FA96-43B4-81CA-165EED15164F}">
      <dgm:prSet/>
      <dgm:spPr/>
      <dgm:t>
        <a:bodyPr/>
        <a:lstStyle/>
        <a:p>
          <a:pPr rtl="1"/>
          <a:endParaRPr lang="he-IL">
            <a:latin typeface="David" panose="020E0502060401010101" pitchFamily="34" charset="-79"/>
            <a:cs typeface="David" panose="020E0502060401010101" pitchFamily="34" charset="-79"/>
          </a:endParaRPr>
        </a:p>
      </dgm:t>
    </dgm:pt>
    <dgm:pt modelId="{F81582A0-151E-4A86-8281-2310385B435B}">
      <dgm:prSet phldrT="[טקסט]" custT="1"/>
      <dgm:spPr>
        <a:xfrm>
          <a:off x="622" y="0"/>
          <a:ext cx="1617746" cy="3306536"/>
        </a:xfrm>
        <a:prstGeom prst="roundRect">
          <a:avLst>
            <a:gd name="adj" fmla="val 10000"/>
          </a:avLst>
        </a:prstGeom>
        <a:solidFill>
          <a:srgbClr val="4F81BD">
            <a:tint val="40000"/>
            <a:hueOff val="0"/>
            <a:satOff val="0"/>
            <a:lumOff val="0"/>
            <a:alphaOff val="0"/>
          </a:srgbClr>
        </a:solidFill>
        <a:ln>
          <a:noFill/>
        </a:ln>
        <a:effectLst/>
      </dgm:spPr>
      <dgm:t>
        <a:bodyPr/>
        <a:lstStyle/>
        <a:p>
          <a:pPr rtl="1">
            <a:buNone/>
          </a:pPr>
          <a:r>
            <a:rPr lang="he-IL" sz="1200" b="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אכיפה</a:t>
          </a:r>
        </a:p>
      </dgm:t>
    </dgm:pt>
    <dgm:pt modelId="{D7BD2D28-DE5F-4A5F-B64F-192B20611B5F}" type="parTrans" cxnId="{7F6F3B88-33FA-4DEE-B08B-31A7850F64A1}">
      <dgm:prSet/>
      <dgm:spPr/>
      <dgm:t>
        <a:bodyPr/>
        <a:lstStyle/>
        <a:p>
          <a:pPr rtl="1"/>
          <a:endParaRPr lang="he-IL">
            <a:latin typeface="David" panose="020E0502060401010101" pitchFamily="34" charset="-79"/>
            <a:cs typeface="David" panose="020E0502060401010101" pitchFamily="34" charset="-79"/>
          </a:endParaRPr>
        </a:p>
      </dgm:t>
    </dgm:pt>
    <dgm:pt modelId="{76F135C8-6D4E-414F-A35D-9F09D96D2575}" type="sibTrans" cxnId="{7F6F3B88-33FA-4DEE-B08B-31A7850F64A1}">
      <dgm:prSet/>
      <dgm:spPr/>
      <dgm:t>
        <a:bodyPr/>
        <a:lstStyle/>
        <a:p>
          <a:pPr rtl="1"/>
          <a:endParaRPr lang="he-IL">
            <a:latin typeface="David" panose="020E0502060401010101" pitchFamily="34" charset="-79"/>
            <a:cs typeface="David" panose="020E0502060401010101" pitchFamily="34" charset="-79"/>
          </a:endParaRPr>
        </a:p>
      </dgm:t>
    </dgm:pt>
    <dgm:pt modelId="{C4E68D9A-77C7-48EC-A088-1A6627EEB7BD}">
      <dgm:prSet phldrT="[טקסט]" custT="1"/>
      <dgm:spPr>
        <a:xfrm>
          <a:off x="162396" y="1913736"/>
          <a:ext cx="1294196" cy="1157632"/>
        </a:xfrm>
        <a:prstGeom prst="roundRect">
          <a:avLst>
            <a:gd name="adj" fmla="val 10000"/>
          </a:avLst>
        </a:prstGeom>
        <a:solidFill>
          <a:sysClr val="window" lastClr="FFFFFF">
            <a:hueOff val="0"/>
            <a:satOff val="0"/>
            <a:lumOff val="0"/>
            <a:alphaOff val="0"/>
          </a:sysClr>
        </a:solidFill>
        <a:ln w="38100">
          <a:solidFill>
            <a:srgbClr val="4F81BD">
              <a:shade val="80000"/>
              <a:hueOff val="0"/>
              <a:satOff val="0"/>
              <a:lumOff val="0"/>
              <a:alphaOff val="0"/>
            </a:srgbClr>
          </a:solidFill>
          <a:prstDash val="solid"/>
        </a:ln>
        <a:effectLst>
          <a:outerShdw blurRad="40000" dist="20000" dir="5400000" sx="100000" sy="100000" kx="0" ky="0" algn="b" rotWithShape="0">
            <a:srgbClr val="000000">
              <a:alpha val="38000"/>
            </a:srgbClr>
          </a:outerShdw>
        </a:effectLst>
      </dgm:spPr>
      <dgm:t>
        <a:bodyPr/>
        <a:lstStyle/>
        <a:p>
          <a:pPr rtl="1">
            <a:buNone/>
          </a:pPr>
          <a:r>
            <a:rPr lang="he-IL" sz="10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משטרת ישראל</a:t>
          </a:r>
        </a:p>
      </dgm:t>
    </dgm:pt>
    <dgm:pt modelId="{91EFC0B8-4EE6-4A7B-9587-3A076C6A8EB7}" type="parTrans" cxnId="{5992DC83-F453-4763-81D8-E59F8F7BF1F5}">
      <dgm:prSet/>
      <dgm:spPr/>
      <dgm:t>
        <a:bodyPr/>
        <a:lstStyle/>
        <a:p>
          <a:pPr rtl="1"/>
          <a:endParaRPr lang="he-IL">
            <a:latin typeface="David" panose="020E0502060401010101" pitchFamily="34" charset="-79"/>
            <a:cs typeface="David" panose="020E0502060401010101" pitchFamily="34" charset="-79"/>
          </a:endParaRPr>
        </a:p>
      </dgm:t>
    </dgm:pt>
    <dgm:pt modelId="{4F6B7542-459D-4545-B126-2C5E1659AEF2}" type="sibTrans" cxnId="{5992DC83-F453-4763-81D8-E59F8F7BF1F5}">
      <dgm:prSet/>
      <dgm:spPr/>
      <dgm:t>
        <a:bodyPr/>
        <a:lstStyle/>
        <a:p>
          <a:pPr rtl="1"/>
          <a:endParaRPr lang="he-IL">
            <a:latin typeface="David" panose="020E0502060401010101" pitchFamily="34" charset="-79"/>
            <a:cs typeface="David" panose="020E0502060401010101" pitchFamily="34" charset="-79"/>
          </a:endParaRPr>
        </a:p>
      </dgm:t>
    </dgm:pt>
    <dgm:pt modelId="{FC406A9A-DEA8-4368-88BF-4137CABA3F9E}">
      <dgm:prSet phldrT="[טקסט]" custT="1"/>
      <dgm:spPr>
        <a:xfrm>
          <a:off x="1739699" y="0"/>
          <a:ext cx="1617746" cy="3306536"/>
        </a:xfrm>
        <a:prstGeom prst="roundRect">
          <a:avLst>
            <a:gd name="adj" fmla="val 10000"/>
          </a:avLst>
        </a:prstGeom>
        <a:solidFill>
          <a:srgbClr val="4F81BD">
            <a:tint val="40000"/>
            <a:hueOff val="0"/>
            <a:satOff val="0"/>
            <a:lumOff val="0"/>
            <a:alphaOff val="0"/>
          </a:srgbClr>
        </a:solidFill>
        <a:ln>
          <a:noFill/>
        </a:ln>
        <a:effectLst/>
      </dgm:spPr>
      <dgm:t>
        <a:bodyPr/>
        <a:lstStyle/>
        <a:p>
          <a:pPr rtl="1">
            <a:buNone/>
          </a:pPr>
          <a:r>
            <a:rPr lang="he-IL" sz="1200" b="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הקצאת חניות</a:t>
          </a:r>
        </a:p>
      </dgm:t>
    </dgm:pt>
    <dgm:pt modelId="{08038611-FCB9-4476-A5A1-8629C330C3FD}" type="parTrans" cxnId="{8C624A21-FCD6-40F3-ACA8-D01109B3EF64}">
      <dgm:prSet/>
      <dgm:spPr/>
      <dgm:t>
        <a:bodyPr/>
        <a:lstStyle/>
        <a:p>
          <a:pPr rtl="1"/>
          <a:endParaRPr lang="he-IL">
            <a:latin typeface="David" panose="020E0502060401010101" pitchFamily="34" charset="-79"/>
            <a:cs typeface="David" panose="020E0502060401010101" pitchFamily="34" charset="-79"/>
          </a:endParaRPr>
        </a:p>
      </dgm:t>
    </dgm:pt>
    <dgm:pt modelId="{FCECBE06-569C-42C0-ADA7-9E40A6782252}" type="sibTrans" cxnId="{8C624A21-FCD6-40F3-ACA8-D01109B3EF64}">
      <dgm:prSet/>
      <dgm:spPr/>
      <dgm:t>
        <a:bodyPr/>
        <a:lstStyle/>
        <a:p>
          <a:pPr rtl="1"/>
          <a:endParaRPr lang="he-IL">
            <a:latin typeface="David" panose="020E0502060401010101" pitchFamily="34" charset="-79"/>
            <a:cs typeface="David" panose="020E0502060401010101" pitchFamily="34" charset="-79"/>
          </a:endParaRPr>
        </a:p>
      </dgm:t>
    </dgm:pt>
    <dgm:pt modelId="{0AF3EADB-2607-4EF1-A48F-4A746A34EBDB}">
      <dgm:prSet phldrT="[טקסט]" custT="1"/>
      <dgm:spPr>
        <a:xfrm>
          <a:off x="1872833" y="871700"/>
          <a:ext cx="1294196" cy="2147163"/>
        </a:xfrm>
        <a:prstGeom prst="roundRect">
          <a:avLst>
            <a:gd name="adj" fmla="val 10000"/>
          </a:avLst>
        </a:prstGeom>
        <a:solidFill>
          <a:sysClr val="window" lastClr="FFFFFF">
            <a:hueOff val="0"/>
            <a:satOff val="0"/>
            <a:lumOff val="0"/>
            <a:alphaOff val="0"/>
          </a:sysClr>
        </a:solidFill>
        <a:ln w="38100">
          <a:solidFill>
            <a:srgbClr val="4F81BD">
              <a:shade val="80000"/>
              <a:hueOff val="0"/>
              <a:satOff val="0"/>
              <a:lumOff val="0"/>
              <a:alphaOff val="0"/>
            </a:srgbClr>
          </a:solidFill>
          <a:prstDash val="solid"/>
        </a:ln>
        <a:effectLst>
          <a:outerShdw blurRad="40000" dist="20000" dir="5400000" sx="100000" sy="100000" kx="0" ky="0" algn="b" rotWithShape="0">
            <a:srgbClr val="000000">
              <a:alpha val="38000"/>
            </a:srgbClr>
          </a:outerShdw>
        </a:effectLst>
      </dgm:spPr>
      <dgm:t>
        <a:bodyPr/>
        <a:lstStyle/>
        <a:p>
          <a:pPr algn="ctr" rtl="1">
            <a:buNone/>
          </a:pPr>
          <a:r>
            <a:rPr lang="he-IL" sz="10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הרשויות המקומיות</a:t>
          </a:r>
        </a:p>
      </dgm:t>
    </dgm:pt>
    <dgm:pt modelId="{62177B33-CE5D-4466-BADF-89E4C1E864CF}" type="parTrans" cxnId="{ED5A8552-AD4C-442B-8228-58FD5BAE3724}">
      <dgm:prSet/>
      <dgm:spPr/>
      <dgm:t>
        <a:bodyPr/>
        <a:lstStyle/>
        <a:p>
          <a:pPr rtl="1"/>
          <a:endParaRPr lang="he-IL">
            <a:latin typeface="David" panose="020E0502060401010101" pitchFamily="34" charset="-79"/>
            <a:cs typeface="David" panose="020E0502060401010101" pitchFamily="34" charset="-79"/>
          </a:endParaRPr>
        </a:p>
      </dgm:t>
    </dgm:pt>
    <dgm:pt modelId="{FB1D7ADD-B27F-4623-B0E2-E4EA0E658132}" type="sibTrans" cxnId="{ED5A8552-AD4C-442B-8228-58FD5BAE3724}">
      <dgm:prSet/>
      <dgm:spPr/>
      <dgm:t>
        <a:bodyPr/>
        <a:lstStyle/>
        <a:p>
          <a:pPr rtl="1"/>
          <a:endParaRPr lang="he-IL">
            <a:latin typeface="David" panose="020E0502060401010101" pitchFamily="34" charset="-79"/>
            <a:cs typeface="David" panose="020E0502060401010101" pitchFamily="34" charset="-79"/>
          </a:endParaRPr>
        </a:p>
      </dgm:t>
    </dgm:pt>
    <dgm:pt modelId="{29380C88-BD2F-4B10-956B-5B981D27B1C3}">
      <dgm:prSet phldrT="[טקסט]" custT="1"/>
      <dgm:spPr>
        <a:xfrm>
          <a:off x="162396" y="860241"/>
          <a:ext cx="1294196" cy="858440"/>
        </a:xfrm>
        <a:prstGeom prst="roundRect">
          <a:avLst>
            <a:gd name="adj" fmla="val 10000"/>
          </a:avLst>
        </a:prstGeom>
        <a:solidFill>
          <a:sysClr val="window" lastClr="FFFFFF">
            <a:hueOff val="0"/>
            <a:satOff val="0"/>
            <a:lumOff val="0"/>
            <a:alphaOff val="0"/>
          </a:sysClr>
        </a:solidFill>
        <a:ln w="38100">
          <a:solidFill>
            <a:srgbClr val="4F81BD">
              <a:shade val="80000"/>
              <a:hueOff val="0"/>
              <a:satOff val="0"/>
              <a:lumOff val="0"/>
              <a:alphaOff val="0"/>
            </a:srgbClr>
          </a:solidFill>
          <a:prstDash val="solid"/>
        </a:ln>
        <a:effectLst>
          <a:outerShdw blurRad="40000" dist="20000" dir="5400000" sx="100000" sy="100000" kx="0" ky="0" algn="b" rotWithShape="0">
            <a:srgbClr val="000000">
              <a:alpha val="38000"/>
            </a:srgbClr>
          </a:outerShdw>
        </a:effectLst>
      </dgm:spPr>
      <dgm:t>
        <a:bodyPr/>
        <a:lstStyle/>
        <a:p>
          <a:pPr rtl="1">
            <a:buNone/>
          </a:pPr>
          <a:r>
            <a:rPr lang="he-IL" sz="10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הרשויות המקומיות</a:t>
          </a:r>
        </a:p>
      </dgm:t>
    </dgm:pt>
    <dgm:pt modelId="{2E797528-A44B-439D-BAE7-91CE5A6495A6}" type="parTrans" cxnId="{DB786C88-37DC-4BC1-A6E1-FD357D061784}">
      <dgm:prSet/>
      <dgm:spPr/>
      <dgm:t>
        <a:bodyPr/>
        <a:lstStyle/>
        <a:p>
          <a:pPr rtl="1"/>
          <a:endParaRPr lang="he-IL"/>
        </a:p>
      </dgm:t>
    </dgm:pt>
    <dgm:pt modelId="{D95FC1F8-2DEB-4B6D-8FDB-EC0969532586}" type="sibTrans" cxnId="{DB786C88-37DC-4BC1-A6E1-FD357D061784}">
      <dgm:prSet/>
      <dgm:spPr/>
      <dgm:t>
        <a:bodyPr/>
        <a:lstStyle/>
        <a:p>
          <a:pPr rtl="1"/>
          <a:endParaRPr lang="he-IL"/>
        </a:p>
      </dgm:t>
    </dgm:pt>
    <dgm:pt modelId="{2964A5A6-0F24-4236-BBD2-3C1EF43C15A0}" type="pres">
      <dgm:prSet presAssocID="{EC4F092E-48DA-4C10-9893-16D62EA42F94}" presName="theList" presStyleCnt="0">
        <dgm:presLayoutVars>
          <dgm:dir val="norm"/>
          <dgm:animLvl val="lvl"/>
          <dgm:resizeHandles val="exact"/>
        </dgm:presLayoutVars>
      </dgm:prSet>
      <dgm:spPr/>
    </dgm:pt>
    <dgm:pt modelId="{4359F39C-214D-4567-889A-DB3E8EBCAD1C}" type="pres">
      <dgm:prSet presAssocID="{F81582A0-151E-4A86-8281-2310385B435B}" presName="compNode" presStyleCnt="0"/>
      <dgm:spPr/>
    </dgm:pt>
    <dgm:pt modelId="{6007A303-D9F0-4593-BEE9-CF4648565756}" type="pres">
      <dgm:prSet presAssocID="{F81582A0-151E-4A86-8281-2310385B435B}" presName="aNode" presStyleLbl="bgShp" presStyleIdx="0" presStyleCnt="3"/>
      <dgm:spPr/>
    </dgm:pt>
    <dgm:pt modelId="{D72B8705-F721-406A-80F8-A40610FB3EB0}" type="pres">
      <dgm:prSet presAssocID="{F81582A0-151E-4A86-8281-2310385B435B}" presName="textNode" presStyleLbl="bgShp" presStyleIdx="0" presStyleCnt="3"/>
      <dgm:spPr/>
    </dgm:pt>
    <dgm:pt modelId="{3451BA7D-0B89-4448-9B3A-095E786FFDBF}" type="pres">
      <dgm:prSet presAssocID="{F81582A0-151E-4A86-8281-2310385B435B}" presName="compChildNode" presStyleCnt="0"/>
      <dgm:spPr/>
    </dgm:pt>
    <dgm:pt modelId="{17F98600-D036-4907-9A2B-A73A89045A46}" type="pres">
      <dgm:prSet presAssocID="{F81582A0-151E-4A86-8281-2310385B435B}" presName="theInnerList" presStyleCnt="0"/>
      <dgm:spPr/>
    </dgm:pt>
    <dgm:pt modelId="{854E3400-E4E5-46EE-AC23-6DFFF4046145}" type="pres">
      <dgm:prSet presAssocID="{29380C88-BD2F-4B10-956B-5B981D27B1C3}" presName="childNode" presStyleLbl="node1" presStyleIdx="0" presStyleCnt="7" custLinFactY="-24" custLinFactNeighborY="-100000">
        <dgm:presLayoutVars>
          <dgm:bulletEnabled val="1"/>
        </dgm:presLayoutVars>
      </dgm:prSet>
      <dgm:spPr/>
    </dgm:pt>
    <dgm:pt modelId="{94FFE034-9708-47AC-B9E9-458E9B18F132}" type="pres">
      <dgm:prSet presAssocID="{29380C88-BD2F-4B10-956B-5B981D27B1C3}" presName="aSpace2" presStyleCnt="0"/>
      <dgm:spPr/>
    </dgm:pt>
    <dgm:pt modelId="{D3098782-AD7A-4DD3-9F6B-BE03C9E6C83F}" type="pres">
      <dgm:prSet presAssocID="{C4E68D9A-77C7-48EC-A088-1A6627EEB7BD}" presName="childNode" presStyleLbl="node1" presStyleIdx="1" presStyleCnt="7" custScaleY="134853" custLinFactNeighborY="-52463">
        <dgm:presLayoutVars>
          <dgm:bulletEnabled val="1"/>
        </dgm:presLayoutVars>
      </dgm:prSet>
      <dgm:spPr/>
    </dgm:pt>
    <dgm:pt modelId="{1CC15F3F-13F4-401D-A487-F4C9E10A06BB}" type="pres">
      <dgm:prSet presAssocID="{F81582A0-151E-4A86-8281-2310385B435B}" presName="aSpace" presStyleCnt="0"/>
      <dgm:spPr/>
    </dgm:pt>
    <dgm:pt modelId="{71408F15-4677-4013-8075-447B4E6F1D89}" type="pres">
      <dgm:prSet presAssocID="{FC406A9A-DEA8-4368-88BF-4137CABA3F9E}" presName="compNode" presStyleCnt="0"/>
      <dgm:spPr/>
    </dgm:pt>
    <dgm:pt modelId="{89E470F7-C450-4FFF-B249-3707BE5F4559}" type="pres">
      <dgm:prSet presAssocID="{FC406A9A-DEA8-4368-88BF-4137CABA3F9E}" presName="aNode" presStyleLbl="bgShp" presStyleIdx="1" presStyleCnt="3"/>
      <dgm:spPr/>
    </dgm:pt>
    <dgm:pt modelId="{9B364801-74F3-4855-A4BE-74DA3E1639ED}" type="pres">
      <dgm:prSet presAssocID="{FC406A9A-DEA8-4368-88BF-4137CABA3F9E}" presName="textNode" presStyleLbl="bgShp" presStyleIdx="1" presStyleCnt="3"/>
      <dgm:spPr/>
    </dgm:pt>
    <dgm:pt modelId="{768D6BB9-02D5-4E38-B1A4-F3B744D310C8}" type="pres">
      <dgm:prSet presAssocID="{FC406A9A-DEA8-4368-88BF-4137CABA3F9E}" presName="compChildNode" presStyleCnt="0"/>
      <dgm:spPr/>
    </dgm:pt>
    <dgm:pt modelId="{EFE00A9A-8F0E-42E6-A317-3648D9E8D6AB}" type="pres">
      <dgm:prSet presAssocID="{FC406A9A-DEA8-4368-88BF-4137CABA3F9E}" presName="theInnerList" presStyleCnt="0"/>
      <dgm:spPr/>
    </dgm:pt>
    <dgm:pt modelId="{14D4F06C-3F32-40E9-A93D-FBA55A90D17F}" type="pres">
      <dgm:prSet presAssocID="{0AF3EADB-2607-4EF1-A48F-4A746A34EBDB}" presName="childNode" presStyleLbl="node1" presStyleIdx="2" presStyleCnt="7" custScaleY="105356" custLinFactNeighborX="-2213" custLinFactNeighborY="-5952">
        <dgm:presLayoutVars>
          <dgm:bulletEnabled val="1"/>
        </dgm:presLayoutVars>
      </dgm:prSet>
      <dgm:spPr/>
    </dgm:pt>
    <dgm:pt modelId="{13441DF4-C802-478E-8846-F4AC96F6BEF3}" type="pres">
      <dgm:prSet presAssocID="{FC406A9A-DEA8-4368-88BF-4137CABA3F9E}" presName="aSpace" presStyleCnt="0"/>
      <dgm:spPr/>
    </dgm:pt>
    <dgm:pt modelId="{ED89E027-24DB-4FA0-9B48-E5FE61F9D842}" type="pres">
      <dgm:prSet presAssocID="{7BD21BF9-6B62-4BC5-B380-2867AA5FBCAF}" presName="compNode" presStyleCnt="0"/>
      <dgm:spPr/>
    </dgm:pt>
    <dgm:pt modelId="{30A385E6-E627-40BD-92DE-E7196D8FDDD3}" type="pres">
      <dgm:prSet presAssocID="{7BD21BF9-6B62-4BC5-B380-2867AA5FBCAF}" presName="aNode" presStyleLbl="bgShp" presStyleIdx="2" presStyleCnt="3"/>
      <dgm:spPr/>
    </dgm:pt>
    <dgm:pt modelId="{B5265E30-5125-4EB6-B937-715260B9E122}" type="pres">
      <dgm:prSet presAssocID="{7BD21BF9-6B62-4BC5-B380-2867AA5FBCAF}" presName="textNode" presStyleLbl="bgShp" presStyleIdx="2" presStyleCnt="3"/>
      <dgm:spPr/>
    </dgm:pt>
    <dgm:pt modelId="{7318991E-38FE-4455-BDEB-712E5152C507}" type="pres">
      <dgm:prSet presAssocID="{7BD21BF9-6B62-4BC5-B380-2867AA5FBCAF}" presName="compChildNode" presStyleCnt="0"/>
      <dgm:spPr/>
    </dgm:pt>
    <dgm:pt modelId="{45FDDFE8-3C27-4BF9-BE30-2FBFA38566D4}" type="pres">
      <dgm:prSet presAssocID="{7BD21BF9-6B62-4BC5-B380-2867AA5FBCAF}" presName="theInnerList" presStyleCnt="0"/>
      <dgm:spPr/>
    </dgm:pt>
    <dgm:pt modelId="{79FAA9E8-158F-4071-8E35-4B6F5513900C}" type="pres">
      <dgm:prSet presAssocID="{EA1A7CB5-645E-4ED1-84F5-69F365402439}" presName="childNode" presStyleLbl="node1" presStyleIdx="3" presStyleCnt="7" custScaleY="143973" custLinFactY="-60659" custLinFactNeighborX="-1314" custLinFactNeighborY="-100000">
        <dgm:presLayoutVars>
          <dgm:bulletEnabled val="1"/>
        </dgm:presLayoutVars>
      </dgm:prSet>
      <dgm:spPr/>
    </dgm:pt>
    <dgm:pt modelId="{9C1222ED-3F5A-48E4-A908-7436A41CF246}" type="pres">
      <dgm:prSet presAssocID="{EA1A7CB5-645E-4ED1-84F5-69F365402439}" presName="aSpace2" presStyleCnt="0"/>
      <dgm:spPr/>
    </dgm:pt>
    <dgm:pt modelId="{6D44BB90-E501-474B-BC35-7EAC17AEF5CB}" type="pres">
      <dgm:prSet presAssocID="{63362FB7-7F22-48B7-BE10-804D85C7099C}" presName="childNode" presStyleLbl="node1" presStyleIdx="4" presStyleCnt="7" custScaleY="86154">
        <dgm:presLayoutVars>
          <dgm:bulletEnabled val="1"/>
        </dgm:presLayoutVars>
      </dgm:prSet>
      <dgm:spPr/>
    </dgm:pt>
    <dgm:pt modelId="{337A09CD-6766-421E-9ABF-6B8B9499005F}" type="pres">
      <dgm:prSet presAssocID="{63362FB7-7F22-48B7-BE10-804D85C7099C}" presName="aSpace2" presStyleCnt="0"/>
      <dgm:spPr/>
    </dgm:pt>
    <dgm:pt modelId="{3A4D1B27-9F48-43DE-8DFB-8CAF9471A9B5}" type="pres">
      <dgm:prSet presAssocID="{7016528E-CFAD-41BB-828D-3F2A19E7E221}" presName="childNode" presStyleLbl="node1" presStyleIdx="5" presStyleCnt="7">
        <dgm:presLayoutVars>
          <dgm:bulletEnabled val="1"/>
        </dgm:presLayoutVars>
      </dgm:prSet>
      <dgm:spPr/>
    </dgm:pt>
    <dgm:pt modelId="{2EFD45A5-DE04-46CF-A252-0789E0DE4A96}" type="pres">
      <dgm:prSet presAssocID="{7016528E-CFAD-41BB-828D-3F2A19E7E221}" presName="aSpace2" presStyleCnt="0"/>
      <dgm:spPr/>
    </dgm:pt>
    <dgm:pt modelId="{FAE14381-EB71-460A-BDD1-EB5219928A37}" type="pres">
      <dgm:prSet presAssocID="{4FA0C3D3-9AE4-43BF-985D-95209DC0174E}" presName="childNode" presStyleLbl="node1" presStyleIdx="6" presStyleCnt="7">
        <dgm:presLayoutVars>
          <dgm:bulletEnabled val="1"/>
        </dgm:presLayoutVars>
      </dgm:prSet>
      <dgm:spPr/>
    </dgm:pt>
  </dgm:ptLst>
  <dgm:cxnLst>
    <dgm:cxn modelId="{8C624A21-FCD6-40F3-ACA8-D01109B3EF64}" srcId="{EC4F092E-48DA-4C10-9893-16D62EA42F94}" destId="{FC406A9A-DEA8-4368-88BF-4137CABA3F9E}" srcOrd="1" destOrd="0" parTransId="{08038611-FCB9-4476-A5A1-8629C330C3FD}" sibTransId="{FCECBE06-569C-42C0-ADA7-9E40A6782252}"/>
    <dgm:cxn modelId="{D0AAB227-A5D6-41D1-B893-F5BD1DE8B428}" srcId="{7BD21BF9-6B62-4BC5-B380-2867AA5FBCAF}" destId="{63362FB7-7F22-48B7-BE10-804D85C7099C}" srcOrd="1" destOrd="0" parTransId="{B8BC216C-8738-4916-800D-F9B52512CA90}" sibTransId="{17B4848A-6F89-4318-ACC1-ABF4CE607117}"/>
    <dgm:cxn modelId="{0FA04C32-8B05-4EC8-9372-6FD140CDDF52}" srcId="{7BD21BF9-6B62-4BC5-B380-2867AA5FBCAF}" destId="{7016528E-CFAD-41BB-828D-3F2A19E7E221}" srcOrd="2" destOrd="0" parTransId="{780E7166-8016-4E4E-BFAD-07FAB91AD6A5}" sibTransId="{54FDADA1-AB8C-4E57-A79B-0A4AFB74A22A}"/>
    <dgm:cxn modelId="{A69DEB5C-5555-4771-9F36-8804E9053A7D}" type="presOf" srcId="{29380C88-BD2F-4B10-956B-5B981D27B1C3}" destId="{854E3400-E4E5-46EE-AC23-6DFFF4046145}" srcOrd="0" destOrd="0" presId="urn:microsoft.com/office/officeart/2005/8/layout/lProcess2"/>
    <dgm:cxn modelId="{6BA6EF5D-4BB6-4996-BD83-98077581AAEB}" type="presOf" srcId="{7BD21BF9-6B62-4BC5-B380-2867AA5FBCAF}" destId="{30A385E6-E627-40BD-92DE-E7196D8FDDD3}" srcOrd="0" destOrd="0" presId="urn:microsoft.com/office/officeart/2005/8/layout/lProcess2"/>
    <dgm:cxn modelId="{892B7A44-9421-40E8-88E0-DF98B9C7927F}" type="presOf" srcId="{C4E68D9A-77C7-48EC-A088-1A6627EEB7BD}" destId="{D3098782-AD7A-4DD3-9F6B-BE03C9E6C83F}" srcOrd="0" destOrd="0" presId="urn:microsoft.com/office/officeart/2005/8/layout/lProcess2"/>
    <dgm:cxn modelId="{0463254E-13A0-4375-A9E9-1ACE1AE26AC6}" type="presOf" srcId="{F81582A0-151E-4A86-8281-2310385B435B}" destId="{6007A303-D9F0-4593-BEE9-CF4648565756}" srcOrd="0" destOrd="0" presId="urn:microsoft.com/office/officeart/2005/8/layout/lProcess2"/>
    <dgm:cxn modelId="{E859B751-7457-4712-ACFF-11458DE0EF83}" srcId="{EC4F092E-48DA-4C10-9893-16D62EA42F94}" destId="{7BD21BF9-6B62-4BC5-B380-2867AA5FBCAF}" srcOrd="2" destOrd="0" parTransId="{BADFDC9A-2D24-47FA-A9FD-3C8FE5DAF339}" sibTransId="{091CD28A-534C-4D4E-982A-676576569DD9}"/>
    <dgm:cxn modelId="{ED5A8552-AD4C-442B-8228-58FD5BAE3724}" srcId="{FC406A9A-DEA8-4368-88BF-4137CABA3F9E}" destId="{0AF3EADB-2607-4EF1-A48F-4A746A34EBDB}" srcOrd="0" destOrd="0" parTransId="{62177B33-CE5D-4466-BADF-89E4C1E864CF}" sibTransId="{FB1D7ADD-B27F-4623-B0E2-E4EA0E658132}"/>
    <dgm:cxn modelId="{45CAEB52-2E8A-41C0-801A-B8F80D2DC3D9}" type="presOf" srcId="{63362FB7-7F22-48B7-BE10-804D85C7099C}" destId="{6D44BB90-E501-474B-BC35-7EAC17AEF5CB}" srcOrd="0" destOrd="0" presId="urn:microsoft.com/office/officeart/2005/8/layout/lProcess2"/>
    <dgm:cxn modelId="{AD49AF54-365E-4101-9CDD-298EC9F3EFED}" srcId="{7BD21BF9-6B62-4BC5-B380-2867AA5FBCAF}" destId="{4FA0C3D3-9AE4-43BF-985D-95209DC0174E}" srcOrd="3" destOrd="0" parTransId="{5940C8BD-15E5-4B49-884C-95ED1046F600}" sibTransId="{B6FFCC23-55A2-4A00-9542-0810A814F463}"/>
    <dgm:cxn modelId="{8145667B-CD9F-4D97-B1BA-1F475874549F}" type="presOf" srcId="{EA1A7CB5-645E-4ED1-84F5-69F365402439}" destId="{79FAA9E8-158F-4071-8E35-4B6F5513900C}" srcOrd="0" destOrd="0" presId="urn:microsoft.com/office/officeart/2005/8/layout/lProcess2"/>
    <dgm:cxn modelId="{5992DC83-F453-4763-81D8-E59F8F7BF1F5}" srcId="{F81582A0-151E-4A86-8281-2310385B435B}" destId="{C4E68D9A-77C7-48EC-A088-1A6627EEB7BD}" srcOrd="1" destOrd="0" parTransId="{91EFC0B8-4EE6-4A7B-9587-3A076C6A8EB7}" sibTransId="{4F6B7542-459D-4545-B126-2C5E1659AEF2}"/>
    <dgm:cxn modelId="{A668EC83-98E9-4966-BDB8-5A26ACEC1719}" type="presOf" srcId="{7016528E-CFAD-41BB-828D-3F2A19E7E221}" destId="{3A4D1B27-9F48-43DE-8DFB-8CAF9471A9B5}" srcOrd="0" destOrd="0" presId="urn:microsoft.com/office/officeart/2005/8/layout/lProcess2"/>
    <dgm:cxn modelId="{7F6F3B88-33FA-4DEE-B08B-31A7850F64A1}" srcId="{EC4F092E-48DA-4C10-9893-16D62EA42F94}" destId="{F81582A0-151E-4A86-8281-2310385B435B}" srcOrd="0" destOrd="0" parTransId="{D7BD2D28-DE5F-4A5F-B64F-192B20611B5F}" sibTransId="{76F135C8-6D4E-414F-A35D-9F09D96D2575}"/>
    <dgm:cxn modelId="{DB786C88-37DC-4BC1-A6E1-FD357D061784}" srcId="{F81582A0-151E-4A86-8281-2310385B435B}" destId="{29380C88-BD2F-4B10-956B-5B981D27B1C3}" srcOrd="0" destOrd="0" parTransId="{2E797528-A44B-439D-BAE7-91CE5A6495A6}" sibTransId="{D95FC1F8-2DEB-4B6D-8FDB-EC0969532586}"/>
    <dgm:cxn modelId="{B2E2E095-372E-4AB0-86BE-518F58812964}" type="presOf" srcId="{7BD21BF9-6B62-4BC5-B380-2867AA5FBCAF}" destId="{B5265E30-5125-4EB6-B937-715260B9E122}" srcOrd="1" destOrd="0" presId="urn:microsoft.com/office/officeart/2005/8/layout/lProcess2"/>
    <dgm:cxn modelId="{B6417DA0-14E9-455C-8210-31C81C578A72}" type="presOf" srcId="{FC406A9A-DEA8-4368-88BF-4137CABA3F9E}" destId="{89E470F7-C450-4FFF-B249-3707BE5F4559}" srcOrd="0" destOrd="0" presId="urn:microsoft.com/office/officeart/2005/8/layout/lProcess2"/>
    <dgm:cxn modelId="{269940AC-4D9D-47DF-BE64-5FAE21FD195C}" type="presOf" srcId="{4FA0C3D3-9AE4-43BF-985D-95209DC0174E}" destId="{FAE14381-EB71-460A-BDD1-EB5219928A37}" srcOrd="0" destOrd="0" presId="urn:microsoft.com/office/officeart/2005/8/layout/lProcess2"/>
    <dgm:cxn modelId="{8D6C6CB9-FA96-43B4-81CA-165EED15164F}" srcId="{7BD21BF9-6B62-4BC5-B380-2867AA5FBCAF}" destId="{EA1A7CB5-645E-4ED1-84F5-69F365402439}" srcOrd="0" destOrd="0" parTransId="{A33DF818-A1F4-4927-BA33-28882DFA74D2}" sibTransId="{8F94318C-A199-41A5-A8E4-4F5B3580708F}"/>
    <dgm:cxn modelId="{D84C0FCD-8C30-478B-BF39-45037AA1A655}" type="presOf" srcId="{EC4F092E-48DA-4C10-9893-16D62EA42F94}" destId="{2964A5A6-0F24-4236-BBD2-3C1EF43C15A0}" srcOrd="0" destOrd="0" presId="urn:microsoft.com/office/officeart/2005/8/layout/lProcess2"/>
    <dgm:cxn modelId="{2DF925D5-51D4-4731-BD8B-D0E776058104}" type="presOf" srcId="{F81582A0-151E-4A86-8281-2310385B435B}" destId="{D72B8705-F721-406A-80F8-A40610FB3EB0}" srcOrd="1" destOrd="0" presId="urn:microsoft.com/office/officeart/2005/8/layout/lProcess2"/>
    <dgm:cxn modelId="{6CA73AEA-1E00-4735-A76C-972436A0ABF3}" type="presOf" srcId="{0AF3EADB-2607-4EF1-A48F-4A746A34EBDB}" destId="{14D4F06C-3F32-40E9-A93D-FBA55A90D17F}" srcOrd="0" destOrd="0" presId="urn:microsoft.com/office/officeart/2005/8/layout/lProcess2"/>
    <dgm:cxn modelId="{C309A1F3-7146-41F9-8002-29D2757BF2C5}" type="presOf" srcId="{FC406A9A-DEA8-4368-88BF-4137CABA3F9E}" destId="{9B364801-74F3-4855-A4BE-74DA3E1639ED}" srcOrd="1" destOrd="0" presId="urn:microsoft.com/office/officeart/2005/8/layout/lProcess2"/>
    <dgm:cxn modelId="{A045C536-DE33-455F-925C-6FFAFC2BB7A1}" type="presParOf" srcId="{2964A5A6-0F24-4236-BBD2-3C1EF43C15A0}" destId="{4359F39C-214D-4567-889A-DB3E8EBCAD1C}" srcOrd="0" destOrd="0" presId="urn:microsoft.com/office/officeart/2005/8/layout/lProcess2"/>
    <dgm:cxn modelId="{53AF3F19-831E-4F2D-A46D-3714EF57119D}" type="presParOf" srcId="{4359F39C-214D-4567-889A-DB3E8EBCAD1C}" destId="{6007A303-D9F0-4593-BEE9-CF4648565756}" srcOrd="0" destOrd="0" presId="urn:microsoft.com/office/officeart/2005/8/layout/lProcess2"/>
    <dgm:cxn modelId="{82A7233C-2B45-4F0F-ABA5-CC3EAFD59613}" type="presParOf" srcId="{4359F39C-214D-4567-889A-DB3E8EBCAD1C}" destId="{D72B8705-F721-406A-80F8-A40610FB3EB0}" srcOrd="1" destOrd="0" presId="urn:microsoft.com/office/officeart/2005/8/layout/lProcess2"/>
    <dgm:cxn modelId="{A86A6763-FABA-4637-A92D-8ED3A3A35A42}" type="presParOf" srcId="{4359F39C-214D-4567-889A-DB3E8EBCAD1C}" destId="{3451BA7D-0B89-4448-9B3A-095E786FFDBF}" srcOrd="2" destOrd="0" presId="urn:microsoft.com/office/officeart/2005/8/layout/lProcess2"/>
    <dgm:cxn modelId="{23857BD7-5BA0-4515-ADC1-D3D30A7279E6}" type="presParOf" srcId="{3451BA7D-0B89-4448-9B3A-095E786FFDBF}" destId="{17F98600-D036-4907-9A2B-A73A89045A46}" srcOrd="0" destOrd="0" presId="urn:microsoft.com/office/officeart/2005/8/layout/lProcess2"/>
    <dgm:cxn modelId="{C3491C1E-64B8-41B0-80E9-8F437AC5B27F}" type="presParOf" srcId="{17F98600-D036-4907-9A2B-A73A89045A46}" destId="{854E3400-E4E5-46EE-AC23-6DFFF4046145}" srcOrd="0" destOrd="0" presId="urn:microsoft.com/office/officeart/2005/8/layout/lProcess2"/>
    <dgm:cxn modelId="{712B5B64-5B52-4009-A6A1-E70EA8C2425E}" type="presParOf" srcId="{17F98600-D036-4907-9A2B-A73A89045A46}" destId="{94FFE034-9708-47AC-B9E9-458E9B18F132}" srcOrd="1" destOrd="0" presId="urn:microsoft.com/office/officeart/2005/8/layout/lProcess2"/>
    <dgm:cxn modelId="{F01A7292-6AC1-4904-9633-120F01AA6890}" type="presParOf" srcId="{17F98600-D036-4907-9A2B-A73A89045A46}" destId="{D3098782-AD7A-4DD3-9F6B-BE03C9E6C83F}" srcOrd="2" destOrd="0" presId="urn:microsoft.com/office/officeart/2005/8/layout/lProcess2"/>
    <dgm:cxn modelId="{CE299B27-C412-41D0-8650-87511A810D13}" type="presParOf" srcId="{2964A5A6-0F24-4236-BBD2-3C1EF43C15A0}" destId="{1CC15F3F-13F4-401D-A487-F4C9E10A06BB}" srcOrd="1" destOrd="0" presId="urn:microsoft.com/office/officeart/2005/8/layout/lProcess2"/>
    <dgm:cxn modelId="{3B3CB834-45AC-4A67-91B4-70E13F24F2FE}" type="presParOf" srcId="{2964A5A6-0F24-4236-BBD2-3C1EF43C15A0}" destId="{71408F15-4677-4013-8075-447B4E6F1D89}" srcOrd="2" destOrd="0" presId="urn:microsoft.com/office/officeart/2005/8/layout/lProcess2"/>
    <dgm:cxn modelId="{C6D631F8-3E2A-4921-BA03-118814C9105D}" type="presParOf" srcId="{71408F15-4677-4013-8075-447B4E6F1D89}" destId="{89E470F7-C450-4FFF-B249-3707BE5F4559}" srcOrd="0" destOrd="0" presId="urn:microsoft.com/office/officeart/2005/8/layout/lProcess2"/>
    <dgm:cxn modelId="{885C9E5A-CC47-4C86-A1D1-9B264EB7DA2B}" type="presParOf" srcId="{71408F15-4677-4013-8075-447B4E6F1D89}" destId="{9B364801-74F3-4855-A4BE-74DA3E1639ED}" srcOrd="1" destOrd="0" presId="urn:microsoft.com/office/officeart/2005/8/layout/lProcess2"/>
    <dgm:cxn modelId="{1A5641C1-363C-4309-87BF-CDFC91152028}" type="presParOf" srcId="{71408F15-4677-4013-8075-447B4E6F1D89}" destId="{768D6BB9-02D5-4E38-B1A4-F3B744D310C8}" srcOrd="2" destOrd="0" presId="urn:microsoft.com/office/officeart/2005/8/layout/lProcess2"/>
    <dgm:cxn modelId="{BE31D06E-BABA-4E91-B80A-3E528B56AFDA}" type="presParOf" srcId="{768D6BB9-02D5-4E38-B1A4-F3B744D310C8}" destId="{EFE00A9A-8F0E-42E6-A317-3648D9E8D6AB}" srcOrd="0" destOrd="0" presId="urn:microsoft.com/office/officeart/2005/8/layout/lProcess2"/>
    <dgm:cxn modelId="{EB68A725-C160-4E56-91A5-307EA88A6D66}" type="presParOf" srcId="{EFE00A9A-8F0E-42E6-A317-3648D9E8D6AB}" destId="{14D4F06C-3F32-40E9-A93D-FBA55A90D17F}" srcOrd="0" destOrd="0" presId="urn:microsoft.com/office/officeart/2005/8/layout/lProcess2"/>
    <dgm:cxn modelId="{ECE88385-648A-4AC1-87F5-896F0B9A54C9}" type="presParOf" srcId="{2964A5A6-0F24-4236-BBD2-3C1EF43C15A0}" destId="{13441DF4-C802-478E-8846-F4AC96F6BEF3}" srcOrd="3" destOrd="0" presId="urn:microsoft.com/office/officeart/2005/8/layout/lProcess2"/>
    <dgm:cxn modelId="{162F4977-518C-4783-B196-6466D1D7F123}" type="presParOf" srcId="{2964A5A6-0F24-4236-BBD2-3C1EF43C15A0}" destId="{ED89E027-24DB-4FA0-9B48-E5FE61F9D842}" srcOrd="4" destOrd="0" presId="urn:microsoft.com/office/officeart/2005/8/layout/lProcess2"/>
    <dgm:cxn modelId="{41FF22A8-D662-409C-AD3C-6C126EB3AFE1}" type="presParOf" srcId="{ED89E027-24DB-4FA0-9B48-E5FE61F9D842}" destId="{30A385E6-E627-40BD-92DE-E7196D8FDDD3}" srcOrd="0" destOrd="0" presId="urn:microsoft.com/office/officeart/2005/8/layout/lProcess2"/>
    <dgm:cxn modelId="{A2B39AE2-6C06-41C2-A1F6-2C4C0A5FEB08}" type="presParOf" srcId="{ED89E027-24DB-4FA0-9B48-E5FE61F9D842}" destId="{B5265E30-5125-4EB6-B937-715260B9E122}" srcOrd="1" destOrd="0" presId="urn:microsoft.com/office/officeart/2005/8/layout/lProcess2"/>
    <dgm:cxn modelId="{5ED091C7-FD76-4A9E-9D81-6A79ACDCE662}" type="presParOf" srcId="{ED89E027-24DB-4FA0-9B48-E5FE61F9D842}" destId="{7318991E-38FE-4455-BDEB-712E5152C507}" srcOrd="2" destOrd="0" presId="urn:microsoft.com/office/officeart/2005/8/layout/lProcess2"/>
    <dgm:cxn modelId="{33ACAA5F-818B-4145-BFFA-59AAB8905E1A}" type="presParOf" srcId="{7318991E-38FE-4455-BDEB-712E5152C507}" destId="{45FDDFE8-3C27-4BF9-BE30-2FBFA38566D4}" srcOrd="0" destOrd="0" presId="urn:microsoft.com/office/officeart/2005/8/layout/lProcess2"/>
    <dgm:cxn modelId="{54189C3D-5972-4116-80AE-AA912D42416B}" type="presParOf" srcId="{45FDDFE8-3C27-4BF9-BE30-2FBFA38566D4}" destId="{79FAA9E8-158F-4071-8E35-4B6F5513900C}" srcOrd="0" destOrd="0" presId="urn:microsoft.com/office/officeart/2005/8/layout/lProcess2"/>
    <dgm:cxn modelId="{870ACB8E-FD3F-4BFD-9750-AF216D24914E}" type="presParOf" srcId="{45FDDFE8-3C27-4BF9-BE30-2FBFA38566D4}" destId="{9C1222ED-3F5A-48E4-A908-7436A41CF246}" srcOrd="1" destOrd="0" presId="urn:microsoft.com/office/officeart/2005/8/layout/lProcess2"/>
    <dgm:cxn modelId="{256CF297-C967-4F40-AC2A-B027C763404E}" type="presParOf" srcId="{45FDDFE8-3C27-4BF9-BE30-2FBFA38566D4}" destId="{6D44BB90-E501-474B-BC35-7EAC17AEF5CB}" srcOrd="2" destOrd="0" presId="urn:microsoft.com/office/officeart/2005/8/layout/lProcess2"/>
    <dgm:cxn modelId="{0DFF4E33-A0B4-444D-A8B5-637B5DD01849}" type="presParOf" srcId="{45FDDFE8-3C27-4BF9-BE30-2FBFA38566D4}" destId="{337A09CD-6766-421E-9ABF-6B8B9499005F}" srcOrd="3" destOrd="0" presId="urn:microsoft.com/office/officeart/2005/8/layout/lProcess2"/>
    <dgm:cxn modelId="{6656CA0E-CC09-4025-A398-2E8810281639}" type="presParOf" srcId="{45FDDFE8-3C27-4BF9-BE30-2FBFA38566D4}" destId="{3A4D1B27-9F48-43DE-8DFB-8CAF9471A9B5}" srcOrd="4" destOrd="0" presId="urn:microsoft.com/office/officeart/2005/8/layout/lProcess2"/>
    <dgm:cxn modelId="{FCBEAF41-7F65-4D20-A0A0-342819F43818}" type="presParOf" srcId="{45FDDFE8-3C27-4BF9-BE30-2FBFA38566D4}" destId="{2EFD45A5-DE04-46CF-A252-0789E0DE4A96}" srcOrd="5" destOrd="0" presId="urn:microsoft.com/office/officeart/2005/8/layout/lProcess2"/>
    <dgm:cxn modelId="{996828C2-1F01-4DD4-B0C1-A4E3871037B0}" type="presParOf" srcId="{45FDDFE8-3C27-4BF9-BE30-2FBFA38566D4}" destId="{FAE14381-EB71-460A-BDD1-EB5219928A37}" srcOrd="6" destOrd="0" presId="urn:microsoft.com/office/officeart/2005/8/layout/lProcess2"/>
  </dgm:cxnLst>
  <dgm:bg/>
  <dgm:whole/>
  <dgm:extLst>
    <a:ext xmlns:a="http://schemas.openxmlformats.org/drawingml/2006/main" uri="http://schemas.microsoft.com/office/drawing/2008/diagram">
      <dsp:dataModelExt xmlns:dsp="http://schemas.microsoft.com/office/drawing/2008/diagram" minVer="http://schemas.openxmlformats.org/drawingml/2006/diagram" relId="rId9"/>
    </a:ext>
  </dgm:extLst>
</dgm:dataModel>
</file>

<file path=word/diagrams/data2.xml><?xml version="1.0" encoding="utf-8"?>
<dgm:dataModel xmlns:dgm="http://schemas.openxmlformats.org/drawingml/2006/diagram" xmlns:a="http://schemas.openxmlformats.org/drawingml/2006/main">
  <dgm:ptLst>
    <dgm:pt modelId="{EDD2E9B6-37AD-4019-ACC2-D7FF80425656}" type="doc">
      <dgm:prSet loTypeId="urn:microsoft.com/office/officeart/2008/layout/VerticalCircleList#1" loCatId="list" qsTypeId="urn:microsoft.com/office/officeart/2005/8/quickstyle/simple2" qsCatId="simple" csTypeId="urn:microsoft.com/office/officeart/2005/8/colors/colorful3" csCatId="colorful" phldr="1"/>
      <dgm:spPr/>
      <dgm:t>
        <a:bodyPr/>
        <a:lstStyle/>
        <a:p>
          <a:pPr rtl="1"/>
          <a:endParaRPr lang="he-IL"/>
        </a:p>
      </dgm:t>
    </dgm:pt>
    <dgm:pt modelId="{B02E6CE1-BE09-415D-B3BB-93699A9BCAA5}">
      <dgm:prSet phldrT="[טקסט]" custT="1"/>
      <dgm:spPr>
        <a:xfrm>
          <a:off x="26991" y="2446943"/>
          <a:ext cx="4349980" cy="815310"/>
        </a:xfrm>
        <a:prstGeom prst="rect">
          <a:avLst/>
        </a:prstGeom>
        <a:noFill/>
        <a:ln>
          <a:noFill/>
        </a:ln>
        <a:effectLst/>
      </dgm:spPr>
      <dgm:t>
        <a:bodyPr/>
        <a:lstStyle/>
        <a:p>
          <a:pPr algn="just" rtl="1">
            <a:buNone/>
          </a:pPr>
          <a:r>
            <a:rPr lang="he-IL" sz="1000" b="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תקנות התעבורה, תשכ"א-1961</a:t>
          </a:r>
          <a:r>
            <a:rPr lang="he-IL" sz="10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 תקנה 72(א)(16) קובעת הסדרים הנוגעים לחניה המסומנת לנכים על ידי תמרור 437 ("חניה בלעדית לרכב של נכה - משותק רגליים").</a:t>
          </a:r>
        </a:p>
        <a:p>
          <a:pPr algn="just" rtl="1">
            <a:buNone/>
          </a:pPr>
          <a:r>
            <a:rPr lang="he-IL" sz="10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תקנה 272א מקנה הנחה באגרת רישיון רכב של נכה. </a:t>
          </a:r>
        </a:p>
      </dgm:t>
    </dgm:pt>
    <dgm:pt modelId="{3F57FB07-BFAB-4E64-B493-0FA0B0FB9DC8}" type="parTrans" cxnId="{30CC8687-9854-46B8-BD9F-5DD219A70C10}">
      <dgm:prSet/>
      <dgm:spPr/>
      <dgm:t>
        <a:bodyPr/>
        <a:lstStyle/>
        <a:p>
          <a:pPr algn="just" rtl="1"/>
          <a:endParaRPr lang="he-IL" sz="3200">
            <a:latin typeface="David" panose="020E0502060401010101" pitchFamily="34" charset="-79"/>
            <a:cs typeface="David" panose="020E0502060401010101" pitchFamily="34" charset="-79"/>
          </a:endParaRPr>
        </a:p>
      </dgm:t>
    </dgm:pt>
    <dgm:pt modelId="{75BB975F-D322-48B7-9FC3-F063015DE8AC}" type="sibTrans" cxnId="{30CC8687-9854-46B8-BD9F-5DD219A70C10}">
      <dgm:prSet/>
      <dgm:spPr/>
      <dgm:t>
        <a:bodyPr/>
        <a:lstStyle/>
        <a:p>
          <a:pPr algn="just" rtl="1"/>
          <a:endParaRPr lang="he-IL" sz="3200">
            <a:latin typeface="David" panose="020E0502060401010101" pitchFamily="34" charset="-79"/>
            <a:cs typeface="David" panose="020E0502060401010101" pitchFamily="34" charset="-79"/>
          </a:endParaRPr>
        </a:p>
      </dgm:t>
    </dgm:pt>
    <dgm:pt modelId="{5B7B6697-5B0B-45BA-BA33-3D52E69AC609}">
      <dgm:prSet phldrT="[טקסט]" custT="1"/>
      <dgm:spPr>
        <a:xfrm>
          <a:off x="26991" y="1011"/>
          <a:ext cx="4349980" cy="815310"/>
        </a:xfrm>
        <a:prstGeom prst="rect">
          <a:avLst/>
        </a:prstGeom>
        <a:noFill/>
        <a:ln>
          <a:noFill/>
        </a:ln>
        <a:effectLst/>
      </dgm:spPr>
      <dgm:t>
        <a:bodyPr/>
        <a:lstStyle/>
        <a:p>
          <a:pPr algn="just" rtl="1">
            <a:buNone/>
          </a:pPr>
          <a:r>
            <a:rPr lang="he-IL" sz="1000" b="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חוק שוויון זכויות לאנשים עם מוגבלות, התשנ"ח-1998</a:t>
          </a:r>
          <a:r>
            <a:rPr lang="he-IL" sz="10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 חוק זה נועד להבטיח את שוויון הזכויות של אנשים עם מוגבלות בכל תחומי החיים, כולל תחום התחבורה, ומגדיר את תפקידי נציבות שוויון זכויות לאנשים עם מוגבלות בנוגע לפיקוח, אכיפה, טיפול בפניות והנחיה מקצועית בנושאי נגישות. במסגרת החוק, נקבעים אמצעים להנגשה ולמניעת אפליה כלפי אנשים עם מוגבלות, כולל דרישות נגישות במרחב הציבורי ובתשתיות תחבורה, וכן חובות להקצאת מקומות חניה נגישים במבנים ובמקומות ציבוריים.</a:t>
          </a:r>
        </a:p>
      </dgm:t>
    </dgm:pt>
    <dgm:pt modelId="{3E111809-218F-4A1B-8044-BA7859579262}" type="parTrans" cxnId="{A6326266-DB2D-40F9-A04C-36F6D3DAE8C6}">
      <dgm:prSet/>
      <dgm:spPr/>
      <dgm:t>
        <a:bodyPr/>
        <a:lstStyle/>
        <a:p>
          <a:pPr algn="just" rtl="1"/>
          <a:endParaRPr lang="he-IL" sz="3200">
            <a:latin typeface="David" panose="020E0502060401010101" pitchFamily="34" charset="-79"/>
            <a:cs typeface="David" panose="020E0502060401010101" pitchFamily="34" charset="-79"/>
          </a:endParaRPr>
        </a:p>
      </dgm:t>
    </dgm:pt>
    <dgm:pt modelId="{EFC2782C-35CA-4A12-B497-8A83CD939445}" type="sibTrans" cxnId="{A6326266-DB2D-40F9-A04C-36F6D3DAE8C6}">
      <dgm:prSet/>
      <dgm:spPr/>
      <dgm:t>
        <a:bodyPr/>
        <a:lstStyle/>
        <a:p>
          <a:pPr algn="just" rtl="1"/>
          <a:endParaRPr lang="he-IL" sz="3200">
            <a:latin typeface="David" panose="020E0502060401010101" pitchFamily="34" charset="-79"/>
            <a:cs typeface="David" panose="020E0502060401010101" pitchFamily="34" charset="-79"/>
          </a:endParaRPr>
        </a:p>
      </dgm:t>
    </dgm:pt>
    <dgm:pt modelId="{7D9986F1-067F-483E-B486-03461AA5F935}">
      <dgm:prSet phldrT="[טקסט]" custT="1"/>
      <dgm:spPr>
        <a:xfrm>
          <a:off x="26991" y="816321"/>
          <a:ext cx="4349980" cy="815310"/>
        </a:xfrm>
        <a:prstGeom prst="rect">
          <a:avLst/>
        </a:prstGeom>
        <a:noFill/>
        <a:ln>
          <a:noFill/>
        </a:ln>
        <a:effectLst/>
      </dgm:spPr>
      <dgm:t>
        <a:bodyPr/>
        <a:lstStyle/>
        <a:p>
          <a:pPr algn="just" rtl="1">
            <a:buNone/>
          </a:pPr>
          <a:r>
            <a:rPr lang="he-IL" sz="1000" b="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חוק חניה לנכים, תשנ"ד-1993</a:t>
          </a:r>
          <a:r>
            <a:rPr lang="he-IL" sz="10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 חוק זה מגדיר תנאי זכאות כלליים לקבלת התג ומי מוסמך לאשר את הזכאות לתג. החוק מגדיר גם חלק מההטבות הניתנות לבעלי תג:</a:t>
          </a:r>
          <a:r>
            <a:rPr lang="en-US" sz="10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a:t>
          </a:r>
          <a:r>
            <a:rPr lang="he-IL" sz="10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הוא קובע הסדרים המתירים לבעל תג חניה לחנות במקום שאין החניה מותרת בו (כולל היבטי אכיפה); מקנה פטור מתשלום בעד חניה במקום ציבורי; ומחייב רשויות להקצות מקום חניה לנכה סמוך למקום מגוריו. כמו כן החוק מסדיר היבטי ענישה בנוגע לשימוש לרעה בתגים. שר התחבורה ממונה על יישום החוק.</a:t>
          </a:r>
        </a:p>
      </dgm:t>
    </dgm:pt>
    <dgm:pt modelId="{0597FB1F-CDD4-4B58-A37E-A9FAA784ABAB}" type="sibTrans" cxnId="{BA773B56-8866-46AC-BC46-A0C139D3DEA6}">
      <dgm:prSet/>
      <dgm:spPr/>
      <dgm:t>
        <a:bodyPr/>
        <a:lstStyle/>
        <a:p>
          <a:pPr algn="just" rtl="1"/>
          <a:endParaRPr lang="he-IL" sz="3200">
            <a:latin typeface="David" panose="020E0502060401010101" pitchFamily="34" charset="-79"/>
            <a:cs typeface="David" panose="020E0502060401010101" pitchFamily="34" charset="-79"/>
          </a:endParaRPr>
        </a:p>
      </dgm:t>
    </dgm:pt>
    <dgm:pt modelId="{AF354839-9AA5-42CE-9AEC-CBBDF146DF5D}" type="parTrans" cxnId="{BA773B56-8866-46AC-BC46-A0C139D3DEA6}">
      <dgm:prSet/>
      <dgm:spPr/>
      <dgm:t>
        <a:bodyPr/>
        <a:lstStyle/>
        <a:p>
          <a:pPr algn="just" rtl="1"/>
          <a:endParaRPr lang="he-IL" sz="3200">
            <a:latin typeface="David" panose="020E0502060401010101" pitchFamily="34" charset="-79"/>
            <a:cs typeface="David" panose="020E0502060401010101" pitchFamily="34" charset="-79"/>
          </a:endParaRPr>
        </a:p>
      </dgm:t>
    </dgm:pt>
    <dgm:pt modelId="{0A8C84B1-FBCE-4E69-8319-DEE6F9A5805F}">
      <dgm:prSet phldrT="[טקסט]" custT="1"/>
      <dgm:spPr>
        <a:xfrm>
          <a:off x="26991" y="1631632"/>
          <a:ext cx="4349980" cy="815310"/>
        </a:xfrm>
        <a:prstGeom prst="rect">
          <a:avLst/>
        </a:prstGeom>
        <a:noFill/>
        <a:ln>
          <a:noFill/>
        </a:ln>
        <a:effectLst/>
      </dgm:spPr>
      <dgm:t>
        <a:bodyPr/>
        <a:lstStyle/>
        <a:p>
          <a:pPr algn="just" rtl="1">
            <a:buNone/>
          </a:pPr>
          <a:r>
            <a:rPr lang="he-IL" sz="1000" b="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פקודת התעבורה [נוסח חדש] </a:t>
          </a:r>
          <a:r>
            <a:rPr lang="he-IL" sz="10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סעיפים 70א2 ו70ב2 קובעים כי מקום חניה לנכים שמסמנת רשות תמרור מקומית אינו מוגבל בשעות כברירת מחדל (למעט חריגים).</a:t>
          </a:r>
        </a:p>
        <a:p>
          <a:pPr algn="just" rtl="1">
            <a:buNone/>
          </a:pPr>
          <a:r>
            <a:rPr lang="he-IL" sz="10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סעיף 71א1 מאפשר למחזיקי תג כיסא גלגלים לנסוע בנתיבים המיועדים לתחבורה ציבורית. </a:t>
          </a:r>
        </a:p>
        <a:p>
          <a:pPr algn="just" rtl="1">
            <a:buNone/>
          </a:pPr>
          <a:r>
            <a:rPr lang="he-IL" sz="10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סעיפים נוספים בפקודה עוסקים באכיפת עבירות של חניה בחניית נכים ובענישה בגינן. </a:t>
          </a:r>
        </a:p>
      </dgm:t>
    </dgm:pt>
    <dgm:pt modelId="{04B7BA4E-3F91-42B5-9FDA-A7FD4CA33FB3}" type="parTrans" cxnId="{BDB22821-9F1D-42FE-AADD-F7CF15F5DC41}">
      <dgm:prSet/>
      <dgm:spPr/>
      <dgm:t>
        <a:bodyPr/>
        <a:lstStyle/>
        <a:p>
          <a:pPr rtl="1"/>
          <a:endParaRPr lang="he-IL"/>
        </a:p>
      </dgm:t>
    </dgm:pt>
    <dgm:pt modelId="{240E57AC-F898-4AB8-8523-0269BCEDEC79}" type="sibTrans" cxnId="{BDB22821-9F1D-42FE-AADD-F7CF15F5DC41}">
      <dgm:prSet/>
      <dgm:spPr/>
      <dgm:t>
        <a:bodyPr/>
        <a:lstStyle/>
        <a:p>
          <a:pPr rtl="1"/>
          <a:endParaRPr lang="he-IL"/>
        </a:p>
      </dgm:t>
    </dgm:pt>
    <dgm:pt modelId="{5C18B93B-6C18-4114-A3C0-1EFE7958CC7E}" type="pres">
      <dgm:prSet presAssocID="{EDD2E9B6-37AD-4019-ACC2-D7FF80425656}" presName="Name0" presStyleCnt="0">
        <dgm:presLayoutVars>
          <dgm:dir val="rev"/>
        </dgm:presLayoutVars>
      </dgm:prSet>
      <dgm:spPr/>
    </dgm:pt>
    <dgm:pt modelId="{0716E121-A129-4AB2-89FB-478D0AA0513A}" type="pres">
      <dgm:prSet presAssocID="{5B7B6697-5B0B-45BA-BA33-3D52E69AC609}" presName="noChildren" presStyleCnt="0"/>
      <dgm:spPr/>
    </dgm:pt>
    <dgm:pt modelId="{BBF95589-D660-4154-9887-86D317D70D22}" type="pres">
      <dgm:prSet presAssocID="{5B7B6697-5B0B-45BA-BA33-3D52E69AC609}" presName="gap" presStyleCnt="0"/>
      <dgm:spPr/>
    </dgm:pt>
    <dgm:pt modelId="{F7E2710B-9617-487E-B704-6A1289B7B4B4}" type="pres">
      <dgm:prSet presAssocID="{5B7B6697-5B0B-45BA-BA33-3D52E69AC609}" presName="medCircle2" presStyleLbl="vennNode1" presStyleIdx="0" presStyleCnt="4"/>
      <dgm:spPr>
        <a:xfrm>
          <a:off x="3969317" y="1011"/>
          <a:ext cx="815310" cy="815310"/>
        </a:xfrm>
        <a:prstGeom prst="ellipse">
          <a:avLst/>
        </a:prstGeom>
        <a:solidFill>
          <a:srgbClr val="9BBB59">
            <a:alpha val="50000"/>
            <a:hueOff val="0"/>
            <a:satOff val="0"/>
            <a:lumOff val="0"/>
            <a:alphaOff val="0"/>
          </a:srgbClr>
        </a:solidFill>
        <a:ln w="38100">
          <a:solidFill>
            <a:sysClr val="window" lastClr="FFFFFF">
              <a:hueOff val="0"/>
              <a:satOff val="0"/>
              <a:lumOff val="0"/>
              <a:alphaOff val="0"/>
            </a:sysClr>
          </a:solidFill>
          <a:prstDash val="solid"/>
        </a:ln>
        <a:effectLst/>
      </dgm:spPr>
    </dgm:pt>
    <dgm:pt modelId="{7581A8E9-5B46-4BD0-B5E3-4440847B8602}" type="pres">
      <dgm:prSet presAssocID="{5B7B6697-5B0B-45BA-BA33-3D52E69AC609}" presName="txLvlOnly1" presStyleLbl="revTx" presStyleIdx="0" presStyleCnt="4"/>
      <dgm:spPr/>
    </dgm:pt>
    <dgm:pt modelId="{D922EDEA-2616-42EB-A7B5-989F0828C8A6}" type="pres">
      <dgm:prSet presAssocID="{7D9986F1-067F-483E-B486-03461AA5F935}" presName="noChildren" presStyleCnt="0"/>
      <dgm:spPr/>
    </dgm:pt>
    <dgm:pt modelId="{A171745D-1808-41CD-B95A-304E9D70FB96}" type="pres">
      <dgm:prSet presAssocID="{7D9986F1-067F-483E-B486-03461AA5F935}" presName="gap" presStyleCnt="0"/>
      <dgm:spPr/>
    </dgm:pt>
    <dgm:pt modelId="{851BBE85-B46A-469D-BE0B-6985C052F55B}" type="pres">
      <dgm:prSet presAssocID="{7D9986F1-067F-483E-B486-03461AA5F935}" presName="medCircle2" presStyleLbl="vennNode1" presStyleIdx="1" presStyleCnt="4"/>
      <dgm:spPr>
        <a:xfrm>
          <a:off x="3969317" y="816321"/>
          <a:ext cx="815310" cy="815310"/>
        </a:xfrm>
        <a:prstGeom prst="ellipse">
          <a:avLst/>
        </a:prstGeom>
        <a:solidFill>
          <a:srgbClr val="9BBB59">
            <a:alpha val="50000"/>
            <a:hueOff val="3750088"/>
            <a:satOff val="-5627"/>
            <a:lumOff val="-915"/>
            <a:alphaOff val="0"/>
          </a:srgbClr>
        </a:solidFill>
        <a:ln w="38100">
          <a:solidFill>
            <a:sysClr val="window" lastClr="FFFFFF">
              <a:hueOff val="0"/>
              <a:satOff val="0"/>
              <a:lumOff val="0"/>
              <a:alphaOff val="0"/>
            </a:sysClr>
          </a:solidFill>
          <a:prstDash val="solid"/>
        </a:ln>
        <a:effectLst/>
      </dgm:spPr>
    </dgm:pt>
    <dgm:pt modelId="{72FF27C5-963B-41F2-98FC-F0911BF49D16}" type="pres">
      <dgm:prSet presAssocID="{7D9986F1-067F-483E-B486-03461AA5F935}" presName="txLvlOnly1" presStyleLbl="revTx" presStyleIdx="1" presStyleCnt="4"/>
      <dgm:spPr/>
    </dgm:pt>
    <dgm:pt modelId="{B6142230-605D-4D6F-B6E9-27B881540043}" type="pres">
      <dgm:prSet presAssocID="{0A8C84B1-FBCE-4E69-8319-DEE6F9A5805F}" presName="noChildren" presStyleCnt="0"/>
      <dgm:spPr/>
    </dgm:pt>
    <dgm:pt modelId="{30CCE869-0635-4E9A-8693-B6C0A8A2CA5C}" type="pres">
      <dgm:prSet presAssocID="{0A8C84B1-FBCE-4E69-8319-DEE6F9A5805F}" presName="gap" presStyleCnt="0"/>
      <dgm:spPr/>
    </dgm:pt>
    <dgm:pt modelId="{74547C7B-7991-454A-AEB6-399F4519CC46}" type="pres">
      <dgm:prSet presAssocID="{0A8C84B1-FBCE-4E69-8319-DEE6F9A5805F}" presName="medCircle2" presStyleLbl="vennNode1" presStyleIdx="2" presStyleCnt="4"/>
      <dgm:spPr>
        <a:xfrm>
          <a:off x="3969317" y="1631632"/>
          <a:ext cx="815310" cy="815310"/>
        </a:xfrm>
        <a:prstGeom prst="ellipse">
          <a:avLst/>
        </a:prstGeom>
        <a:solidFill>
          <a:srgbClr val="9BBB59">
            <a:alpha val="50000"/>
            <a:hueOff val="7500176"/>
            <a:satOff val="-11253"/>
            <a:lumOff val="-1830"/>
            <a:alphaOff val="0"/>
          </a:srgbClr>
        </a:solidFill>
        <a:ln w="38100">
          <a:solidFill>
            <a:sysClr val="window" lastClr="FFFFFF">
              <a:hueOff val="0"/>
              <a:satOff val="0"/>
              <a:lumOff val="0"/>
              <a:alphaOff val="0"/>
            </a:sysClr>
          </a:solidFill>
          <a:prstDash val="solid"/>
        </a:ln>
        <a:effectLst/>
      </dgm:spPr>
    </dgm:pt>
    <dgm:pt modelId="{2D688804-BD6B-452A-93CF-255A4615116C}" type="pres">
      <dgm:prSet presAssocID="{0A8C84B1-FBCE-4E69-8319-DEE6F9A5805F}" presName="txLvlOnly1" presStyleLbl="revTx" presStyleIdx="2" presStyleCnt="4"/>
      <dgm:spPr/>
    </dgm:pt>
    <dgm:pt modelId="{D1F90A47-EC2F-4972-8AE3-0878BA690C0D}" type="pres">
      <dgm:prSet presAssocID="{B02E6CE1-BE09-415D-B3BB-93699A9BCAA5}" presName="noChildren" presStyleCnt="0"/>
      <dgm:spPr/>
    </dgm:pt>
    <dgm:pt modelId="{78755DD4-41EE-413E-A7C9-5DAD53348DE0}" type="pres">
      <dgm:prSet presAssocID="{B02E6CE1-BE09-415D-B3BB-93699A9BCAA5}" presName="gap" presStyleCnt="0"/>
      <dgm:spPr/>
    </dgm:pt>
    <dgm:pt modelId="{C32761C5-B562-464E-930F-2FFD89C10563}" type="pres">
      <dgm:prSet presAssocID="{B02E6CE1-BE09-415D-B3BB-93699A9BCAA5}" presName="medCircle2" presStyleLbl="vennNode1" presStyleIdx="3" presStyleCnt="4"/>
      <dgm:spPr>
        <a:xfrm>
          <a:off x="3969317" y="2446943"/>
          <a:ext cx="815310" cy="815310"/>
        </a:xfrm>
        <a:prstGeom prst="ellipse">
          <a:avLst/>
        </a:prstGeom>
        <a:solidFill>
          <a:srgbClr val="9BBB59">
            <a:alpha val="50000"/>
            <a:hueOff val="11250264"/>
            <a:satOff val="-16880"/>
            <a:lumOff val="-2745"/>
            <a:alphaOff val="0"/>
          </a:srgbClr>
        </a:solidFill>
        <a:ln w="38100">
          <a:solidFill>
            <a:sysClr val="window" lastClr="FFFFFF">
              <a:hueOff val="0"/>
              <a:satOff val="0"/>
              <a:lumOff val="0"/>
              <a:alphaOff val="0"/>
            </a:sysClr>
          </a:solidFill>
          <a:prstDash val="solid"/>
        </a:ln>
        <a:effectLst/>
      </dgm:spPr>
    </dgm:pt>
    <dgm:pt modelId="{A2A73643-C72C-456B-BDFB-21F8B247483C}" type="pres">
      <dgm:prSet presAssocID="{B02E6CE1-BE09-415D-B3BB-93699A9BCAA5}" presName="txLvlOnly1" presStyleLbl="revTx" presStyleIdx="3" presStyleCnt="4"/>
      <dgm:spPr/>
    </dgm:pt>
  </dgm:ptLst>
  <dgm:cxnLst>
    <dgm:cxn modelId="{BDB22821-9F1D-42FE-AADD-F7CF15F5DC41}" srcId="{EDD2E9B6-37AD-4019-ACC2-D7FF80425656}" destId="{0A8C84B1-FBCE-4E69-8319-DEE6F9A5805F}" srcOrd="2" destOrd="0" parTransId="{04B7BA4E-3F91-42B5-9FDA-A7FD4CA33FB3}" sibTransId="{240E57AC-F898-4AB8-8523-0269BCEDEC79}"/>
    <dgm:cxn modelId="{A6326266-DB2D-40F9-A04C-36F6D3DAE8C6}" srcId="{EDD2E9B6-37AD-4019-ACC2-D7FF80425656}" destId="{5B7B6697-5B0B-45BA-BA33-3D52E69AC609}" srcOrd="0" destOrd="0" parTransId="{3E111809-218F-4A1B-8044-BA7859579262}" sibTransId="{EFC2782C-35CA-4A12-B497-8A83CD939445}"/>
    <dgm:cxn modelId="{66E2356C-11AB-4FAF-B730-18625DC5F8E0}" type="presOf" srcId="{EDD2E9B6-37AD-4019-ACC2-D7FF80425656}" destId="{5C18B93B-6C18-4114-A3C0-1EFE7958CC7E}" srcOrd="0" destOrd="0" presId="urn:microsoft.com/office/officeart/2008/layout/VerticalCircleList#1"/>
    <dgm:cxn modelId="{F8B34152-B624-4B51-8432-229AF56C1E2D}" type="presOf" srcId="{5B7B6697-5B0B-45BA-BA33-3D52E69AC609}" destId="{7581A8E9-5B46-4BD0-B5E3-4440847B8602}" srcOrd="0" destOrd="0" presId="urn:microsoft.com/office/officeart/2008/layout/VerticalCircleList#1"/>
    <dgm:cxn modelId="{BA773B56-8866-46AC-BC46-A0C139D3DEA6}" srcId="{EDD2E9B6-37AD-4019-ACC2-D7FF80425656}" destId="{7D9986F1-067F-483E-B486-03461AA5F935}" srcOrd="1" destOrd="0" parTransId="{AF354839-9AA5-42CE-9AEC-CBBDF146DF5D}" sibTransId="{0597FB1F-CDD4-4B58-A37E-A9FAA784ABAB}"/>
    <dgm:cxn modelId="{52D42658-841A-44D8-ADF5-C38791F266F3}" type="presOf" srcId="{7D9986F1-067F-483E-B486-03461AA5F935}" destId="{72FF27C5-963B-41F2-98FC-F0911BF49D16}" srcOrd="0" destOrd="0" presId="urn:microsoft.com/office/officeart/2008/layout/VerticalCircleList#1"/>
    <dgm:cxn modelId="{4BAA1759-0F09-432E-9A89-332FF9F8D240}" type="presOf" srcId="{B02E6CE1-BE09-415D-B3BB-93699A9BCAA5}" destId="{A2A73643-C72C-456B-BDFB-21F8B247483C}" srcOrd="0" destOrd="0" presId="urn:microsoft.com/office/officeart/2008/layout/VerticalCircleList#1"/>
    <dgm:cxn modelId="{30CC8687-9854-46B8-BD9F-5DD219A70C10}" srcId="{EDD2E9B6-37AD-4019-ACC2-D7FF80425656}" destId="{B02E6CE1-BE09-415D-B3BB-93699A9BCAA5}" srcOrd="3" destOrd="0" parTransId="{3F57FB07-BFAB-4E64-B493-0FA0B0FB9DC8}" sibTransId="{75BB975F-D322-48B7-9FC3-F063015DE8AC}"/>
    <dgm:cxn modelId="{27775891-75AC-4B26-9783-2C8156789DD0}" type="presOf" srcId="{0A8C84B1-FBCE-4E69-8319-DEE6F9A5805F}" destId="{2D688804-BD6B-452A-93CF-255A4615116C}" srcOrd="0" destOrd="0" presId="urn:microsoft.com/office/officeart/2008/layout/VerticalCircleList#1"/>
    <dgm:cxn modelId="{BC5F00DB-234A-4EBF-A449-6DBC83ED3163}" type="presParOf" srcId="{5C18B93B-6C18-4114-A3C0-1EFE7958CC7E}" destId="{0716E121-A129-4AB2-89FB-478D0AA0513A}" srcOrd="0" destOrd="0" presId="urn:microsoft.com/office/officeart/2008/layout/VerticalCircleList#1"/>
    <dgm:cxn modelId="{BA988723-2203-42C3-B825-A57D13188ADA}" type="presParOf" srcId="{0716E121-A129-4AB2-89FB-478D0AA0513A}" destId="{BBF95589-D660-4154-9887-86D317D70D22}" srcOrd="0" destOrd="0" presId="urn:microsoft.com/office/officeart/2008/layout/VerticalCircleList#1"/>
    <dgm:cxn modelId="{5390F400-6DFF-4F6C-86C7-B8887CB01313}" type="presParOf" srcId="{0716E121-A129-4AB2-89FB-478D0AA0513A}" destId="{F7E2710B-9617-487E-B704-6A1289B7B4B4}" srcOrd="1" destOrd="0" presId="urn:microsoft.com/office/officeart/2008/layout/VerticalCircleList#1"/>
    <dgm:cxn modelId="{03F5171B-09C4-48DC-912E-9DEBDDFF1499}" type="presParOf" srcId="{0716E121-A129-4AB2-89FB-478D0AA0513A}" destId="{7581A8E9-5B46-4BD0-B5E3-4440847B8602}" srcOrd="2" destOrd="0" presId="urn:microsoft.com/office/officeart/2008/layout/VerticalCircleList#1"/>
    <dgm:cxn modelId="{0F4DDBD4-C22F-4910-8CAF-EB758498A8D6}" type="presParOf" srcId="{5C18B93B-6C18-4114-A3C0-1EFE7958CC7E}" destId="{D922EDEA-2616-42EB-A7B5-989F0828C8A6}" srcOrd="1" destOrd="0" presId="urn:microsoft.com/office/officeart/2008/layout/VerticalCircleList#1"/>
    <dgm:cxn modelId="{0992FF23-7B30-47C7-A16A-D780D656C71A}" type="presParOf" srcId="{D922EDEA-2616-42EB-A7B5-989F0828C8A6}" destId="{A171745D-1808-41CD-B95A-304E9D70FB96}" srcOrd="0" destOrd="0" presId="urn:microsoft.com/office/officeart/2008/layout/VerticalCircleList#1"/>
    <dgm:cxn modelId="{01D82607-C8D3-4A78-B0DD-C9958ECB3970}" type="presParOf" srcId="{D922EDEA-2616-42EB-A7B5-989F0828C8A6}" destId="{851BBE85-B46A-469D-BE0B-6985C052F55B}" srcOrd="1" destOrd="0" presId="urn:microsoft.com/office/officeart/2008/layout/VerticalCircleList#1"/>
    <dgm:cxn modelId="{4F4D697D-6BB9-4321-8C41-EBFF9D694EF2}" type="presParOf" srcId="{D922EDEA-2616-42EB-A7B5-989F0828C8A6}" destId="{72FF27C5-963B-41F2-98FC-F0911BF49D16}" srcOrd="2" destOrd="0" presId="urn:microsoft.com/office/officeart/2008/layout/VerticalCircleList#1"/>
    <dgm:cxn modelId="{7103C3B9-7D77-44B9-BEC3-E0A48E1F5F7F}" type="presParOf" srcId="{5C18B93B-6C18-4114-A3C0-1EFE7958CC7E}" destId="{B6142230-605D-4D6F-B6E9-27B881540043}" srcOrd="2" destOrd="0" presId="urn:microsoft.com/office/officeart/2008/layout/VerticalCircleList#1"/>
    <dgm:cxn modelId="{3C7DF658-AEE4-448F-83D4-DC1A7DE03DF4}" type="presParOf" srcId="{B6142230-605D-4D6F-B6E9-27B881540043}" destId="{30CCE869-0635-4E9A-8693-B6C0A8A2CA5C}" srcOrd="0" destOrd="0" presId="urn:microsoft.com/office/officeart/2008/layout/VerticalCircleList#1"/>
    <dgm:cxn modelId="{EFE65F8A-4DAF-4677-99F5-0035DC954F85}" type="presParOf" srcId="{B6142230-605D-4D6F-B6E9-27B881540043}" destId="{74547C7B-7991-454A-AEB6-399F4519CC46}" srcOrd="1" destOrd="0" presId="urn:microsoft.com/office/officeart/2008/layout/VerticalCircleList#1"/>
    <dgm:cxn modelId="{B4B2D6A8-B25A-451E-B017-40838BC42058}" type="presParOf" srcId="{B6142230-605D-4D6F-B6E9-27B881540043}" destId="{2D688804-BD6B-452A-93CF-255A4615116C}" srcOrd="2" destOrd="0" presId="urn:microsoft.com/office/officeart/2008/layout/VerticalCircleList#1"/>
    <dgm:cxn modelId="{6A729C71-721B-4281-8F9F-4C7B5504CC3B}" type="presParOf" srcId="{5C18B93B-6C18-4114-A3C0-1EFE7958CC7E}" destId="{D1F90A47-EC2F-4972-8AE3-0878BA690C0D}" srcOrd="3" destOrd="0" presId="urn:microsoft.com/office/officeart/2008/layout/VerticalCircleList#1"/>
    <dgm:cxn modelId="{47461AC4-B529-4BBE-B6C0-43428725AF1C}" type="presParOf" srcId="{D1F90A47-EC2F-4972-8AE3-0878BA690C0D}" destId="{78755DD4-41EE-413E-A7C9-5DAD53348DE0}" srcOrd="0" destOrd="0" presId="urn:microsoft.com/office/officeart/2008/layout/VerticalCircleList#1"/>
    <dgm:cxn modelId="{106043F6-551C-4E35-A98A-CFF3BFEFB66C}" type="presParOf" srcId="{D1F90A47-EC2F-4972-8AE3-0878BA690C0D}" destId="{C32761C5-B562-464E-930F-2FFD89C10563}" srcOrd="1" destOrd="0" presId="urn:microsoft.com/office/officeart/2008/layout/VerticalCircleList#1"/>
    <dgm:cxn modelId="{194EFB82-D686-42DD-AD2A-84A89C50B943}" type="presParOf" srcId="{D1F90A47-EC2F-4972-8AE3-0878BA690C0D}" destId="{A2A73643-C72C-456B-BDFB-21F8B247483C}" srcOrd="2" destOrd="0" presId="urn:microsoft.com/office/officeart/2008/layout/VerticalCircleList#1"/>
  </dgm:cxnLst>
  <dgm:bg/>
  <dgm:whole/>
  <dgm:extLst>
    <a:ext xmlns:a="http://schemas.openxmlformats.org/drawingml/2006/main" uri="http://schemas.microsoft.com/office/drawing/2008/diagram">
      <dsp:dataModelExt xmlns:dsp="http://schemas.microsoft.com/office/drawing/2008/diagram" minVer="http://schemas.openxmlformats.org/drawingml/2006/diagram" relId="rId16"/>
    </a:ext>
    <a:ext xmlns:a="http://schemas.openxmlformats.org/drawingml/2006/main"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13FB46DB-0B2E-4B55-800D-45FDBFD60032}" type="doc">
      <dgm:prSet loTypeId="urn:microsoft.com/office/officeart/2005/8/layout/list1#1" loCatId="list" qsTypeId="urn:microsoft.com/office/officeart/2005/8/quickstyle/simple1" qsCatId="simple" csTypeId="urn:microsoft.com/office/officeart/2005/8/colors/accent1_2" csCatId="accent1" phldr="1"/>
      <dgm:spPr/>
      <dgm:t>
        <a:bodyPr/>
        <a:lstStyle/>
        <a:p>
          <a:pPr rtl="1"/>
          <a:endParaRPr lang="he-IL"/>
        </a:p>
      </dgm:t>
    </dgm:pt>
    <dgm:pt modelId="{9964D3DC-C37A-4D43-B219-A57E494F9335}">
      <dgm:prSet phldrT="[טקסט]" custT="1"/>
      <dgm:spPr>
        <a:xfrm>
          <a:off x="738998" y="1364122"/>
          <a:ext cx="3867219" cy="406406"/>
        </a:xfrm>
        <a:prstGeom prst="roundRect">
          <a:avLst/>
        </a:prstGeom>
        <a:solidFill>
          <a:srgbClr val="4F81BD">
            <a:hueOff val="0"/>
            <a:satOff val="0"/>
            <a:lumOff val="0"/>
            <a:alphaOff val="0"/>
          </a:srgbClr>
        </a:solidFill>
        <a:ln w="25400">
          <a:solidFill>
            <a:sysClr val="window" lastClr="FFFFFF">
              <a:hueOff val="0"/>
              <a:satOff val="0"/>
              <a:lumOff val="0"/>
              <a:alphaOff val="0"/>
            </a:sysClr>
          </a:solidFill>
          <a:prstDash val="solid"/>
        </a:ln>
        <a:effectLst/>
      </dgm:spPr>
      <dgm:t>
        <a:bodyPr/>
        <a:lstStyle/>
        <a:p>
          <a:pPr algn="ctr" rtl="1">
            <a:buNone/>
          </a:pPr>
          <a:r>
            <a:rPr lang="he-IL" sz="1200" b="1">
              <a:solidFill>
                <a:sysClr val="window" lastClr="FFFFFF"/>
              </a:solidFill>
              <a:latin typeface="David" panose="020E0502060401010101" pitchFamily="34" charset="-79"/>
              <a:ea typeface="+mn-ea"/>
              <a:cs typeface="David" panose="020E0502060401010101" pitchFamily="34" charset="-79"/>
            </a:rPr>
            <a:t>2009 - צוות עבודה בין-משרדי - ביטוח לאומי, משרד התחבורה ומשרד הבריאות</a:t>
          </a:r>
        </a:p>
      </dgm:t>
    </dgm:pt>
    <dgm:pt modelId="{016AB003-1AF3-439C-82DF-7320187986EF}" type="parTrans" cxnId="{90D97EC4-9EC7-49ED-9E6A-009BE2AE157F}">
      <dgm:prSet/>
      <dgm:spPr/>
      <dgm:t>
        <a:bodyPr/>
        <a:lstStyle/>
        <a:p>
          <a:pPr algn="ctr" rtl="1"/>
          <a:endParaRPr lang="he-IL" sz="1200">
            <a:latin typeface="David" panose="020E0502060401010101" pitchFamily="34" charset="-79"/>
            <a:cs typeface="David" panose="020E0502060401010101" pitchFamily="34" charset="-79"/>
          </a:endParaRPr>
        </a:p>
      </dgm:t>
    </dgm:pt>
    <dgm:pt modelId="{CEB2961D-117C-42F9-8229-B536795954DD}" type="sibTrans" cxnId="{90D97EC4-9EC7-49ED-9E6A-009BE2AE157F}">
      <dgm:prSet/>
      <dgm:spPr/>
      <dgm:t>
        <a:bodyPr/>
        <a:lstStyle/>
        <a:p>
          <a:pPr algn="ctr" rtl="1"/>
          <a:endParaRPr lang="he-IL" sz="1200">
            <a:latin typeface="David" panose="020E0502060401010101" pitchFamily="34" charset="-79"/>
            <a:cs typeface="David" panose="020E0502060401010101" pitchFamily="34" charset="-79"/>
          </a:endParaRPr>
        </a:p>
      </dgm:t>
    </dgm:pt>
    <dgm:pt modelId="{5397191E-EE39-4126-A7F8-D987A3A59712}">
      <dgm:prSet custT="1"/>
      <dgm:spPr>
        <a:xfrm>
          <a:off x="0" y="1699946"/>
          <a:ext cx="5336540" cy="740250"/>
        </a:xfrm>
        <a:prstGeom prst="rect">
          <a:avLst/>
        </a:prstGeom>
        <a:solidFill>
          <a:sysClr val="window" lastClr="FFFFFF">
            <a:alpha val="90000"/>
            <a:hueOff val="0"/>
            <a:satOff val="0"/>
            <a:lumOff val="0"/>
            <a:alphaOff val="0"/>
          </a:sysClr>
        </a:solidFill>
        <a:ln w="25400">
          <a:solidFill>
            <a:srgbClr val="4F81BD">
              <a:hueOff val="0"/>
              <a:satOff val="0"/>
              <a:lumOff val="0"/>
              <a:alphaOff val="0"/>
            </a:srgbClr>
          </a:solidFill>
          <a:prstDash val="solid"/>
        </a:ln>
        <a:effectLst/>
      </dgm:spPr>
      <dgm:t>
        <a:bodyPr/>
        <a:lstStyle/>
        <a:p>
          <a:pPr algn="just" rtl="1">
            <a:buSzPts val="1000"/>
            <a:buFont typeface="Wingdings" panose="05000000000000000000" pitchFamily="2" charset="2"/>
            <a:buNone/>
          </a:pPr>
          <a:r>
            <a:rPr lang="he-IL" sz="1200" b="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2009 - 2011 </a:t>
          </a:r>
          <a:r>
            <a:rPr lang="he-IL" sz="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גיבוש והפצת תזכיר שני לתיקון החוק (נוסח מתקדם הוכן ב-2011) - התזכיר </a:t>
          </a:r>
          <a:r>
            <a:rPr lang="he-IL" sz="1200" b="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כולל התייחסות לחניה במקומות אסורים, כללים לקביעת תוקף תגים, התייחסות פרטנית לאוכלוסיית חוסים במוסד סיעודי, שיוך רכב אחד במקום שניים, אפשרות להטיל אגרה בגין בקשות לתג והיבטים באכיפה</a:t>
          </a:r>
          <a:endParaRPr lang="en-US" sz="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endParaRPr>
        </a:p>
      </dgm:t>
    </dgm:pt>
    <dgm:pt modelId="{FC159222-9772-4230-AC0B-527CB5EBDA93}" type="parTrans" cxnId="{341347A8-6FA5-4B07-A081-AAA4D90F752D}">
      <dgm:prSet/>
      <dgm:spPr/>
      <dgm:t>
        <a:bodyPr/>
        <a:lstStyle/>
        <a:p>
          <a:pPr algn="ctr" rtl="1"/>
          <a:endParaRPr lang="he-IL" sz="1200">
            <a:latin typeface="David" panose="020E0502060401010101" pitchFamily="34" charset="-79"/>
            <a:cs typeface="David" panose="020E0502060401010101" pitchFamily="34" charset="-79"/>
          </a:endParaRPr>
        </a:p>
      </dgm:t>
    </dgm:pt>
    <dgm:pt modelId="{9E310FCE-27B1-4632-A3CA-E3E826C86217}" type="sibTrans" cxnId="{341347A8-6FA5-4B07-A081-AAA4D90F752D}">
      <dgm:prSet/>
      <dgm:spPr/>
      <dgm:t>
        <a:bodyPr/>
        <a:lstStyle/>
        <a:p>
          <a:pPr algn="ctr" rtl="1"/>
          <a:endParaRPr lang="he-IL" sz="1200">
            <a:latin typeface="David" panose="020E0502060401010101" pitchFamily="34" charset="-79"/>
            <a:cs typeface="David" panose="020E0502060401010101" pitchFamily="34" charset="-79"/>
          </a:endParaRPr>
        </a:p>
      </dgm:t>
    </dgm:pt>
    <dgm:pt modelId="{16F2B035-17A1-4117-BD0D-50596854E359}">
      <dgm:prSet custT="1"/>
      <dgm:spPr>
        <a:xfrm>
          <a:off x="753679" y="3433315"/>
          <a:ext cx="3781338" cy="327977"/>
        </a:xfrm>
        <a:prstGeom prst="roundRect">
          <a:avLst/>
        </a:prstGeom>
        <a:solidFill>
          <a:srgbClr val="4F81BD">
            <a:hueOff val="0"/>
            <a:satOff val="0"/>
            <a:lumOff val="0"/>
            <a:alphaOff val="0"/>
          </a:srgbClr>
        </a:solidFill>
        <a:ln w="25400">
          <a:solidFill>
            <a:sysClr val="window" lastClr="FFFFFF">
              <a:hueOff val="0"/>
              <a:satOff val="0"/>
              <a:lumOff val="0"/>
              <a:alphaOff val="0"/>
            </a:sysClr>
          </a:solidFill>
          <a:prstDash val="solid"/>
        </a:ln>
        <a:effectLst/>
      </dgm:spPr>
      <dgm:t>
        <a:bodyPr/>
        <a:lstStyle/>
        <a:p>
          <a:pPr algn="ctr" rtl="1">
            <a:buSzPts val="1000"/>
            <a:buFont typeface="Courier New" panose="02070309020205020404" pitchFamily="49" charset="0"/>
            <a:buNone/>
          </a:pPr>
          <a:r>
            <a:rPr lang="he-IL" sz="1200" b="1">
              <a:solidFill>
                <a:sysClr val="window" lastClr="FFFFFF"/>
              </a:solidFill>
              <a:latin typeface="David" panose="020E0502060401010101" pitchFamily="34" charset="-79"/>
              <a:ea typeface="+mn-ea"/>
              <a:cs typeface="David" panose="020E0502060401010101" pitchFamily="34" charset="-79"/>
            </a:rPr>
            <a:t>2022 - צוות עבודה בין-משרדי - משרד התחבורה, ביטוח לאומי, משרד הבריאות ומשרד האוצר</a:t>
          </a:r>
          <a:endParaRPr lang="en-US" sz="1200" b="1">
            <a:solidFill>
              <a:sysClr val="window" lastClr="FFFFFF"/>
            </a:solidFill>
            <a:latin typeface="David" panose="020E0502060401010101" pitchFamily="34" charset="-79"/>
            <a:ea typeface="+mn-ea"/>
            <a:cs typeface="David" panose="020E0502060401010101" pitchFamily="34" charset="-79"/>
          </a:endParaRPr>
        </a:p>
      </dgm:t>
    </dgm:pt>
    <dgm:pt modelId="{52FDB5F6-0613-4097-9C1F-0A3B1A9C882F}" type="parTrans" cxnId="{4435BD05-0979-4A1F-AF66-DC5FE473EF11}">
      <dgm:prSet/>
      <dgm:spPr/>
      <dgm:t>
        <a:bodyPr/>
        <a:lstStyle/>
        <a:p>
          <a:pPr algn="ctr" rtl="1"/>
          <a:endParaRPr lang="he-IL" sz="1200">
            <a:latin typeface="David" panose="020E0502060401010101" pitchFamily="34" charset="-79"/>
            <a:cs typeface="David" panose="020E0502060401010101" pitchFamily="34" charset="-79"/>
          </a:endParaRPr>
        </a:p>
      </dgm:t>
    </dgm:pt>
    <dgm:pt modelId="{C27B64CB-02EB-465C-AD50-AED014698000}" type="sibTrans" cxnId="{4435BD05-0979-4A1F-AF66-DC5FE473EF11}">
      <dgm:prSet/>
      <dgm:spPr/>
      <dgm:t>
        <a:bodyPr/>
        <a:lstStyle/>
        <a:p>
          <a:pPr algn="ctr" rtl="1"/>
          <a:endParaRPr lang="he-IL" sz="1200">
            <a:latin typeface="David" panose="020E0502060401010101" pitchFamily="34" charset="-79"/>
            <a:cs typeface="David" panose="020E0502060401010101" pitchFamily="34" charset="-79"/>
          </a:endParaRPr>
        </a:p>
      </dgm:t>
    </dgm:pt>
    <dgm:pt modelId="{FF33001B-5335-40DC-91B0-054DD4CD0FB5}">
      <dgm:prSet custT="1"/>
      <dgm:spPr>
        <a:xfrm>
          <a:off x="753679" y="4336804"/>
          <a:ext cx="3795683" cy="392040"/>
        </a:xfrm>
        <a:prstGeom prst="roundRect">
          <a:avLst/>
        </a:prstGeom>
        <a:solidFill>
          <a:srgbClr val="4F81BD">
            <a:hueOff val="0"/>
            <a:satOff val="0"/>
            <a:lumOff val="0"/>
            <a:alphaOff val="0"/>
          </a:srgbClr>
        </a:solidFill>
        <a:ln w="25400">
          <a:solidFill>
            <a:sysClr val="window" lastClr="FFFFFF">
              <a:hueOff val="0"/>
              <a:satOff val="0"/>
              <a:lumOff val="0"/>
              <a:alphaOff val="0"/>
            </a:sysClr>
          </a:solidFill>
          <a:prstDash val="solid"/>
        </a:ln>
        <a:effectLst/>
      </dgm:spPr>
      <dgm:t>
        <a:bodyPr/>
        <a:lstStyle/>
        <a:p>
          <a:pPr algn="ctr" rtl="1">
            <a:buSzPts val="1000"/>
            <a:buFont typeface="Courier New" panose="02070309020205020404" pitchFamily="49" charset="0"/>
            <a:buNone/>
          </a:pPr>
          <a:r>
            <a:rPr lang="he-IL" sz="1200" b="1">
              <a:solidFill>
                <a:sysClr val="window" lastClr="FFFFFF"/>
              </a:solidFill>
              <a:latin typeface="David" panose="020E0502060401010101" pitchFamily="34" charset="-79"/>
              <a:ea typeface="+mn-ea"/>
              <a:cs typeface="David" panose="020E0502060401010101" pitchFamily="34" charset="-79"/>
            </a:rPr>
            <a:t>2024 - צוות עבודה בין-משרדי - משרד התחבורה, ביטוח לאומי ומשרד הבריאות</a:t>
          </a:r>
          <a:endParaRPr lang="en-US" sz="1200" b="1">
            <a:solidFill>
              <a:sysClr val="window" lastClr="FFFFFF"/>
            </a:solidFill>
            <a:latin typeface="David" panose="020E0502060401010101" pitchFamily="34" charset="-79"/>
            <a:ea typeface="+mn-ea"/>
            <a:cs typeface="David" panose="020E0502060401010101" pitchFamily="34" charset="-79"/>
          </a:endParaRPr>
        </a:p>
      </dgm:t>
    </dgm:pt>
    <dgm:pt modelId="{91C0CA4B-37B1-4053-A747-4B23FD535777}" type="parTrans" cxnId="{382BF8BB-008C-4AB5-ADDA-EE65BDD801DC}">
      <dgm:prSet/>
      <dgm:spPr/>
      <dgm:t>
        <a:bodyPr/>
        <a:lstStyle/>
        <a:p>
          <a:pPr algn="ctr" rtl="1"/>
          <a:endParaRPr lang="he-IL" sz="1200">
            <a:latin typeface="David" panose="020E0502060401010101" pitchFamily="34" charset="-79"/>
            <a:cs typeface="David" panose="020E0502060401010101" pitchFamily="34" charset="-79"/>
          </a:endParaRPr>
        </a:p>
      </dgm:t>
    </dgm:pt>
    <dgm:pt modelId="{EB5932FF-951B-4C37-8A74-F0EE77A3EB72}" type="sibTrans" cxnId="{382BF8BB-008C-4AB5-ADDA-EE65BDD801DC}">
      <dgm:prSet/>
      <dgm:spPr/>
      <dgm:t>
        <a:bodyPr/>
        <a:lstStyle/>
        <a:p>
          <a:pPr algn="ctr" rtl="1"/>
          <a:endParaRPr lang="he-IL" sz="1200">
            <a:latin typeface="David" panose="020E0502060401010101" pitchFamily="34" charset="-79"/>
            <a:cs typeface="David" panose="020E0502060401010101" pitchFamily="34" charset="-79"/>
          </a:endParaRPr>
        </a:p>
      </dgm:t>
    </dgm:pt>
    <dgm:pt modelId="{35F00C6A-6356-49BE-83C9-E447AAC52B81}">
      <dgm:prSet custT="1"/>
      <dgm:spPr>
        <a:xfrm>
          <a:off x="762644" y="5385078"/>
          <a:ext cx="3735578" cy="408245"/>
        </a:xfrm>
        <a:prstGeom prst="roundRect">
          <a:avLst/>
        </a:prstGeom>
        <a:solidFill>
          <a:srgbClr val="4F81BD">
            <a:hueOff val="0"/>
            <a:satOff val="0"/>
            <a:lumOff val="0"/>
            <a:alphaOff val="0"/>
          </a:srgbClr>
        </a:solidFill>
        <a:ln w="25400">
          <a:solidFill>
            <a:sysClr val="window" lastClr="FFFFFF">
              <a:hueOff val="0"/>
              <a:satOff val="0"/>
              <a:lumOff val="0"/>
              <a:alphaOff val="0"/>
            </a:sysClr>
          </a:solidFill>
          <a:prstDash val="solid"/>
        </a:ln>
        <a:effectLst/>
      </dgm:spPr>
      <dgm:t>
        <a:bodyPr/>
        <a:lstStyle/>
        <a:p>
          <a:pPr algn="ctr" rtl="1">
            <a:buSzPts val="1000"/>
            <a:buFont typeface="Courier New" panose="02070309020205020404" pitchFamily="49" charset="0"/>
            <a:buNone/>
          </a:pPr>
          <a:r>
            <a:rPr lang="he-IL" sz="1200" b="1">
              <a:solidFill>
                <a:sysClr val="window" lastClr="FFFFFF"/>
              </a:solidFill>
              <a:latin typeface="David" panose="020E0502060401010101" pitchFamily="34" charset="-79"/>
              <a:ea typeface="+mn-ea"/>
              <a:cs typeface="David" panose="020E0502060401010101" pitchFamily="34" charset="-79"/>
            </a:rPr>
            <a:t>2025 - צוות עבודה בין-משרדי - חשכ"ל, משרד התחבורה וביטוח לאומי (הצוות הבין-משרדי 2025)</a:t>
          </a:r>
          <a:endParaRPr lang="en-US" sz="1200" b="1">
            <a:solidFill>
              <a:sysClr val="window" lastClr="FFFFFF"/>
            </a:solidFill>
            <a:latin typeface="David" panose="020E0502060401010101" pitchFamily="34" charset="-79"/>
            <a:ea typeface="+mn-ea"/>
            <a:cs typeface="David" panose="020E0502060401010101" pitchFamily="34" charset="-79"/>
          </a:endParaRPr>
        </a:p>
      </dgm:t>
    </dgm:pt>
    <dgm:pt modelId="{CA06A6C2-1085-4134-A4E2-DA39B696088B}" type="parTrans" cxnId="{276B1701-4AA9-409C-B55A-6C02ADB41961}">
      <dgm:prSet/>
      <dgm:spPr/>
      <dgm:t>
        <a:bodyPr/>
        <a:lstStyle/>
        <a:p>
          <a:pPr rtl="1"/>
          <a:endParaRPr lang="he-IL"/>
        </a:p>
      </dgm:t>
    </dgm:pt>
    <dgm:pt modelId="{B5BB8271-A3D1-474A-A29F-D76561C85D83}" type="sibTrans" cxnId="{276B1701-4AA9-409C-B55A-6C02ADB41961}">
      <dgm:prSet/>
      <dgm:spPr/>
      <dgm:t>
        <a:bodyPr/>
        <a:lstStyle/>
        <a:p>
          <a:pPr rtl="1"/>
          <a:endParaRPr lang="he-IL"/>
        </a:p>
      </dgm:t>
    </dgm:pt>
    <dgm:pt modelId="{0A356473-535F-4E5E-8DA3-0FA7B0530ADE}">
      <dgm:prSet custT="1"/>
      <dgm:spPr>
        <a:xfrm>
          <a:off x="0" y="4639170"/>
          <a:ext cx="5336540" cy="708065"/>
        </a:xfrm>
        <a:prstGeom prst="rect">
          <a:avLst/>
        </a:prstGeom>
        <a:solidFill>
          <a:sysClr val="window" lastClr="FFFFFF">
            <a:alpha val="90000"/>
            <a:hueOff val="0"/>
            <a:satOff val="0"/>
            <a:lumOff val="0"/>
            <a:alphaOff val="0"/>
          </a:sysClr>
        </a:solidFill>
        <a:ln w="25400">
          <a:solidFill>
            <a:srgbClr val="4F81BD">
              <a:hueOff val="0"/>
              <a:satOff val="0"/>
              <a:lumOff val="0"/>
              <a:alphaOff val="0"/>
            </a:srgbClr>
          </a:solidFill>
          <a:prstDash val="solid"/>
        </a:ln>
        <a:effectLst/>
      </dgm:spPr>
      <dgm:t>
        <a:bodyPr/>
        <a:lstStyle/>
        <a:p>
          <a:pPr algn="just" rtl="1">
            <a:buSzPts val="1000"/>
            <a:buFont typeface="Courier New" panose="02070309020205020404" pitchFamily="49" charset="0"/>
            <a:buNone/>
          </a:pPr>
          <a:r>
            <a:rPr lang="he-IL" sz="1200" b="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2025</a:t>
          </a:r>
          <a:r>
            <a:rPr lang="he-IL" sz="1200" b="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 פרסום נוהל חדש לציבור ובו רשימת מסמכים שנדרש להציגם בעת בקשה לתגי חניה לפי סוג המוגבלות</a:t>
          </a:r>
          <a:endParaRPr lang="en-US" sz="1200" b="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endParaRPr>
        </a:p>
      </dgm:t>
    </dgm:pt>
    <dgm:pt modelId="{43867F37-8D38-48B2-B56E-6A3B68E1687F}" type="parTrans" cxnId="{396B11F8-3C58-465B-A700-34042B08775F}">
      <dgm:prSet/>
      <dgm:spPr/>
      <dgm:t>
        <a:bodyPr/>
        <a:lstStyle/>
        <a:p>
          <a:pPr rtl="1"/>
          <a:endParaRPr lang="he-IL"/>
        </a:p>
      </dgm:t>
    </dgm:pt>
    <dgm:pt modelId="{E96F52C5-29F0-4C37-8CB0-9B07EA6812A7}" type="sibTrans" cxnId="{396B11F8-3C58-465B-A700-34042B08775F}">
      <dgm:prSet/>
      <dgm:spPr/>
      <dgm:t>
        <a:bodyPr/>
        <a:lstStyle/>
        <a:p>
          <a:pPr rtl="1"/>
          <a:endParaRPr lang="he-IL"/>
        </a:p>
      </dgm:t>
    </dgm:pt>
    <dgm:pt modelId="{AEB58E12-38C5-4510-A811-6D8C1CEDFFD7}">
      <dgm:prSet phldrT="[טקסט]" custT="1"/>
      <dgm:spPr>
        <a:xfrm>
          <a:off x="649681" y="33626"/>
          <a:ext cx="3974804" cy="327519"/>
        </a:xfrm>
        <a:prstGeom prst="roundRect">
          <a:avLst/>
        </a:prstGeom>
        <a:solidFill>
          <a:srgbClr val="4F81BD">
            <a:hueOff val="0"/>
            <a:satOff val="0"/>
            <a:lumOff val="0"/>
            <a:alphaOff val="0"/>
          </a:srgbClr>
        </a:solidFill>
        <a:ln w="25400">
          <a:solidFill>
            <a:sysClr val="window" lastClr="FFFFFF">
              <a:hueOff val="0"/>
              <a:satOff val="0"/>
              <a:lumOff val="0"/>
              <a:alphaOff val="0"/>
            </a:sysClr>
          </a:solidFill>
          <a:prstDash val="solid"/>
        </a:ln>
        <a:effectLst/>
      </dgm:spPr>
      <dgm:t>
        <a:bodyPr/>
        <a:lstStyle/>
        <a:p>
          <a:pPr algn="ctr" rtl="1">
            <a:buNone/>
          </a:pPr>
          <a:r>
            <a:rPr lang="he-IL" sz="1200" b="1">
              <a:solidFill>
                <a:sysClr val="window" lastClr="FFFFFF"/>
              </a:solidFill>
              <a:latin typeface="David" panose="020E0502060401010101" pitchFamily="34" charset="-79"/>
              <a:ea typeface="+mn-ea"/>
              <a:cs typeface="David" panose="020E0502060401010101" pitchFamily="34" charset="-79"/>
            </a:rPr>
            <a:t>2006 - צוות עבודה בין-משרדי - משרד התחבורה, משרד הבריאות, ביטוח לאומי, משטרת ישראל ונציבות שוויון זכויות</a:t>
          </a:r>
        </a:p>
      </dgm:t>
    </dgm:pt>
    <dgm:pt modelId="{EC86F88B-0B68-4F84-8DAC-7F8234DAF2AB}" type="parTrans" cxnId="{8D0BE002-BA37-421C-AACD-23CAA023B237}">
      <dgm:prSet/>
      <dgm:spPr/>
      <dgm:t>
        <a:bodyPr/>
        <a:lstStyle/>
        <a:p>
          <a:pPr rtl="1"/>
          <a:endParaRPr lang="he-IL"/>
        </a:p>
      </dgm:t>
    </dgm:pt>
    <dgm:pt modelId="{EC19B114-58A4-4574-AC8C-4821C6E9A62C}" type="sibTrans" cxnId="{8D0BE002-BA37-421C-AACD-23CAA023B237}">
      <dgm:prSet/>
      <dgm:spPr/>
      <dgm:t>
        <a:bodyPr/>
        <a:lstStyle/>
        <a:p>
          <a:pPr rtl="1"/>
          <a:endParaRPr lang="he-IL"/>
        </a:p>
      </dgm:t>
    </dgm:pt>
    <dgm:pt modelId="{57C61D7B-6AAC-4ACB-B955-FD7932D7B6FB}">
      <dgm:prSet phldrT="[טקסט]" custT="1"/>
      <dgm:spPr>
        <a:xfrm>
          <a:off x="0" y="291315"/>
          <a:ext cx="5336540" cy="1039500"/>
        </a:xfrm>
        <a:prstGeom prst="rect">
          <a:avLst/>
        </a:prstGeom>
        <a:solidFill>
          <a:sysClr val="window" lastClr="FFFFFF">
            <a:alpha val="90000"/>
            <a:hueOff val="0"/>
            <a:satOff val="0"/>
            <a:lumOff val="0"/>
            <a:alphaOff val="0"/>
          </a:sysClr>
        </a:solidFill>
        <a:ln w="25400">
          <a:solidFill>
            <a:srgbClr val="4F81BD">
              <a:hueOff val="0"/>
              <a:satOff val="0"/>
              <a:lumOff val="0"/>
              <a:alphaOff val="0"/>
            </a:srgbClr>
          </a:solidFill>
          <a:prstDash val="solid"/>
        </a:ln>
        <a:effectLst/>
      </dgm:spPr>
      <dgm:t>
        <a:bodyPr/>
        <a:lstStyle/>
        <a:p>
          <a:pPr algn="just" rtl="1">
            <a:buSzPts val="1000"/>
            <a:buFont typeface="Wingdings" panose="05000000000000000000" pitchFamily="2" charset="2"/>
            <a:buNone/>
          </a:pPr>
          <a:r>
            <a:rPr lang="he-IL" sz="1200" b="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2008</a:t>
          </a:r>
          <a:r>
            <a:rPr lang="he-IL" sz="1200" b="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 </a:t>
          </a:r>
          <a:r>
            <a:rPr lang="he-IL" sz="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תזכיר ראשון לתיקון החוק - התזכיר כלל בין היתר קריטריונים רפואיים מפורטים, קביעת מנגנון של ועדת זכאות שתורכב מרופאים במשרד התחבורה, כללים לקביעת תוקף לתגים והתייחסות לסמכויות הפקחים ברשויות המקומיות לטובת אכיפה.</a:t>
          </a:r>
          <a:endParaRPr lang="he-IL" sz="1200" b="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endParaRPr>
        </a:p>
      </dgm:t>
    </dgm:pt>
    <dgm:pt modelId="{AAEC9197-EA26-46C8-B4CE-D920F495F58A}" type="parTrans" cxnId="{13A3443F-E53C-4012-BE12-660096880113}">
      <dgm:prSet/>
      <dgm:spPr/>
      <dgm:t>
        <a:bodyPr/>
        <a:lstStyle/>
        <a:p>
          <a:pPr rtl="1"/>
          <a:endParaRPr lang="he-IL"/>
        </a:p>
      </dgm:t>
    </dgm:pt>
    <dgm:pt modelId="{1CF05FC4-6046-4DCB-8FB3-95801701C85E}" type="sibTrans" cxnId="{13A3443F-E53C-4012-BE12-660096880113}">
      <dgm:prSet/>
      <dgm:spPr/>
      <dgm:t>
        <a:bodyPr/>
        <a:lstStyle/>
        <a:p>
          <a:pPr rtl="1"/>
          <a:endParaRPr lang="he-IL"/>
        </a:p>
      </dgm:t>
    </dgm:pt>
    <dgm:pt modelId="{292D81A4-AFB3-4787-8631-0A956460471C}">
      <dgm:prSet custT="1"/>
      <dgm:spPr>
        <a:xfrm>
          <a:off x="0" y="5717440"/>
          <a:ext cx="5336540" cy="661839"/>
        </a:xfrm>
        <a:prstGeom prst="rect">
          <a:avLst/>
        </a:prstGeom>
        <a:solidFill>
          <a:sysClr val="window" lastClr="FFFFFF">
            <a:alpha val="90000"/>
            <a:hueOff val="0"/>
            <a:satOff val="0"/>
            <a:lumOff val="0"/>
            <a:alphaOff val="0"/>
          </a:sysClr>
        </a:solidFill>
        <a:ln w="25400">
          <a:solidFill>
            <a:srgbClr val="4F81BD">
              <a:hueOff val="0"/>
              <a:satOff val="0"/>
              <a:lumOff val="0"/>
              <a:alphaOff val="0"/>
            </a:srgbClr>
          </a:solidFill>
          <a:prstDash val="solid"/>
        </a:ln>
        <a:effectLst/>
      </dgm:spPr>
      <dgm:t>
        <a:bodyPr/>
        <a:lstStyle/>
        <a:p>
          <a:pPr algn="just" rtl="1">
            <a:buSzPts val="1000"/>
            <a:buFont typeface="Courier New" panose="02070309020205020404" pitchFamily="49" charset="0"/>
            <a:buNone/>
          </a:pPr>
          <a:r>
            <a:rPr lang="he-IL" sz="1200" b="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2025 </a:t>
          </a:r>
          <a:r>
            <a:rPr lang="he-IL" sz="1200" b="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במסגרת "התוכנית הכלכלית ל-2026 - שינויים מבניים", התקבלה           ב-4.12.25 החלטת ממשלה 3584 בה הוחלט כי צוות בין-משרדי יגבש נוהל חדש להנפקת תגי חניה. נכון למאי 2026 הצוות עדיין לא סיים לגבש את המלצותיו</a:t>
          </a:r>
          <a:endParaRPr lang="en-US" sz="1200" b="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endParaRPr>
        </a:p>
      </dgm:t>
    </dgm:pt>
    <dgm:pt modelId="{EA699FF1-DE0E-482A-A5C7-71B71D330591}" type="parTrans" cxnId="{600D5B6F-A06B-42BF-8EA6-D8050883AC0D}">
      <dgm:prSet/>
      <dgm:spPr/>
      <dgm:t>
        <a:bodyPr/>
        <a:lstStyle/>
        <a:p>
          <a:pPr rtl="1"/>
          <a:endParaRPr lang="he-IL"/>
        </a:p>
      </dgm:t>
    </dgm:pt>
    <dgm:pt modelId="{63C22538-E232-45E6-BC7F-B51F46703339}" type="sibTrans" cxnId="{600D5B6F-A06B-42BF-8EA6-D8050883AC0D}">
      <dgm:prSet/>
      <dgm:spPr/>
      <dgm:t>
        <a:bodyPr/>
        <a:lstStyle/>
        <a:p>
          <a:pPr rtl="1"/>
          <a:endParaRPr lang="he-IL"/>
        </a:p>
      </dgm:t>
    </dgm:pt>
    <dgm:pt modelId="{3A6FE142-FF4E-4C0E-B16A-5146E0505CF8}">
      <dgm:prSet custT="1"/>
      <dgm:spPr>
        <a:xfrm>
          <a:off x="772088" y="2470562"/>
          <a:ext cx="3731929" cy="565756"/>
        </a:xfrm>
        <a:prstGeom prst="roundRect">
          <a:avLst/>
        </a:prstGeom>
        <a:solidFill>
          <a:srgbClr val="4F81BD">
            <a:hueOff val="0"/>
            <a:satOff val="0"/>
            <a:lumOff val="0"/>
            <a:alphaOff val="0"/>
          </a:srgbClr>
        </a:solidFill>
        <a:ln w="25400">
          <a:solidFill>
            <a:sysClr val="window" lastClr="FFFFFF">
              <a:hueOff val="0"/>
              <a:satOff val="0"/>
              <a:lumOff val="0"/>
              <a:alphaOff val="0"/>
            </a:sysClr>
          </a:solidFill>
          <a:prstDash val="solid"/>
        </a:ln>
        <a:effectLst/>
      </dgm:spPr>
      <dgm:t>
        <a:bodyPr/>
        <a:lstStyle/>
        <a:p>
          <a:pPr algn="ctr" rtl="1">
            <a:buSzPts val="1000"/>
            <a:buFont typeface="Courier New" panose="02070309020205020404" pitchFamily="49" charset="0"/>
            <a:buNone/>
          </a:pPr>
          <a:r>
            <a:rPr lang="he-IL" sz="1200" b="1">
              <a:solidFill>
                <a:sysClr val="window" lastClr="FFFFFF"/>
              </a:solidFill>
              <a:latin typeface="David" panose="020E0502060401010101" pitchFamily="34" charset="-79"/>
              <a:ea typeface="+mn-ea"/>
              <a:cs typeface="David" panose="020E0502060401010101" pitchFamily="34" charset="-79"/>
            </a:rPr>
            <a:t>2009 - צוות עבודה בין-משרדי לצורך קביעת קריטריונים אחידים להנפקת תגים - משרד התחבורה, רופאים ממרב"ד, רופאים מחברה א', משרד הבריאות ומשרד הביטחון</a:t>
          </a:r>
          <a:endParaRPr lang="en-US" sz="1200" b="1">
            <a:solidFill>
              <a:sysClr val="window" lastClr="FFFFFF"/>
            </a:solidFill>
            <a:latin typeface="David" panose="020E0502060401010101" pitchFamily="34" charset="-79"/>
            <a:ea typeface="+mn-ea"/>
            <a:cs typeface="David" panose="020E0502060401010101" pitchFamily="34" charset="-79"/>
          </a:endParaRPr>
        </a:p>
      </dgm:t>
    </dgm:pt>
    <dgm:pt modelId="{FC0A3344-39F1-4E7C-8B04-4446134F4B12}" type="parTrans" cxnId="{240A0723-CF4D-4F8C-8912-D3CCB21D58C6}">
      <dgm:prSet/>
      <dgm:spPr/>
      <dgm:t>
        <a:bodyPr/>
        <a:lstStyle/>
        <a:p>
          <a:pPr rtl="1"/>
          <a:endParaRPr lang="he-IL"/>
        </a:p>
      </dgm:t>
    </dgm:pt>
    <dgm:pt modelId="{5248CE39-EEC3-4307-905F-A682809AF20A}" type="sibTrans" cxnId="{240A0723-CF4D-4F8C-8912-D3CCB21D58C6}">
      <dgm:prSet/>
      <dgm:spPr/>
      <dgm:t>
        <a:bodyPr/>
        <a:lstStyle/>
        <a:p>
          <a:pPr rtl="1"/>
          <a:endParaRPr lang="he-IL"/>
        </a:p>
      </dgm:t>
    </dgm:pt>
    <dgm:pt modelId="{55349DAF-278E-4890-A2CF-A8FC12CBA789}">
      <dgm:prSet custT="1"/>
      <dgm:spPr>
        <a:xfrm>
          <a:off x="0" y="2949628"/>
          <a:ext cx="5336540" cy="464625"/>
        </a:xfrm>
        <a:prstGeom prst="rect">
          <a:avLst/>
        </a:prstGeom>
        <a:solidFill>
          <a:sysClr val="window" lastClr="FFFFFF">
            <a:alpha val="90000"/>
            <a:hueOff val="0"/>
            <a:satOff val="0"/>
            <a:lumOff val="0"/>
            <a:alphaOff val="0"/>
          </a:sysClr>
        </a:solidFill>
        <a:ln w="25400">
          <a:solidFill>
            <a:srgbClr val="4F81BD">
              <a:hueOff val="0"/>
              <a:satOff val="0"/>
              <a:lumOff val="0"/>
              <a:alphaOff val="0"/>
            </a:srgbClr>
          </a:solidFill>
          <a:prstDash val="solid"/>
        </a:ln>
        <a:effectLst/>
      </dgm:spPr>
      <dgm:t>
        <a:bodyPr/>
        <a:lstStyle/>
        <a:p>
          <a:pPr algn="just" rtl="1">
            <a:buSzPts val="1000"/>
            <a:buFont typeface="Courier New" panose="02070309020205020404" pitchFamily="49" charset="0"/>
            <a:buNone/>
          </a:pPr>
          <a:r>
            <a:rPr lang="he-IL" sz="1200" b="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2010 </a:t>
          </a:r>
          <a:r>
            <a:rPr lang="he-IL" sz="1200" b="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רופאי חברה א' הציגו דוח ביניים ובו רשימת קריטריונים להנפקת תג חניה, שתשמש ועדה רפואית למתן תגים במשרד התחבורה וכן את דרכי עבודתה</a:t>
          </a:r>
          <a:endParaRPr lang="en-US" sz="1200" b="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endParaRPr>
        </a:p>
      </dgm:t>
    </dgm:pt>
    <dgm:pt modelId="{76404F2A-EC0B-4F1A-927A-65C0DBBB15E0}" type="parTrans" cxnId="{3B75A7E5-73C6-4C8A-9BFC-85388F4E36C5}">
      <dgm:prSet/>
      <dgm:spPr/>
      <dgm:t>
        <a:bodyPr/>
        <a:lstStyle/>
        <a:p>
          <a:pPr rtl="1"/>
          <a:endParaRPr lang="he-IL"/>
        </a:p>
      </dgm:t>
    </dgm:pt>
    <dgm:pt modelId="{6AC81424-CDB0-43E9-9C57-114831D1FBBF}" type="sibTrans" cxnId="{3B75A7E5-73C6-4C8A-9BFC-85388F4E36C5}">
      <dgm:prSet/>
      <dgm:spPr/>
      <dgm:t>
        <a:bodyPr/>
        <a:lstStyle/>
        <a:p>
          <a:pPr rtl="1"/>
          <a:endParaRPr lang="he-IL"/>
        </a:p>
      </dgm:t>
    </dgm:pt>
    <dgm:pt modelId="{FE85E772-CC53-4F08-9B38-48E919E7349D}">
      <dgm:prSet custT="1"/>
      <dgm:spPr>
        <a:xfrm>
          <a:off x="0" y="3695430"/>
          <a:ext cx="5336540" cy="598500"/>
        </a:xfrm>
        <a:prstGeom prst="rect">
          <a:avLst/>
        </a:prstGeom>
        <a:solidFill>
          <a:sysClr val="window" lastClr="FFFFFF">
            <a:alpha val="90000"/>
            <a:hueOff val="0"/>
            <a:satOff val="0"/>
            <a:lumOff val="0"/>
            <a:alphaOff val="0"/>
          </a:sysClr>
        </a:solidFill>
        <a:ln w="25400">
          <a:solidFill>
            <a:srgbClr val="4F81BD">
              <a:hueOff val="0"/>
              <a:satOff val="0"/>
              <a:lumOff val="0"/>
              <a:alphaOff val="0"/>
            </a:srgbClr>
          </a:solidFill>
          <a:prstDash val="solid"/>
        </a:ln>
        <a:effectLst/>
      </dgm:spPr>
      <dgm:t>
        <a:bodyPr/>
        <a:lstStyle/>
        <a:p>
          <a:pPr algn="just" rtl="1">
            <a:buSzPts val="1000"/>
            <a:buFont typeface="Courier New" panose="02070309020205020404" pitchFamily="49" charset="0"/>
            <a:buNone/>
          </a:pPr>
          <a:r>
            <a:rPr lang="he-IL" sz="1200" b="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2023</a:t>
          </a:r>
          <a:r>
            <a:rPr lang="he-IL" sz="1200" b="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 קביעת תחומים רפואיים בהם קיימת מגבלת ניידות וגיבוש רשימת מסמכים רפואיים שהמבקש יידרש להמציא בכל תחום. כמו כן הובאו המלצות נוספות</a:t>
          </a:r>
          <a:endParaRPr lang="en-US" sz="1200" b="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endParaRPr>
        </a:p>
      </dgm:t>
    </dgm:pt>
    <dgm:pt modelId="{4F89B2CC-44EE-4203-AA7E-5E7C908F71AF}" type="parTrans" cxnId="{1543F5EC-060B-436E-A75A-24C7C452BFFB}">
      <dgm:prSet/>
      <dgm:spPr/>
      <dgm:t>
        <a:bodyPr/>
        <a:lstStyle/>
        <a:p>
          <a:pPr rtl="1"/>
          <a:endParaRPr lang="he-IL"/>
        </a:p>
      </dgm:t>
    </dgm:pt>
    <dgm:pt modelId="{901EB028-B267-4CF4-B9E0-A3CA6206934D}" type="sibTrans" cxnId="{1543F5EC-060B-436E-A75A-24C7C452BFFB}">
      <dgm:prSet/>
      <dgm:spPr/>
      <dgm:t>
        <a:bodyPr/>
        <a:lstStyle/>
        <a:p>
          <a:pPr rtl="1"/>
          <a:endParaRPr lang="he-IL"/>
        </a:p>
      </dgm:t>
    </dgm:pt>
    <dgm:pt modelId="{501FBF7F-577E-4342-9287-E010177493DB}">
      <dgm:prSet phldrT="[טקסט]" custT="1"/>
      <dgm:spPr>
        <a:xfrm>
          <a:off x="0" y="291315"/>
          <a:ext cx="5336540" cy="1039500"/>
        </a:xfrm>
        <a:prstGeom prst="rect">
          <a:avLst/>
        </a:prstGeom>
        <a:solidFill>
          <a:sysClr val="window" lastClr="FFFFFF">
            <a:alpha val="90000"/>
            <a:hueOff val="0"/>
            <a:satOff val="0"/>
            <a:lumOff val="0"/>
            <a:alphaOff val="0"/>
          </a:sysClr>
        </a:solidFill>
        <a:ln w="25400">
          <a:solidFill>
            <a:srgbClr val="4F81BD">
              <a:hueOff val="0"/>
              <a:satOff val="0"/>
              <a:lumOff val="0"/>
              <a:alphaOff val="0"/>
            </a:srgbClr>
          </a:solidFill>
          <a:prstDash val="solid"/>
        </a:ln>
        <a:effectLst/>
      </dgm:spPr>
      <dgm:t>
        <a:bodyPr/>
        <a:lstStyle/>
        <a:p>
          <a:pPr algn="just" rtl="1">
            <a:buSzPts val="1000"/>
            <a:buFont typeface="Wingdings" panose="05000000000000000000" pitchFamily="2" charset="2"/>
            <a:buNone/>
          </a:pPr>
          <a:r>
            <a:rPr lang="he-IL" sz="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התזכיר גובש ב</a:t>
          </a:r>
          <a:r>
            <a:rPr lang="he-IL" sz="1200" b="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היוועצות עם מגוון </a:t>
          </a:r>
          <a:r>
            <a:rPr lang="he-IL" sz="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ארגונים המייצגים אנשים עם מוגבלות וגורמים בשלטון המקומי</a:t>
          </a:r>
          <a:endParaRPr lang="he-IL" sz="1200" b="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endParaRPr>
        </a:p>
      </dgm:t>
    </dgm:pt>
    <dgm:pt modelId="{9D8BC5EF-23C0-4779-A909-7427EFC58BE4}" type="parTrans" cxnId="{8576E448-16EA-43A2-AF05-3BE079EF798A}">
      <dgm:prSet/>
      <dgm:spPr/>
      <dgm:t>
        <a:bodyPr/>
        <a:lstStyle/>
        <a:p>
          <a:pPr rtl="1"/>
          <a:endParaRPr lang="he-IL"/>
        </a:p>
      </dgm:t>
    </dgm:pt>
    <dgm:pt modelId="{B8B1B54D-8447-4147-B720-CC87BE148263}" type="sibTrans" cxnId="{8576E448-16EA-43A2-AF05-3BE079EF798A}">
      <dgm:prSet/>
      <dgm:spPr/>
      <dgm:t>
        <a:bodyPr/>
        <a:lstStyle/>
        <a:p>
          <a:pPr rtl="1"/>
          <a:endParaRPr lang="he-IL"/>
        </a:p>
      </dgm:t>
    </dgm:pt>
    <dgm:pt modelId="{7B65CD48-AFD6-4C62-A7F0-914AD6132D67}" type="pres">
      <dgm:prSet presAssocID="{13FB46DB-0B2E-4B55-800D-45FDBFD60032}" presName="linear" presStyleCnt="0">
        <dgm:presLayoutVars>
          <dgm:dir val="norm"/>
          <dgm:animLvl val="lvl"/>
          <dgm:resizeHandles val="exact"/>
        </dgm:presLayoutVars>
      </dgm:prSet>
      <dgm:spPr/>
    </dgm:pt>
    <dgm:pt modelId="{DC30506B-4588-44DE-AAC3-34605C2D715B}" type="pres">
      <dgm:prSet presAssocID="{AEB58E12-38C5-4510-A811-6D8C1CEDFFD7}" presName="parentLin" presStyleCnt="0"/>
      <dgm:spPr/>
    </dgm:pt>
    <dgm:pt modelId="{B56F2BD0-2635-4EEA-9053-E54B271A8CE0}" type="pres">
      <dgm:prSet presAssocID="{AEB58E12-38C5-4510-A811-6D8C1CEDFFD7}" presName="parentLeftMargin" presStyleLbl="node1" presStyleIdx="0" presStyleCnt="6"/>
      <dgm:spPr/>
    </dgm:pt>
    <dgm:pt modelId="{2C95F21C-8CDD-4BE8-9DC3-71A2D583231C}" type="pres">
      <dgm:prSet presAssocID="{AEB58E12-38C5-4510-A811-6D8C1CEDFFD7}" presName="parentText" presStyleLbl="node1" presStyleIdx="0" presStyleCnt="6" custScaleX="106404" custScaleY="221897" custLinFactX="3106" custLinFactNeighborX="100000" custLinFactNeighborY="-2689">
        <dgm:presLayoutVars>
          <dgm:chMax val="0"/>
          <dgm:bulletEnabled val="1"/>
        </dgm:presLayoutVars>
      </dgm:prSet>
      <dgm:spPr/>
    </dgm:pt>
    <dgm:pt modelId="{23EA44F9-B23D-422A-ACF3-99CD60EA8204}" type="pres">
      <dgm:prSet presAssocID="{AEB58E12-38C5-4510-A811-6D8C1CEDFFD7}" presName="negativeSpace" presStyleCnt="0"/>
      <dgm:spPr/>
    </dgm:pt>
    <dgm:pt modelId="{619A21F0-2396-41CE-9E00-2212C20C99CB}" type="pres">
      <dgm:prSet presAssocID="{AEB58E12-38C5-4510-A811-6D8C1CEDFFD7}" presName="childText" presStyleLbl="conFgAcc1" presStyleIdx="0" presStyleCnt="6">
        <dgm:presLayoutVars>
          <dgm:bulletEnabled val="1"/>
        </dgm:presLayoutVars>
      </dgm:prSet>
      <dgm:spPr/>
    </dgm:pt>
    <dgm:pt modelId="{B48913F1-E25B-4AF2-A274-7A89FF0FB19E}" type="pres">
      <dgm:prSet presAssocID="{EC19B114-58A4-4574-AC8C-4821C6E9A62C}" presName="spaceBetweenRectangles" presStyleCnt="0"/>
      <dgm:spPr/>
    </dgm:pt>
    <dgm:pt modelId="{FDBEF0D5-D09B-462B-B9C3-873FAA843950}" type="pres">
      <dgm:prSet presAssocID="{9964D3DC-C37A-4D43-B219-A57E494F9335}" presName="parentLin" presStyleCnt="0"/>
      <dgm:spPr/>
    </dgm:pt>
    <dgm:pt modelId="{21FD4D56-E54A-4E58-A456-C76F9FC2868B}" type="pres">
      <dgm:prSet presAssocID="{9964D3DC-C37A-4D43-B219-A57E494F9335}" presName="parentLeftMargin" presStyleLbl="node1" presStyleIdx="0" presStyleCnt="6"/>
      <dgm:spPr/>
    </dgm:pt>
    <dgm:pt modelId="{42CC985B-B4E8-47CF-BB6B-A3FB69E20A04}" type="pres">
      <dgm:prSet presAssocID="{9964D3DC-C37A-4D43-B219-A57E494F9335}" presName="parentText" presStyleLbl="node1" presStyleIdx="1" presStyleCnt="6" custScaleX="103524" custScaleY="275343" custLinFactX="5497" custLinFactNeighborX="100000" custLinFactNeighborY="4273">
        <dgm:presLayoutVars>
          <dgm:chMax val="0"/>
          <dgm:bulletEnabled val="1"/>
        </dgm:presLayoutVars>
      </dgm:prSet>
      <dgm:spPr/>
    </dgm:pt>
    <dgm:pt modelId="{5CB3D061-CF40-486A-94A5-A1DE6F24AF49}" type="pres">
      <dgm:prSet presAssocID="{9964D3DC-C37A-4D43-B219-A57E494F9335}" presName="negativeSpace" presStyleCnt="0"/>
      <dgm:spPr/>
    </dgm:pt>
    <dgm:pt modelId="{56A5C57F-C8AC-488A-BC67-6A53231B5F6A}" type="pres">
      <dgm:prSet presAssocID="{9964D3DC-C37A-4D43-B219-A57E494F9335}" presName="childText" presStyleLbl="conFgAcc1" presStyleIdx="1" presStyleCnt="6" custLinFactNeighborX="17881" custLinFactNeighborY="35278">
        <dgm:presLayoutVars>
          <dgm:bulletEnabled val="1"/>
        </dgm:presLayoutVars>
      </dgm:prSet>
      <dgm:spPr/>
    </dgm:pt>
    <dgm:pt modelId="{C28BE6D2-CD36-4385-9C94-4AC07F55512E}" type="pres">
      <dgm:prSet presAssocID="{CEB2961D-117C-42F9-8229-B536795954DD}" presName="spaceBetweenRectangles" presStyleCnt="0"/>
      <dgm:spPr/>
    </dgm:pt>
    <dgm:pt modelId="{15BA24DA-83C7-4155-867D-3FB5208B57AD}" type="pres">
      <dgm:prSet presAssocID="{3A6FE142-FF4E-4C0E-B16A-5146E0505CF8}" presName="parentLin" presStyleCnt="0"/>
      <dgm:spPr/>
    </dgm:pt>
    <dgm:pt modelId="{94519F5F-FCA1-4E36-9990-4DE27B81A8AD}" type="pres">
      <dgm:prSet presAssocID="{3A6FE142-FF4E-4C0E-B16A-5146E0505CF8}" presName="parentLeftMargin" presStyleLbl="node1" presStyleIdx="1" presStyleCnt="6"/>
      <dgm:spPr/>
    </dgm:pt>
    <dgm:pt modelId="{D2EA5550-A38D-43BF-9951-E07C28E95336}" type="pres">
      <dgm:prSet presAssocID="{3A6FE142-FF4E-4C0E-B16A-5146E0505CF8}" presName="parentText" presStyleLbl="node1" presStyleIdx="2" presStyleCnt="6" custScaleY="383304" custLinFactX="6403" custLinFactNeighborX="100000" custLinFactNeighborY="8734">
        <dgm:presLayoutVars>
          <dgm:chMax val="0"/>
          <dgm:bulletEnabled val="1"/>
        </dgm:presLayoutVars>
      </dgm:prSet>
      <dgm:spPr/>
    </dgm:pt>
    <dgm:pt modelId="{61021F00-31F3-45B9-B85A-AA90117CFFA8}" type="pres">
      <dgm:prSet presAssocID="{3A6FE142-FF4E-4C0E-B16A-5146E0505CF8}" presName="negativeSpace" presStyleCnt="0"/>
      <dgm:spPr/>
    </dgm:pt>
    <dgm:pt modelId="{29CE31CB-1668-4B90-BCC7-AA86FB8D9672}" type="pres">
      <dgm:prSet presAssocID="{3A6FE142-FF4E-4C0E-B16A-5146E0505CF8}" presName="childText" presStyleLbl="conFgAcc1" presStyleIdx="2" presStyleCnt="6">
        <dgm:presLayoutVars>
          <dgm:bulletEnabled val="1"/>
        </dgm:presLayoutVars>
      </dgm:prSet>
      <dgm:spPr/>
    </dgm:pt>
    <dgm:pt modelId="{844F08F6-ACAD-4979-AE06-A61ED181BFAF}" type="pres">
      <dgm:prSet presAssocID="{5248CE39-EEC3-4307-905F-A682809AF20A}" presName="spaceBetweenRectangles" presStyleCnt="0"/>
      <dgm:spPr/>
    </dgm:pt>
    <dgm:pt modelId="{68026BD4-97F8-4005-AE8A-D73E6D5E4999}" type="pres">
      <dgm:prSet presAssocID="{16F2B035-17A1-4117-BD0D-50596854E359}" presName="parentLin" presStyleCnt="0"/>
      <dgm:spPr/>
    </dgm:pt>
    <dgm:pt modelId="{1B0B4C92-812B-4FF9-9BE7-12E69F8A2A66}" type="pres">
      <dgm:prSet presAssocID="{16F2B035-17A1-4117-BD0D-50596854E359}" presName="parentLeftMargin" presStyleLbl="node1" presStyleIdx="2" presStyleCnt="6"/>
      <dgm:spPr/>
    </dgm:pt>
    <dgm:pt modelId="{DB6A1BCA-5FA3-480C-BC76-817ECA385965}" type="pres">
      <dgm:prSet presAssocID="{16F2B035-17A1-4117-BD0D-50596854E359}" presName="parentText" presStyleLbl="node1" presStyleIdx="3" presStyleCnt="6" custScaleX="101225" custScaleY="222207" custLinFactX="5890" custLinFactNeighborX="100000" custLinFactNeighborY="-5378">
        <dgm:presLayoutVars>
          <dgm:chMax val="0"/>
          <dgm:bulletEnabled val="1"/>
        </dgm:presLayoutVars>
      </dgm:prSet>
      <dgm:spPr/>
    </dgm:pt>
    <dgm:pt modelId="{CCF54E7D-2392-4A7B-9A9A-4FA035CC9E34}" type="pres">
      <dgm:prSet presAssocID="{16F2B035-17A1-4117-BD0D-50596854E359}" presName="negativeSpace" presStyleCnt="0"/>
      <dgm:spPr/>
    </dgm:pt>
    <dgm:pt modelId="{AC68E011-D80C-484F-A467-C4BF52F03105}" type="pres">
      <dgm:prSet presAssocID="{16F2B035-17A1-4117-BD0D-50596854E359}" presName="childText" presStyleLbl="conFgAcc1" presStyleIdx="3" presStyleCnt="6">
        <dgm:presLayoutVars>
          <dgm:bulletEnabled val="1"/>
        </dgm:presLayoutVars>
      </dgm:prSet>
      <dgm:spPr/>
    </dgm:pt>
    <dgm:pt modelId="{B7B3E6D6-1791-442F-9E9E-BE53C4FE9A48}" type="pres">
      <dgm:prSet presAssocID="{C27B64CB-02EB-465C-AD50-AED014698000}" presName="spaceBetweenRectangles" presStyleCnt="0"/>
      <dgm:spPr/>
    </dgm:pt>
    <dgm:pt modelId="{221580BC-986C-408A-91AD-25D1AE38A47A}" type="pres">
      <dgm:prSet presAssocID="{FF33001B-5335-40DC-91B0-054DD4CD0FB5}" presName="parentLin" presStyleCnt="0"/>
      <dgm:spPr/>
    </dgm:pt>
    <dgm:pt modelId="{534E8C8B-D118-4EA5-B9CC-CC9AC64EADE3}" type="pres">
      <dgm:prSet presAssocID="{FF33001B-5335-40DC-91B0-054DD4CD0FB5}" presName="parentLeftMargin" presStyleLbl="node1" presStyleIdx="3" presStyleCnt="6"/>
      <dgm:spPr/>
    </dgm:pt>
    <dgm:pt modelId="{B0A81364-99E0-4F64-87EC-AFDA03024768}" type="pres">
      <dgm:prSet presAssocID="{FF33001B-5335-40DC-91B0-054DD4CD0FB5}" presName="parentText" presStyleLbl="node1" presStyleIdx="4" presStyleCnt="6" custScaleX="101609" custScaleY="265610" custLinFactX="5890" custLinFactNeighborX="100000" custLinFactNeighborY="10755">
        <dgm:presLayoutVars>
          <dgm:chMax val="0"/>
          <dgm:bulletEnabled val="1"/>
        </dgm:presLayoutVars>
      </dgm:prSet>
      <dgm:spPr/>
    </dgm:pt>
    <dgm:pt modelId="{0DBBF019-2050-44F1-842E-A0985DBFCA3C}" type="pres">
      <dgm:prSet presAssocID="{FF33001B-5335-40DC-91B0-054DD4CD0FB5}" presName="negativeSpace" presStyleCnt="0"/>
      <dgm:spPr/>
    </dgm:pt>
    <dgm:pt modelId="{F3DAB8E7-4901-430C-9F6B-2B0B9B4F8A47}" type="pres">
      <dgm:prSet presAssocID="{FF33001B-5335-40DC-91B0-054DD4CD0FB5}" presName="childText" presStyleLbl="conFgAcc1" presStyleIdx="4" presStyleCnt="6" custScaleY="152395">
        <dgm:presLayoutVars>
          <dgm:bulletEnabled val="1"/>
        </dgm:presLayoutVars>
      </dgm:prSet>
      <dgm:spPr/>
    </dgm:pt>
    <dgm:pt modelId="{D5B271C1-38F8-46A6-9FCD-A23312F4FC8A}" type="pres">
      <dgm:prSet presAssocID="{EB5932FF-951B-4C37-8A74-F0EE77A3EB72}" presName="spaceBetweenRectangles" presStyleCnt="0"/>
      <dgm:spPr/>
    </dgm:pt>
    <dgm:pt modelId="{8562B095-824E-41F5-B7F9-E528190DFE17}" type="pres">
      <dgm:prSet presAssocID="{35F00C6A-6356-49BE-83C9-E447AAC52B81}" presName="parentLin" presStyleCnt="0"/>
      <dgm:spPr/>
    </dgm:pt>
    <dgm:pt modelId="{9A81DF70-06FE-4C11-A6F2-7A36F2772056}" type="pres">
      <dgm:prSet presAssocID="{35F00C6A-6356-49BE-83C9-E447AAC52B81}" presName="parentLeftMargin" presStyleLbl="node1" presStyleIdx="4" presStyleCnt="6"/>
      <dgm:spPr/>
    </dgm:pt>
    <dgm:pt modelId="{4B2E34F5-F018-474F-9411-061E6C58999E}" type="pres">
      <dgm:prSet presAssocID="{35F00C6A-6356-49BE-83C9-E447AAC52B81}" presName="parentText" presStyleLbl="node1" presStyleIdx="5" presStyleCnt="6" custScaleY="276589" custLinFactX="6130" custLinFactNeighborX="100000" custLinFactNeighborY="7346">
        <dgm:presLayoutVars>
          <dgm:chMax val="0"/>
          <dgm:bulletEnabled val="1"/>
        </dgm:presLayoutVars>
      </dgm:prSet>
      <dgm:spPr/>
    </dgm:pt>
    <dgm:pt modelId="{A6402B63-9AB0-4650-AAF8-8BEEEE77A951}" type="pres">
      <dgm:prSet presAssocID="{35F00C6A-6356-49BE-83C9-E447AAC52B81}" presName="negativeSpace" presStyleCnt="0"/>
      <dgm:spPr/>
    </dgm:pt>
    <dgm:pt modelId="{BD3F00BA-25D9-49E5-991F-DE0D5457D0BA}" type="pres">
      <dgm:prSet presAssocID="{35F00C6A-6356-49BE-83C9-E447AAC52B81}" presName="childText" presStyleLbl="conFgAcc1" presStyleIdx="5" presStyleCnt="6" custScaleY="110583" custLinFactNeighborX="-11325" custLinFactNeighborY="11868">
        <dgm:presLayoutVars>
          <dgm:bulletEnabled val="1"/>
        </dgm:presLayoutVars>
      </dgm:prSet>
      <dgm:spPr/>
    </dgm:pt>
  </dgm:ptLst>
  <dgm:cxnLst>
    <dgm:cxn modelId="{276B1701-4AA9-409C-B55A-6C02ADB41961}" srcId="{13FB46DB-0B2E-4B55-800D-45FDBFD60032}" destId="{35F00C6A-6356-49BE-83C9-E447AAC52B81}" srcOrd="5" destOrd="0" parTransId="{CA06A6C2-1085-4134-A4E2-DA39B696088B}" sibTransId="{B5BB8271-A3D1-474A-A29F-D76561C85D83}"/>
    <dgm:cxn modelId="{8D0BE002-BA37-421C-AACD-23CAA023B237}" srcId="{13FB46DB-0B2E-4B55-800D-45FDBFD60032}" destId="{AEB58E12-38C5-4510-A811-6D8C1CEDFFD7}" srcOrd="0" destOrd="0" parTransId="{EC86F88B-0B68-4F84-8DAC-7F8234DAF2AB}" sibTransId="{EC19B114-58A4-4574-AC8C-4821C6E9A62C}"/>
    <dgm:cxn modelId="{4435BD05-0979-4A1F-AF66-DC5FE473EF11}" srcId="{13FB46DB-0B2E-4B55-800D-45FDBFD60032}" destId="{16F2B035-17A1-4117-BD0D-50596854E359}" srcOrd="3" destOrd="0" parTransId="{52FDB5F6-0613-4097-9C1F-0A3B1A9C882F}" sibTransId="{C27B64CB-02EB-465C-AD50-AED014698000}"/>
    <dgm:cxn modelId="{4841AA17-046A-4509-A46D-9AC547D749A6}" type="presOf" srcId="{3A6FE142-FF4E-4C0E-B16A-5146E0505CF8}" destId="{D2EA5550-A38D-43BF-9951-E07C28E95336}" srcOrd="1" destOrd="0" presId="urn:microsoft.com/office/officeart/2005/8/layout/list1#1"/>
    <dgm:cxn modelId="{240A0723-CF4D-4F8C-8912-D3CCB21D58C6}" srcId="{13FB46DB-0B2E-4B55-800D-45FDBFD60032}" destId="{3A6FE142-FF4E-4C0E-B16A-5146E0505CF8}" srcOrd="2" destOrd="0" parTransId="{FC0A3344-39F1-4E7C-8B04-4446134F4B12}" sibTransId="{5248CE39-EEC3-4307-905F-A682809AF20A}"/>
    <dgm:cxn modelId="{4B911932-CA89-4D96-BAC3-076144B72E0C}" type="presOf" srcId="{0A356473-535F-4E5E-8DA3-0FA7B0530ADE}" destId="{F3DAB8E7-4901-430C-9F6B-2B0B9B4F8A47}" srcOrd="0" destOrd="0" presId="urn:microsoft.com/office/officeart/2005/8/layout/list1#1"/>
    <dgm:cxn modelId="{13A3443F-E53C-4012-BE12-660096880113}" srcId="{AEB58E12-38C5-4510-A811-6D8C1CEDFFD7}" destId="{57C61D7B-6AAC-4ACB-B955-FD7932D7B6FB}" srcOrd="0" destOrd="0" parTransId="{AAEC9197-EA26-46C8-B4CE-D920F495F58A}" sibTransId="{1CF05FC4-6046-4DCB-8FB3-95801701C85E}"/>
    <dgm:cxn modelId="{B5A98C5C-F6C8-4C22-8A6B-7E66C82536C4}" type="presOf" srcId="{9964D3DC-C37A-4D43-B219-A57E494F9335}" destId="{42CC985B-B4E8-47CF-BB6B-A3FB69E20A04}" srcOrd="1" destOrd="0" presId="urn:microsoft.com/office/officeart/2005/8/layout/list1#1"/>
    <dgm:cxn modelId="{470C2A43-82C6-4DF1-A15C-4BE57A7884F4}" type="presOf" srcId="{35F00C6A-6356-49BE-83C9-E447AAC52B81}" destId="{9A81DF70-06FE-4C11-A6F2-7A36F2772056}" srcOrd="0" destOrd="0" presId="urn:microsoft.com/office/officeart/2005/8/layout/list1#1"/>
    <dgm:cxn modelId="{B3BB5E48-0BCB-4DC6-9933-60FEB27A39E6}" type="presOf" srcId="{292D81A4-AFB3-4787-8631-0A956460471C}" destId="{BD3F00BA-25D9-49E5-991F-DE0D5457D0BA}" srcOrd="0" destOrd="0" presId="urn:microsoft.com/office/officeart/2005/8/layout/list1#1"/>
    <dgm:cxn modelId="{8576E448-16EA-43A2-AF05-3BE079EF798A}" srcId="{AEB58E12-38C5-4510-A811-6D8C1CEDFFD7}" destId="{501FBF7F-577E-4342-9287-E010177493DB}" srcOrd="1" destOrd="0" parTransId="{9D8BC5EF-23C0-4779-A909-7427EFC58BE4}" sibTransId="{B8B1B54D-8447-4147-B720-CC87BE148263}"/>
    <dgm:cxn modelId="{8D6BD66B-7AA1-4AD5-9005-DDC45ED910FA}" type="presOf" srcId="{FF33001B-5335-40DC-91B0-054DD4CD0FB5}" destId="{534E8C8B-D118-4EA5-B9CC-CC9AC64EADE3}" srcOrd="0" destOrd="0" presId="urn:microsoft.com/office/officeart/2005/8/layout/list1#1"/>
    <dgm:cxn modelId="{600D5B6F-A06B-42BF-8EA6-D8050883AC0D}" srcId="{35F00C6A-6356-49BE-83C9-E447AAC52B81}" destId="{292D81A4-AFB3-4787-8631-0A956460471C}" srcOrd="0" destOrd="0" parTransId="{EA699FF1-DE0E-482A-A5C7-71B71D330591}" sibTransId="{63C22538-E232-45E6-BC7F-B51F46703339}"/>
    <dgm:cxn modelId="{A516248E-DC42-4E23-9456-096759AC4C94}" type="presOf" srcId="{501FBF7F-577E-4342-9287-E010177493DB}" destId="{619A21F0-2396-41CE-9E00-2212C20C99CB}" srcOrd="0" destOrd="1" presId="urn:microsoft.com/office/officeart/2005/8/layout/list1#1"/>
    <dgm:cxn modelId="{964A0599-B916-4D29-86BB-1A59D2DD889C}" type="presOf" srcId="{3A6FE142-FF4E-4C0E-B16A-5146E0505CF8}" destId="{94519F5F-FCA1-4E36-9990-4DE27B81A8AD}" srcOrd="0" destOrd="0" presId="urn:microsoft.com/office/officeart/2005/8/layout/list1#1"/>
    <dgm:cxn modelId="{341347A8-6FA5-4B07-A081-AAA4D90F752D}" srcId="{9964D3DC-C37A-4D43-B219-A57E494F9335}" destId="{5397191E-EE39-4126-A7F8-D987A3A59712}" srcOrd="0" destOrd="0" parTransId="{FC159222-9772-4230-AC0B-527CB5EBDA93}" sibTransId="{9E310FCE-27B1-4632-A3CA-E3E826C86217}"/>
    <dgm:cxn modelId="{57F34BAE-97F1-4248-8846-85E05E18C43D}" type="presOf" srcId="{57C61D7B-6AAC-4ACB-B955-FD7932D7B6FB}" destId="{619A21F0-2396-41CE-9E00-2212C20C99CB}" srcOrd="0" destOrd="0" presId="urn:microsoft.com/office/officeart/2005/8/layout/list1#1"/>
    <dgm:cxn modelId="{87458AB6-29E2-497D-9148-B0831C248F22}" type="presOf" srcId="{AEB58E12-38C5-4510-A811-6D8C1CEDFFD7}" destId="{2C95F21C-8CDD-4BE8-9DC3-71A2D583231C}" srcOrd="1" destOrd="0" presId="urn:microsoft.com/office/officeart/2005/8/layout/list1#1"/>
    <dgm:cxn modelId="{93912EBB-2BB7-41E5-9F22-68334FB20AA5}" type="presOf" srcId="{13FB46DB-0B2E-4B55-800D-45FDBFD60032}" destId="{7B65CD48-AFD6-4C62-A7F0-914AD6132D67}" srcOrd="0" destOrd="0" presId="urn:microsoft.com/office/officeart/2005/8/layout/list1#1"/>
    <dgm:cxn modelId="{382BF8BB-008C-4AB5-ADDA-EE65BDD801DC}" srcId="{13FB46DB-0B2E-4B55-800D-45FDBFD60032}" destId="{FF33001B-5335-40DC-91B0-054DD4CD0FB5}" srcOrd="4" destOrd="0" parTransId="{91C0CA4B-37B1-4053-A747-4B23FD535777}" sibTransId="{EB5932FF-951B-4C37-8A74-F0EE77A3EB72}"/>
    <dgm:cxn modelId="{2F0B1DBD-0D11-470D-8EC2-3188D734F53A}" type="presOf" srcId="{16F2B035-17A1-4117-BD0D-50596854E359}" destId="{1B0B4C92-812B-4FF9-9BE7-12E69F8A2A66}" srcOrd="0" destOrd="0" presId="urn:microsoft.com/office/officeart/2005/8/layout/list1#1"/>
    <dgm:cxn modelId="{90D97EC4-9EC7-49ED-9E6A-009BE2AE157F}" srcId="{13FB46DB-0B2E-4B55-800D-45FDBFD60032}" destId="{9964D3DC-C37A-4D43-B219-A57E494F9335}" srcOrd="1" destOrd="0" parTransId="{016AB003-1AF3-439C-82DF-7320187986EF}" sibTransId="{CEB2961D-117C-42F9-8229-B536795954DD}"/>
    <dgm:cxn modelId="{7A4237C8-143A-485D-8960-A35CDE1EDB1E}" type="presOf" srcId="{55349DAF-278E-4890-A2CF-A8FC12CBA789}" destId="{29CE31CB-1668-4B90-BCC7-AA86FB8D9672}" srcOrd="0" destOrd="0" presId="urn:microsoft.com/office/officeart/2005/8/layout/list1#1"/>
    <dgm:cxn modelId="{3645A9CF-859B-4096-BB07-AE3B140CACFB}" type="presOf" srcId="{AEB58E12-38C5-4510-A811-6D8C1CEDFFD7}" destId="{B56F2BD0-2635-4EEA-9053-E54B271A8CE0}" srcOrd="0" destOrd="0" presId="urn:microsoft.com/office/officeart/2005/8/layout/list1#1"/>
    <dgm:cxn modelId="{D8A28BD2-C17D-428B-B62F-FADBD0498A26}" type="presOf" srcId="{FF33001B-5335-40DC-91B0-054DD4CD0FB5}" destId="{B0A81364-99E0-4F64-87EC-AFDA03024768}" srcOrd="1" destOrd="0" presId="urn:microsoft.com/office/officeart/2005/8/layout/list1#1"/>
    <dgm:cxn modelId="{BB3FE0D4-6B79-40DE-ABBA-E5B0CB3618F1}" type="presOf" srcId="{16F2B035-17A1-4117-BD0D-50596854E359}" destId="{DB6A1BCA-5FA3-480C-BC76-817ECA385965}" srcOrd="1" destOrd="0" presId="urn:microsoft.com/office/officeart/2005/8/layout/list1#1"/>
    <dgm:cxn modelId="{05883CE0-DEBB-4FCE-B35A-1EC2DC4A90ED}" type="presOf" srcId="{5397191E-EE39-4126-A7F8-D987A3A59712}" destId="{56A5C57F-C8AC-488A-BC67-6A53231B5F6A}" srcOrd="0" destOrd="0" presId="urn:microsoft.com/office/officeart/2005/8/layout/list1#1"/>
    <dgm:cxn modelId="{3B75A7E5-73C6-4C8A-9BFC-85388F4E36C5}" srcId="{3A6FE142-FF4E-4C0E-B16A-5146E0505CF8}" destId="{55349DAF-278E-4890-A2CF-A8FC12CBA789}" srcOrd="0" destOrd="0" parTransId="{76404F2A-EC0B-4F1A-927A-65C0DBBB15E0}" sibTransId="{6AC81424-CDB0-43E9-9C57-114831D1FBBF}"/>
    <dgm:cxn modelId="{2E5732E7-DF90-437C-9E86-4BA7E195B9EF}" type="presOf" srcId="{FE85E772-CC53-4F08-9B38-48E919E7349D}" destId="{AC68E011-D80C-484F-A467-C4BF52F03105}" srcOrd="0" destOrd="0" presId="urn:microsoft.com/office/officeart/2005/8/layout/list1#1"/>
    <dgm:cxn modelId="{1543F5EC-060B-436E-A75A-24C7C452BFFB}" srcId="{16F2B035-17A1-4117-BD0D-50596854E359}" destId="{FE85E772-CC53-4F08-9B38-48E919E7349D}" srcOrd="0" destOrd="0" parTransId="{4F89B2CC-44EE-4203-AA7E-5E7C908F71AF}" sibTransId="{901EB028-B267-4CF4-B9E0-A3CA6206934D}"/>
    <dgm:cxn modelId="{3F269AF5-6EFB-405F-9CB1-01658FA9D47E}" type="presOf" srcId="{9964D3DC-C37A-4D43-B219-A57E494F9335}" destId="{21FD4D56-E54A-4E58-A456-C76F9FC2868B}" srcOrd="0" destOrd="0" presId="urn:microsoft.com/office/officeart/2005/8/layout/list1#1"/>
    <dgm:cxn modelId="{396B11F8-3C58-465B-A700-34042B08775F}" srcId="{FF33001B-5335-40DC-91B0-054DD4CD0FB5}" destId="{0A356473-535F-4E5E-8DA3-0FA7B0530ADE}" srcOrd="0" destOrd="0" parTransId="{43867F37-8D38-48B2-B56E-6A3B68E1687F}" sibTransId="{E96F52C5-29F0-4C37-8CB0-9B07EA6812A7}"/>
    <dgm:cxn modelId="{A83044FD-FF17-4DF1-B7B7-92B5948B0AE5}" type="presOf" srcId="{35F00C6A-6356-49BE-83C9-E447AAC52B81}" destId="{4B2E34F5-F018-474F-9411-061E6C58999E}" srcOrd="1" destOrd="0" presId="urn:microsoft.com/office/officeart/2005/8/layout/list1#1"/>
    <dgm:cxn modelId="{E133AB43-5315-49C6-A4D9-4FA18B1A7055}" type="presParOf" srcId="{7B65CD48-AFD6-4C62-A7F0-914AD6132D67}" destId="{DC30506B-4588-44DE-AAC3-34605C2D715B}" srcOrd="0" destOrd="0" presId="urn:microsoft.com/office/officeart/2005/8/layout/list1#1"/>
    <dgm:cxn modelId="{4ABB2A33-7E94-4864-9DC8-5F773371B426}" type="presParOf" srcId="{DC30506B-4588-44DE-AAC3-34605C2D715B}" destId="{B56F2BD0-2635-4EEA-9053-E54B271A8CE0}" srcOrd="0" destOrd="0" presId="urn:microsoft.com/office/officeart/2005/8/layout/list1#1"/>
    <dgm:cxn modelId="{34BF058C-DC0B-4F8E-8616-EB48DFC06E03}" type="presParOf" srcId="{DC30506B-4588-44DE-AAC3-34605C2D715B}" destId="{2C95F21C-8CDD-4BE8-9DC3-71A2D583231C}" srcOrd="1" destOrd="0" presId="urn:microsoft.com/office/officeart/2005/8/layout/list1#1"/>
    <dgm:cxn modelId="{0A79E99E-5FF6-45C0-BD74-6A7CA07B063D}" type="presParOf" srcId="{7B65CD48-AFD6-4C62-A7F0-914AD6132D67}" destId="{23EA44F9-B23D-422A-ACF3-99CD60EA8204}" srcOrd="1" destOrd="0" presId="urn:microsoft.com/office/officeart/2005/8/layout/list1#1"/>
    <dgm:cxn modelId="{0E0F59B9-2635-4CFE-9641-4714D2C31FDE}" type="presParOf" srcId="{7B65CD48-AFD6-4C62-A7F0-914AD6132D67}" destId="{619A21F0-2396-41CE-9E00-2212C20C99CB}" srcOrd="2" destOrd="0" presId="urn:microsoft.com/office/officeart/2005/8/layout/list1#1"/>
    <dgm:cxn modelId="{AE8541CD-F5B5-4BB8-B5D3-BF0366B5B7FE}" type="presParOf" srcId="{7B65CD48-AFD6-4C62-A7F0-914AD6132D67}" destId="{B48913F1-E25B-4AF2-A274-7A89FF0FB19E}" srcOrd="3" destOrd="0" presId="urn:microsoft.com/office/officeart/2005/8/layout/list1#1"/>
    <dgm:cxn modelId="{C9AEAB05-13A3-4E33-B882-D38725E42DA2}" type="presParOf" srcId="{7B65CD48-AFD6-4C62-A7F0-914AD6132D67}" destId="{FDBEF0D5-D09B-462B-B9C3-873FAA843950}" srcOrd="4" destOrd="0" presId="urn:microsoft.com/office/officeart/2005/8/layout/list1#1"/>
    <dgm:cxn modelId="{4F4B0C62-217E-4B20-B293-7BDD2D692D50}" type="presParOf" srcId="{FDBEF0D5-D09B-462B-B9C3-873FAA843950}" destId="{21FD4D56-E54A-4E58-A456-C76F9FC2868B}" srcOrd="0" destOrd="0" presId="urn:microsoft.com/office/officeart/2005/8/layout/list1#1"/>
    <dgm:cxn modelId="{FD13F153-DADF-4FED-9A62-790CB3306228}" type="presParOf" srcId="{FDBEF0D5-D09B-462B-B9C3-873FAA843950}" destId="{42CC985B-B4E8-47CF-BB6B-A3FB69E20A04}" srcOrd="1" destOrd="0" presId="urn:microsoft.com/office/officeart/2005/8/layout/list1#1"/>
    <dgm:cxn modelId="{64E2877A-5C35-4BAA-A43D-AF462A54EDCB}" type="presParOf" srcId="{7B65CD48-AFD6-4C62-A7F0-914AD6132D67}" destId="{5CB3D061-CF40-486A-94A5-A1DE6F24AF49}" srcOrd="5" destOrd="0" presId="urn:microsoft.com/office/officeart/2005/8/layout/list1#1"/>
    <dgm:cxn modelId="{786EF4E1-56E7-4F2D-9366-2401E2FE586B}" type="presParOf" srcId="{7B65CD48-AFD6-4C62-A7F0-914AD6132D67}" destId="{56A5C57F-C8AC-488A-BC67-6A53231B5F6A}" srcOrd="6" destOrd="0" presId="urn:microsoft.com/office/officeart/2005/8/layout/list1#1"/>
    <dgm:cxn modelId="{3DE9F4D0-FC7F-4503-BBD4-BCDA8C634E69}" type="presParOf" srcId="{7B65CD48-AFD6-4C62-A7F0-914AD6132D67}" destId="{C28BE6D2-CD36-4385-9C94-4AC07F55512E}" srcOrd="7" destOrd="0" presId="urn:microsoft.com/office/officeart/2005/8/layout/list1#1"/>
    <dgm:cxn modelId="{345F6663-B1E8-4A5C-B58A-1840DAEB00D5}" type="presParOf" srcId="{7B65CD48-AFD6-4C62-A7F0-914AD6132D67}" destId="{15BA24DA-83C7-4155-867D-3FB5208B57AD}" srcOrd="8" destOrd="0" presId="urn:microsoft.com/office/officeart/2005/8/layout/list1#1"/>
    <dgm:cxn modelId="{324FE670-99C1-4AF4-B100-7A3E96764800}" type="presParOf" srcId="{15BA24DA-83C7-4155-867D-3FB5208B57AD}" destId="{94519F5F-FCA1-4E36-9990-4DE27B81A8AD}" srcOrd="0" destOrd="0" presId="urn:microsoft.com/office/officeart/2005/8/layout/list1#1"/>
    <dgm:cxn modelId="{B05292CC-CDD5-436D-89C7-209E31D359B7}" type="presParOf" srcId="{15BA24DA-83C7-4155-867D-3FB5208B57AD}" destId="{D2EA5550-A38D-43BF-9951-E07C28E95336}" srcOrd="1" destOrd="0" presId="urn:microsoft.com/office/officeart/2005/8/layout/list1#1"/>
    <dgm:cxn modelId="{233BA640-38C4-4271-BE13-E2740A2C18F8}" type="presParOf" srcId="{7B65CD48-AFD6-4C62-A7F0-914AD6132D67}" destId="{61021F00-31F3-45B9-B85A-AA90117CFFA8}" srcOrd="9" destOrd="0" presId="urn:microsoft.com/office/officeart/2005/8/layout/list1#1"/>
    <dgm:cxn modelId="{99509D5C-1CE9-4AC1-9289-85C991AF7083}" type="presParOf" srcId="{7B65CD48-AFD6-4C62-A7F0-914AD6132D67}" destId="{29CE31CB-1668-4B90-BCC7-AA86FB8D9672}" srcOrd="10" destOrd="0" presId="urn:microsoft.com/office/officeart/2005/8/layout/list1#1"/>
    <dgm:cxn modelId="{AE44E649-0795-4907-AE18-D1F93E55367A}" type="presParOf" srcId="{7B65CD48-AFD6-4C62-A7F0-914AD6132D67}" destId="{844F08F6-ACAD-4979-AE06-A61ED181BFAF}" srcOrd="11" destOrd="0" presId="urn:microsoft.com/office/officeart/2005/8/layout/list1#1"/>
    <dgm:cxn modelId="{A6F5A52A-7457-47E9-9BEF-39B8BAA72C00}" type="presParOf" srcId="{7B65CD48-AFD6-4C62-A7F0-914AD6132D67}" destId="{68026BD4-97F8-4005-AE8A-D73E6D5E4999}" srcOrd="12" destOrd="0" presId="urn:microsoft.com/office/officeart/2005/8/layout/list1#1"/>
    <dgm:cxn modelId="{090F3CBB-6F05-4BFC-8BED-9A5B9092A0E2}" type="presParOf" srcId="{68026BD4-97F8-4005-AE8A-D73E6D5E4999}" destId="{1B0B4C92-812B-4FF9-9BE7-12E69F8A2A66}" srcOrd="0" destOrd="0" presId="urn:microsoft.com/office/officeart/2005/8/layout/list1#1"/>
    <dgm:cxn modelId="{9FA75B51-49C3-4BCF-83C3-47A930284659}" type="presParOf" srcId="{68026BD4-97F8-4005-AE8A-D73E6D5E4999}" destId="{DB6A1BCA-5FA3-480C-BC76-817ECA385965}" srcOrd="1" destOrd="0" presId="urn:microsoft.com/office/officeart/2005/8/layout/list1#1"/>
    <dgm:cxn modelId="{F5CCF809-A124-4310-9D59-2DABC5D0CB5D}" type="presParOf" srcId="{7B65CD48-AFD6-4C62-A7F0-914AD6132D67}" destId="{CCF54E7D-2392-4A7B-9A9A-4FA035CC9E34}" srcOrd="13" destOrd="0" presId="urn:microsoft.com/office/officeart/2005/8/layout/list1#1"/>
    <dgm:cxn modelId="{DDA37D0D-F87C-4773-9FC2-2469E8E2BDB9}" type="presParOf" srcId="{7B65CD48-AFD6-4C62-A7F0-914AD6132D67}" destId="{AC68E011-D80C-484F-A467-C4BF52F03105}" srcOrd="14" destOrd="0" presId="urn:microsoft.com/office/officeart/2005/8/layout/list1#1"/>
    <dgm:cxn modelId="{11331540-667F-4868-8FA8-FFD890ACE9F1}" type="presParOf" srcId="{7B65CD48-AFD6-4C62-A7F0-914AD6132D67}" destId="{B7B3E6D6-1791-442F-9E9E-BE53C4FE9A48}" srcOrd="15" destOrd="0" presId="urn:microsoft.com/office/officeart/2005/8/layout/list1#1"/>
    <dgm:cxn modelId="{F65FA5EB-4831-4280-839D-7DEDF19A8F19}" type="presParOf" srcId="{7B65CD48-AFD6-4C62-A7F0-914AD6132D67}" destId="{221580BC-986C-408A-91AD-25D1AE38A47A}" srcOrd="16" destOrd="0" presId="urn:microsoft.com/office/officeart/2005/8/layout/list1#1"/>
    <dgm:cxn modelId="{5B516F66-D658-40F8-BB9C-AE68272D5A1E}" type="presParOf" srcId="{221580BC-986C-408A-91AD-25D1AE38A47A}" destId="{534E8C8B-D118-4EA5-B9CC-CC9AC64EADE3}" srcOrd="0" destOrd="0" presId="urn:microsoft.com/office/officeart/2005/8/layout/list1#1"/>
    <dgm:cxn modelId="{FCA750D8-9CB6-4DC3-9408-A0BEB1A3B40A}" type="presParOf" srcId="{221580BC-986C-408A-91AD-25D1AE38A47A}" destId="{B0A81364-99E0-4F64-87EC-AFDA03024768}" srcOrd="1" destOrd="0" presId="urn:microsoft.com/office/officeart/2005/8/layout/list1#1"/>
    <dgm:cxn modelId="{A6C36749-BF34-442E-B0BE-8C87DFA09538}" type="presParOf" srcId="{7B65CD48-AFD6-4C62-A7F0-914AD6132D67}" destId="{0DBBF019-2050-44F1-842E-A0985DBFCA3C}" srcOrd="17" destOrd="0" presId="urn:microsoft.com/office/officeart/2005/8/layout/list1#1"/>
    <dgm:cxn modelId="{92469363-AE04-418C-9665-66BBF3EAEB74}" type="presParOf" srcId="{7B65CD48-AFD6-4C62-A7F0-914AD6132D67}" destId="{F3DAB8E7-4901-430C-9F6B-2B0B9B4F8A47}" srcOrd="18" destOrd="0" presId="urn:microsoft.com/office/officeart/2005/8/layout/list1#1"/>
    <dgm:cxn modelId="{E8C5798C-D591-4888-AFD1-10A2A76CF907}" type="presParOf" srcId="{7B65CD48-AFD6-4C62-A7F0-914AD6132D67}" destId="{D5B271C1-38F8-46A6-9FCD-A23312F4FC8A}" srcOrd="19" destOrd="0" presId="urn:microsoft.com/office/officeart/2005/8/layout/list1#1"/>
    <dgm:cxn modelId="{DC3E8488-18C7-4509-890A-1BDBF95F5E84}" type="presParOf" srcId="{7B65CD48-AFD6-4C62-A7F0-914AD6132D67}" destId="{8562B095-824E-41F5-B7F9-E528190DFE17}" srcOrd="20" destOrd="0" presId="urn:microsoft.com/office/officeart/2005/8/layout/list1#1"/>
    <dgm:cxn modelId="{921661D0-2B27-46A1-8F67-9E645DC7DDD8}" type="presParOf" srcId="{8562B095-824E-41F5-B7F9-E528190DFE17}" destId="{9A81DF70-06FE-4C11-A6F2-7A36F2772056}" srcOrd="0" destOrd="0" presId="urn:microsoft.com/office/officeart/2005/8/layout/list1#1"/>
    <dgm:cxn modelId="{6EEC7BE6-DD80-48B9-AEEC-C6A4131DF559}" type="presParOf" srcId="{8562B095-824E-41F5-B7F9-E528190DFE17}" destId="{4B2E34F5-F018-474F-9411-061E6C58999E}" srcOrd="1" destOrd="0" presId="urn:microsoft.com/office/officeart/2005/8/layout/list1#1"/>
    <dgm:cxn modelId="{61C68F83-2E42-4199-8F90-48F9685DB2DF}" type="presParOf" srcId="{7B65CD48-AFD6-4C62-A7F0-914AD6132D67}" destId="{A6402B63-9AB0-4650-AAF8-8BEEEE77A951}" srcOrd="21" destOrd="0" presId="urn:microsoft.com/office/officeart/2005/8/layout/list1#1"/>
    <dgm:cxn modelId="{B57DFE7D-82BC-4512-A0AD-D4009AA6E44D}" type="presParOf" srcId="{7B65CD48-AFD6-4C62-A7F0-914AD6132D67}" destId="{BD3F00BA-25D9-49E5-991F-DE0D5457D0BA}" srcOrd="22" destOrd="0" presId="urn:microsoft.com/office/officeart/2005/8/layout/list1#1"/>
  </dgm:cxnLst>
  <dgm:bg/>
  <dgm:whole/>
  <dgm:extLst>
    <a:ext xmlns:a="http://schemas.openxmlformats.org/drawingml/2006/main" uri="http://schemas.microsoft.com/office/drawing/2008/diagram">
      <dsp:dataModelExt xmlns:dsp="http://schemas.microsoft.com/office/drawing/2008/diagram" minVer="http://schemas.openxmlformats.org/drawingml/2006/diagram" relId="rId51"/>
    </a:ext>
  </dgm:extLst>
</dgm:dataModel>
</file>

<file path=word/diagrams/data4.xml><?xml version="1.0" encoding="utf-8"?>
<dgm:dataModel xmlns:dgm="http://schemas.openxmlformats.org/drawingml/2006/diagram" xmlns:a="http://schemas.openxmlformats.org/drawingml/2006/main">
  <dgm:ptLst>
    <dgm:pt modelId="{95297980-5D6B-4C37-AFFD-0D566C6957FF}" type="doc">
      <dgm:prSet loTypeId="urn:microsoft.com/office/officeart/2009/3/layout/IncreasingArrowsProcess#1" loCatId="process" qsTypeId="urn:microsoft.com/office/officeart/2005/8/quickstyle/simple1" qsCatId="simple" csTypeId="urn:microsoft.com/office/officeart/2005/8/colors/accent1_2" csCatId="accent1" phldr="1"/>
      <dgm:spPr/>
      <dgm:t>
        <a:bodyPr/>
        <a:lstStyle/>
        <a:p>
          <a:pPr rtl="1"/>
          <a:endParaRPr lang="he-IL"/>
        </a:p>
      </dgm:t>
    </dgm:pt>
    <dgm:pt modelId="{8A2EFB36-A8A0-41C1-A707-46A927A950AE}">
      <dgm:prSet phldrT="[טקסט]"/>
      <dgm:spPr>
        <a:xfrm>
          <a:off x="0" y="46645"/>
          <a:ext cx="5220335" cy="760291"/>
        </a:xfrm>
        <a:prstGeom prst="rightArrow">
          <a:avLst>
            <a:gd name="adj1" fmla="val 50000"/>
            <a:gd name="adj2" fmla="val 50000"/>
          </a:avLst>
        </a:prstGeom>
        <a:solidFill>
          <a:srgbClr val="4F81BD">
            <a:hueOff val="0"/>
            <a:satOff val="0"/>
            <a:lumOff val="0"/>
            <a:alphaOff val="0"/>
          </a:srgbClr>
        </a:solidFill>
        <a:ln w="25400">
          <a:solidFill>
            <a:sysClr val="window" lastClr="FFFFFF">
              <a:hueOff val="0"/>
              <a:satOff val="0"/>
              <a:lumOff val="0"/>
              <a:alphaOff val="0"/>
            </a:sysClr>
          </a:solidFill>
          <a:prstDash val="solid"/>
        </a:ln>
        <a:effectLst/>
      </dgm:spPr>
      <dgm:t>
        <a:bodyPr/>
        <a:lstStyle/>
        <a:p>
          <a:pPr algn="ctr" rtl="1">
            <a:buNone/>
          </a:pPr>
          <a:r>
            <a:rPr lang="he-IL" b="1">
              <a:solidFill>
                <a:sysClr val="window" lastClr="FFFFFF"/>
              </a:solidFill>
              <a:latin typeface="David" panose="020E0502060401010101" pitchFamily="34" charset="-79"/>
              <a:ea typeface="+mn-ea"/>
              <a:cs typeface="David" panose="020E0502060401010101" pitchFamily="34" charset="-79"/>
            </a:rPr>
            <a:t>1993 - נחקק חוק חניה לנכים (החוק)</a:t>
          </a:r>
        </a:p>
      </dgm:t>
    </dgm:pt>
    <dgm:pt modelId="{FA20EDB9-A6C7-4E59-8FFD-F03C9D585839}" type="parTrans" cxnId="{FCE67B46-0156-4703-B2ED-AAB0BFBAA308}">
      <dgm:prSet/>
      <dgm:spPr/>
      <dgm:t>
        <a:bodyPr/>
        <a:lstStyle/>
        <a:p>
          <a:pPr algn="ctr" rtl="1"/>
          <a:endParaRPr lang="he-IL">
            <a:latin typeface="David" panose="020E0502060401010101" pitchFamily="34" charset="-79"/>
            <a:cs typeface="David" panose="020E0502060401010101" pitchFamily="34" charset="-79"/>
          </a:endParaRPr>
        </a:p>
      </dgm:t>
    </dgm:pt>
    <dgm:pt modelId="{59563AF7-043F-4F4E-AB5D-F3E394CFED89}" type="sibTrans" cxnId="{FCE67B46-0156-4703-B2ED-AAB0BFBAA308}">
      <dgm:prSet/>
      <dgm:spPr/>
      <dgm:t>
        <a:bodyPr/>
        <a:lstStyle/>
        <a:p>
          <a:pPr algn="ctr" rtl="1"/>
          <a:endParaRPr lang="he-IL">
            <a:latin typeface="David" panose="020E0502060401010101" pitchFamily="34" charset="-79"/>
            <a:cs typeface="David" panose="020E0502060401010101" pitchFamily="34" charset="-79"/>
          </a:endParaRPr>
        </a:p>
      </dgm:t>
    </dgm:pt>
    <dgm:pt modelId="{7EB976FC-CC8E-47CF-9628-17410CB8E968}">
      <dgm:prSet phldrT="[טקסט]" custT="1"/>
      <dgm:spPr>
        <a:xfrm>
          <a:off x="31766" y="79235"/>
          <a:ext cx="4751219" cy="4206379"/>
        </a:xfrm>
        <a:prstGeom prst="rect">
          <a:avLst/>
        </a:prstGeom>
        <a:solidFill>
          <a:sysClr val="window" lastClr="FFFFFF">
            <a:hueOff val="0"/>
            <a:satOff val="0"/>
            <a:lumOff val="0"/>
            <a:alphaOff val="0"/>
          </a:sysClr>
        </a:solidFill>
        <a:ln w="25400">
          <a:solidFill>
            <a:srgbClr val="4F81BD">
              <a:hueOff val="0"/>
              <a:satOff val="0"/>
              <a:lumOff val="0"/>
              <a:alphaOff val="0"/>
            </a:srgbClr>
          </a:solidFill>
          <a:prstDash val="solid"/>
        </a:ln>
        <a:effectLst/>
      </dgm:spPr>
      <dgm:t>
        <a:bodyPr/>
        <a:lstStyle/>
        <a:p>
          <a:pPr algn="r" rtl="1">
            <a:lnSpc>
              <a:spcPct val="150000"/>
            </a:lnSpc>
            <a:spcBef>
              <a:spcPts val="600"/>
            </a:spcBef>
            <a:buNone/>
          </a:pPr>
          <a:r>
            <a:rPr lang="he-IL" sz="1050" b="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2004</a:t>
          </a:r>
          <a:r>
            <a:rPr lang="he-IL" sz="105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 תיקונים מס' 2 ו-3 לחוק - התווספה זכאות לתג בגיל 65 או בגיל פרישה ולאחר מכן תיקון זה בוטל על מנת להשוות את התנאים לקבלת התג בין אדם שמוגבלותו הוכרה לראשונה אחרי שמלאו לו 65 לאדם שמוגבלותו הוכרה לראשונה לפני שמלאו לו 65.</a:t>
          </a:r>
        </a:p>
        <a:p>
          <a:pPr algn="r" rtl="1">
            <a:lnSpc>
              <a:spcPct val="150000"/>
            </a:lnSpc>
            <a:spcBef>
              <a:spcPts val="600"/>
            </a:spcBef>
            <a:buNone/>
          </a:pPr>
          <a:r>
            <a:rPr lang="he-IL" sz="1050" b="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2005</a:t>
          </a:r>
          <a:r>
            <a:rPr lang="he-IL" sz="105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 תיקון מס' 4 לחוק - התווסף פטור מתשלום בעד חניה במקום ציבורי</a:t>
          </a:r>
        </a:p>
      </dgm:t>
    </dgm:pt>
    <dgm:pt modelId="{BC221BA3-9B9F-4C17-90CC-EE1EA70443DD}" type="parTrans" cxnId="{19BB2768-D2CA-4291-9AD9-3880D759551F}">
      <dgm:prSet/>
      <dgm:spPr/>
      <dgm:t>
        <a:bodyPr/>
        <a:lstStyle/>
        <a:p>
          <a:pPr algn="ctr" rtl="1"/>
          <a:endParaRPr lang="he-IL">
            <a:latin typeface="David" panose="020E0502060401010101" pitchFamily="34" charset="-79"/>
            <a:cs typeface="David" panose="020E0502060401010101" pitchFamily="34" charset="-79"/>
          </a:endParaRPr>
        </a:p>
      </dgm:t>
    </dgm:pt>
    <dgm:pt modelId="{20FD9BFF-169A-4BC5-A083-C6D1A6A083C8}" type="sibTrans" cxnId="{19BB2768-D2CA-4291-9AD9-3880D759551F}">
      <dgm:prSet/>
      <dgm:spPr/>
      <dgm:t>
        <a:bodyPr/>
        <a:lstStyle/>
        <a:p>
          <a:pPr algn="ctr" rtl="1"/>
          <a:endParaRPr lang="he-IL">
            <a:latin typeface="David" panose="020E0502060401010101" pitchFamily="34" charset="-79"/>
            <a:cs typeface="David" panose="020E0502060401010101" pitchFamily="34" charset="-79"/>
          </a:endParaRPr>
        </a:p>
      </dgm:t>
    </dgm:pt>
    <dgm:pt modelId="{5CD7C986-AD0B-4E65-9ACF-A2C9AFBEC433}">
      <dgm:prSet phldrT="[טקסט]" custT="1"/>
      <dgm:spPr>
        <a:xfrm>
          <a:off x="31766" y="79235"/>
          <a:ext cx="4751219" cy="4206379"/>
        </a:xfrm>
        <a:prstGeom prst="rect">
          <a:avLst/>
        </a:prstGeom>
        <a:solidFill>
          <a:sysClr val="window" lastClr="FFFFFF">
            <a:hueOff val="0"/>
            <a:satOff val="0"/>
            <a:lumOff val="0"/>
            <a:alphaOff val="0"/>
          </a:sysClr>
        </a:solidFill>
        <a:ln w="25400">
          <a:solidFill>
            <a:srgbClr val="4F81BD">
              <a:hueOff val="0"/>
              <a:satOff val="0"/>
              <a:lumOff val="0"/>
              <a:alphaOff val="0"/>
            </a:srgbClr>
          </a:solidFill>
          <a:prstDash val="solid"/>
        </a:ln>
        <a:effectLst/>
      </dgm:spPr>
      <dgm:t>
        <a:bodyPr/>
        <a:lstStyle/>
        <a:p>
          <a:pPr algn="r" rtl="1">
            <a:lnSpc>
              <a:spcPct val="150000"/>
            </a:lnSpc>
            <a:spcBef>
              <a:spcPts val="600"/>
            </a:spcBef>
            <a:buNone/>
          </a:pPr>
          <a:r>
            <a:rPr lang="he-IL" sz="1050" b="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2000</a:t>
          </a:r>
          <a:r>
            <a:rPr lang="he-IL" sz="105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 תיקון מס' 1 לחוק - התווספה הטבת שני רכבים מזכים</a:t>
          </a:r>
          <a:endParaRPr lang="he-IL" sz="1050" b="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endParaRPr>
        </a:p>
      </dgm:t>
    </dgm:pt>
    <dgm:pt modelId="{C38CC168-13AE-4891-8741-BE0E143B9F1B}" type="parTrans" cxnId="{E654E881-AB88-4CD0-B5E3-5F53915FD744}">
      <dgm:prSet/>
      <dgm:spPr/>
      <dgm:t>
        <a:bodyPr/>
        <a:lstStyle/>
        <a:p>
          <a:pPr algn="ctr" rtl="1"/>
          <a:endParaRPr lang="he-IL">
            <a:latin typeface="David" panose="020E0502060401010101" pitchFamily="34" charset="-79"/>
            <a:cs typeface="David" panose="020E0502060401010101" pitchFamily="34" charset="-79"/>
          </a:endParaRPr>
        </a:p>
      </dgm:t>
    </dgm:pt>
    <dgm:pt modelId="{DEA2DA8C-BD0F-44B2-9CF2-9BA1C21B2F60}" type="sibTrans" cxnId="{E654E881-AB88-4CD0-B5E3-5F53915FD744}">
      <dgm:prSet/>
      <dgm:spPr/>
      <dgm:t>
        <a:bodyPr/>
        <a:lstStyle/>
        <a:p>
          <a:pPr algn="ctr" rtl="1"/>
          <a:endParaRPr lang="he-IL">
            <a:latin typeface="David" panose="020E0502060401010101" pitchFamily="34" charset="-79"/>
            <a:cs typeface="David" panose="020E0502060401010101" pitchFamily="34" charset="-79"/>
          </a:endParaRPr>
        </a:p>
      </dgm:t>
    </dgm:pt>
    <dgm:pt modelId="{BAD2019C-A2C9-4849-BFA5-D5AF25D00FA4}">
      <dgm:prSet phldrT="[טקסט]" custT="1"/>
      <dgm:spPr>
        <a:xfrm>
          <a:off x="31766" y="79235"/>
          <a:ext cx="4751219" cy="4206379"/>
        </a:xfrm>
        <a:prstGeom prst="rect">
          <a:avLst/>
        </a:prstGeom>
        <a:solidFill>
          <a:sysClr val="window" lastClr="FFFFFF">
            <a:hueOff val="0"/>
            <a:satOff val="0"/>
            <a:lumOff val="0"/>
            <a:alphaOff val="0"/>
          </a:sysClr>
        </a:solidFill>
        <a:ln w="25400">
          <a:solidFill>
            <a:srgbClr val="4F81BD">
              <a:hueOff val="0"/>
              <a:satOff val="0"/>
              <a:lumOff val="0"/>
              <a:alphaOff val="0"/>
            </a:srgbClr>
          </a:solidFill>
          <a:prstDash val="solid"/>
        </a:ln>
        <a:effectLst/>
      </dgm:spPr>
      <dgm:t>
        <a:bodyPr/>
        <a:lstStyle/>
        <a:p>
          <a:pPr algn="r" rtl="1">
            <a:lnSpc>
              <a:spcPct val="150000"/>
            </a:lnSpc>
            <a:spcBef>
              <a:spcPts val="600"/>
            </a:spcBef>
            <a:buNone/>
          </a:pPr>
          <a:r>
            <a:rPr lang="he-IL" sz="1050" b="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2017</a:t>
          </a:r>
          <a:r>
            <a:rPr lang="he-IL" sz="105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 תיקון מס' 7 לחוק - התווספה הזכאות להקצאת חניה לבעל תג חניה בסמוך למקום מגוריו עם תמרור מתאים</a:t>
          </a:r>
        </a:p>
      </dgm:t>
    </dgm:pt>
    <dgm:pt modelId="{ADE4F91A-D6CC-4E4F-A465-444A93DF226A}" type="parTrans" cxnId="{16D53154-8D08-4515-8B86-5EFB2DE9A883}">
      <dgm:prSet/>
      <dgm:spPr/>
      <dgm:t>
        <a:bodyPr/>
        <a:lstStyle/>
        <a:p>
          <a:pPr rtl="1"/>
          <a:endParaRPr lang="he-IL">
            <a:latin typeface="David" panose="020E0502060401010101" pitchFamily="34" charset="-79"/>
            <a:cs typeface="David" panose="020E0502060401010101" pitchFamily="34" charset="-79"/>
          </a:endParaRPr>
        </a:p>
      </dgm:t>
    </dgm:pt>
    <dgm:pt modelId="{C7ECA9A0-1699-4CB1-ACFA-BAD9254DB9D8}" type="sibTrans" cxnId="{16D53154-8D08-4515-8B86-5EFB2DE9A883}">
      <dgm:prSet/>
      <dgm:spPr/>
      <dgm:t>
        <a:bodyPr/>
        <a:lstStyle/>
        <a:p>
          <a:pPr rtl="1"/>
          <a:endParaRPr lang="he-IL">
            <a:latin typeface="David" panose="020E0502060401010101" pitchFamily="34" charset="-79"/>
            <a:cs typeface="David" panose="020E0502060401010101" pitchFamily="34" charset="-79"/>
          </a:endParaRPr>
        </a:p>
      </dgm:t>
    </dgm:pt>
    <dgm:pt modelId="{7C7BBED1-4475-4179-8115-1C72331606D9}">
      <dgm:prSet phldrT="[טקסט]" custT="1"/>
      <dgm:spPr>
        <a:xfrm>
          <a:off x="31766" y="79235"/>
          <a:ext cx="4751219" cy="4206379"/>
        </a:xfrm>
        <a:prstGeom prst="rect">
          <a:avLst/>
        </a:prstGeom>
        <a:solidFill>
          <a:sysClr val="window" lastClr="FFFFFF">
            <a:hueOff val="0"/>
            <a:satOff val="0"/>
            <a:lumOff val="0"/>
            <a:alphaOff val="0"/>
          </a:sysClr>
        </a:solidFill>
        <a:ln w="25400">
          <a:solidFill>
            <a:srgbClr val="4F81BD">
              <a:hueOff val="0"/>
              <a:satOff val="0"/>
              <a:lumOff val="0"/>
              <a:alphaOff val="0"/>
            </a:srgbClr>
          </a:solidFill>
          <a:prstDash val="solid"/>
        </a:ln>
        <a:effectLst/>
      </dgm:spPr>
      <dgm:t>
        <a:bodyPr/>
        <a:lstStyle/>
        <a:p>
          <a:pPr algn="r" rtl="1">
            <a:lnSpc>
              <a:spcPct val="150000"/>
            </a:lnSpc>
            <a:spcBef>
              <a:spcPts val="600"/>
            </a:spcBef>
            <a:buNone/>
          </a:pPr>
          <a:r>
            <a:rPr lang="he-IL" sz="1050" b="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2018</a:t>
          </a:r>
          <a:r>
            <a:rPr lang="he-IL" sz="105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 תיקונים מס' 6 ו-8 לחוק - הוסדרו כללי חניה לרכב עם תג נכה בשטחי פריקה וטעינה לפי שעות התמרור, ובמקביל צומצמה האפשרות לחנות בחניית נכים שיועדה לרכב מסוים כך שהחריג תקף רק בימים או בשעות שנקבעו בתמרור.</a:t>
          </a:r>
        </a:p>
      </dgm:t>
    </dgm:pt>
    <dgm:pt modelId="{3E4DF0A7-DFC9-4A43-AD7D-202D4FCF4D12}" type="parTrans" cxnId="{C50975BD-CE4B-46DA-9C27-6BBD31E9910D}">
      <dgm:prSet/>
      <dgm:spPr/>
      <dgm:t>
        <a:bodyPr/>
        <a:lstStyle/>
        <a:p>
          <a:pPr rtl="1"/>
          <a:endParaRPr lang="he-IL">
            <a:latin typeface="David" panose="020E0502060401010101" pitchFamily="34" charset="-79"/>
            <a:cs typeface="David" panose="020E0502060401010101" pitchFamily="34" charset="-79"/>
          </a:endParaRPr>
        </a:p>
      </dgm:t>
    </dgm:pt>
    <dgm:pt modelId="{40765437-3F41-4D5F-B0EE-21F407697684}" type="sibTrans" cxnId="{C50975BD-CE4B-46DA-9C27-6BBD31E9910D}">
      <dgm:prSet/>
      <dgm:spPr/>
      <dgm:t>
        <a:bodyPr/>
        <a:lstStyle/>
        <a:p>
          <a:pPr rtl="1"/>
          <a:endParaRPr lang="he-IL">
            <a:latin typeface="David" panose="020E0502060401010101" pitchFamily="34" charset="-79"/>
            <a:cs typeface="David" panose="020E0502060401010101" pitchFamily="34" charset="-79"/>
          </a:endParaRPr>
        </a:p>
      </dgm:t>
    </dgm:pt>
    <dgm:pt modelId="{7D33C22A-842F-408E-9DCF-879D8092B288}">
      <dgm:prSet phldrT="[טקסט]" custT="1"/>
      <dgm:spPr>
        <a:xfrm>
          <a:off x="31766" y="79235"/>
          <a:ext cx="4751219" cy="4206379"/>
        </a:xfrm>
        <a:prstGeom prst="rect">
          <a:avLst/>
        </a:prstGeom>
        <a:solidFill>
          <a:sysClr val="window" lastClr="FFFFFF">
            <a:hueOff val="0"/>
            <a:satOff val="0"/>
            <a:lumOff val="0"/>
            <a:alphaOff val="0"/>
          </a:sysClr>
        </a:solidFill>
        <a:ln w="25400">
          <a:solidFill>
            <a:srgbClr val="4F81BD">
              <a:hueOff val="0"/>
              <a:satOff val="0"/>
              <a:lumOff val="0"/>
              <a:alphaOff val="0"/>
            </a:srgbClr>
          </a:solidFill>
          <a:prstDash val="solid"/>
        </a:ln>
        <a:effectLst/>
      </dgm:spPr>
      <dgm:t>
        <a:bodyPr/>
        <a:lstStyle/>
        <a:p>
          <a:pPr algn="r" rtl="1">
            <a:lnSpc>
              <a:spcPct val="150000"/>
            </a:lnSpc>
            <a:spcBef>
              <a:spcPts val="600"/>
            </a:spcBef>
            <a:buNone/>
          </a:pPr>
          <a:r>
            <a:rPr lang="he-IL" sz="1050" b="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2010</a:t>
          </a:r>
          <a:r>
            <a:rPr lang="he-IL" sz="105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 תיקון פקודת התעבורה - נקבע שככלל אין להגביל בתמרור את שעות השימוש בחניית נכים, למעט חריגים מצומצמים של חניה שהוקצתה לרכב מסוים סמוך למקום עבודה קבוע או חניה סמוכה למקום ציבורי עם זמני שימוש לציבור.</a:t>
          </a:r>
          <a:endParaRPr lang="he-IL" sz="1050" baseline="30000">
            <a:solidFill>
              <a:sysClr val="windowText" lastClr="000000">
                <a:hueOff val="0"/>
                <a:satOff val="0"/>
                <a:lumOff val="0"/>
                <a:alphaOff val="0"/>
              </a:sysClr>
            </a:solidFill>
            <a:highlight>
              <a:srgbClr val="FFFF00"/>
            </a:highlight>
            <a:latin typeface="David" panose="020E0502060401010101" pitchFamily="34" charset="-79"/>
            <a:ea typeface="+mn-ea"/>
            <a:cs typeface="David" panose="020E0502060401010101" pitchFamily="34" charset="-79"/>
          </a:endParaRPr>
        </a:p>
      </dgm:t>
    </dgm:pt>
    <dgm:pt modelId="{D3F5318D-C4B5-4B6C-BECF-1934488947D3}" type="parTrans" cxnId="{CAD85231-95B4-4A6A-9D4B-D9462F378BF9}">
      <dgm:prSet/>
      <dgm:spPr/>
      <dgm:t>
        <a:bodyPr/>
        <a:lstStyle/>
        <a:p>
          <a:pPr rtl="1"/>
          <a:endParaRPr lang="he-IL">
            <a:latin typeface="David" panose="020E0502060401010101" pitchFamily="34" charset="-79"/>
            <a:cs typeface="David" panose="020E0502060401010101" pitchFamily="34" charset="-79"/>
          </a:endParaRPr>
        </a:p>
      </dgm:t>
    </dgm:pt>
    <dgm:pt modelId="{A89BC756-E69A-4D14-8E01-213D18142E2E}" type="sibTrans" cxnId="{CAD85231-95B4-4A6A-9D4B-D9462F378BF9}">
      <dgm:prSet/>
      <dgm:spPr/>
      <dgm:t>
        <a:bodyPr/>
        <a:lstStyle/>
        <a:p>
          <a:pPr rtl="1"/>
          <a:endParaRPr lang="he-IL">
            <a:latin typeface="David" panose="020E0502060401010101" pitchFamily="34" charset="-79"/>
            <a:cs typeface="David" panose="020E0502060401010101" pitchFamily="34" charset="-79"/>
          </a:endParaRPr>
        </a:p>
      </dgm:t>
    </dgm:pt>
    <dgm:pt modelId="{38CE3E2C-D99C-47CA-ABC2-9213D221F598}">
      <dgm:prSet phldrT="[טקסט]" custT="1"/>
      <dgm:spPr>
        <a:xfrm>
          <a:off x="31766" y="79235"/>
          <a:ext cx="4751219" cy="4206379"/>
        </a:xfrm>
        <a:prstGeom prst="rect">
          <a:avLst/>
        </a:prstGeom>
        <a:solidFill>
          <a:sysClr val="window" lastClr="FFFFFF">
            <a:hueOff val="0"/>
            <a:satOff val="0"/>
            <a:lumOff val="0"/>
            <a:alphaOff val="0"/>
          </a:sysClr>
        </a:solidFill>
        <a:ln w="25400">
          <a:solidFill>
            <a:srgbClr val="4F81BD">
              <a:hueOff val="0"/>
              <a:satOff val="0"/>
              <a:lumOff val="0"/>
              <a:alphaOff val="0"/>
            </a:srgbClr>
          </a:solidFill>
          <a:prstDash val="solid"/>
        </a:ln>
        <a:effectLst/>
      </dgm:spPr>
      <dgm:t>
        <a:bodyPr/>
        <a:lstStyle/>
        <a:p>
          <a:pPr algn="r" rtl="1">
            <a:lnSpc>
              <a:spcPct val="150000"/>
            </a:lnSpc>
            <a:spcBef>
              <a:spcPts val="600"/>
            </a:spcBef>
            <a:buNone/>
          </a:pPr>
          <a:r>
            <a:rPr lang="he-IL" sz="1050" b="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2012</a:t>
          </a:r>
          <a:r>
            <a:rPr lang="he-IL" sz="105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 תיקון מס' 5 לחוק - התווסף האילוץ כי הטלת קנס דורשת צילום הרכב באופן המעיד על עבירה</a:t>
          </a:r>
          <a:endParaRPr lang="he-IL" sz="1050" baseline="30000">
            <a:solidFill>
              <a:sysClr val="windowText" lastClr="000000">
                <a:hueOff val="0"/>
                <a:satOff val="0"/>
                <a:lumOff val="0"/>
                <a:alphaOff val="0"/>
              </a:sysClr>
            </a:solidFill>
            <a:highlight>
              <a:srgbClr val="FFFF00"/>
            </a:highlight>
            <a:latin typeface="David" panose="020E0502060401010101" pitchFamily="34" charset="-79"/>
            <a:ea typeface="+mn-ea"/>
            <a:cs typeface="David" panose="020E0502060401010101" pitchFamily="34" charset="-79"/>
          </a:endParaRPr>
        </a:p>
      </dgm:t>
    </dgm:pt>
    <dgm:pt modelId="{78E3A1B2-DF12-424A-9520-4868834CC939}" type="parTrans" cxnId="{52E9DFE9-535F-4DC8-B8A9-41ABDF0D3AC7}">
      <dgm:prSet/>
      <dgm:spPr/>
      <dgm:t>
        <a:bodyPr/>
        <a:lstStyle/>
        <a:p>
          <a:pPr rtl="1"/>
          <a:endParaRPr lang="he-IL"/>
        </a:p>
      </dgm:t>
    </dgm:pt>
    <dgm:pt modelId="{B23EE457-EDFC-41BA-9BD1-20F6E7B91830}" type="sibTrans" cxnId="{52E9DFE9-535F-4DC8-B8A9-41ABDF0D3AC7}">
      <dgm:prSet/>
      <dgm:spPr/>
      <dgm:t>
        <a:bodyPr/>
        <a:lstStyle/>
        <a:p>
          <a:pPr rtl="1"/>
          <a:endParaRPr lang="he-IL"/>
        </a:p>
      </dgm:t>
    </dgm:pt>
    <dgm:pt modelId="{4D7AA981-8719-4CFF-B339-1AA913C4F2E4}" type="pres">
      <dgm:prSet presAssocID="{95297980-5D6B-4C37-AFFD-0D566C6957FF}" presName="Name0" presStyleCnt="0">
        <dgm:presLayoutVars>
          <dgm:chMax val="5"/>
          <dgm:chPref val="5"/>
          <dgm:dir val="norm"/>
          <dgm:animLvl val="lvl"/>
        </dgm:presLayoutVars>
      </dgm:prSet>
      <dgm:spPr/>
    </dgm:pt>
    <dgm:pt modelId="{D0FD9CD1-E696-43A3-A281-0859B4BA05C5}" type="pres">
      <dgm:prSet presAssocID="{8A2EFB36-A8A0-41C1-A707-46A927A950AE}" presName="parentText1" presStyleLbl="node1" presStyleIdx="0" presStyleCnt="1" custScaleX="100000" custLinFactNeighborY="-64160">
        <dgm:presLayoutVars>
          <dgm:chMax val="-1"/>
          <dgm:chPref val="3"/>
          <dgm:bulletEnabled val="1"/>
        </dgm:presLayoutVars>
      </dgm:prSet>
      <dgm:spPr/>
    </dgm:pt>
    <dgm:pt modelId="{2C75CADA-7074-49E7-ADB4-5EF621DF456C}" type="pres">
      <dgm:prSet presAssocID="{8A2EFB36-A8A0-41C1-A707-46A927A950AE}" presName="childText1" presStyleLbl="solidAlignAcc1" presStyleIdx="0" presStyleCnt="1" custScaleX="98489" custScaleY="206260" custLinFactNeighborX="-97" custLinFactNeighborY="14499">
        <dgm:presLayoutVars>
          <dgm:chMax val="0"/>
          <dgm:chPref val="0"/>
          <dgm:bulletEnabled val="1"/>
        </dgm:presLayoutVars>
      </dgm:prSet>
      <dgm:spPr/>
    </dgm:pt>
  </dgm:ptLst>
  <dgm:cxnLst>
    <dgm:cxn modelId="{F5453B03-7921-4373-A81E-222DB8864765}" type="presOf" srcId="{7D33C22A-842F-408E-9DCF-879D8092B288}" destId="{2C75CADA-7074-49E7-ADB4-5EF621DF456C}" srcOrd="0" destOrd="2" presId="urn:microsoft.com/office/officeart/2009/3/layout/IncreasingArrowsProcess#1"/>
    <dgm:cxn modelId="{CAD85231-95B4-4A6A-9D4B-D9462F378BF9}" srcId="{8A2EFB36-A8A0-41C1-A707-46A927A950AE}" destId="{7D33C22A-842F-408E-9DCF-879D8092B288}" srcOrd="2" destOrd="0" parTransId="{D3F5318D-C4B5-4B6C-BECF-1934488947D3}" sibTransId="{A89BC756-E69A-4D14-8E01-213D18142E2E}"/>
    <dgm:cxn modelId="{258CDF31-A3C2-4A9A-A8FB-394C2237C1A8}" type="presOf" srcId="{38CE3E2C-D99C-47CA-ABC2-9213D221F598}" destId="{2C75CADA-7074-49E7-ADB4-5EF621DF456C}" srcOrd="0" destOrd="3" presId="urn:microsoft.com/office/officeart/2009/3/layout/IncreasingArrowsProcess#1"/>
    <dgm:cxn modelId="{0D750B42-357A-470B-B740-F6F158276F08}" type="presOf" srcId="{7C7BBED1-4475-4179-8115-1C72331606D9}" destId="{2C75CADA-7074-49E7-ADB4-5EF621DF456C}" srcOrd="0" destOrd="5" presId="urn:microsoft.com/office/officeart/2009/3/layout/IncreasingArrowsProcess#1"/>
    <dgm:cxn modelId="{55B51466-9C46-4B8C-905E-854EFB899815}" type="presOf" srcId="{8A2EFB36-A8A0-41C1-A707-46A927A950AE}" destId="{D0FD9CD1-E696-43A3-A281-0859B4BA05C5}" srcOrd="0" destOrd="0" presId="urn:microsoft.com/office/officeart/2009/3/layout/IncreasingArrowsProcess#1"/>
    <dgm:cxn modelId="{FCE67B46-0156-4703-B2ED-AAB0BFBAA308}" srcId="{95297980-5D6B-4C37-AFFD-0D566C6957FF}" destId="{8A2EFB36-A8A0-41C1-A707-46A927A950AE}" srcOrd="0" destOrd="0" parTransId="{FA20EDB9-A6C7-4E59-8FFD-F03C9D585839}" sibTransId="{59563AF7-043F-4F4E-AB5D-F3E394CFED89}"/>
    <dgm:cxn modelId="{19BB2768-D2CA-4291-9AD9-3880D759551F}" srcId="{8A2EFB36-A8A0-41C1-A707-46A927A950AE}" destId="{7EB976FC-CC8E-47CF-9628-17410CB8E968}" srcOrd="1" destOrd="0" parTransId="{BC221BA3-9B9F-4C17-90CC-EE1EA70443DD}" sibTransId="{20FD9BFF-169A-4BC5-A083-C6D1A6A083C8}"/>
    <dgm:cxn modelId="{6A46ED52-3097-4CC9-BD81-51799CA7604A}" type="presOf" srcId="{95297980-5D6B-4C37-AFFD-0D566C6957FF}" destId="{4D7AA981-8719-4CFF-B339-1AA913C4F2E4}" srcOrd="0" destOrd="0" presId="urn:microsoft.com/office/officeart/2009/3/layout/IncreasingArrowsProcess#1"/>
    <dgm:cxn modelId="{16D53154-8D08-4515-8B86-5EFB2DE9A883}" srcId="{8A2EFB36-A8A0-41C1-A707-46A927A950AE}" destId="{BAD2019C-A2C9-4849-BFA5-D5AF25D00FA4}" srcOrd="4" destOrd="0" parTransId="{ADE4F91A-D6CC-4E4F-A465-444A93DF226A}" sibTransId="{C7ECA9A0-1699-4CB1-ACFA-BAD9254DB9D8}"/>
    <dgm:cxn modelId="{E654E881-AB88-4CD0-B5E3-5F53915FD744}" srcId="{8A2EFB36-A8A0-41C1-A707-46A927A950AE}" destId="{5CD7C986-AD0B-4E65-9ACF-A2C9AFBEC433}" srcOrd="0" destOrd="0" parTransId="{C38CC168-13AE-4891-8741-BE0E143B9F1B}" sibTransId="{DEA2DA8C-BD0F-44B2-9CF2-9BA1C21B2F60}"/>
    <dgm:cxn modelId="{24AA6085-B00E-4DB2-97BE-0F739828ED09}" type="presOf" srcId="{7EB976FC-CC8E-47CF-9628-17410CB8E968}" destId="{2C75CADA-7074-49E7-ADB4-5EF621DF456C}" srcOrd="0" destOrd="1" presId="urn:microsoft.com/office/officeart/2009/3/layout/IncreasingArrowsProcess#1"/>
    <dgm:cxn modelId="{7D135F9E-A0F3-452C-9993-C97906FEBA0F}" type="presOf" srcId="{BAD2019C-A2C9-4849-BFA5-D5AF25D00FA4}" destId="{2C75CADA-7074-49E7-ADB4-5EF621DF456C}" srcOrd="0" destOrd="4" presId="urn:microsoft.com/office/officeart/2009/3/layout/IncreasingArrowsProcess#1"/>
    <dgm:cxn modelId="{C50975BD-CE4B-46DA-9C27-6BBD31E9910D}" srcId="{8A2EFB36-A8A0-41C1-A707-46A927A950AE}" destId="{7C7BBED1-4475-4179-8115-1C72331606D9}" srcOrd="5" destOrd="0" parTransId="{3E4DF0A7-DFC9-4A43-AD7D-202D4FCF4D12}" sibTransId="{40765437-3F41-4D5F-B0EE-21F407697684}"/>
    <dgm:cxn modelId="{EE18B2D2-29DF-44AA-A091-01625E61C39D}" type="presOf" srcId="{5CD7C986-AD0B-4E65-9ACF-A2C9AFBEC433}" destId="{2C75CADA-7074-49E7-ADB4-5EF621DF456C}" srcOrd="0" destOrd="0" presId="urn:microsoft.com/office/officeart/2009/3/layout/IncreasingArrowsProcess#1"/>
    <dgm:cxn modelId="{52E9DFE9-535F-4DC8-B8A9-41ABDF0D3AC7}" srcId="{8A2EFB36-A8A0-41C1-A707-46A927A950AE}" destId="{38CE3E2C-D99C-47CA-ABC2-9213D221F598}" srcOrd="3" destOrd="0" parTransId="{78E3A1B2-DF12-424A-9520-4868834CC939}" sibTransId="{B23EE457-EDFC-41BA-9BD1-20F6E7B91830}"/>
    <dgm:cxn modelId="{92A70CCA-6A46-43D0-B110-B585C2565DBD}" type="presParOf" srcId="{4D7AA981-8719-4CFF-B339-1AA913C4F2E4}" destId="{D0FD9CD1-E696-43A3-A281-0859B4BA05C5}" srcOrd="0" destOrd="0" presId="urn:microsoft.com/office/officeart/2009/3/layout/IncreasingArrowsProcess#1"/>
    <dgm:cxn modelId="{65502CAE-5CD5-4F83-9C46-01906DBAD580}" type="presParOf" srcId="{4D7AA981-8719-4CFF-B339-1AA913C4F2E4}" destId="{2C75CADA-7074-49E7-ADB4-5EF621DF456C}" srcOrd="1" destOrd="0" presId="urn:microsoft.com/office/officeart/2009/3/layout/IncreasingArrowsProcess#1"/>
  </dgm:cxnLst>
  <dgm:bg/>
  <dgm:whole/>
  <dgm:extLst>
    <a:ext xmlns:a="http://schemas.openxmlformats.org/drawingml/2006/main" uri="http://schemas.microsoft.com/office/drawing/2008/diagram">
      <dsp:dataModelExt xmlns:dsp="http://schemas.microsoft.com/office/drawing/2008/diagram" minVer="http://schemas.openxmlformats.org/drawingml/2006/diagram" relId="rId58"/>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07A303-D9F0-4593-BEE9-CF4648565756}">
      <dsp:nvSpPr>
        <dsp:cNvPr id="0" name=""/>
        <dsp:cNvSpPr/>
      </dsp:nvSpPr>
      <dsp:spPr>
        <a:xfrm>
          <a:off x="622" y="0"/>
          <a:ext cx="1617746" cy="330653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lstStyle/>
        <a:p>
          <a:pPr marL="0" lvl="0" indent="0" algn="ctr" defTabSz="533400" rtl="1">
            <a:lnSpc>
              <a:spcPct val="90000"/>
            </a:lnSpc>
            <a:spcBef>
              <a:spcPct val="0"/>
            </a:spcBef>
            <a:spcAft>
              <a:spcPct val="35000"/>
            </a:spcAft>
            <a:buNone/>
          </a:pPr>
          <a:r>
            <a:rPr lang="he-IL" sz="1200" b="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אכיפה</a:t>
          </a:r>
        </a:p>
      </dsp:txBody>
      <dsp:txXfrm>
        <a:off x="29676" y="29054"/>
        <a:ext cx="1559638" cy="933852"/>
      </dsp:txXfrm>
    </dsp:sp>
    <dsp:sp modelId="{854E3400-E4E5-46EE-AC23-6DFFF4046145}">
      <dsp:nvSpPr>
        <dsp:cNvPr id="0" name=""/>
        <dsp:cNvSpPr/>
      </dsp:nvSpPr>
      <dsp:spPr>
        <a:xfrm>
          <a:off x="162396" y="860241"/>
          <a:ext cx="1294196" cy="858440"/>
        </a:xfrm>
        <a:prstGeom prst="roundRect">
          <a:avLst>
            <a:gd name="adj" fmla="val 10000"/>
          </a:avLst>
        </a:prstGeom>
        <a:solidFill>
          <a:sysClr val="window" lastClr="FFFFFF">
            <a:hueOff val="0"/>
            <a:satOff val="0"/>
            <a:lumOff val="0"/>
            <a:alphaOff val="0"/>
          </a:sysClr>
        </a:solidFill>
        <a:ln w="38100">
          <a:solidFill>
            <a:srgbClr val="4F81BD">
              <a:shade val="80000"/>
              <a:hueOff val="0"/>
              <a:satOff val="0"/>
              <a:lumOff val="0"/>
              <a:alphaOff val="0"/>
            </a:srgbClr>
          </a:solidFill>
          <a:prstDash val="solid"/>
        </a:ln>
        <a:effectLst>
          <a:outerShdw blurRad="40000" dist="20000" dir="5400000" sx="100000" sy="100000" kx="0" ky="0" algn="b"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5400" tIns="19050" rIns="25400" bIns="19050" numCol="1" spcCol="1270" anchor="ctr" anchorCtr="0"/>
        <a:lstStyle/>
        <a:p>
          <a:pPr marL="0" lvl="0" indent="0" algn="ctr" defTabSz="444500" rtl="1">
            <a:lnSpc>
              <a:spcPct val="90000"/>
            </a:lnSpc>
            <a:spcBef>
              <a:spcPct val="0"/>
            </a:spcBef>
            <a:spcAft>
              <a:spcPct val="35000"/>
            </a:spcAft>
            <a:buNone/>
          </a:pPr>
          <a:r>
            <a:rPr lang="he-IL" sz="100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הרשויות המקומיות</a:t>
          </a:r>
        </a:p>
      </dsp:txBody>
      <dsp:txXfrm>
        <a:off x="187539" y="885384"/>
        <a:ext cx="1243910" cy="808154"/>
      </dsp:txXfrm>
    </dsp:sp>
    <dsp:sp modelId="{D3098782-AD7A-4DD3-9F6B-BE03C9E6C83F}">
      <dsp:nvSpPr>
        <dsp:cNvPr id="0" name=""/>
        <dsp:cNvSpPr/>
      </dsp:nvSpPr>
      <dsp:spPr>
        <a:xfrm>
          <a:off x="162396" y="1913736"/>
          <a:ext cx="1294196" cy="1157632"/>
        </a:xfrm>
        <a:prstGeom prst="roundRect">
          <a:avLst>
            <a:gd name="adj" fmla="val 10000"/>
          </a:avLst>
        </a:prstGeom>
        <a:solidFill>
          <a:sysClr val="window" lastClr="FFFFFF">
            <a:hueOff val="0"/>
            <a:satOff val="0"/>
            <a:lumOff val="0"/>
            <a:alphaOff val="0"/>
          </a:sysClr>
        </a:solidFill>
        <a:ln w="38100">
          <a:solidFill>
            <a:srgbClr val="4F81BD">
              <a:shade val="80000"/>
              <a:hueOff val="0"/>
              <a:satOff val="0"/>
              <a:lumOff val="0"/>
              <a:alphaOff val="0"/>
            </a:srgbClr>
          </a:solidFill>
          <a:prstDash val="solid"/>
        </a:ln>
        <a:effectLst>
          <a:outerShdw blurRad="40000" dist="20000" dir="5400000" sx="100000" sy="100000" kx="0" ky="0" algn="b"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5400" tIns="19050" rIns="25400" bIns="19050" numCol="1" spcCol="1270" anchor="ctr" anchorCtr="0"/>
        <a:lstStyle/>
        <a:p>
          <a:pPr marL="0" lvl="0" indent="0" algn="ctr" defTabSz="444500" rtl="1">
            <a:lnSpc>
              <a:spcPct val="90000"/>
            </a:lnSpc>
            <a:spcBef>
              <a:spcPct val="0"/>
            </a:spcBef>
            <a:spcAft>
              <a:spcPct val="35000"/>
            </a:spcAft>
            <a:buNone/>
          </a:pPr>
          <a:r>
            <a:rPr lang="he-IL" sz="100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משטרת ישראל</a:t>
          </a:r>
        </a:p>
      </dsp:txBody>
      <dsp:txXfrm>
        <a:off x="196302" y="1947642"/>
        <a:ext cx="1226384" cy="1089820"/>
      </dsp:txXfrm>
    </dsp:sp>
    <dsp:sp modelId="{89E470F7-C450-4FFF-B249-3707BE5F4559}">
      <dsp:nvSpPr>
        <dsp:cNvPr id="0" name=""/>
        <dsp:cNvSpPr/>
      </dsp:nvSpPr>
      <dsp:spPr>
        <a:xfrm>
          <a:off x="1739699" y="0"/>
          <a:ext cx="1617746" cy="330653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lstStyle/>
        <a:p>
          <a:pPr marL="0" lvl="0" indent="0" algn="ctr" defTabSz="533400" rtl="1">
            <a:lnSpc>
              <a:spcPct val="90000"/>
            </a:lnSpc>
            <a:spcBef>
              <a:spcPct val="0"/>
            </a:spcBef>
            <a:spcAft>
              <a:spcPct val="35000"/>
            </a:spcAft>
            <a:buNone/>
          </a:pPr>
          <a:r>
            <a:rPr lang="he-IL" sz="1200" b="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הקצאת חניות</a:t>
          </a:r>
        </a:p>
      </dsp:txBody>
      <dsp:txXfrm>
        <a:off x="1768753" y="29054"/>
        <a:ext cx="1559638" cy="933852"/>
      </dsp:txXfrm>
    </dsp:sp>
    <dsp:sp modelId="{14D4F06C-3F32-40E9-A93D-FBA55A90D17F}">
      <dsp:nvSpPr>
        <dsp:cNvPr id="0" name=""/>
        <dsp:cNvSpPr/>
      </dsp:nvSpPr>
      <dsp:spPr>
        <a:xfrm>
          <a:off x="1872833" y="871700"/>
          <a:ext cx="1294196" cy="2147163"/>
        </a:xfrm>
        <a:prstGeom prst="roundRect">
          <a:avLst>
            <a:gd name="adj" fmla="val 10000"/>
          </a:avLst>
        </a:prstGeom>
        <a:solidFill>
          <a:sysClr val="window" lastClr="FFFFFF">
            <a:hueOff val="0"/>
            <a:satOff val="0"/>
            <a:lumOff val="0"/>
            <a:alphaOff val="0"/>
          </a:sysClr>
        </a:solidFill>
        <a:ln w="38100">
          <a:solidFill>
            <a:srgbClr val="4F81BD">
              <a:shade val="80000"/>
              <a:hueOff val="0"/>
              <a:satOff val="0"/>
              <a:lumOff val="0"/>
              <a:alphaOff val="0"/>
            </a:srgbClr>
          </a:solidFill>
          <a:prstDash val="solid"/>
        </a:ln>
        <a:effectLst>
          <a:outerShdw blurRad="40000" dist="20000" dir="5400000" sx="100000" sy="100000" kx="0" ky="0" algn="b"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5400" tIns="19050" rIns="25400" bIns="19050" numCol="1" spcCol="1270" anchor="ctr" anchorCtr="0"/>
        <a:lstStyle/>
        <a:p>
          <a:pPr marL="0" lvl="0" indent="0" algn="ctr" defTabSz="444500" rtl="1">
            <a:lnSpc>
              <a:spcPct val="90000"/>
            </a:lnSpc>
            <a:spcBef>
              <a:spcPct val="0"/>
            </a:spcBef>
            <a:spcAft>
              <a:spcPct val="35000"/>
            </a:spcAft>
            <a:buNone/>
          </a:pPr>
          <a:r>
            <a:rPr lang="he-IL" sz="100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הרשויות המקומיות</a:t>
          </a:r>
        </a:p>
      </dsp:txBody>
      <dsp:txXfrm>
        <a:off x="1910739" y="909606"/>
        <a:ext cx="1218384" cy="2071351"/>
      </dsp:txXfrm>
    </dsp:sp>
    <dsp:sp modelId="{30A385E6-E627-40BD-92DE-E7196D8FDDD3}">
      <dsp:nvSpPr>
        <dsp:cNvPr id="0" name=""/>
        <dsp:cNvSpPr/>
      </dsp:nvSpPr>
      <dsp:spPr>
        <a:xfrm>
          <a:off x="3478776" y="0"/>
          <a:ext cx="1617746" cy="330653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lstStyle/>
        <a:p>
          <a:pPr marL="0" lvl="0" indent="0" algn="ctr" defTabSz="533400" rtl="1">
            <a:lnSpc>
              <a:spcPct val="90000"/>
            </a:lnSpc>
            <a:spcBef>
              <a:spcPct val="0"/>
            </a:spcBef>
            <a:spcAft>
              <a:spcPct val="35000"/>
            </a:spcAft>
            <a:buNone/>
          </a:pPr>
          <a:r>
            <a:rPr lang="he-IL" sz="1200" b="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הנפקת התגים ומתן זכאות לתג</a:t>
          </a:r>
        </a:p>
      </dsp:txBody>
      <dsp:txXfrm>
        <a:off x="3507830" y="29054"/>
        <a:ext cx="1559638" cy="933852"/>
      </dsp:txXfrm>
    </dsp:sp>
    <dsp:sp modelId="{79FAA9E8-158F-4071-8E35-4B6F5513900C}">
      <dsp:nvSpPr>
        <dsp:cNvPr id="0" name=""/>
        <dsp:cNvSpPr/>
      </dsp:nvSpPr>
      <dsp:spPr>
        <a:xfrm>
          <a:off x="3623545" y="650452"/>
          <a:ext cx="1294196" cy="648934"/>
        </a:xfrm>
        <a:prstGeom prst="roundRect">
          <a:avLst>
            <a:gd name="adj" fmla="val 10000"/>
          </a:avLst>
        </a:prstGeom>
        <a:solidFill>
          <a:sysClr val="window" lastClr="FFFFFF">
            <a:hueOff val="0"/>
            <a:satOff val="0"/>
            <a:lumOff val="0"/>
            <a:alphaOff val="0"/>
          </a:sysClr>
        </a:solidFill>
        <a:ln w="38100">
          <a:solidFill>
            <a:srgbClr val="C0504D"/>
          </a:solidFill>
          <a:prstDash val="solid"/>
        </a:ln>
        <a:effectLst>
          <a:outerShdw blurRad="40000" dist="20000" dir="5400000" sx="100000" sy="100000" kx="0" ky="0" algn="b"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5400" tIns="19050" rIns="25400" bIns="19050" numCol="1" spcCol="1270" anchor="ctr" anchorCtr="0"/>
        <a:lstStyle/>
        <a:p>
          <a:pPr marL="0" lvl="0" indent="0" algn="ctr" defTabSz="444500" rtl="1">
            <a:lnSpc>
              <a:spcPct val="90000"/>
            </a:lnSpc>
            <a:spcBef>
              <a:spcPct val="0"/>
            </a:spcBef>
            <a:spcAft>
              <a:spcPct val="35000"/>
            </a:spcAft>
            <a:buNone/>
          </a:pPr>
          <a:r>
            <a:rPr lang="he-IL" sz="100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אגף הרישוי במשרד התחבורה והבטיחות בדרכים</a:t>
          </a:r>
        </a:p>
      </dsp:txBody>
      <dsp:txXfrm>
        <a:off x="3642552" y="669459"/>
        <a:ext cx="1256182" cy="610920"/>
      </dsp:txXfrm>
    </dsp:sp>
    <dsp:sp modelId="{6D44BB90-E501-474B-BC35-7EAC17AEF5CB}">
      <dsp:nvSpPr>
        <dsp:cNvPr id="0" name=""/>
        <dsp:cNvSpPr/>
      </dsp:nvSpPr>
      <dsp:spPr>
        <a:xfrm>
          <a:off x="3640551" y="1711484"/>
          <a:ext cx="1294196" cy="388324"/>
        </a:xfrm>
        <a:prstGeom prst="roundRect">
          <a:avLst>
            <a:gd name="adj" fmla="val 10000"/>
          </a:avLst>
        </a:prstGeom>
        <a:solidFill>
          <a:sysClr val="window" lastClr="FFFFFF">
            <a:hueOff val="0"/>
            <a:satOff val="0"/>
            <a:lumOff val="0"/>
            <a:alphaOff val="0"/>
          </a:sysClr>
        </a:solidFill>
        <a:ln w="38100">
          <a:solidFill>
            <a:srgbClr val="4F81BD">
              <a:shade val="80000"/>
              <a:hueOff val="0"/>
              <a:satOff val="0"/>
              <a:lumOff val="0"/>
              <a:alphaOff val="0"/>
            </a:srgbClr>
          </a:solidFill>
          <a:prstDash val="solid"/>
        </a:ln>
        <a:effectLst>
          <a:outerShdw blurRad="40000" dist="20000" dir="5400000" sx="100000" sy="100000" kx="0" ky="0" algn="b"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5400" tIns="19050" rIns="25400" bIns="19050" numCol="1" spcCol="1270" anchor="ctr" anchorCtr="0"/>
        <a:lstStyle/>
        <a:p>
          <a:pPr marL="0" lvl="0" indent="0" algn="ctr" defTabSz="444500" rtl="1">
            <a:lnSpc>
              <a:spcPct val="90000"/>
            </a:lnSpc>
            <a:spcBef>
              <a:spcPct val="0"/>
            </a:spcBef>
            <a:spcAft>
              <a:spcPct val="35000"/>
            </a:spcAft>
            <a:buNone/>
          </a:pPr>
          <a:r>
            <a:rPr lang="he-IL" sz="100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המוסד לביטוח לאומי**</a:t>
          </a:r>
        </a:p>
      </dsp:txBody>
      <dsp:txXfrm>
        <a:off x="3651925" y="1722858"/>
        <a:ext cx="1271448" cy="365576"/>
      </dsp:txXfrm>
    </dsp:sp>
    <dsp:sp modelId="{3A4D1B27-9F48-43DE-8DFB-8CAF9471A9B5}">
      <dsp:nvSpPr>
        <dsp:cNvPr id="0" name=""/>
        <dsp:cNvSpPr/>
      </dsp:nvSpPr>
      <dsp:spPr>
        <a:xfrm>
          <a:off x="3640551" y="2169153"/>
          <a:ext cx="1294196" cy="450733"/>
        </a:xfrm>
        <a:prstGeom prst="roundRect">
          <a:avLst>
            <a:gd name="adj" fmla="val 10000"/>
          </a:avLst>
        </a:prstGeom>
        <a:solidFill>
          <a:sysClr val="window" lastClr="FFFFFF">
            <a:hueOff val="0"/>
            <a:satOff val="0"/>
            <a:lumOff val="0"/>
            <a:alphaOff val="0"/>
          </a:sysClr>
        </a:solidFill>
        <a:ln w="38100">
          <a:solidFill>
            <a:srgbClr val="4F81BD">
              <a:shade val="80000"/>
              <a:hueOff val="0"/>
              <a:satOff val="0"/>
              <a:lumOff val="0"/>
              <a:alphaOff val="0"/>
            </a:srgbClr>
          </a:solidFill>
          <a:prstDash val="solid"/>
        </a:ln>
        <a:effectLst>
          <a:outerShdw blurRad="40000" dist="20000" dir="5400000" sx="100000" sy="100000" kx="0" ky="0" algn="b"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5400" tIns="19050" rIns="25400" bIns="19050" numCol="1" spcCol="1270" anchor="ctr" anchorCtr="0"/>
        <a:lstStyle/>
        <a:p>
          <a:pPr marL="0" lvl="0" indent="0" algn="ctr" defTabSz="444500" rtl="1">
            <a:lnSpc>
              <a:spcPct val="90000"/>
            </a:lnSpc>
            <a:spcBef>
              <a:spcPct val="0"/>
            </a:spcBef>
            <a:spcAft>
              <a:spcPct val="35000"/>
            </a:spcAft>
            <a:buNone/>
          </a:pPr>
          <a:r>
            <a:rPr lang="he-IL" sz="100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אגף השיקום במשרד הביטחון</a:t>
          </a:r>
        </a:p>
      </dsp:txBody>
      <dsp:txXfrm>
        <a:off x="3653753" y="2182355"/>
        <a:ext cx="1267792" cy="424329"/>
      </dsp:txXfrm>
    </dsp:sp>
    <dsp:sp modelId="{FAE14381-EB71-460A-BDD1-EB5219928A37}">
      <dsp:nvSpPr>
        <dsp:cNvPr id="0" name=""/>
        <dsp:cNvSpPr/>
      </dsp:nvSpPr>
      <dsp:spPr>
        <a:xfrm>
          <a:off x="3640551" y="2689230"/>
          <a:ext cx="1294196" cy="450733"/>
        </a:xfrm>
        <a:prstGeom prst="roundRect">
          <a:avLst>
            <a:gd name="adj" fmla="val 10000"/>
          </a:avLst>
        </a:prstGeom>
        <a:solidFill>
          <a:sysClr val="window" lastClr="FFFFFF">
            <a:hueOff val="0"/>
            <a:satOff val="0"/>
            <a:lumOff val="0"/>
            <a:alphaOff val="0"/>
          </a:sysClr>
        </a:solidFill>
        <a:ln w="38100">
          <a:solidFill>
            <a:srgbClr val="4F81BD">
              <a:shade val="80000"/>
              <a:hueOff val="0"/>
              <a:satOff val="0"/>
              <a:lumOff val="0"/>
              <a:alphaOff val="0"/>
            </a:srgbClr>
          </a:solidFill>
          <a:prstDash val="solid"/>
        </a:ln>
        <a:effectLst>
          <a:outerShdw blurRad="40000" dist="20000" dir="5400000" sx="100000" sy="100000" kx="0" ky="0" algn="b"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5400" tIns="19050" rIns="25400" bIns="19050" numCol="1" spcCol="1270" anchor="ctr" anchorCtr="0"/>
        <a:lstStyle/>
        <a:p>
          <a:pPr marL="0" lvl="0" indent="0" algn="ctr" defTabSz="444500" rtl="1">
            <a:lnSpc>
              <a:spcPct val="90000"/>
            </a:lnSpc>
            <a:spcBef>
              <a:spcPct val="0"/>
            </a:spcBef>
            <a:spcAft>
              <a:spcPct val="35000"/>
            </a:spcAft>
            <a:buNone/>
          </a:pPr>
          <a:r>
            <a:rPr lang="he-IL" sz="1000" b="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משרד הרווחה והביטחון החברתי</a:t>
          </a:r>
        </a:p>
      </dsp:txBody>
      <dsp:txXfrm>
        <a:off x="3653753" y="2702432"/>
        <a:ext cx="1267792" cy="4243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E2710B-9617-487E-B704-6A1289B7B4B4}">
      <dsp:nvSpPr>
        <dsp:cNvPr id="0" name=""/>
        <dsp:cNvSpPr/>
      </dsp:nvSpPr>
      <dsp:spPr>
        <a:xfrm>
          <a:off x="3969550" y="1170"/>
          <a:ext cx="815358" cy="815358"/>
        </a:xfrm>
        <a:prstGeom prst="ellipse">
          <a:avLst/>
        </a:prstGeom>
        <a:solidFill>
          <a:srgbClr val="9BBB59">
            <a:alpha val="50000"/>
            <a:hueOff val="0"/>
            <a:satOff val="0"/>
            <a:lumOff val="0"/>
            <a:alphaOff val="0"/>
          </a:srgbClr>
        </a:solidFill>
        <a:ln w="38100">
          <a:solidFill>
            <a:sysClr val="window" lastClr="FFFFFF">
              <a:hueOff val="0"/>
              <a:satOff val="0"/>
              <a:lumOff val="0"/>
              <a:alphaOff val="0"/>
            </a:sysClr>
          </a:solidFill>
          <a:prstDash val="solid"/>
        </a:ln>
        <a:effectLst/>
      </dsp:spPr>
      <dsp:style>
        <a:lnRef idx="3">
          <a:scrgbClr r="0" g="0" b="0"/>
        </a:lnRef>
        <a:fillRef idx="1">
          <a:scrgbClr r="0" g="0" b="0"/>
        </a:fillRef>
        <a:effectRef idx="0">
          <a:scrgbClr r="0" g="0" b="0"/>
        </a:effectRef>
        <a:fontRef idx="minor">
          <a:schemeClr val="tx1"/>
        </a:fontRef>
      </dsp:style>
    </dsp:sp>
    <dsp:sp modelId="{7581A8E9-5B46-4BD0-B5E3-4440847B8602}">
      <dsp:nvSpPr>
        <dsp:cNvPr id="0" name=""/>
        <dsp:cNvSpPr/>
      </dsp:nvSpPr>
      <dsp:spPr>
        <a:xfrm>
          <a:off x="26993" y="1170"/>
          <a:ext cx="4350235" cy="8153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2700" rIns="0" bIns="12700" numCol="1" spcCol="1270" anchor="ctr" anchorCtr="0"/>
        <a:lstStyle/>
        <a:p>
          <a:pPr marL="0" lvl="0" indent="0" algn="just" defTabSz="444500" rtl="1">
            <a:lnSpc>
              <a:spcPct val="90000"/>
            </a:lnSpc>
            <a:spcBef>
              <a:spcPct val="0"/>
            </a:spcBef>
            <a:spcAft>
              <a:spcPct val="35000"/>
            </a:spcAft>
            <a:buNone/>
          </a:pPr>
          <a:r>
            <a:rPr lang="he-IL" sz="1000" b="1"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חוק שוויון זכויות לאנשים עם מוגבלות, התשנ"ח-1998</a:t>
          </a:r>
          <a:r>
            <a:rPr lang="he-IL" sz="100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 חוק זה נועד להבטיח את שוויון הזכויות של אנשים עם מוגבלות בכל תחומי החיים, כולל תחום התחבורה, ומגדיר את תפקידי נציבות שוויון זכויות לאנשים עם מוגבלות בנוגע לפיקוח, אכיפה, טיפול בפניות והנחיה מקצועית בנושאי נגישות. במסגרת החוק, נקבעים אמצעים להנגשה ולמניעת אפליה כלפי אנשים עם מוגבלות, כולל דרישות נגישות במרחב הציבורי ובתשתיות תחבורה, וכן חובות להקצאת מקומות חניה נגישים במבנים ובמקומות ציבוריים.</a:t>
          </a:r>
        </a:p>
      </dsp:txBody>
      <dsp:txXfrm>
        <a:off x="26993" y="1170"/>
        <a:ext cx="4350235" cy="815358"/>
      </dsp:txXfrm>
    </dsp:sp>
    <dsp:sp modelId="{851BBE85-B46A-469D-BE0B-6985C052F55B}">
      <dsp:nvSpPr>
        <dsp:cNvPr id="0" name=""/>
        <dsp:cNvSpPr/>
      </dsp:nvSpPr>
      <dsp:spPr>
        <a:xfrm>
          <a:off x="3969550" y="816528"/>
          <a:ext cx="815358" cy="815358"/>
        </a:xfrm>
        <a:prstGeom prst="ellipse">
          <a:avLst/>
        </a:prstGeom>
        <a:solidFill>
          <a:srgbClr val="9BBB59">
            <a:alpha val="50000"/>
            <a:hueOff val="3750088"/>
            <a:satOff val="-5627"/>
            <a:lumOff val="-915"/>
            <a:alphaOff val="0"/>
          </a:srgbClr>
        </a:solidFill>
        <a:ln w="38100">
          <a:solidFill>
            <a:sysClr val="window" lastClr="FFFFFF">
              <a:hueOff val="0"/>
              <a:satOff val="0"/>
              <a:lumOff val="0"/>
              <a:alphaOff val="0"/>
            </a:sysClr>
          </a:solidFill>
          <a:prstDash val="solid"/>
        </a:ln>
        <a:effectLst/>
      </dsp:spPr>
      <dsp:style>
        <a:lnRef idx="3">
          <a:scrgbClr r="0" g="0" b="0"/>
        </a:lnRef>
        <a:fillRef idx="1">
          <a:scrgbClr r="0" g="0" b="0"/>
        </a:fillRef>
        <a:effectRef idx="0">
          <a:scrgbClr r="0" g="0" b="0"/>
        </a:effectRef>
        <a:fontRef idx="minor">
          <a:schemeClr val="tx1"/>
        </a:fontRef>
      </dsp:style>
    </dsp:sp>
    <dsp:sp modelId="{72FF27C5-963B-41F2-98FC-F0911BF49D16}">
      <dsp:nvSpPr>
        <dsp:cNvPr id="0" name=""/>
        <dsp:cNvSpPr/>
      </dsp:nvSpPr>
      <dsp:spPr>
        <a:xfrm>
          <a:off x="26993" y="816528"/>
          <a:ext cx="4350235" cy="8153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2700" rIns="0" bIns="12700" numCol="1" spcCol="1270" anchor="ctr" anchorCtr="0"/>
        <a:lstStyle/>
        <a:p>
          <a:pPr marL="0" lvl="0" indent="0" algn="just" defTabSz="444500" rtl="1">
            <a:lnSpc>
              <a:spcPct val="90000"/>
            </a:lnSpc>
            <a:spcBef>
              <a:spcPct val="0"/>
            </a:spcBef>
            <a:spcAft>
              <a:spcPct val="35000"/>
            </a:spcAft>
            <a:buNone/>
          </a:pPr>
          <a:r>
            <a:rPr lang="he-IL" sz="1000" b="1"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חוק חניה לנכים, תשנ"ד-1993</a:t>
          </a:r>
          <a:r>
            <a:rPr lang="he-IL" sz="100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 חוק זה מגדיר תנאי זכאות כלליים לקבלת התג ומי מוסמך לאשר את הזכאות לתג. החוק מגדיר גם חלק מההטבות הניתנות לבעלי תג:</a:t>
          </a:r>
          <a:r>
            <a:rPr lang="en-US" sz="100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a:t>
          </a:r>
          <a:r>
            <a:rPr lang="he-IL" sz="100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הוא קובע הסדרים המתירים לבעל תג חניה לחנות במקום שאין החניה מותרת בו (כולל היבטי אכיפה); מקנה פטור מתשלום בעד חניה במקום ציבורי; ומחייב רשויות להקצות מקום חניה לנכה סמוך למקום מגוריו. כמו כן החוק מסדיר היבטי ענישה בנוגע לשימוש לרעה בתגים. שר התחבורה ממונה על יישום החוק.</a:t>
          </a:r>
        </a:p>
      </dsp:txBody>
      <dsp:txXfrm>
        <a:off x="26993" y="816528"/>
        <a:ext cx="4350235" cy="815358"/>
      </dsp:txXfrm>
    </dsp:sp>
    <dsp:sp modelId="{74547C7B-7991-454A-AEB6-399F4519CC46}">
      <dsp:nvSpPr>
        <dsp:cNvPr id="0" name=""/>
        <dsp:cNvSpPr/>
      </dsp:nvSpPr>
      <dsp:spPr>
        <a:xfrm>
          <a:off x="3969550" y="1631887"/>
          <a:ext cx="815358" cy="815358"/>
        </a:xfrm>
        <a:prstGeom prst="ellipse">
          <a:avLst/>
        </a:prstGeom>
        <a:solidFill>
          <a:srgbClr val="9BBB59">
            <a:alpha val="50000"/>
            <a:hueOff val="7500176"/>
            <a:satOff val="-11253"/>
            <a:lumOff val="-1830"/>
            <a:alphaOff val="0"/>
          </a:srgbClr>
        </a:solidFill>
        <a:ln w="38100">
          <a:solidFill>
            <a:sysClr val="window" lastClr="FFFFFF">
              <a:hueOff val="0"/>
              <a:satOff val="0"/>
              <a:lumOff val="0"/>
              <a:alphaOff val="0"/>
            </a:sysClr>
          </a:solidFill>
          <a:prstDash val="solid"/>
        </a:ln>
        <a:effectLst/>
      </dsp:spPr>
      <dsp:style>
        <a:lnRef idx="3">
          <a:scrgbClr r="0" g="0" b="0"/>
        </a:lnRef>
        <a:fillRef idx="1">
          <a:scrgbClr r="0" g="0" b="0"/>
        </a:fillRef>
        <a:effectRef idx="0">
          <a:scrgbClr r="0" g="0" b="0"/>
        </a:effectRef>
        <a:fontRef idx="minor">
          <a:schemeClr val="tx1"/>
        </a:fontRef>
      </dsp:style>
    </dsp:sp>
    <dsp:sp modelId="{2D688804-BD6B-452A-93CF-255A4615116C}">
      <dsp:nvSpPr>
        <dsp:cNvPr id="0" name=""/>
        <dsp:cNvSpPr/>
      </dsp:nvSpPr>
      <dsp:spPr>
        <a:xfrm>
          <a:off x="26993" y="1631887"/>
          <a:ext cx="4350235" cy="8153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2700" rIns="0" bIns="12700" numCol="1" spcCol="1270" anchor="ctr" anchorCtr="0"/>
        <a:lstStyle/>
        <a:p>
          <a:pPr marL="0" lvl="0" indent="0" algn="just" defTabSz="444500" rtl="1">
            <a:lnSpc>
              <a:spcPct val="90000"/>
            </a:lnSpc>
            <a:spcBef>
              <a:spcPct val="0"/>
            </a:spcBef>
            <a:spcAft>
              <a:spcPct val="35000"/>
            </a:spcAft>
            <a:buNone/>
          </a:pPr>
          <a:r>
            <a:rPr lang="he-IL" sz="1000" b="1"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פקודת התעבורה [נוסח חדש] </a:t>
          </a:r>
          <a:r>
            <a:rPr lang="he-IL" sz="100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סעיפים 70א2 ו70ב2 קובעים כי מקום חניה לנכים שמסמנת רשות תמרור מקומית אינו מוגבל בשעות כברירת מחדל (למעט חריגים).</a:t>
          </a:r>
        </a:p>
        <a:p>
          <a:pPr marL="0" lvl="0" indent="0" algn="just" defTabSz="444500" rtl="1">
            <a:lnSpc>
              <a:spcPct val="90000"/>
            </a:lnSpc>
            <a:spcBef>
              <a:spcPct val="0"/>
            </a:spcBef>
            <a:spcAft>
              <a:spcPct val="35000"/>
            </a:spcAft>
            <a:buNone/>
          </a:pPr>
          <a:r>
            <a:rPr lang="he-IL" sz="100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סעיף 71א1 מאפשר למחזיקי תג כיסא גלגלים לנסוע בנתיבים המיועדים לתחבורה ציבורית. </a:t>
          </a:r>
        </a:p>
        <a:p>
          <a:pPr marL="0" lvl="0" indent="0" algn="just" defTabSz="444500" rtl="1">
            <a:lnSpc>
              <a:spcPct val="90000"/>
            </a:lnSpc>
            <a:spcBef>
              <a:spcPct val="0"/>
            </a:spcBef>
            <a:spcAft>
              <a:spcPct val="35000"/>
            </a:spcAft>
            <a:buNone/>
          </a:pPr>
          <a:r>
            <a:rPr lang="he-IL" sz="100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סעיפים נוספים בפקודה עוסקים באכיפת עבירות של חניה בחניית נכים ובענישה בגינן. </a:t>
          </a:r>
        </a:p>
      </dsp:txBody>
      <dsp:txXfrm>
        <a:off x="26993" y="1631887"/>
        <a:ext cx="4350235" cy="815358"/>
      </dsp:txXfrm>
    </dsp:sp>
    <dsp:sp modelId="{C32761C5-B562-464E-930F-2FFD89C10563}">
      <dsp:nvSpPr>
        <dsp:cNvPr id="0" name=""/>
        <dsp:cNvSpPr/>
      </dsp:nvSpPr>
      <dsp:spPr>
        <a:xfrm>
          <a:off x="3969550" y="2447245"/>
          <a:ext cx="815358" cy="815358"/>
        </a:xfrm>
        <a:prstGeom prst="ellipse">
          <a:avLst/>
        </a:prstGeom>
        <a:solidFill>
          <a:srgbClr val="9BBB59">
            <a:alpha val="50000"/>
            <a:hueOff val="11250264"/>
            <a:satOff val="-16880"/>
            <a:lumOff val="-2745"/>
            <a:alphaOff val="0"/>
          </a:srgbClr>
        </a:solidFill>
        <a:ln w="38100">
          <a:solidFill>
            <a:sysClr val="window" lastClr="FFFFFF">
              <a:hueOff val="0"/>
              <a:satOff val="0"/>
              <a:lumOff val="0"/>
              <a:alphaOff val="0"/>
            </a:sysClr>
          </a:solidFill>
          <a:prstDash val="solid"/>
        </a:ln>
        <a:effectLst/>
      </dsp:spPr>
      <dsp:style>
        <a:lnRef idx="3">
          <a:scrgbClr r="0" g="0" b="0"/>
        </a:lnRef>
        <a:fillRef idx="1">
          <a:scrgbClr r="0" g="0" b="0"/>
        </a:fillRef>
        <a:effectRef idx="0">
          <a:scrgbClr r="0" g="0" b="0"/>
        </a:effectRef>
        <a:fontRef idx="minor">
          <a:schemeClr val="tx1"/>
        </a:fontRef>
      </dsp:style>
    </dsp:sp>
    <dsp:sp modelId="{A2A73643-C72C-456B-BDFB-21F8B247483C}">
      <dsp:nvSpPr>
        <dsp:cNvPr id="0" name=""/>
        <dsp:cNvSpPr/>
      </dsp:nvSpPr>
      <dsp:spPr>
        <a:xfrm>
          <a:off x="26993" y="2447245"/>
          <a:ext cx="4350235" cy="8153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2700" rIns="0" bIns="12700" numCol="1" spcCol="1270" anchor="ctr" anchorCtr="0"/>
        <a:lstStyle/>
        <a:p>
          <a:pPr marL="0" lvl="0" indent="0" algn="just" defTabSz="444500" rtl="1">
            <a:lnSpc>
              <a:spcPct val="90000"/>
            </a:lnSpc>
            <a:spcBef>
              <a:spcPct val="0"/>
            </a:spcBef>
            <a:spcAft>
              <a:spcPct val="35000"/>
            </a:spcAft>
            <a:buNone/>
          </a:pPr>
          <a:r>
            <a:rPr lang="he-IL" sz="1000" b="1"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תקנות התעבורה, תשכ"א-1961</a:t>
          </a:r>
          <a:r>
            <a:rPr lang="he-IL" sz="100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 תקנה 72(א)(16) קובעת הסדרים הנוגעים לחניה המסומנת לנכים על ידי תמרור 437 ("חניה בלעדית לרכב של נכה - משותק רגליים").</a:t>
          </a:r>
        </a:p>
        <a:p>
          <a:pPr marL="0" lvl="0" indent="0" algn="just" defTabSz="444500" rtl="1">
            <a:lnSpc>
              <a:spcPct val="90000"/>
            </a:lnSpc>
            <a:spcBef>
              <a:spcPct val="0"/>
            </a:spcBef>
            <a:spcAft>
              <a:spcPct val="35000"/>
            </a:spcAft>
            <a:buNone/>
          </a:pPr>
          <a:r>
            <a:rPr lang="he-IL" sz="100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תקנה 272א מקנה הנחה באגרת רישיון רכב של נכה. </a:t>
          </a:r>
        </a:p>
      </dsp:txBody>
      <dsp:txXfrm>
        <a:off x="26993" y="2447245"/>
        <a:ext cx="4350235" cy="81535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9A21F0-2396-41CE-9E00-2212C20C99CB}">
      <dsp:nvSpPr>
        <dsp:cNvPr id="0" name=""/>
        <dsp:cNvSpPr/>
      </dsp:nvSpPr>
      <dsp:spPr>
        <a:xfrm>
          <a:off x="0" y="291315"/>
          <a:ext cx="5336540" cy="1039500"/>
        </a:xfrm>
        <a:prstGeom prst="rect">
          <a:avLst/>
        </a:prstGeom>
        <a:solidFill>
          <a:sysClr val="window" lastClr="FFFFFF">
            <a:alpha val="90000"/>
            <a:hueOff val="0"/>
            <a:satOff val="0"/>
            <a:lumOff val="0"/>
            <a:alphaOff val="0"/>
          </a:sysClr>
        </a:solidFill>
        <a:ln w="25400">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4175" tIns="104140" rIns="414175" bIns="85344" numCol="1" spcCol="1270" anchor="t" anchorCtr="0"/>
        <a:lstStyle/>
        <a:p>
          <a:pPr marL="114300" lvl="1" indent="-114300" algn="just" defTabSz="533400" rtl="1">
            <a:lnSpc>
              <a:spcPct val="90000"/>
            </a:lnSpc>
            <a:spcBef>
              <a:spcPct val="0"/>
            </a:spcBef>
            <a:spcAft>
              <a:spcPct val="15000"/>
            </a:spcAft>
            <a:buSzPts val="1000"/>
            <a:buFont typeface="Wingdings" panose="05000000000000000000" pitchFamily="2" charset="2"/>
            <a:buNone/>
          </a:pPr>
          <a:r>
            <a:rPr lang="he-IL" sz="1200" b="1"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2008</a:t>
          </a:r>
          <a:r>
            <a:rPr lang="he-IL" sz="1200" b="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 </a:t>
          </a:r>
          <a:r>
            <a:rPr lang="he-IL" sz="120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תזכיר ראשון לתיקון החוק - התזכיר כלל בין היתר קריטריונים רפואיים מפורטים, קביעת מנגנון של ועדת זכאות שתורכב מרופאים במשרד התחבורה, כללים לקביעת תוקף לתגים והתייחסות לסמכויות הפקחים ברשויות המקומיות לטובת אכיפה.</a:t>
          </a:r>
          <a:endParaRPr lang="he-IL" sz="1200" b="1"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endParaRPr>
        </a:p>
        <a:p>
          <a:pPr marL="114300" lvl="1" indent="-114300" algn="just" defTabSz="533400" rtl="1">
            <a:lnSpc>
              <a:spcPct val="90000"/>
            </a:lnSpc>
            <a:spcBef>
              <a:spcPct val="0"/>
            </a:spcBef>
            <a:spcAft>
              <a:spcPct val="15000"/>
            </a:spcAft>
            <a:buSzPts val="1000"/>
            <a:buFont typeface="Wingdings" panose="05000000000000000000" pitchFamily="2" charset="2"/>
            <a:buNone/>
          </a:pPr>
          <a:r>
            <a:rPr lang="he-IL" sz="120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התזכיר גובש ב</a:t>
          </a:r>
          <a:r>
            <a:rPr lang="he-IL" sz="1200" b="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היוועצות עם מגוון </a:t>
          </a:r>
          <a:r>
            <a:rPr lang="he-IL" sz="120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ארגונים המייצגים אנשים עם מוגבלות וגורמים בשלטון המקומי</a:t>
          </a:r>
          <a:endParaRPr lang="he-IL" sz="1200" b="1"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endParaRPr>
        </a:p>
      </dsp:txBody>
      <dsp:txXfrm>
        <a:off x="0" y="291315"/>
        <a:ext cx="5336540" cy="1039500"/>
      </dsp:txXfrm>
    </dsp:sp>
    <dsp:sp modelId="{2C95F21C-8CDD-4BE8-9DC3-71A2D583231C}">
      <dsp:nvSpPr>
        <dsp:cNvPr id="0" name=""/>
        <dsp:cNvSpPr/>
      </dsp:nvSpPr>
      <dsp:spPr>
        <a:xfrm>
          <a:off x="649681" y="33626"/>
          <a:ext cx="3974804" cy="327519"/>
        </a:xfrm>
        <a:prstGeom prst="roundRect">
          <a:avLst/>
        </a:prstGeom>
        <a:solidFill>
          <a:srgbClr val="4F81BD">
            <a:hueOff val="0"/>
            <a:satOff val="0"/>
            <a:lumOff val="0"/>
            <a:alphaOff val="0"/>
          </a:srgbClr>
        </a:solidFill>
        <a:ln w="25400">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196" tIns="0" rIns="141196" bIns="0" numCol="1" spcCol="1270" anchor="ctr" anchorCtr="0"/>
        <a:lstStyle/>
        <a:p>
          <a:pPr marL="0" lvl="0" indent="0" algn="ctr" defTabSz="533400" rtl="1">
            <a:lnSpc>
              <a:spcPct val="90000"/>
            </a:lnSpc>
            <a:spcBef>
              <a:spcPct val="0"/>
            </a:spcBef>
            <a:spcAft>
              <a:spcPct val="35000"/>
            </a:spcAft>
            <a:buNone/>
          </a:pPr>
          <a:r>
            <a:rPr lang="he-IL" sz="1200" b="1" kern="1200">
              <a:solidFill>
                <a:sysClr val="window" lastClr="FFFFFF"/>
              </a:solidFill>
              <a:latin typeface="David" panose="020E0502060401010101" pitchFamily="34" charset="-79"/>
              <a:ea typeface="+mn-ea"/>
              <a:cs typeface="David" panose="020E0502060401010101" pitchFamily="34" charset="-79"/>
            </a:rPr>
            <a:t>2006 - צוות עבודה בין-משרדי - משרד התחבורה, משרד הבריאות, ביטוח לאומי, משטרת ישראל ונציבות שוויון זכויות</a:t>
          </a:r>
        </a:p>
      </dsp:txBody>
      <dsp:txXfrm>
        <a:off x="665669" y="49614"/>
        <a:ext cx="3942828" cy="295543"/>
      </dsp:txXfrm>
    </dsp:sp>
    <dsp:sp modelId="{56A5C57F-C8AC-488A-BC67-6A53231B5F6A}">
      <dsp:nvSpPr>
        <dsp:cNvPr id="0" name=""/>
        <dsp:cNvSpPr/>
      </dsp:nvSpPr>
      <dsp:spPr>
        <a:xfrm>
          <a:off x="0" y="1699946"/>
          <a:ext cx="5336540" cy="740250"/>
        </a:xfrm>
        <a:prstGeom prst="rect">
          <a:avLst/>
        </a:prstGeom>
        <a:solidFill>
          <a:sysClr val="window" lastClr="FFFFFF">
            <a:alpha val="90000"/>
            <a:hueOff val="0"/>
            <a:satOff val="0"/>
            <a:lumOff val="0"/>
            <a:alphaOff val="0"/>
          </a:sysClr>
        </a:solidFill>
        <a:ln w="25400">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4175" tIns="104140" rIns="414175" bIns="85344" numCol="1" spcCol="1270" anchor="t" anchorCtr="0"/>
        <a:lstStyle/>
        <a:p>
          <a:pPr marL="114300" lvl="1" indent="-114300" algn="just" defTabSz="533400" rtl="1">
            <a:lnSpc>
              <a:spcPct val="90000"/>
            </a:lnSpc>
            <a:spcBef>
              <a:spcPct val="0"/>
            </a:spcBef>
            <a:spcAft>
              <a:spcPct val="15000"/>
            </a:spcAft>
            <a:buSzPts val="1000"/>
            <a:buFont typeface="Wingdings" panose="05000000000000000000" pitchFamily="2" charset="2"/>
            <a:buNone/>
          </a:pPr>
          <a:r>
            <a:rPr lang="he-IL" sz="1200" b="1"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2009 - 2011 </a:t>
          </a:r>
          <a:r>
            <a:rPr lang="he-IL" sz="120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גיבוש והפצת תזכיר שני לתיקון החוק (נוסח מתקדם הוכן ב-2011) - התזכיר </a:t>
          </a:r>
          <a:r>
            <a:rPr lang="he-IL" sz="1200" b="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כולל התייחסות לחניה במקומות אסורים, כללים לקביעת תוקף תגים, התייחסות פרטנית לאוכלוסיית חוסים במוסד סיעודי, שיוך רכב אחד במקום שניים, אפשרות להטיל אגרה בגין בקשות לתג והיבטים באכיפה</a:t>
          </a:r>
          <a:endParaRPr lang="en-US" sz="120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endParaRPr>
        </a:p>
      </dsp:txBody>
      <dsp:txXfrm>
        <a:off x="0" y="1699946"/>
        <a:ext cx="5336540" cy="740250"/>
      </dsp:txXfrm>
    </dsp:sp>
    <dsp:sp modelId="{42CC985B-B4E8-47CF-BB6B-A3FB69E20A04}">
      <dsp:nvSpPr>
        <dsp:cNvPr id="0" name=""/>
        <dsp:cNvSpPr/>
      </dsp:nvSpPr>
      <dsp:spPr>
        <a:xfrm>
          <a:off x="738998" y="1364122"/>
          <a:ext cx="3867219" cy="406406"/>
        </a:xfrm>
        <a:prstGeom prst="roundRect">
          <a:avLst/>
        </a:prstGeom>
        <a:solidFill>
          <a:srgbClr val="4F81BD">
            <a:hueOff val="0"/>
            <a:satOff val="0"/>
            <a:lumOff val="0"/>
            <a:alphaOff val="0"/>
          </a:srgbClr>
        </a:solidFill>
        <a:ln w="25400">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196" tIns="0" rIns="141196" bIns="0" numCol="1" spcCol="1270" anchor="ctr" anchorCtr="0"/>
        <a:lstStyle/>
        <a:p>
          <a:pPr marL="0" lvl="0" indent="0" algn="ctr" defTabSz="533400" rtl="1">
            <a:lnSpc>
              <a:spcPct val="90000"/>
            </a:lnSpc>
            <a:spcBef>
              <a:spcPct val="0"/>
            </a:spcBef>
            <a:spcAft>
              <a:spcPct val="35000"/>
            </a:spcAft>
            <a:buNone/>
          </a:pPr>
          <a:r>
            <a:rPr lang="he-IL" sz="1200" b="1" kern="1200">
              <a:solidFill>
                <a:sysClr val="window" lastClr="FFFFFF"/>
              </a:solidFill>
              <a:latin typeface="David" panose="020E0502060401010101" pitchFamily="34" charset="-79"/>
              <a:ea typeface="+mn-ea"/>
              <a:cs typeface="David" panose="020E0502060401010101" pitchFamily="34" charset="-79"/>
            </a:rPr>
            <a:t>2009 - צוות עבודה בין-משרדי - ביטוח לאומי, משרד התחבורה ומשרד הבריאות</a:t>
          </a:r>
        </a:p>
      </dsp:txBody>
      <dsp:txXfrm>
        <a:off x="758837" y="1383961"/>
        <a:ext cx="3827541" cy="366728"/>
      </dsp:txXfrm>
    </dsp:sp>
    <dsp:sp modelId="{29CE31CB-1668-4B90-BCC7-AA86FB8D9672}">
      <dsp:nvSpPr>
        <dsp:cNvPr id="0" name=""/>
        <dsp:cNvSpPr/>
      </dsp:nvSpPr>
      <dsp:spPr>
        <a:xfrm>
          <a:off x="0" y="2949628"/>
          <a:ext cx="5336540" cy="464625"/>
        </a:xfrm>
        <a:prstGeom prst="rect">
          <a:avLst/>
        </a:prstGeom>
        <a:solidFill>
          <a:sysClr val="window" lastClr="FFFFFF">
            <a:alpha val="90000"/>
            <a:hueOff val="0"/>
            <a:satOff val="0"/>
            <a:lumOff val="0"/>
            <a:alphaOff val="0"/>
          </a:sysClr>
        </a:solidFill>
        <a:ln w="25400">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4175" tIns="104140" rIns="414175" bIns="85344" numCol="1" spcCol="1270" anchor="t" anchorCtr="0"/>
        <a:lstStyle/>
        <a:p>
          <a:pPr marL="114300" lvl="1" indent="-114300" algn="just" defTabSz="533400" rtl="1">
            <a:lnSpc>
              <a:spcPct val="90000"/>
            </a:lnSpc>
            <a:spcBef>
              <a:spcPct val="0"/>
            </a:spcBef>
            <a:spcAft>
              <a:spcPct val="15000"/>
            </a:spcAft>
            <a:buSzPts val="1000"/>
            <a:buFont typeface="Courier New" panose="02070309020205020404" pitchFamily="49" charset="0"/>
            <a:buNone/>
          </a:pPr>
          <a:r>
            <a:rPr lang="he-IL" sz="1200" b="1"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2010 </a:t>
          </a:r>
          <a:r>
            <a:rPr lang="he-IL" sz="1200" b="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רופאי חברה א' הציגו דוח ביניים ובו רשימת קריטריונים להנפקת תג חניה, שתשמש ועדה רפואית למתן תגים במשרד התחבורה וכן את דרכי עבודתה</a:t>
          </a:r>
          <a:endParaRPr lang="en-US" sz="1200" b="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endParaRPr>
        </a:p>
      </dsp:txBody>
      <dsp:txXfrm>
        <a:off x="0" y="2949628"/>
        <a:ext cx="5336540" cy="464625"/>
      </dsp:txXfrm>
    </dsp:sp>
    <dsp:sp modelId="{D2EA5550-A38D-43BF-9951-E07C28E95336}">
      <dsp:nvSpPr>
        <dsp:cNvPr id="0" name=""/>
        <dsp:cNvSpPr/>
      </dsp:nvSpPr>
      <dsp:spPr>
        <a:xfrm>
          <a:off x="772088" y="2470562"/>
          <a:ext cx="3731929" cy="565756"/>
        </a:xfrm>
        <a:prstGeom prst="roundRect">
          <a:avLst/>
        </a:prstGeom>
        <a:solidFill>
          <a:srgbClr val="4F81BD">
            <a:hueOff val="0"/>
            <a:satOff val="0"/>
            <a:lumOff val="0"/>
            <a:alphaOff val="0"/>
          </a:srgbClr>
        </a:solidFill>
        <a:ln w="25400">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196" tIns="0" rIns="141196" bIns="0" numCol="1" spcCol="1270" anchor="ctr" anchorCtr="0"/>
        <a:lstStyle/>
        <a:p>
          <a:pPr marL="0" lvl="0" indent="0" algn="ctr" defTabSz="533400" rtl="1">
            <a:lnSpc>
              <a:spcPct val="90000"/>
            </a:lnSpc>
            <a:spcBef>
              <a:spcPct val="0"/>
            </a:spcBef>
            <a:spcAft>
              <a:spcPct val="35000"/>
            </a:spcAft>
            <a:buSzPts val="1000"/>
            <a:buFont typeface="Courier New" panose="02070309020205020404" pitchFamily="49" charset="0"/>
            <a:buNone/>
          </a:pPr>
          <a:r>
            <a:rPr lang="he-IL" sz="1200" b="1" kern="1200">
              <a:solidFill>
                <a:sysClr val="window" lastClr="FFFFFF"/>
              </a:solidFill>
              <a:latin typeface="David" panose="020E0502060401010101" pitchFamily="34" charset="-79"/>
              <a:ea typeface="+mn-ea"/>
              <a:cs typeface="David" panose="020E0502060401010101" pitchFamily="34" charset="-79"/>
            </a:rPr>
            <a:t>2009 - צוות עבודה בין-משרדי לצורך קביעת קריטריונים אחידים להנפקת תגים - משרד התחבורה, רופאים ממרב"ד, רופאים מחברה א', משרד הבריאות ומשרד הביטחון</a:t>
          </a:r>
          <a:endParaRPr lang="en-US" sz="1200" b="1" kern="1200">
            <a:solidFill>
              <a:sysClr val="window" lastClr="FFFFFF"/>
            </a:solidFill>
            <a:latin typeface="David" panose="020E0502060401010101" pitchFamily="34" charset="-79"/>
            <a:ea typeface="+mn-ea"/>
            <a:cs typeface="David" panose="020E0502060401010101" pitchFamily="34" charset="-79"/>
          </a:endParaRPr>
        </a:p>
      </dsp:txBody>
      <dsp:txXfrm>
        <a:off x="799706" y="2498180"/>
        <a:ext cx="3676693" cy="510520"/>
      </dsp:txXfrm>
    </dsp:sp>
    <dsp:sp modelId="{AC68E011-D80C-484F-A467-C4BF52F03105}">
      <dsp:nvSpPr>
        <dsp:cNvPr id="0" name=""/>
        <dsp:cNvSpPr/>
      </dsp:nvSpPr>
      <dsp:spPr>
        <a:xfrm>
          <a:off x="0" y="3695430"/>
          <a:ext cx="5336540" cy="598500"/>
        </a:xfrm>
        <a:prstGeom prst="rect">
          <a:avLst/>
        </a:prstGeom>
        <a:solidFill>
          <a:sysClr val="window" lastClr="FFFFFF">
            <a:alpha val="90000"/>
            <a:hueOff val="0"/>
            <a:satOff val="0"/>
            <a:lumOff val="0"/>
            <a:alphaOff val="0"/>
          </a:sysClr>
        </a:solidFill>
        <a:ln w="25400">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4175" tIns="104140" rIns="414175" bIns="85344" numCol="1" spcCol="1270" anchor="t" anchorCtr="0"/>
        <a:lstStyle/>
        <a:p>
          <a:pPr marL="114300" lvl="1" indent="-114300" algn="just" defTabSz="533400" rtl="1">
            <a:lnSpc>
              <a:spcPct val="90000"/>
            </a:lnSpc>
            <a:spcBef>
              <a:spcPct val="0"/>
            </a:spcBef>
            <a:spcAft>
              <a:spcPct val="15000"/>
            </a:spcAft>
            <a:buSzPts val="1000"/>
            <a:buFont typeface="Courier New" panose="02070309020205020404" pitchFamily="49" charset="0"/>
            <a:buNone/>
          </a:pPr>
          <a:r>
            <a:rPr lang="he-IL" sz="1200" b="1"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2023</a:t>
          </a:r>
          <a:r>
            <a:rPr lang="he-IL" sz="1200" b="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 קביעת תחומים רפואיים בהם קיימת מגבלת ניידות וגיבוש רשימת מסמכים רפואיים שהמבקש יידרש להמציא בכל תחום. כמו כן הובאו המלצות נוספות</a:t>
          </a:r>
          <a:endParaRPr lang="en-US" sz="1200" b="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endParaRPr>
        </a:p>
      </dsp:txBody>
      <dsp:txXfrm>
        <a:off x="0" y="3695430"/>
        <a:ext cx="5336540" cy="598500"/>
      </dsp:txXfrm>
    </dsp:sp>
    <dsp:sp modelId="{DB6A1BCA-5FA3-480C-BC76-817ECA385965}">
      <dsp:nvSpPr>
        <dsp:cNvPr id="0" name=""/>
        <dsp:cNvSpPr/>
      </dsp:nvSpPr>
      <dsp:spPr>
        <a:xfrm>
          <a:off x="753679" y="3433315"/>
          <a:ext cx="3781338" cy="327977"/>
        </a:xfrm>
        <a:prstGeom prst="roundRect">
          <a:avLst/>
        </a:prstGeom>
        <a:solidFill>
          <a:srgbClr val="4F81BD">
            <a:hueOff val="0"/>
            <a:satOff val="0"/>
            <a:lumOff val="0"/>
            <a:alphaOff val="0"/>
          </a:srgbClr>
        </a:solidFill>
        <a:ln w="25400">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196" tIns="0" rIns="141196" bIns="0" numCol="1" spcCol="1270" anchor="ctr" anchorCtr="0"/>
        <a:lstStyle/>
        <a:p>
          <a:pPr marL="0" lvl="0" indent="0" algn="ctr" defTabSz="533400" rtl="1">
            <a:lnSpc>
              <a:spcPct val="90000"/>
            </a:lnSpc>
            <a:spcBef>
              <a:spcPct val="0"/>
            </a:spcBef>
            <a:spcAft>
              <a:spcPct val="35000"/>
            </a:spcAft>
            <a:buSzPts val="1000"/>
            <a:buFont typeface="Courier New" panose="02070309020205020404" pitchFamily="49" charset="0"/>
            <a:buNone/>
          </a:pPr>
          <a:r>
            <a:rPr lang="he-IL" sz="1200" b="1" kern="1200">
              <a:solidFill>
                <a:sysClr val="window" lastClr="FFFFFF"/>
              </a:solidFill>
              <a:latin typeface="David" panose="020E0502060401010101" pitchFamily="34" charset="-79"/>
              <a:ea typeface="+mn-ea"/>
              <a:cs typeface="David" panose="020E0502060401010101" pitchFamily="34" charset="-79"/>
            </a:rPr>
            <a:t>2022 - צוות עבודה בין-משרדי - משרד התחבורה, ביטוח לאומי, משרד הבריאות ומשרד האוצר</a:t>
          </a:r>
          <a:endParaRPr lang="en-US" sz="1200" b="1" kern="1200">
            <a:solidFill>
              <a:sysClr val="window" lastClr="FFFFFF"/>
            </a:solidFill>
            <a:latin typeface="David" panose="020E0502060401010101" pitchFamily="34" charset="-79"/>
            <a:ea typeface="+mn-ea"/>
            <a:cs typeface="David" panose="020E0502060401010101" pitchFamily="34" charset="-79"/>
          </a:endParaRPr>
        </a:p>
      </dsp:txBody>
      <dsp:txXfrm>
        <a:off x="769690" y="3449326"/>
        <a:ext cx="3749316" cy="295955"/>
      </dsp:txXfrm>
    </dsp:sp>
    <dsp:sp modelId="{F3DAB8E7-4901-430C-9F6B-2B0B9B4F8A47}">
      <dsp:nvSpPr>
        <dsp:cNvPr id="0" name=""/>
        <dsp:cNvSpPr/>
      </dsp:nvSpPr>
      <dsp:spPr>
        <a:xfrm>
          <a:off x="0" y="4639170"/>
          <a:ext cx="5336540" cy="708065"/>
        </a:xfrm>
        <a:prstGeom prst="rect">
          <a:avLst/>
        </a:prstGeom>
        <a:solidFill>
          <a:sysClr val="window" lastClr="FFFFFF">
            <a:alpha val="90000"/>
            <a:hueOff val="0"/>
            <a:satOff val="0"/>
            <a:lumOff val="0"/>
            <a:alphaOff val="0"/>
          </a:sysClr>
        </a:solidFill>
        <a:ln w="25400">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4175" tIns="104140" rIns="414175" bIns="85344" numCol="1" spcCol="1270" anchor="t" anchorCtr="0"/>
        <a:lstStyle/>
        <a:p>
          <a:pPr marL="114300" lvl="1" indent="-114300" algn="just" defTabSz="533400" rtl="1">
            <a:lnSpc>
              <a:spcPct val="90000"/>
            </a:lnSpc>
            <a:spcBef>
              <a:spcPct val="0"/>
            </a:spcBef>
            <a:spcAft>
              <a:spcPct val="15000"/>
            </a:spcAft>
            <a:buSzPts val="1000"/>
            <a:buFont typeface="Courier New" panose="02070309020205020404" pitchFamily="49" charset="0"/>
            <a:buNone/>
          </a:pPr>
          <a:r>
            <a:rPr lang="he-IL" sz="1200" b="1"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2025</a:t>
          </a:r>
          <a:r>
            <a:rPr lang="he-IL" sz="1200" b="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 פרסום נוהל חדש לציבור ובו רשימת מסמכים שנדרש להציגם בעת בקשה לתגי חניה לפי סוג המוגבלות</a:t>
          </a:r>
          <a:endParaRPr lang="en-US" sz="1200" b="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endParaRPr>
        </a:p>
      </dsp:txBody>
      <dsp:txXfrm>
        <a:off x="0" y="4639170"/>
        <a:ext cx="5336540" cy="708065"/>
      </dsp:txXfrm>
    </dsp:sp>
    <dsp:sp modelId="{B0A81364-99E0-4F64-87EC-AFDA03024768}">
      <dsp:nvSpPr>
        <dsp:cNvPr id="0" name=""/>
        <dsp:cNvSpPr/>
      </dsp:nvSpPr>
      <dsp:spPr>
        <a:xfrm>
          <a:off x="753679" y="4336804"/>
          <a:ext cx="3795683" cy="392040"/>
        </a:xfrm>
        <a:prstGeom prst="roundRect">
          <a:avLst/>
        </a:prstGeom>
        <a:solidFill>
          <a:srgbClr val="4F81BD">
            <a:hueOff val="0"/>
            <a:satOff val="0"/>
            <a:lumOff val="0"/>
            <a:alphaOff val="0"/>
          </a:srgbClr>
        </a:solidFill>
        <a:ln w="25400">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196" tIns="0" rIns="141196" bIns="0" numCol="1" spcCol="1270" anchor="ctr" anchorCtr="0"/>
        <a:lstStyle/>
        <a:p>
          <a:pPr marL="0" lvl="0" indent="0" algn="ctr" defTabSz="533400" rtl="1">
            <a:lnSpc>
              <a:spcPct val="90000"/>
            </a:lnSpc>
            <a:spcBef>
              <a:spcPct val="0"/>
            </a:spcBef>
            <a:spcAft>
              <a:spcPct val="35000"/>
            </a:spcAft>
            <a:buSzPts val="1000"/>
            <a:buFont typeface="Courier New" panose="02070309020205020404" pitchFamily="49" charset="0"/>
            <a:buNone/>
          </a:pPr>
          <a:r>
            <a:rPr lang="he-IL" sz="1200" b="1" kern="1200">
              <a:solidFill>
                <a:sysClr val="window" lastClr="FFFFFF"/>
              </a:solidFill>
              <a:latin typeface="David" panose="020E0502060401010101" pitchFamily="34" charset="-79"/>
              <a:ea typeface="+mn-ea"/>
              <a:cs typeface="David" panose="020E0502060401010101" pitchFamily="34" charset="-79"/>
            </a:rPr>
            <a:t>2024 - צוות עבודה בין-משרדי - משרד התחבורה, ביטוח לאומי ומשרד הבריאות</a:t>
          </a:r>
          <a:endParaRPr lang="en-US" sz="1200" b="1" kern="1200">
            <a:solidFill>
              <a:sysClr val="window" lastClr="FFFFFF"/>
            </a:solidFill>
            <a:latin typeface="David" panose="020E0502060401010101" pitchFamily="34" charset="-79"/>
            <a:ea typeface="+mn-ea"/>
            <a:cs typeface="David" panose="020E0502060401010101" pitchFamily="34" charset="-79"/>
          </a:endParaRPr>
        </a:p>
      </dsp:txBody>
      <dsp:txXfrm>
        <a:off x="772817" y="4355942"/>
        <a:ext cx="3757407" cy="353764"/>
      </dsp:txXfrm>
    </dsp:sp>
    <dsp:sp modelId="{BD3F00BA-25D9-49E5-991F-DE0D5457D0BA}">
      <dsp:nvSpPr>
        <dsp:cNvPr id="0" name=""/>
        <dsp:cNvSpPr/>
      </dsp:nvSpPr>
      <dsp:spPr>
        <a:xfrm>
          <a:off x="0" y="5717440"/>
          <a:ext cx="5336540" cy="661839"/>
        </a:xfrm>
        <a:prstGeom prst="rect">
          <a:avLst/>
        </a:prstGeom>
        <a:solidFill>
          <a:sysClr val="window" lastClr="FFFFFF">
            <a:alpha val="90000"/>
            <a:hueOff val="0"/>
            <a:satOff val="0"/>
            <a:lumOff val="0"/>
            <a:alphaOff val="0"/>
          </a:sysClr>
        </a:solidFill>
        <a:ln w="25400">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4175" tIns="104140" rIns="414175" bIns="85344" numCol="1" spcCol="1270" anchor="t" anchorCtr="0"/>
        <a:lstStyle/>
        <a:p>
          <a:pPr marL="114300" lvl="1" indent="-114300" algn="just" defTabSz="533400" rtl="1">
            <a:lnSpc>
              <a:spcPct val="90000"/>
            </a:lnSpc>
            <a:spcBef>
              <a:spcPct val="0"/>
            </a:spcBef>
            <a:spcAft>
              <a:spcPct val="15000"/>
            </a:spcAft>
            <a:buSzPts val="1000"/>
            <a:buFont typeface="Courier New" panose="02070309020205020404" pitchFamily="49" charset="0"/>
            <a:buNone/>
          </a:pPr>
          <a:r>
            <a:rPr lang="he-IL" sz="1200" b="1"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2025 </a:t>
          </a:r>
          <a:r>
            <a:rPr lang="he-IL" sz="1200" b="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במסגרת "התוכנית הכלכלית ל-2026 - שינויים מבניים", התקבלה           ב-4.12.25 החלטת ממשלה 3584 בה הוחלט כי צוות בין-משרדי יגבש נוהל חדש להנפקת תגי חניה. נכון למאי 2026 הצוות עדיין לא סיים לגבש את המלצותיו</a:t>
          </a:r>
          <a:endParaRPr lang="en-US" sz="1200" b="1"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endParaRPr>
        </a:p>
      </dsp:txBody>
      <dsp:txXfrm>
        <a:off x="0" y="5717440"/>
        <a:ext cx="5336540" cy="661839"/>
      </dsp:txXfrm>
    </dsp:sp>
    <dsp:sp modelId="{4B2E34F5-F018-474F-9411-061E6C58999E}">
      <dsp:nvSpPr>
        <dsp:cNvPr id="0" name=""/>
        <dsp:cNvSpPr/>
      </dsp:nvSpPr>
      <dsp:spPr>
        <a:xfrm>
          <a:off x="762644" y="5385078"/>
          <a:ext cx="3735578" cy="408245"/>
        </a:xfrm>
        <a:prstGeom prst="roundRect">
          <a:avLst/>
        </a:prstGeom>
        <a:solidFill>
          <a:srgbClr val="4F81BD">
            <a:hueOff val="0"/>
            <a:satOff val="0"/>
            <a:lumOff val="0"/>
            <a:alphaOff val="0"/>
          </a:srgbClr>
        </a:solidFill>
        <a:ln w="25400">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196" tIns="0" rIns="141196" bIns="0" numCol="1" spcCol="1270" anchor="ctr" anchorCtr="0"/>
        <a:lstStyle/>
        <a:p>
          <a:pPr marL="0" lvl="0" indent="0" algn="ctr" defTabSz="533400" rtl="1">
            <a:lnSpc>
              <a:spcPct val="90000"/>
            </a:lnSpc>
            <a:spcBef>
              <a:spcPct val="0"/>
            </a:spcBef>
            <a:spcAft>
              <a:spcPct val="35000"/>
            </a:spcAft>
            <a:buSzPts val="1000"/>
            <a:buFont typeface="Courier New" panose="02070309020205020404" pitchFamily="49" charset="0"/>
            <a:buNone/>
          </a:pPr>
          <a:r>
            <a:rPr lang="he-IL" sz="1200" b="1" kern="1200">
              <a:solidFill>
                <a:sysClr val="window" lastClr="FFFFFF"/>
              </a:solidFill>
              <a:latin typeface="David" panose="020E0502060401010101" pitchFamily="34" charset="-79"/>
              <a:ea typeface="+mn-ea"/>
              <a:cs typeface="David" panose="020E0502060401010101" pitchFamily="34" charset="-79"/>
            </a:rPr>
            <a:t>2025 - צוות עבודה בין-משרדי - חשכ"ל, משרד התחבורה וביטוח לאומי (הצוות הבין-משרדי 2025)</a:t>
          </a:r>
          <a:endParaRPr lang="en-US" sz="1200" b="1" kern="1200">
            <a:solidFill>
              <a:sysClr val="window" lastClr="FFFFFF"/>
            </a:solidFill>
            <a:latin typeface="David" panose="020E0502060401010101" pitchFamily="34" charset="-79"/>
            <a:ea typeface="+mn-ea"/>
            <a:cs typeface="David" panose="020E0502060401010101" pitchFamily="34" charset="-79"/>
          </a:endParaRPr>
        </a:p>
      </dsp:txBody>
      <dsp:txXfrm>
        <a:off x="782573" y="5405007"/>
        <a:ext cx="3695720" cy="36838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FD9CD1-E696-43A3-A281-0859B4BA05C5}">
      <dsp:nvSpPr>
        <dsp:cNvPr id="0" name=""/>
        <dsp:cNvSpPr/>
      </dsp:nvSpPr>
      <dsp:spPr>
        <a:xfrm>
          <a:off x="0" y="46645"/>
          <a:ext cx="5220335" cy="760291"/>
        </a:xfrm>
        <a:prstGeom prst="rightArrow">
          <a:avLst>
            <a:gd name="adj1" fmla="val 50000"/>
            <a:gd name="adj2" fmla="val 50000"/>
          </a:avLst>
        </a:prstGeom>
        <a:solidFill>
          <a:srgbClr val="4F81BD">
            <a:hueOff val="0"/>
            <a:satOff val="0"/>
            <a:lumOff val="0"/>
            <a:alphaOff val="0"/>
          </a:srgbClr>
        </a:solidFill>
        <a:ln w="25400">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254000" bIns="120696" numCol="1" spcCol="1270" anchor="ctr" anchorCtr="0"/>
        <a:lstStyle/>
        <a:p>
          <a:pPr marL="0" lvl="0" indent="0" algn="ctr" defTabSz="711200" rtl="1">
            <a:lnSpc>
              <a:spcPct val="90000"/>
            </a:lnSpc>
            <a:spcBef>
              <a:spcPct val="0"/>
            </a:spcBef>
            <a:spcAft>
              <a:spcPct val="35000"/>
            </a:spcAft>
            <a:buNone/>
          </a:pPr>
          <a:r>
            <a:rPr lang="he-IL" sz="1600" b="1" kern="1200">
              <a:solidFill>
                <a:sysClr val="window" lastClr="FFFFFF"/>
              </a:solidFill>
              <a:latin typeface="David" panose="020E0502060401010101" pitchFamily="34" charset="-79"/>
              <a:ea typeface="+mn-ea"/>
              <a:cs typeface="David" panose="020E0502060401010101" pitchFamily="34" charset="-79"/>
            </a:rPr>
            <a:t>1993 - נחקק חוק חניה לנכים (החוק)</a:t>
          </a:r>
        </a:p>
      </dsp:txBody>
      <dsp:txXfrm>
        <a:off x="0" y="236718"/>
        <a:ext cx="5030262" cy="380145"/>
      </dsp:txXfrm>
    </dsp:sp>
    <dsp:sp modelId="{2C75CADA-7074-49E7-ADB4-5EF621DF456C}">
      <dsp:nvSpPr>
        <dsp:cNvPr id="0" name=""/>
        <dsp:cNvSpPr/>
      </dsp:nvSpPr>
      <dsp:spPr>
        <a:xfrm>
          <a:off x="31766" y="79235"/>
          <a:ext cx="4751219" cy="4206379"/>
        </a:xfrm>
        <a:prstGeom prst="rect">
          <a:avLst/>
        </a:prstGeom>
        <a:solidFill>
          <a:sysClr val="window" lastClr="FFFFFF">
            <a:hueOff val="0"/>
            <a:satOff val="0"/>
            <a:lumOff val="0"/>
            <a:alphaOff val="0"/>
          </a:sysClr>
        </a:solidFill>
        <a:ln w="25400">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lstStyle/>
        <a:p>
          <a:pPr marL="0" lvl="0" indent="0" algn="r" defTabSz="466725" rtl="1">
            <a:lnSpc>
              <a:spcPct val="150000"/>
            </a:lnSpc>
            <a:spcBef>
              <a:spcPct val="0"/>
            </a:spcBef>
            <a:spcAft>
              <a:spcPct val="35000"/>
            </a:spcAft>
            <a:buNone/>
          </a:pPr>
          <a:r>
            <a:rPr lang="he-IL" sz="1050" b="1"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2000</a:t>
          </a:r>
          <a:r>
            <a:rPr lang="he-IL" sz="105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 תיקון מס' 1 לחוק - התווספה הטבת שני רכבים מזכים</a:t>
          </a:r>
          <a:endParaRPr lang="he-IL" sz="1050" b="1"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endParaRPr>
        </a:p>
        <a:p>
          <a:pPr marL="0" lvl="0" indent="0" algn="r" defTabSz="466725" rtl="1">
            <a:lnSpc>
              <a:spcPct val="150000"/>
            </a:lnSpc>
            <a:spcBef>
              <a:spcPct val="0"/>
            </a:spcBef>
            <a:spcAft>
              <a:spcPct val="35000"/>
            </a:spcAft>
            <a:buNone/>
          </a:pPr>
          <a:r>
            <a:rPr lang="he-IL" sz="1050" b="1"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2004</a:t>
          </a:r>
          <a:r>
            <a:rPr lang="he-IL" sz="105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 תיקונים מס' 2 ו-3 לחוק - התווספה זכאות לתג בגיל 65 או בגיל פרישה ולאחר מכן תיקון זה בוטל על מנת להשוות את התנאים לקבלת התג בין אדם שמוגבלותו הוכרה לראשונה אחרי שמלאו לו 65 לאדם שמוגבלותו הוכרה לראשונה לפני שמלאו לו 65.</a:t>
          </a:r>
        </a:p>
        <a:p>
          <a:pPr marL="0" lvl="0" indent="0" algn="r" defTabSz="466725" rtl="1">
            <a:lnSpc>
              <a:spcPct val="150000"/>
            </a:lnSpc>
            <a:spcBef>
              <a:spcPct val="0"/>
            </a:spcBef>
            <a:spcAft>
              <a:spcPct val="35000"/>
            </a:spcAft>
            <a:buNone/>
          </a:pPr>
          <a:r>
            <a:rPr lang="he-IL" sz="1050" b="1"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2005</a:t>
          </a:r>
          <a:r>
            <a:rPr lang="he-IL" sz="105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 תיקון מס' 4 לחוק - התווסף פטור מתשלום בעד חניה במקום ציבורי</a:t>
          </a:r>
        </a:p>
        <a:p>
          <a:pPr marL="0" lvl="0" indent="0" algn="r" defTabSz="466725" rtl="1">
            <a:lnSpc>
              <a:spcPct val="150000"/>
            </a:lnSpc>
            <a:spcBef>
              <a:spcPct val="0"/>
            </a:spcBef>
            <a:spcAft>
              <a:spcPct val="35000"/>
            </a:spcAft>
            <a:buNone/>
          </a:pPr>
          <a:r>
            <a:rPr lang="he-IL" sz="1050" b="1"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2010</a:t>
          </a:r>
          <a:r>
            <a:rPr lang="he-IL" sz="105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 תיקון פקודת התעבורה - נקבע שככלל אין להגביל בתמרור את שעות השימוש בחניית נכים, למעט חריגים מצומצמים של חניה שהוקצתה לרכב מסוים סמוך למקום עבודה קבוע או חניה סמוכה למקום ציבורי עם זמני שימוש לציבור.</a:t>
          </a:r>
          <a:endParaRPr lang="he-IL" sz="1050" kern="1200" baseline="30000">
            <a:solidFill>
              <a:sysClr val="windowText" lastClr="000000">
                <a:hueOff val="0"/>
                <a:satOff val="0"/>
                <a:lumOff val="0"/>
                <a:alphaOff val="0"/>
              </a:sysClr>
            </a:solidFill>
            <a:highlight>
              <a:srgbClr val="FFFF00"/>
            </a:highlight>
            <a:latin typeface="David" panose="020E0502060401010101" pitchFamily="34" charset="-79"/>
            <a:ea typeface="+mn-ea"/>
            <a:cs typeface="David" panose="020E0502060401010101" pitchFamily="34" charset="-79"/>
          </a:endParaRPr>
        </a:p>
        <a:p>
          <a:pPr marL="0" lvl="0" indent="0" algn="r" defTabSz="466725" rtl="1">
            <a:lnSpc>
              <a:spcPct val="150000"/>
            </a:lnSpc>
            <a:spcBef>
              <a:spcPct val="0"/>
            </a:spcBef>
            <a:spcAft>
              <a:spcPct val="35000"/>
            </a:spcAft>
            <a:buNone/>
          </a:pPr>
          <a:r>
            <a:rPr lang="he-IL" sz="1050" b="1"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2012</a:t>
          </a:r>
          <a:r>
            <a:rPr lang="he-IL" sz="105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 תיקון מס' 5 לחוק - התווסף האילוץ כי הטלת קנס דורשת צילום הרכב באופן המעיד על עבירה</a:t>
          </a:r>
          <a:endParaRPr lang="he-IL" sz="1050" kern="1200" baseline="30000">
            <a:solidFill>
              <a:sysClr val="windowText" lastClr="000000">
                <a:hueOff val="0"/>
                <a:satOff val="0"/>
                <a:lumOff val="0"/>
                <a:alphaOff val="0"/>
              </a:sysClr>
            </a:solidFill>
            <a:highlight>
              <a:srgbClr val="FFFF00"/>
            </a:highlight>
            <a:latin typeface="David" panose="020E0502060401010101" pitchFamily="34" charset="-79"/>
            <a:ea typeface="+mn-ea"/>
            <a:cs typeface="David" panose="020E0502060401010101" pitchFamily="34" charset="-79"/>
          </a:endParaRPr>
        </a:p>
        <a:p>
          <a:pPr marL="0" lvl="0" indent="0" algn="r" defTabSz="466725" rtl="1">
            <a:lnSpc>
              <a:spcPct val="150000"/>
            </a:lnSpc>
            <a:spcBef>
              <a:spcPct val="0"/>
            </a:spcBef>
            <a:spcAft>
              <a:spcPct val="35000"/>
            </a:spcAft>
            <a:buNone/>
          </a:pPr>
          <a:r>
            <a:rPr lang="he-IL" sz="1050" b="1"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2017</a:t>
          </a:r>
          <a:r>
            <a:rPr lang="he-IL" sz="105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 תיקון מס' 7 לחוק - התווספה הזכאות להקצאת חניה לבעל תג חניה בסמוך למקום מגוריו עם תמרור מתאים</a:t>
          </a:r>
        </a:p>
        <a:p>
          <a:pPr marL="0" lvl="0" indent="0" algn="r" defTabSz="466725" rtl="1">
            <a:lnSpc>
              <a:spcPct val="150000"/>
            </a:lnSpc>
            <a:spcBef>
              <a:spcPct val="0"/>
            </a:spcBef>
            <a:spcAft>
              <a:spcPct val="35000"/>
            </a:spcAft>
            <a:buNone/>
          </a:pPr>
          <a:r>
            <a:rPr lang="he-IL" sz="1050" b="1"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2018</a:t>
          </a:r>
          <a:r>
            <a:rPr lang="he-IL" sz="105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 תיקונים מס' 6 ו-8 לחוק - הוסדרו כללי חניה לרכב עם תג נכה בשטחי פריקה וטעינה לפי שעות התמרור, ובמקביל צומצמה האפשרות לחנות בחניית נכים שיועדה לרכב מסוים כך שהחריג תקף רק בימים או בשעות שנקבעו בתמרור.</a:t>
          </a:r>
        </a:p>
      </dsp:txBody>
      <dsp:txXfrm>
        <a:off x="31766" y="79235"/>
        <a:ext cx="4751219" cy="4206379"/>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val="norm"/>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arg="none"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arg="none"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ircleList#1">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val="norm"/>
    </dgm:varLst>
    <dgm:alg type="lin">
      <dgm:param type="fallback" val="2D"/>
      <dgm:param type="linDir" val="fromT"/>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arg="none"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nodeHorzAlign" val="l"/>
                    <dgm:param type="vertAlign" val="t"/>
                  </dgm:alg>
                </dgm:if>
                <dgm:else name="Name12">
                  <dgm:alg type="lin">
                    <dgm:param type="linDir" val="fromT"/>
                    <dgm:param type="nodeHorzAlign" val="r"/>
                    <dgm:param type="vertAlign" val="t"/>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arg="none"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arg="none"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ist1#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val="norm"/>
      <dgm:animLvl val="lvl"/>
      <dgm:resizeHandles val="exact"/>
    </dgm:varLst>
    <dgm:choose name="Name0">
      <dgm:if name="Name1" func="var" arg="dir" op="equ" val="norm">
        <dgm:alg type="lin">
          <dgm:param type="horzAlign" val="l"/>
          <dgm:param type="linDir" val="fromT"/>
          <dgm:param type="nodeHorzAlign" val="l"/>
          <dgm:param type="vertAlign" val="mid"/>
        </dgm:alg>
      </dgm:if>
      <dgm:else name="Name2">
        <dgm:alg type="lin">
          <dgm:param type="horzAlign" val="r"/>
          <dgm:param type="linDir" val="fromT"/>
          <dgm:param type="nodeHorzAlign" val="r"/>
          <dgm:param type="vertAlign" val="mid"/>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horzAlign" val="l"/>
              <dgm:param type="linDir" val="fromL"/>
              <dgm:param type="nodeHorzAlign" val="l"/>
            </dgm:alg>
          </dgm:if>
          <dgm:else name="Name6">
            <dgm:alg type="lin">
              <dgm:param type="horzAlign" val="r"/>
              <dgm:param type="linDir" val="from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IncreasingArrowsProcess#1">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val="norm"/>
      <dgm:animLvl val="lvl"/>
    </dgm:varLst>
    <dgm:shape xmlns:r="http://schemas.openxmlformats.org/officeDocument/2006/relationships" r:blip="">
      <dgm:adjLst/>
    </dgm:shape>
    <dgm:choose name="Name1">
      <dgm:if name="Name2" axis="ch" ptType="node" func="cnt" arg="none" op="equ" val="1">
        <dgm:choose name="Name3">
          <dgm:if name="Name4" axis="ch ch" ptType="node node" func="cnt" arg="none"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arg="none" op="equ" val="2">
        <dgm:choose name="Name13">
          <dgm:if name="Name14" axis="ch ch" ptType="node node" func="cnt" arg="none"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arg="none" op="equ" val="3">
        <dgm:choose name="Name23">
          <dgm:if name="Name24" axis="ch ch" ptType="node node" func="cnt" arg="none"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arg="none" op="equ" val="4">
        <dgm:choose name="Name33">
          <dgm:if name="Name34" axis="ch ch" ptType="node node" func="cnt" arg="none"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arg="none"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val="-1"/>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arg="none" op="gte" val="1">
          <dgm:layoutNode name="childText1" styleLbl="solidAlignAcc1">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val="-1"/>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arg="none" op="gte" val="1">
          <dgm:layoutNode name="childText2" styleLbl="solidAlignAcc1">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val="-1"/>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arg="none" op="gte" val="1">
          <dgm:layoutNode name="childText3" styleLbl="solidAlignAcc1">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val="-1"/>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arg="none" op="gte" val="1">
          <dgm:layoutNode name="childText4" styleLbl="solidAlignAcc1">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val="-1"/>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arg="none" op="gte" val="1">
          <dgm:layoutNode name="childText5" styleLbl="solidAlignAcc1">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b3d791f89300efca45be244c8ab8eee">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3f32651d6f91e9dea68c269a9733e2c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CCFF432-8ABD-4D17-8BF2-61D1B6E84D25}">
  <ds:schemaRefs>
    <ds:schemaRef ds:uri="http://schemas.openxmlformats.org/officeDocument/2006/bibliography"/>
  </ds:schemaRefs>
</ds:datastoreItem>
</file>

<file path=customXml/itemProps2.xml><?xml version="1.0" encoding="utf-8"?>
<ds:datastoreItem xmlns:ds="http://schemas.openxmlformats.org/officeDocument/2006/customXml" ds:itemID="{A5D01D87-5A51-46A7-B387-CD5A2283BA75}"/>
</file>

<file path=customXml/itemProps3.xml><?xml version="1.0" encoding="utf-8"?>
<ds:datastoreItem xmlns:ds="http://schemas.openxmlformats.org/officeDocument/2006/customXml" ds:itemID="{45925065-96F0-4DE9-BEEE-66A59AF2B8DE}"/>
</file>

<file path=customXml/itemProps4.xml><?xml version="1.0" encoding="utf-8"?>
<ds:datastoreItem xmlns:ds="http://schemas.openxmlformats.org/officeDocument/2006/customXml" ds:itemID="{1BD5887F-F9F4-4EA3-90DE-F1B4D1881E77}"/>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