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8.0 -->
  <w:body>
    <w:p w:rsidR="006E1414" w:rsidP="00354F9A">
      <w:pPr>
        <w:spacing w:before="3480" w:after="2040" w:line="800" w:lineRule="exact"/>
        <w:jc w:val="center"/>
        <w:rPr>
          <w:rFonts w:ascii="Calibri" w:hAnsi="Calibri" w:cs="Calibri"/>
          <w:b/>
          <w:bCs/>
          <w:color w:val="002060"/>
          <w:sz w:val="80"/>
          <w:szCs w:val="80"/>
          <w:rtl/>
        </w:rPr>
      </w:pPr>
      <w:r w:rsidRPr="00734173">
        <w:rPr>
          <w:rFonts w:ascii="Calibri" w:hAnsi="Calibri" w:cs="Calibri"/>
          <w:b/>
          <w:bCs/>
          <w:color w:val="002060"/>
          <w:sz w:val="80"/>
          <w:szCs w:val="80"/>
          <w:rtl/>
        </w:rPr>
        <w:t>פעילות הסנגוריה הציבורית</w:t>
      </w:r>
      <w:r w:rsidRPr="00734173">
        <w:rPr>
          <w:rFonts w:ascii="Calibri" w:hAnsi="Calibri" w:cs="Calibri" w:hint="cs"/>
          <w:b/>
          <w:bCs/>
          <w:color w:val="002060"/>
          <w:sz w:val="80"/>
          <w:szCs w:val="80"/>
          <w:rtl/>
        </w:rPr>
        <w:t xml:space="preserve"> </w:t>
      </w:r>
    </w:p>
    <w:p w:rsidR="00D125D2">
      <w:pPr>
        <w:bidi w:val="0"/>
        <w:spacing w:after="200" w:line="276" w:lineRule="auto"/>
        <w:rPr>
          <w:rFonts w:ascii="Calibri" w:hAnsi="Calibri" w:cs="Times New Roman"/>
          <w:b/>
          <w:bCs/>
          <w:color w:val="002060"/>
          <w:sz w:val="80"/>
          <w:szCs w:val="80"/>
        </w:rPr>
        <w:sectPr w:rsidSect="006C2C6D">
          <w:headerReference w:type="default" r:id="rId6"/>
          <w:headerReference w:type="first" r:id="rId7"/>
          <w:footerReference w:type="first" r:id="rId8"/>
          <w:pgSz w:w="11906" w:h="16838"/>
          <w:pgMar w:top="1701" w:right="1985" w:bottom="1588" w:left="1701" w:header="709" w:footer="709" w:gutter="0"/>
          <w:cols w:space="708"/>
          <w:titlePg/>
          <w:bidi/>
          <w:rtlGutter/>
          <w:docGrid w:linePitch="360"/>
        </w:sectPr>
      </w:pPr>
    </w:p>
    <w:p w:rsidR="006E1414">
      <w:pPr>
        <w:bidi w:val="0"/>
        <w:spacing w:after="200" w:line="276" w:lineRule="auto"/>
        <w:rPr>
          <w:rFonts w:ascii="Calibri" w:hAnsi="Calibri" w:cs="Calibri"/>
          <w:b/>
          <w:bCs/>
          <w:color w:val="002060"/>
          <w:sz w:val="80"/>
          <w:szCs w:val="80"/>
        </w:rPr>
      </w:pPr>
      <w:r>
        <w:rPr>
          <w:rFonts w:ascii="Calibri" w:hAnsi="Calibri" w:cs="Times New Roman"/>
          <w:b/>
          <w:bCs/>
          <w:color w:val="002060"/>
          <w:sz w:val="80"/>
          <w:szCs w:val="80"/>
          <w:rtl/>
        </w:rPr>
        <w:br w:type="page"/>
      </w:r>
    </w:p>
    <w:p w:rsidR="00F954E4" w:rsidP="00F954E4">
      <w:pPr>
        <w:bidi w:val="0"/>
        <w:spacing w:after="200" w:line="276" w:lineRule="auto"/>
        <w:rPr>
          <w:rFonts w:ascii="Calibri" w:hAnsi="Calibri" w:cs="Calibri"/>
          <w:b/>
          <w:bCs/>
          <w:color w:val="002060"/>
          <w:sz w:val="80"/>
          <w:szCs w:val="80"/>
        </w:rPr>
        <w:sectPr w:rsidSect="006C2C6D">
          <w:headerReference w:type="first" r:id="rId9"/>
          <w:pgSz w:w="11906" w:h="16838"/>
          <w:pgMar w:top="1701" w:right="1985" w:bottom="1588" w:left="1701" w:header="709" w:footer="709" w:gutter="0"/>
          <w:cols w:space="708"/>
          <w:titlePg/>
          <w:bidi/>
          <w:rtlGutter/>
          <w:docGrid w:linePitch="360"/>
        </w:sectPr>
      </w:pPr>
    </w:p>
    <w:tbl>
      <w:tblPr>
        <w:tblStyle w:val="110"/>
        <w:tblpPr w:leftFromText="180" w:rightFromText="180" w:vertAnchor="text" w:tblpXSpec="center" w:tblpY="1"/>
        <w:tblOverlap w:val="never"/>
        <w:bidiVisual/>
        <w:tblW w:w="9783" w:type="dxa"/>
        <w:tblBorders>
          <w:top w:val="single" w:sz="24"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83"/>
      </w:tblGrid>
      <w:tr w:rsidTr="001560B0">
        <w:tblPrEx>
          <w:tblW w:w="9783" w:type="dxa"/>
          <w:tblBorders>
            <w:top w:val="single" w:sz="24"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783" w:type="dxa"/>
          </w:tcPr>
          <w:p w:rsidR="00734173" w:rsidRPr="00734173" w:rsidP="00734173">
            <w:pPr>
              <w:spacing w:after="120" w:line="288" w:lineRule="auto"/>
              <w:rPr>
                <w:rFonts w:ascii="Tahoma" w:eastAsia="Calibri" w:hAnsi="Tahoma" w:cs="Tahoma"/>
                <w:b/>
                <w:bCs/>
                <w:sz w:val="40"/>
                <w:szCs w:val="40"/>
                <w:rtl/>
              </w:rPr>
            </w:pPr>
            <w:bookmarkStart w:id="0" w:name="tempMark"/>
            <w:bookmarkStart w:id="1" w:name="copyNevSelection"/>
            <w:bookmarkEnd w:id="0"/>
            <w:r w:rsidRPr="00734173">
              <w:rPr>
                <w:rFonts w:ascii="Tahoma" w:eastAsia="Calibri" w:hAnsi="Tahoma" w:cs="Tahoma" w:hint="cs"/>
                <w:b/>
                <w:bCs/>
                <w:sz w:val="40"/>
                <w:szCs w:val="40"/>
                <w:rtl/>
              </w:rPr>
              <w:t>פעילות הסנגוריה הציבורית</w:t>
            </w:r>
          </w:p>
          <w:p w:rsidR="00734173" w:rsidRPr="00734173" w:rsidP="00734173">
            <w:pPr>
              <w:spacing w:line="288" w:lineRule="auto"/>
              <w:rPr>
                <w:rFonts w:eastAsia="Calibri" w:cs="David"/>
                <w:sz w:val="20"/>
                <w:rtl/>
              </w:rPr>
            </w:pPr>
            <w:r w:rsidRPr="00734173">
              <w:rPr>
                <w:rFonts w:ascii="Tahoma" w:eastAsia="Calibri" w:hAnsi="Tahoma" w:cs="Tahoma"/>
                <w:sz w:val="36"/>
                <w:szCs w:val="36"/>
                <w:rtl/>
              </w:rPr>
              <w:t>תקציר</w:t>
            </w:r>
          </w:p>
          <w:p w:rsidR="00734173" w:rsidRPr="00734173" w:rsidP="00734173">
            <w:pPr>
              <w:spacing w:line="288" w:lineRule="auto"/>
              <w:ind w:left="-851"/>
              <w:rPr>
                <w:rFonts w:eastAsia="Calibri" w:cs="David"/>
                <w:sz w:val="20"/>
                <w:rtl/>
              </w:rPr>
            </w:pPr>
          </w:p>
        </w:tc>
      </w:tr>
    </w:tbl>
    <w:p w:rsidR="00734173" w:rsidRPr="00734173" w:rsidP="00734173">
      <w:pPr>
        <w:spacing w:line="288" w:lineRule="auto"/>
        <w:ind w:left="-851"/>
        <w:rPr>
          <w:rFonts w:eastAsia="Calibri"/>
          <w:rtl/>
        </w:rPr>
      </w:pPr>
    </w:p>
    <w:p w:rsidR="00734173" w:rsidRPr="00734173" w:rsidP="00734173">
      <w:pPr>
        <w:spacing w:line="288" w:lineRule="auto"/>
        <w:ind w:left="-851"/>
        <w:rPr>
          <w:rFonts w:eastAsia="Calibri"/>
          <w:rtl/>
        </w:rPr>
      </w:pPr>
      <w:r w:rsidRPr="00734173">
        <w:rPr>
          <w:rFonts w:ascii="Tahoma" w:eastAsia="Calibri" w:hAnsi="Tahoma" w:cs="Tahoma"/>
          <w:noProof/>
          <w:rtl/>
        </w:rPr>
        <w:drawing>
          <wp:inline distT="0" distB="0" distL="0" distR="0">
            <wp:extent cx="1638300" cy="411480"/>
            <wp:effectExtent l="0" t="0" r="0" b="7620"/>
            <wp:docPr id="18" name="תמונה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תקציר-05.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38300" cy="411480"/>
                    </a:xfrm>
                    <a:prstGeom prst="rect">
                      <a:avLst/>
                    </a:prstGeom>
                  </pic:spPr>
                </pic:pic>
              </a:graphicData>
            </a:graphic>
          </wp:inline>
        </w:drawing>
      </w:r>
    </w:p>
    <w:p w:rsidR="00734173" w:rsidRPr="00734173" w:rsidP="00734173">
      <w:pPr>
        <w:spacing w:line="288" w:lineRule="auto"/>
        <w:ind w:left="-851"/>
        <w:rPr>
          <w:rFonts w:ascii="David" w:eastAsia="Calibri" w:hAnsi="David"/>
          <w:rtl/>
        </w:rPr>
      </w:pPr>
    </w:p>
    <w:p w:rsidR="00734173" w:rsidRPr="00734173" w:rsidP="00680568">
      <w:pPr>
        <w:spacing w:after="120" w:line="288" w:lineRule="auto"/>
        <w:ind w:left="-569" w:right="-709"/>
        <w:rPr>
          <w:rFonts w:ascii="Tahoma" w:eastAsia="Calibri" w:hAnsi="Tahoma" w:cs="Tahoma"/>
          <w:sz w:val="19"/>
          <w:szCs w:val="19"/>
          <w:rtl/>
        </w:rPr>
      </w:pPr>
      <w:r w:rsidRPr="00734173">
        <w:rPr>
          <w:rFonts w:ascii="Tahoma" w:eastAsia="Calibri" w:hAnsi="Tahoma" w:cs="Tahoma"/>
          <w:sz w:val="19"/>
          <w:szCs w:val="19"/>
          <w:rtl/>
        </w:rPr>
        <w:t>הסנגוריה הציבורית (הסנגוריה) היא יחידה במשרד המשפטים הפועלת מכוח חוק הסנגוריה הציבורית, התשנ"ו-1995 (חוק הסנגוריה), והיא מורכבת ממטה ארצי ומשישה מחוזות הכפופים לסנגור הציבורי הארצי</w:t>
      </w:r>
      <w:r>
        <w:rPr>
          <w:rFonts w:ascii="Tahoma" w:eastAsia="Calibri" w:hAnsi="Tahoma" w:cs="Tahoma"/>
          <w:sz w:val="19"/>
          <w:szCs w:val="19"/>
          <w:vertAlign w:val="superscript"/>
          <w:rtl/>
        </w:rPr>
        <w:footnoteReference w:id="2"/>
      </w:r>
      <w:r w:rsidRPr="00734173">
        <w:rPr>
          <w:rFonts w:ascii="Tahoma" w:eastAsia="Calibri" w:hAnsi="Tahoma" w:cs="Tahoma"/>
          <w:sz w:val="19"/>
          <w:szCs w:val="19"/>
          <w:rtl/>
        </w:rPr>
        <w:t>. תפקיד הסנגוריה הוא מתן ייצוג משפטי לזכאים לכך, לפי קריטריונים שנקבעו בחוק או לפיו, ומטרת פעילותה לשפר את איכות הייצוג בהשוואה למצב ששרר לפני הקמתה ולתרום לעשיית הצדק במערכת המשפט הפלילי.</w:t>
      </w:r>
      <w:r w:rsidRPr="00734173">
        <w:rPr>
          <w:rFonts w:ascii="Tahoma" w:eastAsia="Calibri" w:hAnsi="Tahoma" w:cs="Tahoma" w:hint="cs"/>
          <w:sz w:val="19"/>
          <w:szCs w:val="19"/>
          <w:rtl/>
        </w:rPr>
        <w:t xml:space="preserve"> לסנגוריה הציבורית</w:t>
      </w:r>
      <w:r w:rsidRPr="00734173">
        <w:rPr>
          <w:rFonts w:ascii="Tahoma" w:eastAsia="Calibri" w:hAnsi="Tahoma" w:cs="Tahoma"/>
          <w:sz w:val="19"/>
          <w:szCs w:val="19"/>
          <w:rtl/>
        </w:rPr>
        <w:t xml:space="preserve"> ערך חברתי רב, שכן לקוחותיה נמנים </w:t>
      </w:r>
      <w:r w:rsidRPr="00734173">
        <w:rPr>
          <w:rFonts w:ascii="Tahoma" w:eastAsia="Calibri" w:hAnsi="Tahoma" w:cs="Tahoma" w:hint="cs"/>
          <w:sz w:val="19"/>
          <w:szCs w:val="19"/>
          <w:rtl/>
        </w:rPr>
        <w:t xml:space="preserve">בעיקר </w:t>
      </w:r>
      <w:r w:rsidRPr="00734173">
        <w:rPr>
          <w:rFonts w:ascii="Tahoma" w:eastAsia="Calibri" w:hAnsi="Tahoma" w:cs="Tahoma"/>
          <w:sz w:val="19"/>
          <w:szCs w:val="19"/>
          <w:rtl/>
        </w:rPr>
        <w:t>ע</w:t>
      </w:r>
      <w:r w:rsidRPr="00734173">
        <w:rPr>
          <w:rFonts w:ascii="Tahoma" w:eastAsia="Calibri" w:hAnsi="Tahoma" w:cs="Tahoma" w:hint="cs"/>
          <w:sz w:val="19"/>
          <w:szCs w:val="19"/>
          <w:rtl/>
        </w:rPr>
        <w:t>ם</w:t>
      </w:r>
      <w:r w:rsidRPr="00734173">
        <w:rPr>
          <w:rFonts w:ascii="Tahoma" w:eastAsia="Calibri" w:hAnsi="Tahoma" w:cs="Tahoma"/>
          <w:sz w:val="19"/>
          <w:szCs w:val="19"/>
          <w:rtl/>
        </w:rPr>
        <w:t xml:space="preserve"> </w:t>
      </w:r>
      <w:r w:rsidRPr="00734173">
        <w:rPr>
          <w:rFonts w:ascii="Tahoma" w:eastAsia="Calibri" w:hAnsi="Tahoma" w:cs="Tahoma" w:hint="cs"/>
          <w:sz w:val="19"/>
          <w:szCs w:val="19"/>
          <w:rtl/>
        </w:rPr>
        <w:t>השכבות הנמוכות בדירוג החברתי-כלכלי. מטרה מרכזית נוספת של פעילות הסנגוריה היא ריסון וטיוב של פעולות רשויות האכיפה בישראל</w:t>
      </w:r>
      <w:r w:rsidRPr="00734173">
        <w:rPr>
          <w:rFonts w:ascii="Tahoma" w:eastAsia="Calibri" w:hAnsi="Tahoma" w:cs="Tahoma" w:hint="cs"/>
          <w:sz w:val="19"/>
          <w:szCs w:val="19"/>
          <w:rtl/>
        </w:rPr>
        <w:t xml:space="preserve"> </w:t>
      </w:r>
      <w:r w:rsidRPr="00734173">
        <w:rPr>
          <w:rFonts w:ascii="Tahoma" w:eastAsia="Calibri" w:hAnsi="Tahoma" w:cs="Tahoma" w:hint="cs"/>
          <w:sz w:val="19"/>
          <w:szCs w:val="19"/>
          <w:rtl/>
        </w:rPr>
        <w:t>ושמירה על זכויותיהם של כלל החשודים, הנאשמים והנידונים בישראל, באמצעות הגבלת הכוח הרב שמפעילות רשויות האכיפה נגד הפרט בהליך הפלילי ושמירה על הליך הוגן ועל שוויון לפני החוק.</w:t>
      </w:r>
      <w:r w:rsidRPr="00734173">
        <w:rPr>
          <w:rFonts w:ascii="Tahoma" w:eastAsia="Calibri" w:hAnsi="Tahoma" w:cs="Tahoma"/>
          <w:sz w:val="19"/>
          <w:szCs w:val="19"/>
          <w:rtl/>
        </w:rPr>
        <w:t xml:space="preserve"> </w:t>
      </w:r>
    </w:p>
    <w:p w:rsidR="00734173" w:rsidRPr="00734173" w:rsidP="00680568">
      <w:pPr>
        <w:spacing w:line="288" w:lineRule="auto"/>
        <w:ind w:left="-569" w:right="-709"/>
        <w:rPr>
          <w:rFonts w:ascii="Tahoma" w:eastAsia="Calibri" w:hAnsi="Tahoma" w:cs="Tahoma"/>
          <w:sz w:val="19"/>
          <w:szCs w:val="19"/>
          <w:rtl/>
        </w:rPr>
      </w:pPr>
      <w:r w:rsidRPr="00734173">
        <w:rPr>
          <w:rFonts w:ascii="Tahoma" w:eastAsia="Calibri" w:hAnsi="Tahoma" w:cs="Tahoma"/>
          <w:sz w:val="19"/>
          <w:szCs w:val="19"/>
          <w:rtl/>
        </w:rPr>
        <w:t xml:space="preserve">הסנגוריה מייצגת לקוחות בשלבים השונים של ההליך הפלילי ולאחריו, ובהם שלב המעצר, הגשת כתב האישום וניהול התיק הפלילי בבית המשפט (לרבות בשלב הערעור ובשלב הייצוג של אסירים בפני ועדות השחרורים). הסנגוריה גם מייצגת את לקוחותיה בבקשות חנינה. כמו כן, היא מייצגת לקוחות הלוקים בנפשם ומאושפזים בכפייה גם לפני ועדות פסיכיאטריות. </w:t>
      </w:r>
      <w:r w:rsidRPr="00734173">
        <w:rPr>
          <w:rFonts w:ascii="Tahoma" w:eastAsia="Calibri" w:hAnsi="Tahoma" w:cs="Tahoma" w:hint="cs"/>
          <w:sz w:val="19"/>
          <w:szCs w:val="19"/>
          <w:rtl/>
        </w:rPr>
        <w:t xml:space="preserve">החל </w:t>
      </w:r>
      <w:r w:rsidRPr="00734173">
        <w:rPr>
          <w:rFonts w:ascii="Tahoma" w:eastAsia="Calibri" w:hAnsi="Tahoma" w:cs="Tahoma"/>
          <w:sz w:val="19"/>
          <w:szCs w:val="19"/>
          <w:rtl/>
        </w:rPr>
        <w:t xml:space="preserve">משנת 2022 ניהלה הסנגוריה תהליך אסטרטגי כלל-ארגוני </w:t>
      </w:r>
      <w:r w:rsidRPr="00734173">
        <w:rPr>
          <w:rFonts w:ascii="Tahoma" w:eastAsia="Calibri" w:hAnsi="Tahoma" w:cs="Tahoma" w:hint="cs"/>
          <w:sz w:val="19"/>
          <w:szCs w:val="19"/>
          <w:rtl/>
        </w:rPr>
        <w:t xml:space="preserve">בליווי חברת ייעוץ ארגוני, </w:t>
      </w:r>
      <w:r w:rsidRPr="00734173">
        <w:rPr>
          <w:rFonts w:ascii="Tahoma" w:eastAsia="Calibri" w:hAnsi="Tahoma" w:cs="Tahoma"/>
          <w:sz w:val="19"/>
          <w:szCs w:val="19"/>
          <w:rtl/>
        </w:rPr>
        <w:t>במטרה לשפר את תפקודה בשישה תחומים: חיזוק השמירה על זכויות נאשמים בהליך הפלילי, התמודדות עם ריבוי מעצרים עד תום ההליכים, שיקום</w:t>
      </w:r>
      <w:r w:rsidRPr="00734173">
        <w:rPr>
          <w:rFonts w:ascii="Tahoma" w:eastAsia="Calibri" w:hAnsi="Tahoma" w:cs="Tahoma" w:hint="cs"/>
          <w:sz w:val="19"/>
          <w:szCs w:val="19"/>
          <w:rtl/>
        </w:rPr>
        <w:t xml:space="preserve"> עבריינים</w:t>
      </w:r>
      <w:r w:rsidRPr="00734173">
        <w:rPr>
          <w:rFonts w:ascii="Tahoma" w:eastAsia="Calibri" w:hAnsi="Tahoma" w:cs="Tahoma"/>
          <w:sz w:val="19"/>
          <w:szCs w:val="19"/>
          <w:rtl/>
        </w:rPr>
        <w:t>, קשר עם גורמי חוץ, הבניית העבודה במיקור חוץ והתחדשות פנים-ארגונית</w:t>
      </w:r>
      <w:r w:rsidRPr="00734173">
        <w:rPr>
          <w:rFonts w:ascii="Tahoma" w:eastAsia="Calibri" w:hAnsi="Tahoma" w:cs="Tahoma" w:hint="cs"/>
          <w:sz w:val="19"/>
          <w:szCs w:val="19"/>
          <w:rtl/>
        </w:rPr>
        <w:t xml:space="preserve">. </w:t>
      </w:r>
      <w:r w:rsidRPr="00734173">
        <w:rPr>
          <w:rFonts w:ascii="Tahoma" w:eastAsia="Calibri" w:hAnsi="Tahoma" w:cs="Tahoma"/>
          <w:sz w:val="19"/>
          <w:szCs w:val="19"/>
          <w:rtl/>
        </w:rPr>
        <w:t>תקציב הסנגוריה הציבורית לשנת 2024 היה 283 מיליון ש"ח וכ-73% מתוכו הוקצו לשכר טרחת הסנגורים החיצוניים, 758 במספר.</w:t>
      </w:r>
    </w:p>
    <w:p w:rsidR="00734173" w:rsidRPr="00734173" w:rsidP="00734173">
      <w:pPr>
        <w:bidi w:val="0"/>
        <w:spacing w:after="200" w:line="276" w:lineRule="auto"/>
        <w:rPr>
          <w:rFonts w:ascii="Tahoma" w:eastAsia="Calibri" w:hAnsi="Tahoma" w:cs="Tahoma"/>
          <w:sz w:val="19"/>
          <w:szCs w:val="19"/>
          <w:rtl/>
        </w:rPr>
      </w:pPr>
      <w:r>
        <w:rPr>
          <w:rFonts w:ascii="Tahoma" w:eastAsia="Calibri" w:hAnsi="Tahoma" w:cs="Tahoma"/>
          <w:sz w:val="19"/>
          <w:szCs w:val="19"/>
          <w:rtl/>
        </w:rPr>
        <w:br w:type="page"/>
      </w:r>
    </w:p>
    <w:p w:rsidR="00734173" w:rsidRPr="00734173" w:rsidP="00734173">
      <w:pPr>
        <w:spacing w:line="288" w:lineRule="auto"/>
        <w:rPr>
          <w:rFonts w:eastAsia="Calibri"/>
          <w:rtl/>
        </w:rPr>
      </w:pPr>
    </w:p>
    <w:p w:rsidR="00734173" w:rsidRPr="00734173" w:rsidP="00734173">
      <w:pPr>
        <w:spacing w:line="288" w:lineRule="auto"/>
        <w:ind w:left="-851"/>
        <w:rPr>
          <w:rFonts w:eastAsia="Calibri"/>
          <w:rtl/>
        </w:rPr>
      </w:pPr>
      <w:r w:rsidRPr="00734173">
        <w:rPr>
          <w:rFonts w:ascii="Tahoma" w:eastAsia="Calibri" w:hAnsi="Tahoma" w:cs="Tahoma"/>
          <w:noProof/>
          <w:rtl/>
        </w:rPr>
        <w:drawing>
          <wp:inline distT="0" distB="0" distL="0" distR="0">
            <wp:extent cx="1674111" cy="381000"/>
            <wp:effectExtent l="0" t="0" r="2540" b="0"/>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תקציר-04.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75228" cy="381254"/>
                    </a:xfrm>
                    <a:prstGeom prst="rect">
                      <a:avLst/>
                    </a:prstGeom>
                  </pic:spPr>
                </pic:pic>
              </a:graphicData>
            </a:graphic>
          </wp:inline>
        </w:drawing>
      </w:r>
    </w:p>
    <w:p w:rsidR="00734173" w:rsidRPr="00734173" w:rsidP="00734173">
      <w:pPr>
        <w:spacing w:line="288" w:lineRule="auto"/>
        <w:ind w:left="-851"/>
        <w:rPr>
          <w:rFonts w:eastAsia="Calibri"/>
          <w:rtl/>
        </w:rPr>
      </w:pPr>
    </w:p>
    <w:tbl>
      <w:tblPr>
        <w:tblStyle w:val="110"/>
        <w:tblpPr w:leftFromText="180" w:rightFromText="180" w:vertAnchor="text" w:tblpXSpec="center" w:tblpY="1"/>
        <w:tblOverlap w:val="never"/>
        <w:bidiVisual/>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32"/>
        <w:gridCol w:w="416"/>
        <w:gridCol w:w="2135"/>
        <w:gridCol w:w="417"/>
        <w:gridCol w:w="2135"/>
        <w:gridCol w:w="417"/>
        <w:gridCol w:w="1990"/>
      </w:tblGrid>
      <w:tr w:rsidTr="001560B0">
        <w:tblPrEx>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3"/>
        </w:trPr>
        <w:tc>
          <w:tcPr>
            <w:tcW w:w="2132" w:type="dxa"/>
            <w:tcBorders>
              <w:bottom w:val="single" w:sz="12" w:space="0" w:color="auto"/>
            </w:tcBorders>
            <w:shd w:val="clear" w:color="auto" w:fill="auto"/>
            <w:vAlign w:val="bottom"/>
          </w:tcPr>
          <w:p w:rsidR="00734173" w:rsidRPr="00734173" w:rsidP="00734173">
            <w:pPr>
              <w:spacing w:after="60" w:line="240" w:lineRule="auto"/>
              <w:rPr>
                <w:rFonts w:ascii="Tahoma" w:eastAsia="Calibri" w:hAnsi="Tahoma" w:cs="Tahoma"/>
                <w:spacing w:val="-10"/>
                <w:sz w:val="36"/>
                <w:szCs w:val="36"/>
                <w:rtl/>
              </w:rPr>
            </w:pPr>
            <w:bookmarkStart w:id="2" w:name="_Hlk228104774"/>
            <w:r w:rsidRPr="00734173">
              <w:rPr>
                <w:rFonts w:ascii="Tahoma" w:eastAsia="Calibri" w:hAnsi="Tahoma" w:cs="Tahoma" w:hint="cs"/>
                <w:spacing w:val="-10"/>
                <w:sz w:val="26"/>
                <w:szCs w:val="26"/>
                <w:rtl/>
              </w:rPr>
              <w:t>כ-</w:t>
            </w:r>
            <w:r w:rsidRPr="00734173">
              <w:rPr>
                <w:rFonts w:ascii="Tahoma" w:eastAsia="Calibri" w:hAnsi="Tahoma" w:cs="Tahoma" w:hint="cs"/>
                <w:spacing w:val="-10"/>
                <w:sz w:val="36"/>
                <w:szCs w:val="36"/>
                <w:rtl/>
              </w:rPr>
              <w:t>760</w:t>
            </w:r>
            <w:r w:rsidRPr="00734173">
              <w:rPr>
                <w:rFonts w:ascii="Tahoma" w:eastAsia="Calibri" w:hAnsi="Tahoma" w:cs="Tahoma" w:hint="cs"/>
                <w:spacing w:val="-10"/>
                <w:sz w:val="26"/>
                <w:szCs w:val="26"/>
                <w:rtl/>
              </w:rPr>
              <w:t xml:space="preserve"> סנגורים חיצוניים</w:t>
            </w:r>
            <w:r w:rsidRPr="00734173">
              <w:rPr>
                <w:rFonts w:ascii="Tahoma" w:eastAsia="Calibri" w:hAnsi="Tahoma" w:cs="Tahoma" w:hint="cs"/>
                <w:spacing w:val="-10"/>
                <w:sz w:val="36"/>
                <w:szCs w:val="36"/>
                <w:rtl/>
              </w:rPr>
              <w:t xml:space="preserve"> </w:t>
            </w:r>
            <w:r w:rsidRPr="00734173">
              <w:rPr>
                <w:rFonts w:ascii="Tahoma" w:eastAsia="Calibri" w:hAnsi="Tahoma" w:cs="Tahoma" w:hint="cs"/>
                <w:spacing w:val="-10"/>
                <w:sz w:val="26"/>
                <w:szCs w:val="26"/>
                <w:rtl/>
              </w:rPr>
              <w:t>(פרטיים)</w:t>
            </w:r>
          </w:p>
        </w:tc>
        <w:tc>
          <w:tcPr>
            <w:tcW w:w="416" w:type="dxa"/>
            <w:vAlign w:val="bottom"/>
          </w:tcPr>
          <w:p w:rsidR="00734173" w:rsidRPr="00734173" w:rsidP="00734173">
            <w:pPr>
              <w:spacing w:line="240" w:lineRule="auto"/>
              <w:rPr>
                <w:rFonts w:ascii="Tahoma" w:eastAsia="Calibri" w:hAnsi="Tahoma" w:cs="Tahoma"/>
                <w:spacing w:val="-10"/>
                <w:sz w:val="26"/>
                <w:szCs w:val="26"/>
              </w:rPr>
            </w:pPr>
          </w:p>
        </w:tc>
        <w:tc>
          <w:tcPr>
            <w:tcW w:w="2135" w:type="dxa"/>
            <w:tcBorders>
              <w:bottom w:val="single" w:sz="12" w:space="0" w:color="auto"/>
            </w:tcBorders>
            <w:vAlign w:val="bottom"/>
          </w:tcPr>
          <w:p w:rsidR="00734173" w:rsidRPr="00734173" w:rsidP="00734173">
            <w:pPr>
              <w:spacing w:after="60" w:line="240" w:lineRule="auto"/>
              <w:rPr>
                <w:rFonts w:ascii="Tahoma" w:eastAsia="Calibri" w:hAnsi="Tahoma" w:cs="Tahoma"/>
                <w:spacing w:val="-10"/>
                <w:sz w:val="26"/>
                <w:szCs w:val="26"/>
                <w:rtl/>
              </w:rPr>
            </w:pPr>
            <w:r w:rsidRPr="00734173">
              <w:rPr>
                <w:rFonts w:ascii="Tahoma" w:eastAsia="Calibri" w:hAnsi="Tahoma" w:cs="Tahoma" w:hint="cs"/>
                <w:spacing w:val="-10"/>
                <w:sz w:val="26"/>
                <w:szCs w:val="26"/>
                <w:rtl/>
              </w:rPr>
              <w:t>כ-</w:t>
            </w:r>
            <w:r w:rsidRPr="00734173">
              <w:rPr>
                <w:rFonts w:ascii="Tahoma" w:eastAsia="Calibri" w:hAnsi="Tahoma" w:cs="Tahoma" w:hint="cs"/>
                <w:spacing w:val="-10"/>
                <w:sz w:val="36"/>
                <w:szCs w:val="36"/>
                <w:rtl/>
              </w:rPr>
              <w:t>63%</w:t>
            </w:r>
            <w:r w:rsidRPr="00734173">
              <w:rPr>
                <w:rFonts w:ascii="Tahoma" w:eastAsia="Calibri" w:hAnsi="Tahoma" w:cs="Tahoma" w:hint="cs"/>
                <w:spacing w:val="-10"/>
                <w:sz w:val="26"/>
                <w:szCs w:val="26"/>
              </w:rPr>
              <w:t xml:space="preserve"> </w:t>
            </w:r>
            <w:r w:rsidRPr="00734173">
              <w:rPr>
                <w:rFonts w:ascii="Tahoma" w:eastAsia="Calibri" w:hAnsi="Tahoma" w:cs="Tahoma" w:hint="cs"/>
                <w:spacing w:val="-10"/>
                <w:sz w:val="26"/>
                <w:szCs w:val="26"/>
                <w:rtl/>
              </w:rPr>
              <w:t xml:space="preserve">מכלל הנאשמים (218,822 </w:t>
            </w:r>
            <w:r w:rsidRPr="00734173">
              <w:rPr>
                <w:rFonts w:ascii="Tahoma" w:eastAsia="Calibri" w:hAnsi="Tahoma" w:cs="Tahoma"/>
                <w:spacing w:val="-10"/>
                <w:sz w:val="26"/>
                <w:szCs w:val="26"/>
                <w:rtl/>
              </w:rPr>
              <w:br/>
            </w:r>
            <w:r w:rsidRPr="00734173">
              <w:rPr>
                <w:rFonts w:ascii="Tahoma" w:eastAsia="Calibri" w:hAnsi="Tahoma" w:cs="Tahoma" w:hint="cs"/>
                <w:spacing w:val="-10"/>
                <w:sz w:val="26"/>
                <w:szCs w:val="26"/>
                <w:rtl/>
              </w:rPr>
              <w:t>מ-345,767)</w:t>
            </w:r>
          </w:p>
        </w:tc>
        <w:tc>
          <w:tcPr>
            <w:tcW w:w="417" w:type="dxa"/>
            <w:vAlign w:val="bottom"/>
          </w:tcPr>
          <w:p w:rsidR="00734173" w:rsidRPr="00734173" w:rsidP="00734173">
            <w:pPr>
              <w:spacing w:line="240" w:lineRule="auto"/>
              <w:rPr>
                <w:rFonts w:ascii="Tahoma" w:eastAsia="Calibri" w:hAnsi="Tahoma" w:cs="Tahoma"/>
                <w:spacing w:val="-10"/>
                <w:sz w:val="20"/>
              </w:rPr>
            </w:pPr>
          </w:p>
        </w:tc>
        <w:tc>
          <w:tcPr>
            <w:tcW w:w="2135" w:type="dxa"/>
            <w:tcBorders>
              <w:bottom w:val="single" w:sz="12" w:space="0" w:color="auto"/>
            </w:tcBorders>
            <w:vAlign w:val="bottom"/>
          </w:tcPr>
          <w:p w:rsidR="00734173" w:rsidRPr="00734173" w:rsidP="00734173">
            <w:pPr>
              <w:spacing w:after="60" w:line="240" w:lineRule="auto"/>
              <w:rPr>
                <w:rFonts w:ascii="Tahoma" w:eastAsia="Calibri" w:hAnsi="Tahoma" w:cs="Tahoma"/>
                <w:spacing w:val="-10"/>
                <w:sz w:val="26"/>
                <w:szCs w:val="26"/>
              </w:rPr>
            </w:pPr>
            <w:r w:rsidRPr="00734173">
              <w:rPr>
                <w:rFonts w:ascii="Tahoma" w:eastAsia="Calibri" w:hAnsi="Tahoma" w:cs="Tahoma" w:hint="cs"/>
                <w:spacing w:val="-10"/>
                <w:sz w:val="26"/>
                <w:szCs w:val="26"/>
                <w:rtl/>
              </w:rPr>
              <w:t>כ-</w:t>
            </w:r>
            <w:r w:rsidRPr="00734173">
              <w:rPr>
                <w:rFonts w:ascii="Tahoma" w:eastAsia="Calibri" w:hAnsi="Tahoma" w:cs="Tahoma" w:hint="cs"/>
                <w:spacing w:val="-10"/>
                <w:sz w:val="36"/>
                <w:szCs w:val="36"/>
                <w:rtl/>
              </w:rPr>
              <w:t>206</w:t>
            </w:r>
            <w:r w:rsidRPr="00734173">
              <w:rPr>
                <w:rFonts w:ascii="Tahoma" w:eastAsia="Calibri" w:hAnsi="Tahoma" w:cs="Tahoma" w:hint="cs"/>
                <w:spacing w:val="-10"/>
                <w:sz w:val="26"/>
                <w:szCs w:val="26"/>
                <w:rtl/>
              </w:rPr>
              <w:t xml:space="preserve"> מיליון ש"ח מתוך </w:t>
            </w:r>
            <w:r w:rsidRPr="00734173">
              <w:rPr>
                <w:rFonts w:ascii="Tahoma" w:eastAsia="Calibri" w:hAnsi="Tahoma" w:cs="Tahoma"/>
                <w:spacing w:val="-10"/>
                <w:sz w:val="26"/>
                <w:szCs w:val="26"/>
                <w:rtl/>
              </w:rPr>
              <w:br/>
            </w:r>
            <w:r w:rsidRPr="00734173">
              <w:rPr>
                <w:rFonts w:ascii="Tahoma" w:eastAsia="Calibri" w:hAnsi="Tahoma" w:cs="Tahoma" w:hint="cs"/>
                <w:spacing w:val="-10"/>
                <w:sz w:val="26"/>
                <w:szCs w:val="26"/>
                <w:rtl/>
              </w:rPr>
              <w:t>כ-</w:t>
            </w:r>
            <w:r w:rsidRPr="00734173">
              <w:rPr>
                <w:rFonts w:ascii="Tahoma" w:eastAsia="Calibri" w:hAnsi="Tahoma" w:cs="Tahoma" w:hint="cs"/>
                <w:spacing w:val="-10"/>
                <w:sz w:val="36"/>
                <w:szCs w:val="36"/>
                <w:rtl/>
              </w:rPr>
              <w:t>283</w:t>
            </w:r>
            <w:r w:rsidRPr="00734173">
              <w:rPr>
                <w:rFonts w:ascii="Tahoma" w:eastAsia="Calibri" w:hAnsi="Tahoma" w:cs="Tahoma" w:hint="cs"/>
                <w:spacing w:val="-10"/>
                <w:sz w:val="26"/>
                <w:szCs w:val="26"/>
                <w:rtl/>
              </w:rPr>
              <w:t xml:space="preserve"> מיליון ש"ח</w:t>
            </w:r>
            <w:r w:rsidRPr="00734173">
              <w:rPr>
                <w:rFonts w:ascii="Tahoma" w:eastAsia="Calibri" w:hAnsi="Tahoma" w:cs="Tahoma" w:hint="cs"/>
                <w:spacing w:val="-10"/>
                <w:sz w:val="36"/>
                <w:szCs w:val="36"/>
                <w:rtl/>
              </w:rPr>
              <w:t xml:space="preserve"> </w:t>
            </w:r>
            <w:r w:rsidRPr="00734173">
              <w:rPr>
                <w:rFonts w:ascii="Tahoma" w:eastAsia="Calibri" w:hAnsi="Tahoma" w:cs="Tahoma" w:hint="cs"/>
                <w:spacing w:val="-10"/>
                <w:sz w:val="26"/>
                <w:szCs w:val="26"/>
                <w:rtl/>
              </w:rPr>
              <w:t>(73%)</w:t>
            </w:r>
          </w:p>
        </w:tc>
        <w:tc>
          <w:tcPr>
            <w:tcW w:w="417" w:type="dxa"/>
            <w:vAlign w:val="bottom"/>
          </w:tcPr>
          <w:p w:rsidR="00734173" w:rsidRPr="00734173" w:rsidP="00734173">
            <w:pPr>
              <w:spacing w:line="240" w:lineRule="auto"/>
              <w:rPr>
                <w:rFonts w:ascii="Tahoma" w:eastAsia="Calibri" w:hAnsi="Tahoma" w:cs="Tahoma"/>
                <w:spacing w:val="-10"/>
                <w:sz w:val="20"/>
              </w:rPr>
            </w:pPr>
          </w:p>
        </w:tc>
        <w:tc>
          <w:tcPr>
            <w:tcW w:w="1990" w:type="dxa"/>
            <w:tcBorders>
              <w:bottom w:val="single" w:sz="12" w:space="0" w:color="auto"/>
            </w:tcBorders>
            <w:vAlign w:val="bottom"/>
          </w:tcPr>
          <w:p w:rsidR="00734173" w:rsidRPr="00734173" w:rsidP="00734173">
            <w:pPr>
              <w:spacing w:after="60" w:line="240" w:lineRule="auto"/>
              <w:rPr>
                <w:rFonts w:ascii="Tahoma" w:eastAsia="Calibri" w:hAnsi="Tahoma" w:cs="Tahoma"/>
                <w:spacing w:val="-10"/>
                <w:sz w:val="26"/>
                <w:szCs w:val="26"/>
                <w:rtl/>
              </w:rPr>
            </w:pPr>
            <w:r w:rsidRPr="00734173">
              <w:rPr>
                <w:rFonts w:ascii="Tahoma" w:eastAsia="Calibri" w:hAnsi="Tahoma" w:cs="Tahoma" w:hint="cs"/>
                <w:spacing w:val="-10"/>
                <w:sz w:val="36"/>
                <w:szCs w:val="36"/>
                <w:rtl/>
              </w:rPr>
              <w:t>173%</w:t>
            </w:r>
            <w:r w:rsidRPr="00734173">
              <w:rPr>
                <w:rFonts w:ascii="Tahoma" w:eastAsia="Calibri" w:hAnsi="Tahoma" w:cs="Tahoma" w:hint="cs"/>
                <w:spacing w:val="-10"/>
                <w:sz w:val="26"/>
                <w:szCs w:val="26"/>
                <w:rtl/>
              </w:rPr>
              <w:t xml:space="preserve"> פערי שכר</w:t>
            </w:r>
          </w:p>
        </w:tc>
      </w:tr>
      <w:tr w:rsidTr="001560B0">
        <w:tblPrEx>
          <w:tblW w:w="9642" w:type="dxa"/>
          <w:tblLook w:val="04A0"/>
        </w:tblPrEx>
        <w:trPr>
          <w:trHeight w:val="85"/>
        </w:trPr>
        <w:tc>
          <w:tcPr>
            <w:tcW w:w="9642" w:type="dxa"/>
            <w:gridSpan w:val="7"/>
            <w:shd w:val="clear" w:color="auto" w:fill="auto"/>
            <w:vAlign w:val="center"/>
          </w:tcPr>
          <w:p w:rsidR="00734173" w:rsidRPr="00734173" w:rsidP="00734173">
            <w:pPr>
              <w:spacing w:line="288" w:lineRule="auto"/>
              <w:jc w:val="both"/>
              <w:rPr>
                <w:rFonts w:ascii="Tahoma" w:eastAsia="Calibri" w:hAnsi="Tahoma" w:cs="Tahoma"/>
                <w:spacing w:val="-10"/>
                <w:sz w:val="6"/>
                <w:szCs w:val="6"/>
                <w:rtl/>
              </w:rPr>
            </w:pPr>
          </w:p>
        </w:tc>
      </w:tr>
      <w:bookmarkEnd w:id="2"/>
      <w:tr w:rsidTr="001560B0">
        <w:tblPrEx>
          <w:tblW w:w="9642" w:type="dxa"/>
          <w:tblLook w:val="04A0"/>
        </w:tblPrEx>
        <w:trPr>
          <w:trHeight w:val="1155"/>
        </w:trPr>
        <w:tc>
          <w:tcPr>
            <w:tcW w:w="2132" w:type="dxa"/>
          </w:tcPr>
          <w:p w:rsidR="00734173" w:rsidRPr="00734173" w:rsidP="00734173">
            <w:pPr>
              <w:spacing w:line="240" w:lineRule="auto"/>
              <w:ind w:right="23"/>
              <w:rPr>
                <w:rFonts w:ascii="Tahoma" w:eastAsia="Calibri" w:hAnsi="Tahoma" w:cs="Tahoma"/>
                <w:sz w:val="19"/>
                <w:szCs w:val="19"/>
                <w:rtl/>
              </w:rPr>
            </w:pPr>
            <w:r w:rsidRPr="00734173">
              <w:rPr>
                <w:rFonts w:ascii="Tahoma" w:eastAsia="Calibri" w:hAnsi="Tahoma" w:cs="Tahoma" w:hint="cs"/>
                <w:sz w:val="19"/>
                <w:szCs w:val="19"/>
                <w:rtl/>
              </w:rPr>
              <w:t xml:space="preserve">ייצגו בממוצע בשנים 2022 - 2024 עשרות אלפי פונים בהליכים משפטיים. </w:t>
            </w:r>
            <w:r w:rsidRPr="00734173">
              <w:rPr>
                <w:rFonts w:ascii="Tahoma" w:eastAsia="Calibri" w:hAnsi="Tahoma" w:cs="Tahoma" w:hint="cs"/>
                <w:sz w:val="19"/>
                <w:szCs w:val="19"/>
                <w:rtl/>
              </w:rPr>
              <w:t>לצידם</w:t>
            </w:r>
            <w:r w:rsidRPr="00734173">
              <w:rPr>
                <w:rFonts w:ascii="Tahoma" w:eastAsia="Calibri" w:hAnsi="Tahoma" w:cs="Tahoma" w:hint="cs"/>
                <w:sz w:val="19"/>
                <w:szCs w:val="19"/>
                <w:rtl/>
              </w:rPr>
              <w:t xml:space="preserve"> ייצגו נכון לשנת 2024, כ-150 סנגורים פנימיים של הסנגוריה (עובדי מדינה)</w:t>
            </w:r>
          </w:p>
          <w:p w:rsidR="00734173" w:rsidRPr="00734173" w:rsidP="00734173">
            <w:pPr>
              <w:spacing w:line="240" w:lineRule="auto"/>
              <w:ind w:right="23"/>
              <w:rPr>
                <w:rFonts w:ascii="Tahoma" w:eastAsia="Calibri" w:hAnsi="Tahoma" w:cs="Tahoma"/>
                <w:sz w:val="19"/>
                <w:szCs w:val="19"/>
                <w:rtl/>
              </w:rPr>
            </w:pPr>
          </w:p>
          <w:p w:rsidR="00734173" w:rsidRPr="00734173" w:rsidP="00734173">
            <w:pPr>
              <w:spacing w:line="240" w:lineRule="auto"/>
              <w:ind w:right="23"/>
              <w:rPr>
                <w:rFonts w:ascii="Tahoma" w:eastAsia="Calibri" w:hAnsi="Tahoma" w:cs="Tahoma"/>
                <w:sz w:val="19"/>
                <w:szCs w:val="19"/>
                <w:rtl/>
              </w:rPr>
            </w:pPr>
          </w:p>
          <w:p w:rsidR="00734173" w:rsidRPr="00734173" w:rsidP="00734173">
            <w:pPr>
              <w:spacing w:line="240" w:lineRule="auto"/>
              <w:ind w:right="23"/>
              <w:rPr>
                <w:rFonts w:ascii="Tahoma" w:eastAsia="Calibri" w:hAnsi="Tahoma" w:cs="Tahoma"/>
                <w:sz w:val="19"/>
                <w:szCs w:val="19"/>
                <w:rtl/>
              </w:rPr>
            </w:pPr>
          </w:p>
          <w:p w:rsidR="00734173" w:rsidRPr="00734173" w:rsidP="00734173">
            <w:pPr>
              <w:spacing w:line="240" w:lineRule="auto"/>
              <w:ind w:right="23"/>
              <w:rPr>
                <w:rFonts w:ascii="Tahoma" w:eastAsia="Calibri" w:hAnsi="Tahoma" w:cs="Tahoma"/>
                <w:sz w:val="19"/>
                <w:szCs w:val="19"/>
                <w:rtl/>
              </w:rPr>
            </w:pPr>
          </w:p>
          <w:p w:rsidR="00734173" w:rsidRPr="00734173" w:rsidP="00734173">
            <w:pPr>
              <w:spacing w:line="240" w:lineRule="auto"/>
              <w:ind w:right="23"/>
              <w:rPr>
                <w:rFonts w:ascii="Tahoma" w:eastAsia="Calibri" w:hAnsi="Tahoma" w:cs="Tahoma"/>
                <w:sz w:val="19"/>
                <w:szCs w:val="19"/>
                <w:rtl/>
              </w:rPr>
            </w:pPr>
          </w:p>
        </w:tc>
        <w:tc>
          <w:tcPr>
            <w:tcW w:w="416" w:type="dxa"/>
            <w:shd w:val="clear" w:color="auto" w:fill="auto"/>
          </w:tcPr>
          <w:p w:rsidR="00734173" w:rsidRPr="00734173" w:rsidP="00734173">
            <w:pPr>
              <w:spacing w:line="240" w:lineRule="auto"/>
              <w:jc w:val="both"/>
              <w:rPr>
                <w:rFonts w:ascii="Tahoma" w:eastAsia="Calibri" w:hAnsi="Tahoma" w:cs="Tahoma"/>
                <w:sz w:val="20"/>
                <w:rtl/>
              </w:rPr>
            </w:pPr>
          </w:p>
        </w:tc>
        <w:tc>
          <w:tcPr>
            <w:tcW w:w="2135" w:type="dxa"/>
            <w:shd w:val="clear" w:color="auto" w:fill="auto"/>
          </w:tcPr>
          <w:p w:rsidR="00734173" w:rsidRPr="00734173" w:rsidP="00734173">
            <w:pPr>
              <w:spacing w:line="240" w:lineRule="auto"/>
              <w:ind w:right="23"/>
              <w:rPr>
                <w:rFonts w:ascii="Tahoma" w:eastAsia="Calibri" w:hAnsi="Tahoma" w:cs="Tahoma"/>
                <w:sz w:val="19"/>
                <w:szCs w:val="19"/>
                <w:rtl/>
              </w:rPr>
            </w:pPr>
            <w:r w:rsidRPr="00734173">
              <w:rPr>
                <w:rFonts w:ascii="Tahoma" w:eastAsia="Calibri" w:hAnsi="Tahoma" w:cs="Tahoma" w:hint="cs"/>
                <w:sz w:val="19"/>
                <w:szCs w:val="19"/>
                <w:rtl/>
              </w:rPr>
              <w:t>בתיקים פליליים שנפתחו בשנים 2016 -2024, יוצגו על ידי הסנגוריה הציבורית</w:t>
            </w:r>
          </w:p>
        </w:tc>
        <w:tc>
          <w:tcPr>
            <w:tcW w:w="417" w:type="dxa"/>
          </w:tcPr>
          <w:p w:rsidR="00734173" w:rsidRPr="00734173" w:rsidP="00734173">
            <w:pPr>
              <w:spacing w:line="240" w:lineRule="auto"/>
              <w:jc w:val="both"/>
              <w:rPr>
                <w:rFonts w:ascii="Tahoma" w:eastAsia="Calibri" w:hAnsi="Tahoma" w:cs="Tahoma"/>
                <w:sz w:val="19"/>
                <w:szCs w:val="19"/>
                <w:rtl/>
              </w:rPr>
            </w:pPr>
          </w:p>
        </w:tc>
        <w:tc>
          <w:tcPr>
            <w:tcW w:w="2135" w:type="dxa"/>
          </w:tcPr>
          <w:p w:rsidR="00734173" w:rsidRPr="00734173" w:rsidP="00734173">
            <w:pPr>
              <w:spacing w:line="240" w:lineRule="auto"/>
              <w:ind w:right="23"/>
              <w:rPr>
                <w:rFonts w:ascii="Tahoma" w:eastAsia="Calibri" w:hAnsi="Tahoma" w:cs="Tahoma"/>
                <w:sz w:val="19"/>
                <w:szCs w:val="19"/>
                <w:rtl/>
              </w:rPr>
            </w:pPr>
            <w:r w:rsidRPr="00734173">
              <w:rPr>
                <w:rFonts w:ascii="Tahoma" w:eastAsia="Calibri" w:hAnsi="Tahoma" w:cs="Tahoma" w:hint="cs"/>
                <w:sz w:val="19"/>
                <w:szCs w:val="19"/>
                <w:rtl/>
              </w:rPr>
              <w:t xml:space="preserve">מתקציב </w:t>
            </w:r>
            <w:r w:rsidR="00545E49">
              <w:rPr>
                <w:rFonts w:ascii="Tahoma" w:eastAsia="Calibri" w:hAnsi="Tahoma" w:cs="Tahoma" w:hint="cs"/>
                <w:sz w:val="19"/>
                <w:szCs w:val="19"/>
                <w:rtl/>
              </w:rPr>
              <w:t>ביצוע המ</w:t>
            </w:r>
            <w:r w:rsidR="004A6792">
              <w:rPr>
                <w:rFonts w:ascii="Tahoma" w:eastAsia="Calibri" w:hAnsi="Tahoma" w:cs="Tahoma" w:hint="cs"/>
                <w:sz w:val="19"/>
                <w:szCs w:val="19"/>
                <w:rtl/>
              </w:rPr>
              <w:t>ז</w:t>
            </w:r>
            <w:r w:rsidR="00545E49">
              <w:rPr>
                <w:rFonts w:ascii="Tahoma" w:eastAsia="Calibri" w:hAnsi="Tahoma" w:cs="Tahoma" w:hint="cs"/>
                <w:sz w:val="19"/>
                <w:szCs w:val="19"/>
                <w:rtl/>
              </w:rPr>
              <w:t>ומן</w:t>
            </w:r>
            <w:r w:rsidRPr="00734173">
              <w:rPr>
                <w:rFonts w:ascii="Tahoma" w:eastAsia="Calibri" w:hAnsi="Tahoma" w:cs="Tahoma" w:hint="cs"/>
                <w:sz w:val="19"/>
                <w:szCs w:val="19"/>
                <w:rtl/>
              </w:rPr>
              <w:t xml:space="preserve"> של הסנגוריה לשנת 2024 הוקצה לתשלום שכר טרחה לסנגורים חיצוניים</w:t>
            </w:r>
          </w:p>
        </w:tc>
        <w:tc>
          <w:tcPr>
            <w:tcW w:w="417" w:type="dxa"/>
          </w:tcPr>
          <w:p w:rsidR="00734173" w:rsidRPr="00734173" w:rsidP="00734173">
            <w:pPr>
              <w:spacing w:line="240" w:lineRule="auto"/>
              <w:jc w:val="both"/>
              <w:rPr>
                <w:rFonts w:ascii="Tahoma" w:eastAsia="Calibri" w:hAnsi="Tahoma" w:cs="Tahoma"/>
                <w:sz w:val="19"/>
                <w:szCs w:val="19"/>
                <w:rtl/>
              </w:rPr>
            </w:pPr>
          </w:p>
        </w:tc>
        <w:tc>
          <w:tcPr>
            <w:tcW w:w="1990" w:type="dxa"/>
          </w:tcPr>
          <w:p w:rsidR="00734173" w:rsidRPr="00734173" w:rsidP="00734173">
            <w:pPr>
              <w:spacing w:line="240" w:lineRule="auto"/>
              <w:ind w:right="23"/>
              <w:rPr>
                <w:rFonts w:ascii="Tahoma" w:eastAsia="Calibri" w:hAnsi="Tahoma" w:cs="Tahoma"/>
                <w:sz w:val="19"/>
                <w:szCs w:val="19"/>
                <w:rtl/>
              </w:rPr>
            </w:pPr>
            <w:r w:rsidRPr="00734173">
              <w:rPr>
                <w:rFonts w:ascii="Tahoma" w:eastAsia="Calibri" w:hAnsi="Tahoma" w:cs="Tahoma" w:hint="cs"/>
                <w:sz w:val="19"/>
                <w:szCs w:val="19"/>
                <w:rtl/>
              </w:rPr>
              <w:t>שכר התובעים החיצוניים בשירות המדינה בשנת 2024, גבוה ב-173% בממוצע משכר הסנגורים החיצוניים</w:t>
            </w:r>
          </w:p>
        </w:tc>
      </w:tr>
      <w:tr w:rsidTr="001560B0">
        <w:tblPrEx>
          <w:tblW w:w="9642" w:type="dxa"/>
          <w:tblLook w:val="04A0"/>
        </w:tblPrEx>
        <w:trPr>
          <w:trHeight w:val="363"/>
        </w:trPr>
        <w:tc>
          <w:tcPr>
            <w:tcW w:w="9642" w:type="dxa"/>
            <w:gridSpan w:val="7"/>
          </w:tcPr>
          <w:p w:rsidR="00734173" w:rsidRPr="00734173" w:rsidP="00734173">
            <w:pPr>
              <w:spacing w:line="288" w:lineRule="auto"/>
              <w:jc w:val="both"/>
              <w:rPr>
                <w:rFonts w:ascii="Tahoma" w:eastAsia="Calibri" w:hAnsi="Tahoma" w:cs="Tahoma"/>
                <w:sz w:val="6"/>
                <w:szCs w:val="6"/>
                <w:rtl/>
              </w:rPr>
            </w:pPr>
          </w:p>
        </w:tc>
      </w:tr>
      <w:tr w:rsidTr="001560B0">
        <w:tblPrEx>
          <w:tblW w:w="9642" w:type="dxa"/>
          <w:tblLook w:val="04A0"/>
        </w:tblPrEx>
        <w:trPr>
          <w:trHeight w:val="227"/>
        </w:trPr>
        <w:tc>
          <w:tcPr>
            <w:tcW w:w="2132" w:type="dxa"/>
            <w:tcBorders>
              <w:bottom w:val="single" w:sz="12" w:space="0" w:color="auto"/>
            </w:tcBorders>
            <w:vAlign w:val="bottom"/>
          </w:tcPr>
          <w:p w:rsidR="00734173" w:rsidRPr="00734173" w:rsidP="00734173">
            <w:pPr>
              <w:spacing w:after="60" w:line="240" w:lineRule="auto"/>
              <w:rPr>
                <w:rFonts w:ascii="Tahoma" w:eastAsia="Calibri" w:hAnsi="Tahoma" w:cs="Tahoma"/>
                <w:spacing w:val="-10"/>
                <w:sz w:val="36"/>
                <w:szCs w:val="36"/>
              </w:rPr>
            </w:pPr>
            <w:r w:rsidRPr="00734173">
              <w:rPr>
                <w:rFonts w:ascii="Tahoma" w:eastAsia="Calibri" w:hAnsi="Tahoma" w:cs="Tahoma" w:hint="cs"/>
                <w:spacing w:val="-10"/>
                <w:sz w:val="26"/>
                <w:szCs w:val="26"/>
                <w:rtl/>
              </w:rPr>
              <w:t>כ-</w:t>
            </w:r>
            <w:r w:rsidRPr="00734173">
              <w:rPr>
                <w:rFonts w:ascii="Tahoma" w:eastAsia="Calibri" w:hAnsi="Tahoma" w:cs="Tahoma" w:hint="cs"/>
                <w:spacing w:val="-10"/>
                <w:sz w:val="36"/>
                <w:szCs w:val="36"/>
                <w:rtl/>
              </w:rPr>
              <w:t>30</w:t>
            </w:r>
            <w:r w:rsidRPr="00734173">
              <w:rPr>
                <w:rFonts w:ascii="Tahoma" w:eastAsia="Calibri" w:hAnsi="Tahoma" w:cs="Tahoma" w:hint="cs"/>
                <w:spacing w:val="-10"/>
                <w:sz w:val="26"/>
                <w:szCs w:val="26"/>
                <w:rtl/>
              </w:rPr>
              <w:t xml:space="preserve"> מיליון ש"ח מתוך כ-</w:t>
            </w:r>
            <w:r w:rsidRPr="00734173">
              <w:rPr>
                <w:rFonts w:ascii="Tahoma" w:eastAsia="Calibri" w:hAnsi="Tahoma" w:cs="Tahoma" w:hint="cs"/>
                <w:spacing w:val="-10"/>
                <w:sz w:val="36"/>
                <w:szCs w:val="36"/>
                <w:rtl/>
              </w:rPr>
              <w:t>56</w:t>
            </w:r>
            <w:r w:rsidRPr="00734173">
              <w:rPr>
                <w:rFonts w:ascii="Tahoma" w:eastAsia="Calibri" w:hAnsi="Tahoma" w:cs="Tahoma" w:hint="cs"/>
                <w:spacing w:val="-10"/>
                <w:sz w:val="26"/>
                <w:szCs w:val="26"/>
                <w:rtl/>
              </w:rPr>
              <w:t xml:space="preserve"> מיליון ש"ח (53%)</w:t>
            </w:r>
          </w:p>
        </w:tc>
        <w:tc>
          <w:tcPr>
            <w:tcW w:w="416" w:type="dxa"/>
            <w:vAlign w:val="bottom"/>
          </w:tcPr>
          <w:p w:rsidR="00734173" w:rsidRPr="00734173" w:rsidP="00734173">
            <w:pPr>
              <w:spacing w:line="240" w:lineRule="auto"/>
              <w:rPr>
                <w:rFonts w:ascii="Tahoma" w:eastAsia="Calibri" w:hAnsi="Tahoma" w:cs="Tahoma"/>
                <w:spacing w:val="-10"/>
                <w:sz w:val="20"/>
              </w:rPr>
            </w:pPr>
          </w:p>
        </w:tc>
        <w:tc>
          <w:tcPr>
            <w:tcW w:w="2135" w:type="dxa"/>
            <w:tcBorders>
              <w:bottom w:val="single" w:sz="12" w:space="0" w:color="auto"/>
            </w:tcBorders>
            <w:vAlign w:val="bottom"/>
          </w:tcPr>
          <w:p w:rsidR="00734173" w:rsidRPr="00734173" w:rsidP="00734173">
            <w:pPr>
              <w:spacing w:after="60" w:line="240" w:lineRule="auto"/>
              <w:rPr>
                <w:rFonts w:ascii="Tahoma" w:eastAsia="Calibri" w:hAnsi="Tahoma" w:cs="Tahoma"/>
                <w:spacing w:val="-10"/>
                <w:sz w:val="36"/>
                <w:szCs w:val="36"/>
                <w:rtl/>
              </w:rPr>
            </w:pPr>
            <w:r w:rsidRPr="00734173">
              <w:rPr>
                <w:rFonts w:ascii="Tahoma" w:eastAsia="Calibri" w:hAnsi="Tahoma" w:cs="Tahoma" w:hint="cs"/>
                <w:spacing w:val="-10"/>
                <w:sz w:val="36"/>
                <w:szCs w:val="36"/>
                <w:rtl/>
              </w:rPr>
              <w:t>2017</w:t>
            </w:r>
          </w:p>
        </w:tc>
        <w:tc>
          <w:tcPr>
            <w:tcW w:w="417" w:type="dxa"/>
            <w:vAlign w:val="bottom"/>
          </w:tcPr>
          <w:p w:rsidR="00734173" w:rsidRPr="00734173" w:rsidP="00734173">
            <w:pPr>
              <w:spacing w:line="240" w:lineRule="auto"/>
              <w:rPr>
                <w:rFonts w:ascii="Tahoma" w:eastAsia="Calibri" w:hAnsi="Tahoma" w:cs="Tahoma"/>
                <w:spacing w:val="-10"/>
                <w:sz w:val="20"/>
              </w:rPr>
            </w:pPr>
          </w:p>
        </w:tc>
        <w:tc>
          <w:tcPr>
            <w:tcW w:w="2135" w:type="dxa"/>
            <w:tcBorders>
              <w:bottom w:val="single" w:sz="12" w:space="0" w:color="auto"/>
            </w:tcBorders>
            <w:vAlign w:val="bottom"/>
          </w:tcPr>
          <w:p w:rsidR="00734173" w:rsidRPr="00734173" w:rsidP="00734173">
            <w:pPr>
              <w:spacing w:after="60" w:line="240" w:lineRule="auto"/>
              <w:rPr>
                <w:rFonts w:ascii="Tahoma" w:eastAsia="Calibri" w:hAnsi="Tahoma" w:cs="Tahoma"/>
                <w:spacing w:val="-10"/>
                <w:sz w:val="26"/>
                <w:szCs w:val="26"/>
                <w:rtl/>
              </w:rPr>
            </w:pPr>
            <w:r w:rsidRPr="00734173">
              <w:rPr>
                <w:rFonts w:ascii="Tahoma" w:eastAsia="Calibri" w:hAnsi="Tahoma" w:cs="Tahoma" w:hint="cs"/>
                <w:spacing w:val="-10"/>
                <w:sz w:val="26"/>
                <w:szCs w:val="26"/>
                <w:rtl/>
              </w:rPr>
              <w:t>רק לכ-</w:t>
            </w:r>
            <w:r w:rsidRPr="00734173">
              <w:rPr>
                <w:rFonts w:ascii="Tahoma" w:eastAsia="Calibri" w:hAnsi="Tahoma" w:cs="Tahoma" w:hint="cs"/>
                <w:spacing w:val="-10"/>
                <w:sz w:val="36"/>
                <w:szCs w:val="36"/>
                <w:rtl/>
              </w:rPr>
              <w:t>14</w:t>
            </w:r>
            <w:r w:rsidRPr="00734173">
              <w:rPr>
                <w:rFonts w:ascii="Tahoma" w:eastAsia="Calibri" w:hAnsi="Tahoma" w:cs="Tahoma" w:hint="cs"/>
                <w:spacing w:val="-10"/>
                <w:sz w:val="26"/>
                <w:szCs w:val="26"/>
                <w:rtl/>
              </w:rPr>
              <w:t>% מהסנגורים החיצוניים (</w:t>
            </w:r>
            <w:r w:rsidRPr="00734173">
              <w:rPr>
                <w:rFonts w:ascii="Tahoma" w:eastAsia="Calibri" w:hAnsi="Tahoma" w:cs="Tahoma"/>
                <w:spacing w:val="-10"/>
                <w:sz w:val="26"/>
                <w:szCs w:val="26"/>
                <w:rtl/>
              </w:rPr>
              <w:t>106 מ-758</w:t>
            </w:r>
            <w:r w:rsidRPr="00734173">
              <w:rPr>
                <w:rFonts w:ascii="Tahoma" w:eastAsia="Calibri" w:hAnsi="Tahoma" w:cs="Tahoma" w:hint="cs"/>
                <w:spacing w:val="-10"/>
                <w:sz w:val="26"/>
                <w:szCs w:val="26"/>
                <w:rtl/>
              </w:rPr>
              <w:t>)</w:t>
            </w:r>
          </w:p>
        </w:tc>
        <w:tc>
          <w:tcPr>
            <w:tcW w:w="417" w:type="dxa"/>
            <w:vAlign w:val="bottom"/>
          </w:tcPr>
          <w:p w:rsidR="00734173" w:rsidRPr="00734173" w:rsidP="00734173">
            <w:pPr>
              <w:spacing w:line="240" w:lineRule="auto"/>
              <w:rPr>
                <w:rFonts w:ascii="Tahoma" w:eastAsia="Calibri" w:hAnsi="Tahoma" w:cs="Tahoma"/>
                <w:spacing w:val="-10"/>
                <w:sz w:val="20"/>
              </w:rPr>
            </w:pPr>
          </w:p>
        </w:tc>
        <w:tc>
          <w:tcPr>
            <w:tcW w:w="1990" w:type="dxa"/>
            <w:tcBorders>
              <w:bottom w:val="single" w:sz="12" w:space="0" w:color="auto"/>
            </w:tcBorders>
            <w:vAlign w:val="bottom"/>
          </w:tcPr>
          <w:p w:rsidR="00734173" w:rsidRPr="00734173" w:rsidP="00734173">
            <w:pPr>
              <w:spacing w:after="60" w:line="240" w:lineRule="auto"/>
              <w:rPr>
                <w:rFonts w:ascii="Tahoma" w:eastAsia="Calibri" w:hAnsi="Tahoma" w:cs="Tahoma"/>
                <w:spacing w:val="-10"/>
                <w:sz w:val="36"/>
                <w:szCs w:val="36"/>
              </w:rPr>
            </w:pPr>
            <w:r w:rsidRPr="00734173">
              <w:rPr>
                <w:rFonts w:ascii="Tahoma" w:eastAsia="Calibri" w:hAnsi="Tahoma" w:cs="Tahoma" w:hint="cs"/>
                <w:spacing w:val="-10"/>
                <w:sz w:val="26"/>
                <w:szCs w:val="26"/>
                <w:rtl/>
              </w:rPr>
              <w:t>כ-</w:t>
            </w:r>
            <w:r w:rsidRPr="00734173">
              <w:rPr>
                <w:rFonts w:ascii="Tahoma" w:eastAsia="Calibri" w:hAnsi="Tahoma" w:cs="Tahoma" w:hint="cs"/>
                <w:spacing w:val="-10"/>
                <w:sz w:val="36"/>
                <w:szCs w:val="36"/>
                <w:rtl/>
              </w:rPr>
              <w:t xml:space="preserve">550,000 </w:t>
            </w:r>
            <w:r w:rsidRPr="00734173">
              <w:rPr>
                <w:rFonts w:ascii="Tahoma" w:eastAsia="Calibri" w:hAnsi="Tahoma" w:cs="Tahoma" w:hint="cs"/>
                <w:spacing w:val="-10"/>
                <w:sz w:val="26"/>
                <w:szCs w:val="26"/>
                <w:rtl/>
              </w:rPr>
              <w:t>לקוחות</w:t>
            </w:r>
            <w:r w:rsidRPr="00734173">
              <w:rPr>
                <w:rFonts w:ascii="Tahoma" w:eastAsia="Calibri" w:hAnsi="Tahoma" w:cs="Tahoma" w:hint="cs"/>
                <w:spacing w:val="-10"/>
                <w:sz w:val="36"/>
                <w:szCs w:val="36"/>
                <w:rtl/>
              </w:rPr>
              <w:t xml:space="preserve"> </w:t>
            </w:r>
            <w:r w:rsidRPr="00734173">
              <w:rPr>
                <w:rFonts w:ascii="Tahoma" w:eastAsia="Calibri" w:hAnsi="Tahoma" w:cs="Tahoma" w:hint="cs"/>
                <w:spacing w:val="-10"/>
                <w:sz w:val="26"/>
                <w:szCs w:val="26"/>
                <w:rtl/>
              </w:rPr>
              <w:t>הסנגוריה</w:t>
            </w:r>
          </w:p>
        </w:tc>
      </w:tr>
      <w:tr w:rsidTr="001560B0">
        <w:tblPrEx>
          <w:tblW w:w="9642" w:type="dxa"/>
          <w:tblLook w:val="04A0"/>
        </w:tblPrEx>
        <w:trPr>
          <w:trHeight w:val="70"/>
        </w:trPr>
        <w:tc>
          <w:tcPr>
            <w:tcW w:w="9642" w:type="dxa"/>
            <w:gridSpan w:val="7"/>
            <w:vAlign w:val="center"/>
          </w:tcPr>
          <w:p w:rsidR="00734173" w:rsidRPr="00734173" w:rsidP="00734173">
            <w:pPr>
              <w:spacing w:line="288" w:lineRule="auto"/>
              <w:jc w:val="both"/>
              <w:rPr>
                <w:rFonts w:ascii="Tahoma" w:eastAsia="Calibri" w:hAnsi="Tahoma" w:cs="Tahoma"/>
                <w:spacing w:val="-10"/>
                <w:sz w:val="6"/>
                <w:szCs w:val="6"/>
                <w:rtl/>
              </w:rPr>
            </w:pPr>
          </w:p>
        </w:tc>
      </w:tr>
      <w:tr w:rsidTr="001560B0">
        <w:tblPrEx>
          <w:tblW w:w="9642" w:type="dxa"/>
          <w:tblLook w:val="04A0"/>
        </w:tblPrEx>
        <w:trPr>
          <w:trHeight w:val="1054"/>
        </w:trPr>
        <w:tc>
          <w:tcPr>
            <w:tcW w:w="2132" w:type="dxa"/>
          </w:tcPr>
          <w:p w:rsidR="00734173" w:rsidRPr="00734173" w:rsidP="00734173">
            <w:pPr>
              <w:spacing w:line="240" w:lineRule="auto"/>
              <w:ind w:right="23"/>
              <w:rPr>
                <w:rFonts w:ascii="Tahoma" w:eastAsia="Calibri" w:hAnsi="Tahoma" w:cs="Tahoma"/>
                <w:sz w:val="19"/>
                <w:szCs w:val="19"/>
                <w:rtl/>
              </w:rPr>
            </w:pPr>
            <w:bookmarkStart w:id="3" w:name="_Hlk231146331"/>
            <w:r w:rsidRPr="00734173">
              <w:rPr>
                <w:rFonts w:ascii="Tahoma" w:eastAsia="Calibri" w:hAnsi="Tahoma" w:cs="Tahoma" w:hint="cs"/>
                <w:sz w:val="19"/>
                <w:szCs w:val="19"/>
                <w:rtl/>
              </w:rPr>
              <w:t>סכום האגרות שלא נגבה מלקוחות הסנגוריה בגין ייצוגם</w:t>
            </w:r>
            <w:r w:rsidRPr="00734173">
              <w:rPr>
                <w:rFonts w:ascii="Tahoma" w:eastAsia="Calibri" w:hAnsi="Tahoma" w:cs="Tahoma" w:hint="cs"/>
                <w:spacing w:val="-10"/>
                <w:sz w:val="26"/>
                <w:szCs w:val="26"/>
                <w:rtl/>
              </w:rPr>
              <w:t xml:space="preserve"> </w:t>
            </w:r>
            <w:r w:rsidRPr="00734173">
              <w:rPr>
                <w:rFonts w:ascii="Tahoma" w:eastAsia="Calibri" w:hAnsi="Tahoma" w:cs="Tahoma" w:hint="cs"/>
                <w:sz w:val="19"/>
                <w:szCs w:val="19"/>
                <w:rtl/>
              </w:rPr>
              <w:t>ב-106,300 תיקים בשנים 2021 - 2024</w:t>
            </w:r>
          </w:p>
        </w:tc>
        <w:tc>
          <w:tcPr>
            <w:tcW w:w="416" w:type="dxa"/>
          </w:tcPr>
          <w:p w:rsidR="00734173" w:rsidRPr="00734173" w:rsidP="00734173">
            <w:pPr>
              <w:spacing w:line="240" w:lineRule="auto"/>
              <w:rPr>
                <w:rFonts w:ascii="Tahoma" w:eastAsia="Calibri" w:hAnsi="Tahoma" w:cs="Tahoma"/>
                <w:sz w:val="19"/>
                <w:szCs w:val="19"/>
                <w:rtl/>
              </w:rPr>
            </w:pPr>
          </w:p>
        </w:tc>
        <w:tc>
          <w:tcPr>
            <w:tcW w:w="2135" w:type="dxa"/>
          </w:tcPr>
          <w:p w:rsidR="00734173" w:rsidRPr="00734173" w:rsidP="00734173">
            <w:pPr>
              <w:spacing w:line="240" w:lineRule="auto"/>
              <w:ind w:right="23"/>
              <w:rPr>
                <w:rFonts w:ascii="Tahoma" w:eastAsia="Calibri" w:hAnsi="Tahoma" w:cs="Tahoma"/>
                <w:sz w:val="19"/>
                <w:szCs w:val="19"/>
                <w:rtl/>
              </w:rPr>
            </w:pPr>
            <w:r w:rsidRPr="00734173">
              <w:rPr>
                <w:rFonts w:ascii="Tahoma" w:eastAsia="Calibri" w:hAnsi="Tahoma" w:cs="Tahoma" w:hint="cs"/>
                <w:sz w:val="19"/>
                <w:szCs w:val="19"/>
                <w:rtl/>
              </w:rPr>
              <w:t>השנה האחרונה שבה ערכה הסנגוריה סקר שביעות רצון בקרב לקוחותיה</w:t>
            </w:r>
          </w:p>
        </w:tc>
        <w:tc>
          <w:tcPr>
            <w:tcW w:w="417" w:type="dxa"/>
          </w:tcPr>
          <w:p w:rsidR="00734173" w:rsidRPr="00734173" w:rsidP="00734173">
            <w:pPr>
              <w:spacing w:line="240" w:lineRule="auto"/>
              <w:rPr>
                <w:rFonts w:ascii="Tahoma" w:eastAsia="Calibri" w:hAnsi="Tahoma" w:cs="Tahoma"/>
                <w:sz w:val="19"/>
                <w:szCs w:val="19"/>
                <w:rtl/>
              </w:rPr>
            </w:pPr>
          </w:p>
        </w:tc>
        <w:tc>
          <w:tcPr>
            <w:tcW w:w="2135" w:type="dxa"/>
          </w:tcPr>
          <w:p w:rsidR="00734173" w:rsidRPr="00734173" w:rsidP="00734173">
            <w:pPr>
              <w:spacing w:line="240" w:lineRule="auto"/>
              <w:ind w:right="23"/>
              <w:rPr>
                <w:rFonts w:ascii="Tahoma" w:eastAsia="Calibri" w:hAnsi="Tahoma" w:cs="Tahoma"/>
                <w:sz w:val="19"/>
                <w:szCs w:val="19"/>
                <w:rtl/>
              </w:rPr>
            </w:pPr>
            <w:r w:rsidRPr="00734173">
              <w:rPr>
                <w:rFonts w:ascii="Tahoma" w:eastAsia="Calibri" w:hAnsi="Tahoma" w:cs="Tahoma" w:hint="cs"/>
                <w:sz w:val="19"/>
                <w:szCs w:val="19"/>
                <w:rtl/>
              </w:rPr>
              <w:t xml:space="preserve">נערכו בשנת 2024 על ידי מחוזות הסנגוריה, פיקוחי עומק שמשמשים </w:t>
            </w:r>
            <w:r w:rsidRPr="00734173">
              <w:rPr>
                <w:rFonts w:ascii="Tahoma" w:eastAsia="Calibri" w:hAnsi="Tahoma" w:cs="Tahoma" w:hint="eastAsia"/>
                <w:sz w:val="19"/>
                <w:szCs w:val="19"/>
                <w:rtl/>
              </w:rPr>
              <w:t>כלי</w:t>
            </w:r>
            <w:r w:rsidRPr="00734173">
              <w:rPr>
                <w:rFonts w:ascii="Tahoma" w:eastAsia="Calibri" w:hAnsi="Tahoma" w:cs="Tahoma"/>
                <w:sz w:val="19"/>
                <w:szCs w:val="19"/>
                <w:rtl/>
              </w:rPr>
              <w:t xml:space="preserve"> מרכזי </w:t>
            </w:r>
            <w:r w:rsidRPr="00734173">
              <w:rPr>
                <w:rFonts w:ascii="Tahoma" w:eastAsia="Calibri" w:hAnsi="Tahoma" w:cs="Tahoma" w:hint="eastAsia"/>
                <w:sz w:val="19"/>
                <w:szCs w:val="19"/>
                <w:rtl/>
              </w:rPr>
              <w:t>מתוך</w:t>
            </w:r>
            <w:r w:rsidRPr="00734173">
              <w:rPr>
                <w:rFonts w:ascii="Tahoma" w:eastAsia="Calibri" w:hAnsi="Tahoma" w:cs="Tahoma"/>
                <w:sz w:val="19"/>
                <w:szCs w:val="19"/>
                <w:rtl/>
              </w:rPr>
              <w:t xml:space="preserve"> </w:t>
            </w:r>
            <w:r w:rsidRPr="00734173">
              <w:rPr>
                <w:rFonts w:ascii="Tahoma" w:eastAsia="Calibri" w:hAnsi="Tahoma" w:cs="Tahoma" w:hint="eastAsia"/>
                <w:sz w:val="19"/>
                <w:szCs w:val="19"/>
                <w:rtl/>
              </w:rPr>
              <w:t>מגוון</w:t>
            </w:r>
            <w:r w:rsidRPr="00734173">
              <w:rPr>
                <w:rFonts w:ascii="Tahoma" w:eastAsia="Calibri" w:hAnsi="Tahoma" w:cs="Tahoma"/>
                <w:sz w:val="19"/>
                <w:szCs w:val="19"/>
                <w:rtl/>
              </w:rPr>
              <w:t xml:space="preserve"> </w:t>
            </w:r>
            <w:r w:rsidRPr="00734173">
              <w:rPr>
                <w:rFonts w:ascii="Tahoma" w:eastAsia="Calibri" w:hAnsi="Tahoma" w:cs="Tahoma" w:hint="eastAsia"/>
                <w:sz w:val="19"/>
                <w:szCs w:val="19"/>
                <w:rtl/>
              </w:rPr>
              <w:t>הכלים</w:t>
            </w:r>
            <w:r w:rsidRPr="00734173">
              <w:rPr>
                <w:rFonts w:ascii="Tahoma" w:eastAsia="Calibri" w:hAnsi="Tahoma" w:cs="Tahoma"/>
                <w:sz w:val="19"/>
                <w:szCs w:val="19"/>
                <w:rtl/>
              </w:rPr>
              <w:t xml:space="preserve"> </w:t>
            </w:r>
            <w:r w:rsidRPr="00734173">
              <w:rPr>
                <w:rFonts w:ascii="Tahoma" w:eastAsia="Calibri" w:hAnsi="Tahoma" w:cs="Tahoma" w:hint="cs"/>
                <w:sz w:val="19"/>
                <w:szCs w:val="19"/>
                <w:rtl/>
              </w:rPr>
              <w:t>שבאמצעותם</w:t>
            </w:r>
            <w:r w:rsidRPr="00734173">
              <w:rPr>
                <w:rFonts w:ascii="Tahoma" w:eastAsia="Calibri" w:hAnsi="Tahoma" w:cs="Tahoma"/>
                <w:sz w:val="19"/>
                <w:szCs w:val="19"/>
                <w:rtl/>
              </w:rPr>
              <w:t xml:space="preserve"> </w:t>
            </w:r>
            <w:r w:rsidRPr="00734173">
              <w:rPr>
                <w:rFonts w:ascii="Tahoma" w:eastAsia="Calibri" w:hAnsi="Tahoma" w:cs="Tahoma" w:hint="eastAsia"/>
                <w:sz w:val="19"/>
                <w:szCs w:val="19"/>
                <w:rtl/>
              </w:rPr>
              <w:t>מעריכה</w:t>
            </w:r>
            <w:r w:rsidRPr="00734173">
              <w:rPr>
                <w:rFonts w:ascii="Tahoma" w:eastAsia="Calibri" w:hAnsi="Tahoma" w:cs="Tahoma"/>
                <w:sz w:val="19"/>
                <w:szCs w:val="19"/>
                <w:rtl/>
              </w:rPr>
              <w:t xml:space="preserve"> </w:t>
            </w:r>
            <w:r w:rsidRPr="00734173">
              <w:rPr>
                <w:rFonts w:ascii="Tahoma" w:eastAsia="Calibri" w:hAnsi="Tahoma" w:cs="Tahoma" w:hint="eastAsia"/>
                <w:sz w:val="19"/>
                <w:szCs w:val="19"/>
                <w:rtl/>
              </w:rPr>
              <w:t>הסנגוריה</w:t>
            </w:r>
            <w:r w:rsidRPr="00734173">
              <w:rPr>
                <w:rFonts w:ascii="Tahoma" w:eastAsia="Calibri" w:hAnsi="Tahoma" w:cs="Tahoma"/>
                <w:sz w:val="19"/>
                <w:szCs w:val="19"/>
                <w:rtl/>
              </w:rPr>
              <w:t xml:space="preserve"> </w:t>
            </w:r>
            <w:r w:rsidRPr="00734173">
              <w:rPr>
                <w:rFonts w:ascii="Tahoma" w:eastAsia="Calibri" w:hAnsi="Tahoma" w:cs="Tahoma" w:hint="eastAsia"/>
                <w:sz w:val="19"/>
                <w:szCs w:val="19"/>
                <w:rtl/>
              </w:rPr>
              <w:t>את</w:t>
            </w:r>
            <w:r w:rsidRPr="00734173">
              <w:rPr>
                <w:rFonts w:ascii="Tahoma" w:eastAsia="Calibri" w:hAnsi="Tahoma" w:cs="Tahoma"/>
                <w:sz w:val="19"/>
                <w:szCs w:val="19"/>
                <w:rtl/>
              </w:rPr>
              <w:t xml:space="preserve"> </w:t>
            </w:r>
            <w:r w:rsidRPr="00734173">
              <w:rPr>
                <w:rFonts w:ascii="Tahoma" w:eastAsia="Calibri" w:hAnsi="Tahoma" w:cs="Tahoma" w:hint="eastAsia"/>
                <w:sz w:val="19"/>
                <w:szCs w:val="19"/>
                <w:rtl/>
              </w:rPr>
              <w:t>איכות</w:t>
            </w:r>
            <w:r w:rsidRPr="00734173">
              <w:rPr>
                <w:rFonts w:ascii="Tahoma" w:eastAsia="Calibri" w:hAnsi="Tahoma" w:cs="Tahoma"/>
                <w:sz w:val="19"/>
                <w:szCs w:val="19"/>
                <w:rtl/>
              </w:rPr>
              <w:t xml:space="preserve"> </w:t>
            </w:r>
            <w:r w:rsidRPr="00734173">
              <w:rPr>
                <w:rFonts w:ascii="Tahoma" w:eastAsia="Calibri" w:hAnsi="Tahoma" w:cs="Tahoma" w:hint="eastAsia"/>
                <w:sz w:val="19"/>
                <w:szCs w:val="19"/>
                <w:rtl/>
              </w:rPr>
              <w:t>הייצוג</w:t>
            </w:r>
            <w:r w:rsidRPr="00734173">
              <w:rPr>
                <w:rFonts w:ascii="Tahoma" w:eastAsia="Calibri" w:hAnsi="Tahoma" w:cs="Tahoma"/>
                <w:sz w:val="19"/>
                <w:szCs w:val="19"/>
                <w:rtl/>
              </w:rPr>
              <w:t xml:space="preserve"> </w:t>
            </w:r>
            <w:r w:rsidRPr="00734173">
              <w:rPr>
                <w:rFonts w:ascii="Tahoma" w:eastAsia="Calibri" w:hAnsi="Tahoma" w:cs="Tahoma" w:hint="eastAsia"/>
                <w:sz w:val="19"/>
                <w:szCs w:val="19"/>
                <w:rtl/>
              </w:rPr>
              <w:t>של</w:t>
            </w:r>
            <w:r w:rsidRPr="00734173">
              <w:rPr>
                <w:rFonts w:ascii="Tahoma" w:eastAsia="Calibri" w:hAnsi="Tahoma" w:cs="Tahoma"/>
                <w:sz w:val="19"/>
                <w:szCs w:val="19"/>
                <w:rtl/>
              </w:rPr>
              <w:t xml:space="preserve"> </w:t>
            </w:r>
            <w:r w:rsidRPr="00734173">
              <w:rPr>
                <w:rFonts w:ascii="Tahoma" w:eastAsia="Calibri" w:hAnsi="Tahoma" w:cs="Tahoma" w:hint="eastAsia"/>
                <w:sz w:val="19"/>
                <w:szCs w:val="19"/>
                <w:rtl/>
              </w:rPr>
              <w:t>הסנגורים</w:t>
            </w:r>
            <w:r w:rsidRPr="00734173">
              <w:rPr>
                <w:rFonts w:ascii="Tahoma" w:eastAsia="Calibri" w:hAnsi="Tahoma" w:cs="Tahoma"/>
                <w:sz w:val="19"/>
                <w:szCs w:val="19"/>
                <w:rtl/>
              </w:rPr>
              <w:t xml:space="preserve"> </w:t>
            </w:r>
            <w:r w:rsidRPr="00734173">
              <w:rPr>
                <w:rFonts w:ascii="Tahoma" w:eastAsia="Calibri" w:hAnsi="Tahoma" w:cs="Tahoma" w:hint="eastAsia"/>
                <w:sz w:val="19"/>
                <w:szCs w:val="19"/>
                <w:rtl/>
              </w:rPr>
              <w:t>מטעמה</w:t>
            </w:r>
          </w:p>
        </w:tc>
        <w:tc>
          <w:tcPr>
            <w:tcW w:w="417" w:type="dxa"/>
          </w:tcPr>
          <w:p w:rsidR="00734173" w:rsidRPr="00734173" w:rsidP="00734173">
            <w:pPr>
              <w:spacing w:line="240" w:lineRule="auto"/>
              <w:rPr>
                <w:rFonts w:ascii="Tahoma" w:eastAsia="Calibri" w:hAnsi="Tahoma" w:cs="Tahoma"/>
                <w:sz w:val="19"/>
                <w:szCs w:val="19"/>
                <w:rtl/>
              </w:rPr>
            </w:pPr>
          </w:p>
        </w:tc>
        <w:tc>
          <w:tcPr>
            <w:tcW w:w="1990" w:type="dxa"/>
          </w:tcPr>
          <w:p w:rsidR="00734173" w:rsidRPr="00734173" w:rsidP="00734173">
            <w:pPr>
              <w:spacing w:line="240" w:lineRule="auto"/>
              <w:ind w:right="23"/>
              <w:rPr>
                <w:rFonts w:ascii="Tahoma" w:eastAsia="Calibri" w:hAnsi="Tahoma" w:cs="Tahoma"/>
                <w:sz w:val="20"/>
                <w:szCs w:val="20"/>
                <w:rtl/>
              </w:rPr>
            </w:pPr>
            <w:r w:rsidRPr="00734173">
              <w:rPr>
                <w:rFonts w:ascii="Tahoma" w:eastAsia="Calibri" w:hAnsi="Tahoma" w:cs="Tahoma" w:hint="cs"/>
                <w:sz w:val="20"/>
                <w:szCs w:val="20"/>
                <w:rtl/>
              </w:rPr>
              <w:t>שלגביהם מצוי מידע רגיש במאגר המידע הממוחשב של הסנגוריה, בלא שהופעל</w:t>
            </w:r>
            <w:r w:rsidRPr="00734173">
              <w:rPr>
                <w:rFonts w:ascii="Tahoma" w:eastAsia="Calibri" w:hAnsi="Tahoma" w:cs="Tahoma"/>
                <w:sz w:val="20"/>
                <w:szCs w:val="20"/>
                <w:rtl/>
              </w:rPr>
              <w:t xml:space="preserve"> כלי טכנולוגי לבקרה על הגישה </w:t>
            </w:r>
            <w:r w:rsidRPr="00734173">
              <w:rPr>
                <w:rFonts w:ascii="Tahoma" w:eastAsia="Calibri" w:hAnsi="Tahoma" w:cs="Tahoma" w:hint="cs"/>
                <w:sz w:val="20"/>
                <w:szCs w:val="20"/>
                <w:rtl/>
              </w:rPr>
              <w:t>אליו</w:t>
            </w:r>
            <w:r w:rsidRPr="00734173">
              <w:rPr>
                <w:rFonts w:ascii="Tahoma" w:eastAsia="Calibri" w:hAnsi="Tahoma" w:cs="Tahoma"/>
                <w:sz w:val="20"/>
                <w:szCs w:val="20"/>
                <w:rtl/>
              </w:rPr>
              <w:t xml:space="preserve"> </w:t>
            </w:r>
          </w:p>
          <w:p w:rsidR="00734173" w:rsidRPr="00734173" w:rsidP="00734173">
            <w:pPr>
              <w:spacing w:line="240" w:lineRule="auto"/>
              <w:rPr>
                <w:rFonts w:ascii="Tahoma" w:eastAsia="Calibri" w:hAnsi="Tahoma" w:cs="Tahoma"/>
                <w:sz w:val="19"/>
                <w:szCs w:val="19"/>
                <w:rtl/>
              </w:rPr>
            </w:pPr>
          </w:p>
        </w:tc>
      </w:tr>
      <w:bookmarkEnd w:id="3"/>
      <w:tr w:rsidTr="00734173">
        <w:tblPrEx>
          <w:tblW w:w="9642" w:type="dxa"/>
          <w:tblLook w:val="04A0"/>
        </w:tblPrEx>
        <w:trPr>
          <w:trHeight w:val="148"/>
        </w:trPr>
        <w:tc>
          <w:tcPr>
            <w:tcW w:w="9642" w:type="dxa"/>
            <w:gridSpan w:val="7"/>
          </w:tcPr>
          <w:p w:rsidR="00734173" w:rsidRPr="00734173" w:rsidP="00734173">
            <w:pPr>
              <w:spacing w:line="288" w:lineRule="auto"/>
              <w:jc w:val="both"/>
              <w:rPr>
                <w:rFonts w:ascii="Tahoma" w:eastAsia="Calibri" w:hAnsi="Tahoma" w:cs="Tahoma"/>
                <w:sz w:val="6"/>
                <w:szCs w:val="6"/>
                <w:rtl/>
              </w:rPr>
            </w:pPr>
          </w:p>
        </w:tc>
      </w:tr>
    </w:tbl>
    <w:p w:rsidR="00734173" w:rsidRPr="00734173" w:rsidP="00734173">
      <w:pPr>
        <w:spacing w:line="288" w:lineRule="auto"/>
        <w:rPr>
          <w:rFonts w:eastAsia="Calibri"/>
          <w:rtl/>
        </w:rPr>
      </w:pPr>
    </w:p>
    <w:tbl>
      <w:tblPr>
        <w:tblStyle w:val="110"/>
        <w:tblpPr w:leftFromText="180" w:rightFromText="180" w:vertAnchor="text" w:tblpXSpec="center" w:tblpY="1"/>
        <w:tblOverlap w:val="never"/>
        <w:bidiVisual/>
        <w:tblW w:w="96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37"/>
        <w:gridCol w:w="8380"/>
      </w:tblGrid>
      <w:tr w:rsidTr="001560B0">
        <w:tblPrEx>
          <w:tblW w:w="96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95"/>
        </w:trPr>
        <w:tc>
          <w:tcPr>
            <w:tcW w:w="9617" w:type="dxa"/>
            <w:gridSpan w:val="2"/>
            <w:vAlign w:val="center"/>
          </w:tcPr>
          <w:p w:rsidR="00734173" w:rsidRPr="00734173" w:rsidP="00734173">
            <w:pPr>
              <w:spacing w:line="288" w:lineRule="auto"/>
              <w:jc w:val="both"/>
              <w:rPr>
                <w:rFonts w:ascii="Tahoma" w:eastAsia="Calibri" w:hAnsi="Tahoma" w:cs="Tahoma"/>
                <w:sz w:val="17"/>
                <w:szCs w:val="17"/>
                <w:rtl/>
              </w:rPr>
            </w:pPr>
            <w:r w:rsidRPr="00734173">
              <w:rPr>
                <w:rFonts w:ascii="Tahoma" w:eastAsia="Calibri" w:hAnsi="Tahoma" w:cs="Tahoma"/>
                <w:noProof/>
              </w:rPr>
              <w:drawing>
                <wp:inline distT="0" distB="0" distL="0" distR="0">
                  <wp:extent cx="5969635" cy="498472"/>
                  <wp:effectExtent l="0" t="0" r="0" b="0"/>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תקציר תמונה 3.3.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6013954" cy="502173"/>
                          </a:xfrm>
                          <a:prstGeom prst="rect">
                            <a:avLst/>
                          </a:prstGeom>
                        </pic:spPr>
                      </pic:pic>
                    </a:graphicData>
                  </a:graphic>
                </wp:inline>
              </w:drawing>
            </w:r>
          </w:p>
        </w:tc>
      </w:tr>
      <w:tr w:rsidTr="001560B0">
        <w:tblPrEx>
          <w:tblW w:w="9617" w:type="dxa"/>
          <w:tblLook w:val="04A0"/>
        </w:tblPrEx>
        <w:trPr>
          <w:trHeight w:val="1019"/>
        </w:trPr>
        <w:tc>
          <w:tcPr>
            <w:tcW w:w="1237" w:type="dxa"/>
            <w:vAlign w:val="center"/>
          </w:tcPr>
          <w:p w:rsidR="00734173" w:rsidRPr="00734173" w:rsidP="00734173">
            <w:pPr>
              <w:spacing w:line="288" w:lineRule="auto"/>
              <w:jc w:val="both"/>
              <w:rPr>
                <w:rFonts w:ascii="Tahoma" w:eastAsia="Calibri" w:hAnsi="Tahoma" w:cs="Tahoma"/>
                <w:sz w:val="17"/>
                <w:szCs w:val="17"/>
                <w:rtl/>
              </w:rPr>
            </w:pPr>
            <w:r w:rsidRPr="00734173">
              <w:rPr>
                <w:rFonts w:ascii="Tahoma" w:eastAsia="Calibri" w:hAnsi="Tahoma" w:cs="Tahoma"/>
                <w:noProof/>
              </w:rPr>
              <w:drawing>
                <wp:anchor distT="0" distB="0" distL="114300" distR="114300" simplePos="0" relativeHeight="251659264" behindDoc="0" locked="0" layoutInCell="1" allowOverlap="1">
                  <wp:simplePos x="0" y="0"/>
                  <wp:positionH relativeFrom="column">
                    <wp:posOffset>142240</wp:posOffset>
                  </wp:positionH>
                  <wp:positionV relativeFrom="paragraph">
                    <wp:posOffset>-593725</wp:posOffset>
                  </wp:positionV>
                  <wp:extent cx="397510" cy="535305"/>
                  <wp:effectExtent l="0" t="0" r="2540" b="0"/>
                  <wp:wrapNone/>
                  <wp:docPr id="8"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6"/>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97510" cy="5353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34173">
              <w:rPr>
                <w:rFonts w:ascii="Tahoma" w:eastAsia="Calibri" w:hAnsi="Tahoma" w:cs="Tahoma"/>
                <w:noProof/>
              </w:rPr>
              <w:drawing>
                <wp:anchor distT="0" distB="0" distL="114300" distR="114300" simplePos="0" relativeHeight="251658240" behindDoc="0" locked="0" layoutInCell="1" allowOverlap="1">
                  <wp:simplePos x="0" y="0"/>
                  <wp:positionH relativeFrom="column">
                    <wp:posOffset>5289550</wp:posOffset>
                  </wp:positionH>
                  <wp:positionV relativeFrom="paragraph">
                    <wp:posOffset>-50800</wp:posOffset>
                  </wp:positionV>
                  <wp:extent cx="445135" cy="445135"/>
                  <wp:effectExtent l="0" t="0" r="0" b="0"/>
                  <wp:wrapNone/>
                  <wp:docPr id="17" name="תמונה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56"/>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45135" cy="4451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380" w:type="dxa"/>
            <w:vAlign w:val="center"/>
          </w:tcPr>
          <w:p w:rsidR="00734173" w:rsidRPr="00734173" w:rsidP="00734173">
            <w:pPr>
              <w:spacing w:after="120" w:line="288" w:lineRule="auto"/>
              <w:jc w:val="both"/>
              <w:rPr>
                <w:rFonts w:ascii="Tahoma" w:eastAsia="Calibri" w:hAnsi="Tahoma" w:cs="Tahoma"/>
                <w:sz w:val="19"/>
                <w:szCs w:val="19"/>
                <w:rtl/>
              </w:rPr>
            </w:pPr>
            <w:r w:rsidRPr="00734173">
              <w:rPr>
                <w:rFonts w:ascii="Tahoma" w:eastAsia="Calibri" w:hAnsi="Tahoma" w:cs="Tahoma"/>
                <w:sz w:val="19"/>
                <w:szCs w:val="19"/>
                <w:rtl/>
              </w:rPr>
              <w:t>בחודשים דצמבר 2024 - דצמבר 2025 בדק משרד מבקר המדינה נושאים הנוגעים לפעילות הסנגוריה הציבורית, ובכללם הפיקוח על עבודת הסנגורים החיצוניים, שכר הטרחה של הסנגורים החיצוניים, זכאות לקוחות הסנגוריה לייצוג ואגרות הסנגוריה הציבורית וכן היבטים ב</w:t>
            </w:r>
            <w:r w:rsidRPr="00734173">
              <w:rPr>
                <w:rFonts w:ascii="Tahoma" w:eastAsia="Calibri" w:hAnsi="Tahoma" w:cs="Tahoma" w:hint="cs"/>
                <w:sz w:val="19"/>
                <w:szCs w:val="19"/>
                <w:rtl/>
              </w:rPr>
              <w:t>אבטחת המידע ו</w:t>
            </w:r>
            <w:r w:rsidRPr="00734173">
              <w:rPr>
                <w:rFonts w:ascii="Tahoma" w:eastAsia="Calibri" w:hAnsi="Tahoma" w:cs="Tahoma"/>
                <w:sz w:val="19"/>
                <w:szCs w:val="19"/>
                <w:rtl/>
              </w:rPr>
              <w:t xml:space="preserve">הגנת הפרטיות במאגר המידע של הסנגוריה הציבורית. </w:t>
            </w:r>
            <w:r w:rsidRPr="00734173">
              <w:rPr>
                <w:rFonts w:ascii="Tahoma" w:eastAsia="Calibri" w:hAnsi="Tahoma" w:cs="Tahoma" w:hint="cs"/>
                <w:sz w:val="19"/>
                <w:szCs w:val="19"/>
                <w:rtl/>
              </w:rPr>
              <w:t xml:space="preserve">בירורי השלמה בוצעו בחודשים ינואר - מרץ 2026. </w:t>
            </w:r>
          </w:p>
          <w:p w:rsidR="00734173" w:rsidRPr="00734173" w:rsidP="00734173">
            <w:pPr>
              <w:spacing w:line="288" w:lineRule="auto"/>
              <w:jc w:val="both"/>
              <w:rPr>
                <w:rFonts w:ascii="Tahoma" w:eastAsia="Calibri" w:hAnsi="Tahoma" w:cs="Tahoma"/>
                <w:sz w:val="19"/>
                <w:szCs w:val="19"/>
                <w:rtl/>
              </w:rPr>
            </w:pPr>
            <w:r w:rsidRPr="00734173">
              <w:rPr>
                <w:rFonts w:ascii="Tahoma" w:eastAsia="Calibri" w:hAnsi="Tahoma" w:cs="Tahoma"/>
                <w:sz w:val="19"/>
                <w:szCs w:val="19"/>
                <w:rtl/>
              </w:rPr>
              <w:t xml:space="preserve">הביקורת נעשתה בסנגוריה הציבורית ובמטה משרד המשפטים. בדיקות השלמה נעשו בפרקליטות המדינה, ביחידת התביעות המשטרתית, בלשכת עורכי הדין, בהנהלת בתי המשפט, ברשות האוכלוסין וההגירה, ברשות להגנת הפרטיות, במערך הדיגיטל הלאומי - היחידה להגנת הסייבר בממשלה וכן במרכז לגביית קנסות, אגרות והוצאות ברשות האכיפה והגבייה. </w:t>
            </w:r>
          </w:p>
        </w:tc>
      </w:tr>
    </w:tbl>
    <w:p w:rsidR="00734173" w:rsidRPr="00734173" w:rsidP="00734173">
      <w:pPr>
        <w:spacing w:line="288" w:lineRule="auto"/>
        <w:ind w:left="-710"/>
        <w:rPr>
          <w:rFonts w:ascii="Tahoma" w:eastAsia="Calibri" w:hAnsi="Tahoma" w:cs="Tahoma"/>
          <w:noProof/>
          <w:rtl/>
        </w:rPr>
      </w:pPr>
      <w:r w:rsidRPr="00734173">
        <w:rPr>
          <w:rFonts w:ascii="Tahoma" w:eastAsia="Calibri" w:hAnsi="Tahoma" w:cs="Tahoma"/>
          <w:noProof/>
        </w:rPr>
        <w:drawing>
          <wp:inline distT="0" distB="0" distL="0" distR="0">
            <wp:extent cx="6104255" cy="438829"/>
            <wp:effectExtent l="0" t="0" r="0" b="0"/>
            <wp:docPr id="9"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תקציר תמונה 2.2.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6327802" cy="454900"/>
                    </a:xfrm>
                    <a:prstGeom prst="rect">
                      <a:avLst/>
                    </a:prstGeom>
                  </pic:spPr>
                </pic:pic>
              </a:graphicData>
            </a:graphic>
          </wp:inline>
        </w:drawing>
      </w:r>
    </w:p>
    <w:p w:rsidR="00734173" w:rsidRPr="00734173" w:rsidP="00734173">
      <w:pPr>
        <w:spacing w:before="240" w:after="160" w:line="288" w:lineRule="auto"/>
        <w:ind w:left="-709" w:right="-567"/>
        <w:rPr>
          <w:rFonts w:eastAsia="Calibri"/>
          <w:rtl/>
        </w:rPr>
      </w:pPr>
      <w:r w:rsidRPr="00734173">
        <w:rPr>
          <w:rFonts w:ascii="Tahoma" w:eastAsia="Calibri" w:hAnsi="Tahoma" w:cs="Tahoma"/>
          <w:noProof/>
          <w:rtl/>
        </w:rPr>
        <w:drawing>
          <wp:inline distT="0" distB="0" distL="0" distR="0">
            <wp:extent cx="2616789" cy="200650"/>
            <wp:effectExtent l="0" t="0" r="0" b="9525"/>
            <wp:docPr id="1743882411"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882411" name="DISLIKE.png"/>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616789" cy="200650"/>
                    </a:xfrm>
                    <a:prstGeom prst="rect">
                      <a:avLst/>
                    </a:prstGeom>
                  </pic:spPr>
                </pic:pic>
              </a:graphicData>
            </a:graphic>
          </wp:inline>
        </w:drawing>
      </w:r>
    </w:p>
    <w:p w:rsidR="00734173" w:rsidRPr="00680568" w:rsidP="00734173">
      <w:pPr>
        <w:spacing w:line="288" w:lineRule="auto"/>
        <w:ind w:left="-710" w:right="-567"/>
        <w:rPr>
          <w:rFonts w:ascii="Tahoma" w:eastAsia="Calibri" w:hAnsi="Tahoma" w:cs="Tahoma"/>
          <w:b/>
          <w:bCs/>
          <w:sz w:val="22"/>
          <w:szCs w:val="22"/>
          <w:rtl/>
        </w:rPr>
      </w:pPr>
      <w:r w:rsidRPr="00680568">
        <w:rPr>
          <w:rFonts w:ascii="Tahoma" w:eastAsia="Calibri" w:hAnsi="Tahoma" w:cs="Tahoma" w:hint="cs"/>
          <w:b/>
          <w:bCs/>
          <w:sz w:val="22"/>
          <w:szCs w:val="22"/>
          <w:rtl/>
        </w:rPr>
        <w:t>היבטים כספיים בייצוג לקוחות הסנגוריה</w:t>
      </w:r>
    </w:p>
    <w:p w:rsidR="00734173" w:rsidRPr="00734173" w:rsidP="00734173">
      <w:pPr>
        <w:numPr>
          <w:ilvl w:val="0"/>
          <w:numId w:val="14"/>
        </w:numPr>
        <w:spacing w:after="240" w:line="288" w:lineRule="auto"/>
        <w:ind w:left="-143" w:right="-567" w:hanging="595"/>
        <w:rPr>
          <w:rFonts w:ascii="Tahoma" w:eastAsia="Calibri" w:hAnsi="Tahoma" w:cs="Tahoma"/>
          <w:sz w:val="19"/>
          <w:szCs w:val="19"/>
        </w:rPr>
      </w:pPr>
      <w:bookmarkStart w:id="4" w:name="_Hlk228108844"/>
      <w:r w:rsidRPr="00734173">
        <w:rPr>
          <w:rFonts w:ascii="Tahoma" w:eastAsia="Calibri" w:hAnsi="Tahoma" w:cs="Tahoma" w:hint="cs"/>
          <w:b/>
          <w:bCs/>
          <w:sz w:val="19"/>
          <w:szCs w:val="19"/>
          <w:rtl/>
        </w:rPr>
        <w:t xml:space="preserve">בקרה על המידע שבבסיס קביעת הזכאות הכלכלית לייצוג של עצורים </w:t>
      </w:r>
      <w:r w:rsidRPr="00734173">
        <w:rPr>
          <w:rFonts w:ascii="Tahoma" w:eastAsia="Calibri" w:hAnsi="Tahoma" w:cs="Tahoma" w:hint="cs"/>
          <w:sz w:val="19"/>
          <w:szCs w:val="19"/>
          <w:rtl/>
        </w:rPr>
        <w:t xml:space="preserve">- </w:t>
      </w:r>
      <w:r w:rsidRPr="00734173">
        <w:rPr>
          <w:rFonts w:ascii="Tahoma" w:eastAsia="Calibri" w:hAnsi="Tahoma" w:cs="Tahoma"/>
          <w:sz w:val="19"/>
          <w:szCs w:val="19"/>
          <w:rtl/>
        </w:rPr>
        <w:t>זכאות כלכלית הי</w:t>
      </w:r>
      <w:r w:rsidRPr="00734173">
        <w:rPr>
          <w:rFonts w:ascii="Tahoma" w:eastAsia="Calibri" w:hAnsi="Tahoma" w:cs="Tahoma" w:hint="cs"/>
          <w:sz w:val="19"/>
          <w:szCs w:val="19"/>
          <w:rtl/>
        </w:rPr>
        <w:t>א</w:t>
      </w:r>
      <w:r w:rsidRPr="00734173">
        <w:rPr>
          <w:rFonts w:ascii="Tahoma" w:eastAsia="Calibri" w:hAnsi="Tahoma" w:cs="Tahoma"/>
          <w:sz w:val="19"/>
          <w:szCs w:val="19"/>
          <w:rtl/>
        </w:rPr>
        <w:t xml:space="preserve"> תנאי לקיומה של עילת ייצוג </w:t>
      </w:r>
      <w:r w:rsidRPr="00734173">
        <w:rPr>
          <w:rFonts w:ascii="Tahoma" w:eastAsia="Calibri" w:hAnsi="Tahoma" w:cs="Tahoma" w:hint="cs"/>
          <w:sz w:val="19"/>
          <w:szCs w:val="19"/>
          <w:rtl/>
        </w:rPr>
        <w:t xml:space="preserve">בעיקר של </w:t>
      </w:r>
      <w:r w:rsidRPr="00734173">
        <w:rPr>
          <w:rFonts w:ascii="Tahoma" w:eastAsia="Calibri" w:hAnsi="Tahoma" w:cs="Tahoma"/>
          <w:sz w:val="19"/>
          <w:szCs w:val="19"/>
          <w:rtl/>
        </w:rPr>
        <w:t xml:space="preserve">עצורים </w:t>
      </w:r>
      <w:r w:rsidRPr="00734173">
        <w:rPr>
          <w:rFonts w:ascii="Tahoma" w:eastAsia="Calibri" w:hAnsi="Tahoma" w:cs="Tahoma" w:hint="cs"/>
          <w:sz w:val="19"/>
          <w:szCs w:val="19"/>
          <w:rtl/>
        </w:rPr>
        <w:t>ו</w:t>
      </w:r>
      <w:r w:rsidRPr="00734173">
        <w:rPr>
          <w:rFonts w:ascii="Tahoma" w:eastAsia="Calibri" w:hAnsi="Tahoma" w:cs="Tahoma"/>
          <w:sz w:val="19"/>
          <w:szCs w:val="19"/>
          <w:rtl/>
        </w:rPr>
        <w:t>מדינת ישראל משקיעה כ-20 מיליון ש"ח בשנה בייצוג לקוחות עצורים</w:t>
      </w:r>
      <w:r w:rsidRPr="00734173">
        <w:rPr>
          <w:rFonts w:ascii="Tahoma" w:eastAsia="Calibri" w:hAnsi="Tahoma" w:cs="Tahoma" w:hint="cs"/>
          <w:sz w:val="19"/>
          <w:szCs w:val="19"/>
          <w:rtl/>
        </w:rPr>
        <w:t>,</w:t>
      </w:r>
      <w:r w:rsidRPr="00734173">
        <w:rPr>
          <w:rFonts w:ascii="Tahoma" w:eastAsia="Calibri" w:hAnsi="Tahoma" w:cs="Tahoma"/>
          <w:sz w:val="19"/>
          <w:szCs w:val="19"/>
          <w:rtl/>
        </w:rPr>
        <w:t xml:space="preserve"> שאמורים לעמוד בתנאי הזכאות הכלכלית שנקבעו לקבלת ייצוג על חשבון המדינה בשלב המעצר.</w:t>
      </w:r>
      <w:r w:rsidRPr="00734173">
        <w:rPr>
          <w:rFonts w:ascii="Tahoma" w:eastAsia="Calibri" w:hAnsi="Tahoma" w:cs="Tahoma" w:hint="cs"/>
          <w:sz w:val="19"/>
          <w:szCs w:val="19"/>
          <w:rtl/>
        </w:rPr>
        <w:t xml:space="preserve"> אף שכבר בשנת 2022 הצביעו ממצאי הביקורת הפנימית על הסנגוריה כי מחוזות הסנגוריה הציבורית לא ביצעו כל בקרה - מדגמית או אחרת - לאימות נכונות הפרטים שמסרו העצורים בשאלון בדיקת הזכאות הכלכלית שמילאו, הדבר לא תוקן עד מועד סיום ביקורת זו של משרד מבקר המדינה. האחוזים הגבוהים של פניות בתחנות המשטרה שפוניהן נמצאו זכאים לייצוג הסנגוריה (79% מכלל הפניות) ובפרט במעצר ימים (99.73%), לצד אחוז המעבר של 12% מאותם זכאים לייצוג פרטי בהליכים אלו עשויים ללמד על בקרה חסרה על עילת הזכאות הכלכלית. בהיעדר מעקב ובקרה לא ניתן לשלול כי הסנגוריה סיפקה במהלך השנים שירותים משפטיים ללקוחות שכלל לא היו זכאים לכך.</w:t>
      </w:r>
      <w:bookmarkEnd w:id="4"/>
      <w:r w:rsidRPr="00734173">
        <w:rPr>
          <w:rFonts w:ascii="Tahoma" w:eastAsia="Calibri" w:hAnsi="Tahoma" w:cs="Tahoma" w:hint="cs"/>
          <w:sz w:val="19"/>
          <w:szCs w:val="19"/>
          <w:rtl/>
        </w:rPr>
        <w:t xml:space="preserve"> </w:t>
      </w:r>
    </w:p>
    <w:p w:rsidR="00734173" w:rsidRPr="00734173" w:rsidP="00734173">
      <w:pPr>
        <w:numPr>
          <w:ilvl w:val="0"/>
          <w:numId w:val="14"/>
        </w:numPr>
        <w:spacing w:after="240" w:line="288" w:lineRule="auto"/>
        <w:ind w:left="-143" w:right="-567" w:hanging="595"/>
        <w:rPr>
          <w:rFonts w:ascii="Tahoma" w:eastAsia="Calibri" w:hAnsi="Tahoma" w:cs="Tahoma"/>
          <w:sz w:val="19"/>
          <w:szCs w:val="19"/>
        </w:rPr>
      </w:pPr>
      <w:r w:rsidRPr="00734173">
        <w:rPr>
          <w:rFonts w:ascii="Tahoma" w:eastAsia="Calibri" w:hAnsi="Tahoma" w:cs="Tahoma" w:hint="eastAsia"/>
          <w:bCs/>
          <w:sz w:val="19"/>
          <w:szCs w:val="19"/>
          <w:rtl/>
        </w:rPr>
        <w:t>השתתפות</w:t>
      </w:r>
      <w:r w:rsidRPr="00734173">
        <w:rPr>
          <w:rFonts w:ascii="Tahoma" w:eastAsia="Calibri" w:hAnsi="Tahoma" w:cs="Tahoma" w:hint="cs"/>
          <w:bCs/>
          <w:sz w:val="19"/>
          <w:szCs w:val="19"/>
          <w:rtl/>
        </w:rPr>
        <w:t xml:space="preserve"> לקוחות בעלי יכולת כלכלית בעלויות הייצוג </w:t>
      </w:r>
      <w:r w:rsidRPr="00734173">
        <w:rPr>
          <w:rFonts w:ascii="Tahoma" w:eastAsia="Calibri" w:hAnsi="Tahoma" w:cs="Tahoma" w:hint="cs"/>
          <w:b/>
          <w:sz w:val="19"/>
          <w:szCs w:val="19"/>
          <w:rtl/>
        </w:rPr>
        <w:t>-</w:t>
      </w:r>
      <w:r w:rsidRPr="00734173">
        <w:rPr>
          <w:rFonts w:ascii="Tahoma" w:eastAsia="Calibri" w:hAnsi="Tahoma" w:cs="Tahoma" w:hint="cs"/>
          <w:bCs/>
          <w:sz w:val="19"/>
          <w:szCs w:val="19"/>
          <w:rtl/>
        </w:rPr>
        <w:t xml:space="preserve"> </w:t>
      </w:r>
      <w:r w:rsidRPr="00734173">
        <w:rPr>
          <w:rFonts w:ascii="Tahoma" w:eastAsia="Calibri" w:hAnsi="Tahoma" w:cs="Tahoma" w:hint="cs"/>
          <w:sz w:val="19"/>
          <w:szCs w:val="19"/>
          <w:rtl/>
        </w:rPr>
        <w:t xml:space="preserve">מדי שנה מייצגת הסנגוריה בכ-30-20 תיקים של </w:t>
      </w:r>
      <w:r w:rsidRPr="00734173">
        <w:rPr>
          <w:rFonts w:ascii="Tahoma" w:eastAsia="Calibri" w:hAnsi="Tahoma" w:cs="Tahoma" w:hint="eastAsia"/>
          <w:sz w:val="19"/>
          <w:szCs w:val="19"/>
          <w:rtl/>
        </w:rPr>
        <w:t>עבירות</w:t>
      </w:r>
      <w:r w:rsidRPr="00734173">
        <w:rPr>
          <w:rFonts w:ascii="Tahoma" w:eastAsia="Calibri" w:hAnsi="Tahoma" w:cs="Tahoma"/>
          <w:sz w:val="19"/>
          <w:szCs w:val="19"/>
          <w:rtl/>
        </w:rPr>
        <w:t xml:space="preserve"> </w:t>
      </w:r>
      <w:r w:rsidRPr="00734173">
        <w:rPr>
          <w:rFonts w:ascii="Tahoma" w:eastAsia="Calibri" w:hAnsi="Tahoma" w:cs="Tahoma" w:hint="eastAsia"/>
          <w:sz w:val="19"/>
          <w:szCs w:val="19"/>
          <w:rtl/>
        </w:rPr>
        <w:t>כלכליות</w:t>
      </w:r>
      <w:r w:rsidRPr="00734173">
        <w:rPr>
          <w:rFonts w:ascii="Tahoma" w:eastAsia="Calibri" w:hAnsi="Tahoma" w:cs="Tahoma"/>
          <w:sz w:val="19"/>
          <w:szCs w:val="19"/>
          <w:rtl/>
        </w:rPr>
        <w:t xml:space="preserve"> </w:t>
      </w:r>
      <w:r w:rsidRPr="00734173">
        <w:rPr>
          <w:rFonts w:ascii="Tahoma" w:eastAsia="Calibri" w:hAnsi="Tahoma" w:cs="Tahoma" w:hint="eastAsia"/>
          <w:sz w:val="19"/>
          <w:szCs w:val="19"/>
          <w:rtl/>
        </w:rPr>
        <w:t>מורכבות</w:t>
      </w:r>
      <w:r w:rsidRPr="00734173">
        <w:rPr>
          <w:rFonts w:ascii="Tahoma" w:eastAsia="Calibri" w:hAnsi="Tahoma" w:cs="Tahoma"/>
          <w:sz w:val="19"/>
          <w:szCs w:val="19"/>
          <w:rtl/>
        </w:rPr>
        <w:t xml:space="preserve"> </w:t>
      </w:r>
      <w:r w:rsidRPr="00734173">
        <w:rPr>
          <w:rFonts w:ascii="Tahoma" w:eastAsia="Calibri" w:hAnsi="Tahoma" w:cs="Tahoma" w:hint="eastAsia"/>
          <w:sz w:val="19"/>
          <w:szCs w:val="19"/>
          <w:rtl/>
        </w:rPr>
        <w:t>אשר</w:t>
      </w:r>
      <w:r w:rsidRPr="00734173">
        <w:rPr>
          <w:rFonts w:ascii="Tahoma" w:eastAsia="Calibri" w:hAnsi="Tahoma" w:cs="Tahoma"/>
          <w:sz w:val="19"/>
          <w:szCs w:val="19"/>
          <w:rtl/>
        </w:rPr>
        <w:t xml:space="preserve"> </w:t>
      </w:r>
      <w:r w:rsidRPr="00734173">
        <w:rPr>
          <w:rFonts w:ascii="Tahoma" w:eastAsia="Calibri" w:hAnsi="Tahoma" w:cs="Tahoma" w:hint="eastAsia"/>
          <w:sz w:val="19"/>
          <w:szCs w:val="19"/>
          <w:rtl/>
        </w:rPr>
        <w:t>תמורת</w:t>
      </w:r>
      <w:r w:rsidRPr="00734173">
        <w:rPr>
          <w:rFonts w:ascii="Tahoma" w:eastAsia="Calibri" w:hAnsi="Tahoma" w:cs="Tahoma"/>
          <w:sz w:val="19"/>
          <w:szCs w:val="19"/>
          <w:rtl/>
        </w:rPr>
        <w:t xml:space="preserve"> </w:t>
      </w:r>
      <w:r w:rsidRPr="00734173">
        <w:rPr>
          <w:rFonts w:ascii="Tahoma" w:eastAsia="Calibri" w:hAnsi="Tahoma" w:cs="Tahoma" w:hint="eastAsia"/>
          <w:sz w:val="19"/>
          <w:szCs w:val="19"/>
          <w:rtl/>
        </w:rPr>
        <w:t>ייצוגם</w:t>
      </w:r>
      <w:r w:rsidRPr="00734173">
        <w:rPr>
          <w:rFonts w:ascii="Tahoma" w:eastAsia="Calibri" w:hAnsi="Tahoma" w:cs="Tahoma"/>
          <w:sz w:val="19"/>
          <w:szCs w:val="19"/>
          <w:rtl/>
        </w:rPr>
        <w:t xml:space="preserve"> </w:t>
      </w:r>
      <w:r w:rsidRPr="00734173">
        <w:rPr>
          <w:rFonts w:ascii="Tahoma" w:eastAsia="Calibri" w:hAnsi="Tahoma" w:cs="Tahoma" w:hint="eastAsia"/>
          <w:sz w:val="19"/>
          <w:szCs w:val="19"/>
          <w:rtl/>
        </w:rPr>
        <w:t>היא</w:t>
      </w:r>
      <w:r w:rsidRPr="00734173">
        <w:rPr>
          <w:rFonts w:ascii="Tahoma" w:eastAsia="Calibri" w:hAnsi="Tahoma" w:cs="Tahoma"/>
          <w:sz w:val="19"/>
          <w:szCs w:val="19"/>
          <w:rtl/>
        </w:rPr>
        <w:t xml:space="preserve"> </w:t>
      </w:r>
      <w:r w:rsidRPr="00734173">
        <w:rPr>
          <w:rFonts w:ascii="Tahoma" w:eastAsia="Calibri" w:hAnsi="Tahoma" w:cs="Tahoma" w:hint="eastAsia"/>
          <w:sz w:val="19"/>
          <w:szCs w:val="19"/>
          <w:rtl/>
        </w:rPr>
        <w:t>משלמת</w:t>
      </w:r>
      <w:r w:rsidRPr="00734173">
        <w:rPr>
          <w:rFonts w:ascii="Tahoma" w:eastAsia="Calibri" w:hAnsi="Tahoma" w:cs="Tahoma"/>
          <w:sz w:val="19"/>
          <w:szCs w:val="19"/>
          <w:rtl/>
        </w:rPr>
        <w:t xml:space="preserve"> </w:t>
      </w:r>
      <w:r w:rsidRPr="00734173">
        <w:rPr>
          <w:rFonts w:ascii="Tahoma" w:eastAsia="Calibri" w:hAnsi="Tahoma" w:cs="Tahoma" w:hint="eastAsia"/>
          <w:sz w:val="19"/>
          <w:szCs w:val="19"/>
          <w:rtl/>
        </w:rPr>
        <w:t>שכר</w:t>
      </w:r>
      <w:r w:rsidRPr="00734173">
        <w:rPr>
          <w:rFonts w:ascii="Tahoma" w:eastAsia="Calibri" w:hAnsi="Tahoma" w:cs="Tahoma"/>
          <w:sz w:val="19"/>
          <w:szCs w:val="19"/>
          <w:rtl/>
        </w:rPr>
        <w:t xml:space="preserve"> </w:t>
      </w:r>
      <w:r w:rsidRPr="00734173">
        <w:rPr>
          <w:rFonts w:ascii="Tahoma" w:eastAsia="Calibri" w:hAnsi="Tahoma" w:cs="Tahoma" w:hint="eastAsia"/>
          <w:sz w:val="19"/>
          <w:szCs w:val="19"/>
          <w:rtl/>
        </w:rPr>
        <w:t>טרחה</w:t>
      </w:r>
      <w:r w:rsidRPr="00734173">
        <w:rPr>
          <w:rFonts w:ascii="Tahoma" w:eastAsia="Calibri" w:hAnsi="Tahoma" w:cs="Tahoma"/>
          <w:sz w:val="19"/>
          <w:szCs w:val="19"/>
          <w:rtl/>
        </w:rPr>
        <w:t xml:space="preserve"> </w:t>
      </w:r>
      <w:r w:rsidRPr="00734173">
        <w:rPr>
          <w:rFonts w:ascii="Tahoma" w:eastAsia="Calibri" w:hAnsi="Tahoma" w:cs="Tahoma" w:hint="eastAsia"/>
          <w:sz w:val="19"/>
          <w:szCs w:val="19"/>
          <w:rtl/>
        </w:rPr>
        <w:t>לסנגורים</w:t>
      </w:r>
      <w:r w:rsidRPr="00734173">
        <w:rPr>
          <w:rFonts w:ascii="Tahoma" w:eastAsia="Calibri" w:hAnsi="Tahoma" w:cs="Tahoma"/>
          <w:sz w:val="19"/>
          <w:szCs w:val="19"/>
          <w:rtl/>
        </w:rPr>
        <w:t xml:space="preserve"> </w:t>
      </w:r>
      <w:r w:rsidRPr="00734173">
        <w:rPr>
          <w:rFonts w:ascii="Tahoma" w:eastAsia="Calibri" w:hAnsi="Tahoma" w:cs="Tahoma" w:hint="eastAsia"/>
          <w:sz w:val="19"/>
          <w:szCs w:val="19"/>
          <w:rtl/>
        </w:rPr>
        <w:t>חיצוניים</w:t>
      </w:r>
      <w:r w:rsidRPr="00734173">
        <w:rPr>
          <w:rFonts w:ascii="Tahoma" w:eastAsia="Calibri" w:hAnsi="Tahoma" w:cs="Tahoma"/>
          <w:sz w:val="19"/>
          <w:szCs w:val="19"/>
          <w:rtl/>
        </w:rPr>
        <w:t xml:space="preserve"> </w:t>
      </w:r>
      <w:r w:rsidRPr="00734173">
        <w:rPr>
          <w:rFonts w:ascii="Tahoma" w:eastAsia="Calibri" w:hAnsi="Tahoma" w:cs="Tahoma" w:hint="eastAsia"/>
          <w:sz w:val="19"/>
          <w:szCs w:val="19"/>
          <w:rtl/>
        </w:rPr>
        <w:t>בתעריף</w:t>
      </w:r>
      <w:r w:rsidRPr="00734173">
        <w:rPr>
          <w:rFonts w:ascii="Tahoma" w:eastAsia="Calibri" w:hAnsi="Tahoma" w:cs="Tahoma"/>
          <w:sz w:val="19"/>
          <w:szCs w:val="19"/>
          <w:rtl/>
        </w:rPr>
        <w:t xml:space="preserve"> </w:t>
      </w:r>
      <w:r w:rsidRPr="00734173">
        <w:rPr>
          <w:rFonts w:ascii="Tahoma" w:eastAsia="Calibri" w:hAnsi="Tahoma" w:cs="Tahoma" w:hint="eastAsia"/>
          <w:sz w:val="19"/>
          <w:szCs w:val="19"/>
          <w:rtl/>
        </w:rPr>
        <w:t>מיוחד</w:t>
      </w:r>
      <w:r w:rsidRPr="00734173">
        <w:rPr>
          <w:rFonts w:ascii="Tahoma" w:eastAsia="Calibri" w:hAnsi="Tahoma" w:cs="Tahoma" w:hint="cs"/>
          <w:sz w:val="19"/>
          <w:szCs w:val="19"/>
          <w:rtl/>
        </w:rPr>
        <w:t xml:space="preserve"> (</w:t>
      </w:r>
      <w:r w:rsidRPr="00734173">
        <w:rPr>
          <w:rFonts w:ascii="Tahoma" w:eastAsia="Calibri" w:hAnsi="Tahoma" w:cs="Tahoma"/>
          <w:sz w:val="19"/>
          <w:szCs w:val="19"/>
          <w:rtl/>
        </w:rPr>
        <w:t xml:space="preserve">בשנת 2023 </w:t>
      </w:r>
      <w:r w:rsidRPr="00734173">
        <w:rPr>
          <w:rFonts w:ascii="Tahoma" w:eastAsia="Calibri" w:hAnsi="Tahoma" w:cs="Tahoma" w:hint="cs"/>
          <w:sz w:val="19"/>
          <w:szCs w:val="19"/>
          <w:rtl/>
        </w:rPr>
        <w:t xml:space="preserve">שילמה הסנגוריה </w:t>
      </w:r>
      <w:r w:rsidRPr="00734173">
        <w:rPr>
          <w:rFonts w:ascii="Tahoma" w:eastAsia="Calibri" w:hAnsi="Tahoma" w:cs="Tahoma"/>
          <w:sz w:val="19"/>
          <w:szCs w:val="19"/>
          <w:rtl/>
        </w:rPr>
        <w:t>סכום כולל של כ-850,000 ש"ח ובשנת 2024 כ-540,000 ש"ח</w:t>
      </w:r>
      <w:r w:rsidRPr="00734173">
        <w:rPr>
          <w:rFonts w:ascii="Tahoma" w:eastAsia="Calibri" w:hAnsi="Tahoma" w:cs="Tahoma" w:hint="cs"/>
          <w:sz w:val="19"/>
          <w:szCs w:val="19"/>
          <w:rtl/>
        </w:rPr>
        <w:t>, זאת רק עבור לימוד החומרים בתיקים אלו). על בסיס תפיסה לפיה חלק מהנאשמים בעבירות כלכליות בתיקים מורכבים יכולים לשלם עבור ייצוגם, החלה הסנגוריה לקדם תיקון חקיקה לפיו אם חשודים או נאשמים בחרו בשירותי הסנגוריה הציבורית, ניתן יהיה לחייב אותם ולו בחלק מעלויות השירות הכרוך בהוצאה תקציבית ניכרת,</w:t>
      </w:r>
      <w:r w:rsidRPr="00734173">
        <w:rPr>
          <w:rFonts w:eastAsia="Calibri"/>
          <w:rtl/>
        </w:rPr>
        <w:t xml:space="preserve"> </w:t>
      </w:r>
      <w:r w:rsidRPr="00734173">
        <w:rPr>
          <w:rFonts w:ascii="Tahoma" w:eastAsia="Calibri" w:hAnsi="Tahoma" w:cs="Tahoma"/>
          <w:sz w:val="19"/>
          <w:szCs w:val="19"/>
          <w:rtl/>
        </w:rPr>
        <w:t xml:space="preserve">וזאת בכפוף לבדיקת </w:t>
      </w:r>
      <w:r w:rsidRPr="00734173">
        <w:rPr>
          <w:rFonts w:ascii="Tahoma" w:eastAsia="Calibri" w:hAnsi="Tahoma" w:cs="Tahoma" w:hint="cs"/>
          <w:sz w:val="19"/>
          <w:szCs w:val="19"/>
          <w:rtl/>
        </w:rPr>
        <w:t>ה</w:t>
      </w:r>
      <w:r w:rsidRPr="00734173">
        <w:rPr>
          <w:rFonts w:ascii="Tahoma" w:eastAsia="Calibri" w:hAnsi="Tahoma" w:cs="Tahoma"/>
          <w:sz w:val="19"/>
          <w:szCs w:val="19"/>
          <w:rtl/>
        </w:rPr>
        <w:t xml:space="preserve">יכולת </w:t>
      </w:r>
      <w:r w:rsidRPr="00734173">
        <w:rPr>
          <w:rFonts w:ascii="Tahoma" w:eastAsia="Calibri" w:hAnsi="Tahoma" w:cs="Tahoma" w:hint="cs"/>
          <w:sz w:val="19"/>
          <w:szCs w:val="19"/>
          <w:rtl/>
        </w:rPr>
        <w:t>ה</w:t>
      </w:r>
      <w:r w:rsidRPr="00734173">
        <w:rPr>
          <w:rFonts w:ascii="Tahoma" w:eastAsia="Calibri" w:hAnsi="Tahoma" w:cs="Tahoma"/>
          <w:sz w:val="19"/>
          <w:szCs w:val="19"/>
          <w:rtl/>
        </w:rPr>
        <w:t>כלכלית</w:t>
      </w:r>
      <w:r w:rsidRPr="00734173">
        <w:rPr>
          <w:rFonts w:ascii="Tahoma" w:eastAsia="Calibri" w:hAnsi="Tahoma" w:cs="Tahoma" w:hint="cs"/>
          <w:sz w:val="19"/>
          <w:szCs w:val="19"/>
          <w:rtl/>
        </w:rPr>
        <w:t>. אולם עקב מחלוקות בין הגופים המעורבים באישור התיקון לתקנות האגרות</w:t>
      </w:r>
      <w:r>
        <w:rPr>
          <w:rFonts w:ascii="Tahoma" w:eastAsia="Calibri" w:hAnsi="Tahoma" w:cs="Tahoma"/>
          <w:sz w:val="19"/>
          <w:szCs w:val="19"/>
          <w:vertAlign w:val="superscript"/>
          <w:rtl/>
        </w:rPr>
        <w:footnoteReference w:id="3"/>
      </w:r>
      <w:r w:rsidRPr="00734173">
        <w:rPr>
          <w:rFonts w:ascii="Tahoma" w:eastAsia="Calibri" w:hAnsi="Tahoma" w:cs="Tahoma" w:hint="cs"/>
          <w:sz w:val="19"/>
          <w:szCs w:val="19"/>
          <w:rtl/>
        </w:rPr>
        <w:t xml:space="preserve">, ובהם משרד המשפטים ורשות האכיפה והגבייה, לא קודם הנושא משנת 2022. </w:t>
      </w:r>
    </w:p>
    <w:p w:rsidR="00734173" w:rsidRPr="00734173" w:rsidP="00734173">
      <w:pPr>
        <w:numPr>
          <w:ilvl w:val="0"/>
          <w:numId w:val="14"/>
        </w:numPr>
        <w:spacing w:after="240" w:line="288" w:lineRule="auto"/>
        <w:ind w:left="-143" w:right="-567" w:hanging="595"/>
        <w:rPr>
          <w:rFonts w:ascii="Tahoma" w:eastAsia="Calibri" w:hAnsi="Tahoma" w:cs="Tahoma"/>
          <w:sz w:val="19"/>
          <w:szCs w:val="19"/>
        </w:rPr>
      </w:pPr>
      <w:r w:rsidRPr="00734173">
        <w:rPr>
          <w:rFonts w:ascii="Tahoma" w:eastAsia="Calibri" w:hAnsi="Tahoma" w:cs="Tahoma" w:hint="cs"/>
          <w:bCs/>
          <w:sz w:val="19"/>
          <w:szCs w:val="19"/>
          <w:rtl/>
        </w:rPr>
        <w:t xml:space="preserve">תשלומי אגרות הייצוג </w:t>
      </w:r>
      <w:r w:rsidRPr="00734173">
        <w:rPr>
          <w:rFonts w:ascii="Tahoma" w:eastAsia="Calibri" w:hAnsi="Tahoma" w:cs="Tahoma" w:hint="cs"/>
          <w:b/>
          <w:sz w:val="19"/>
          <w:szCs w:val="19"/>
          <w:rtl/>
        </w:rPr>
        <w:t xml:space="preserve">- </w:t>
      </w:r>
      <w:r w:rsidRPr="00734173">
        <w:rPr>
          <w:rFonts w:ascii="Tahoma" w:eastAsia="Calibri" w:hAnsi="Tahoma" w:cs="Tahoma"/>
          <w:sz w:val="19"/>
          <w:szCs w:val="19"/>
          <w:rtl/>
        </w:rPr>
        <w:t xml:space="preserve">נאשמים או מערערים בגירים המיוצגים על ידי הסנגוריה הציבורית </w:t>
      </w:r>
      <w:r w:rsidRPr="00734173">
        <w:rPr>
          <w:rFonts w:ascii="Tahoma" w:eastAsia="Calibri" w:hAnsi="Tahoma" w:cs="Tahoma" w:hint="cs"/>
          <w:sz w:val="19"/>
          <w:szCs w:val="19"/>
          <w:rtl/>
        </w:rPr>
        <w:t xml:space="preserve">נדרשים </w:t>
      </w:r>
      <w:r w:rsidRPr="00734173">
        <w:rPr>
          <w:rFonts w:ascii="Tahoma" w:eastAsia="Calibri" w:hAnsi="Tahoma" w:cs="Tahoma"/>
          <w:sz w:val="19"/>
          <w:szCs w:val="19"/>
          <w:rtl/>
        </w:rPr>
        <w:t>לשלם</w:t>
      </w:r>
      <w:r w:rsidRPr="00734173">
        <w:rPr>
          <w:rFonts w:ascii="Tahoma" w:eastAsia="Calibri" w:hAnsi="Tahoma" w:cs="Tahoma" w:hint="cs"/>
          <w:sz w:val="19"/>
          <w:szCs w:val="19"/>
          <w:rtl/>
        </w:rPr>
        <w:t xml:space="preserve"> אגרה.</w:t>
      </w:r>
      <w:r w:rsidRPr="00734173">
        <w:rPr>
          <w:rFonts w:ascii="Tahoma" w:eastAsia="Calibri" w:hAnsi="Tahoma" w:cs="Tahoma" w:hint="cs"/>
          <w:b/>
          <w:sz w:val="19"/>
          <w:szCs w:val="19"/>
          <w:rtl/>
        </w:rPr>
        <w:t xml:space="preserve"> </w:t>
      </w:r>
      <w:r w:rsidRPr="00734173">
        <w:rPr>
          <w:rFonts w:ascii="Tahoma" w:eastAsia="Calibri" w:hAnsi="Tahoma" w:cs="Tahoma"/>
          <w:b/>
          <w:sz w:val="19"/>
          <w:szCs w:val="19"/>
          <w:rtl/>
        </w:rPr>
        <w:t>בשנים 2021 - 2024 הטילה הסנגוריה כ-106,300 אגרות בסכום של כ-56 מיליון ש"ח. אולם 53% מסכום האגרות (כ-</w:t>
      </w:r>
      <w:r w:rsidRPr="00734173">
        <w:rPr>
          <w:rFonts w:ascii="Tahoma" w:eastAsia="Calibri" w:hAnsi="Tahoma" w:cs="Tahoma" w:hint="cs"/>
          <w:b/>
          <w:sz w:val="19"/>
          <w:szCs w:val="19"/>
          <w:rtl/>
        </w:rPr>
        <w:t>30</w:t>
      </w:r>
      <w:r w:rsidRPr="00734173">
        <w:rPr>
          <w:rFonts w:ascii="Tahoma" w:eastAsia="Calibri" w:hAnsi="Tahoma" w:cs="Tahoma"/>
          <w:b/>
          <w:sz w:val="19"/>
          <w:szCs w:val="19"/>
          <w:rtl/>
        </w:rPr>
        <w:t xml:space="preserve"> מיליון ש"ח) </w:t>
      </w:r>
      <w:bookmarkStart w:id="5" w:name="_Hlk231489454"/>
      <w:r w:rsidRPr="00734173">
        <w:rPr>
          <w:rFonts w:ascii="Tahoma" w:eastAsia="Calibri" w:hAnsi="Tahoma" w:cs="Tahoma" w:hint="cs"/>
          <w:b/>
          <w:sz w:val="19"/>
          <w:szCs w:val="19"/>
          <w:rtl/>
        </w:rPr>
        <w:t>שהעבירה הסנגוריה לטיפול המרכז</w:t>
      </w:r>
      <w:bookmarkEnd w:id="5"/>
      <w:r w:rsidRPr="00734173">
        <w:rPr>
          <w:rFonts w:ascii="Tahoma" w:eastAsia="Calibri" w:hAnsi="Tahoma" w:cs="Tahoma" w:hint="cs"/>
          <w:b/>
          <w:sz w:val="19"/>
          <w:szCs w:val="19"/>
          <w:rtl/>
        </w:rPr>
        <w:t xml:space="preserve"> לגביית קנסות, אגרות והוצאות שברשות האכיפה והגבייה (מג"ק) </w:t>
      </w:r>
      <w:r w:rsidRPr="00734173">
        <w:rPr>
          <w:rFonts w:ascii="Tahoma" w:eastAsia="Calibri" w:hAnsi="Tahoma" w:cs="Tahoma"/>
          <w:b/>
          <w:sz w:val="19"/>
          <w:szCs w:val="19"/>
          <w:rtl/>
        </w:rPr>
        <w:t>כלל לא נגבה</w:t>
      </w:r>
      <w:r w:rsidRPr="00734173">
        <w:rPr>
          <w:rFonts w:ascii="Tahoma" w:eastAsia="Calibri" w:hAnsi="Tahoma" w:cs="Tahoma" w:hint="cs"/>
          <w:b/>
          <w:sz w:val="19"/>
          <w:szCs w:val="19"/>
          <w:rtl/>
        </w:rPr>
        <w:t xml:space="preserve">. </w:t>
      </w:r>
      <w:bookmarkStart w:id="6" w:name="_Hlk228256548"/>
      <w:bookmarkStart w:id="7" w:name="_Hlk228110529"/>
      <w:r w:rsidRPr="00734173">
        <w:rPr>
          <w:rFonts w:ascii="Tahoma" w:eastAsia="Calibri" w:hAnsi="Tahoma" w:cs="Tahoma" w:hint="cs"/>
          <w:b/>
          <w:sz w:val="19"/>
          <w:szCs w:val="19"/>
          <w:rtl/>
        </w:rPr>
        <w:t>כמו כן, הסנגוריה לא העבירה למג"ק חובות בסך של כ-2.4 מיליון ש"ח מתוך כלל האגרות שהטילה</w:t>
      </w:r>
      <w:r w:rsidRPr="00734173">
        <w:rPr>
          <w:rFonts w:ascii="Tahoma" w:eastAsia="Calibri" w:hAnsi="Tahoma" w:cs="Tahoma" w:hint="cs"/>
          <w:sz w:val="19"/>
          <w:szCs w:val="19"/>
          <w:rtl/>
        </w:rPr>
        <w:t xml:space="preserve"> בשנים 2021 - 2024 (שהם כ-8% מסך האגרות שטרם גבתה).</w:t>
      </w:r>
      <w:bookmarkEnd w:id="6"/>
      <w:r w:rsidRPr="00734173">
        <w:rPr>
          <w:rFonts w:ascii="Tahoma" w:eastAsia="Calibri" w:hAnsi="Tahoma" w:cs="Tahoma" w:hint="cs"/>
          <w:sz w:val="19"/>
          <w:szCs w:val="19"/>
          <w:rtl/>
        </w:rPr>
        <w:t xml:space="preserve"> </w:t>
      </w:r>
    </w:p>
    <w:bookmarkEnd w:id="7"/>
    <w:p w:rsidR="00734173" w:rsidRPr="00734173" w:rsidP="00734173">
      <w:pPr>
        <w:numPr>
          <w:ilvl w:val="0"/>
          <w:numId w:val="14"/>
        </w:numPr>
        <w:spacing w:after="240" w:line="288" w:lineRule="auto"/>
        <w:ind w:left="-143" w:right="-567" w:hanging="595"/>
        <w:rPr>
          <w:rFonts w:ascii="Tahoma" w:eastAsia="Calibri" w:hAnsi="Tahoma" w:cs="Tahoma"/>
          <w:sz w:val="19"/>
          <w:szCs w:val="19"/>
        </w:rPr>
      </w:pPr>
      <w:r w:rsidRPr="00734173">
        <w:rPr>
          <w:rFonts w:ascii="Tahoma" w:eastAsia="Calibri" w:hAnsi="Tahoma" w:cs="Tahoma"/>
          <w:bCs/>
          <w:sz w:val="19"/>
          <w:szCs w:val="19"/>
          <w:rtl/>
        </w:rPr>
        <w:t xml:space="preserve">אמות מידה </w:t>
      </w:r>
      <w:r w:rsidRPr="00734173">
        <w:rPr>
          <w:rFonts w:ascii="Tahoma" w:eastAsia="Calibri" w:hAnsi="Tahoma" w:cs="Tahoma" w:hint="cs"/>
          <w:bCs/>
          <w:sz w:val="19"/>
          <w:szCs w:val="19"/>
          <w:rtl/>
        </w:rPr>
        <w:t xml:space="preserve">ובקרה על החלטות </w:t>
      </w:r>
      <w:r w:rsidRPr="00734173">
        <w:rPr>
          <w:rFonts w:ascii="Tahoma" w:eastAsia="Calibri" w:hAnsi="Tahoma" w:cs="Tahoma"/>
          <w:bCs/>
          <w:sz w:val="19"/>
          <w:szCs w:val="19"/>
          <w:rtl/>
        </w:rPr>
        <w:t>למתן פטור מאגרה</w:t>
      </w:r>
      <w:r w:rsidRPr="00734173">
        <w:rPr>
          <w:rFonts w:eastAsia="Calibri"/>
          <w:b/>
          <w:bCs/>
          <w:rtl/>
        </w:rPr>
        <w:t xml:space="preserve"> </w:t>
      </w:r>
      <w:r w:rsidRPr="00734173">
        <w:rPr>
          <w:rFonts w:eastAsia="Calibri" w:hint="cs"/>
          <w:rtl/>
        </w:rPr>
        <w:t>-</w:t>
      </w:r>
      <w:r w:rsidRPr="00734173">
        <w:rPr>
          <w:rFonts w:eastAsia="Calibri" w:hint="cs"/>
          <w:b/>
          <w:bCs/>
          <w:rtl/>
        </w:rPr>
        <w:t xml:space="preserve"> </w:t>
      </w:r>
      <w:r w:rsidRPr="00734173">
        <w:rPr>
          <w:rFonts w:ascii="Tahoma" w:eastAsia="Calibri" w:hAnsi="Tahoma" w:cs="Tahoma" w:hint="cs"/>
          <w:sz w:val="19"/>
          <w:szCs w:val="19"/>
          <w:rtl/>
        </w:rPr>
        <w:t xml:space="preserve">בשנים 2021 - 2024 </w:t>
      </w:r>
      <w:r w:rsidRPr="00734173">
        <w:rPr>
          <w:rFonts w:ascii="Tahoma" w:eastAsia="Calibri" w:hAnsi="Tahoma" w:cs="Tahoma"/>
          <w:sz w:val="19"/>
          <w:szCs w:val="19"/>
          <w:rtl/>
        </w:rPr>
        <w:t>הסנגוריה</w:t>
      </w:r>
      <w:r w:rsidRPr="00734173">
        <w:rPr>
          <w:rFonts w:ascii="Tahoma" w:eastAsia="Calibri" w:hAnsi="Tahoma" w:cs="Tahoma" w:hint="cs"/>
          <w:sz w:val="19"/>
          <w:szCs w:val="19"/>
          <w:rtl/>
        </w:rPr>
        <w:t>,</w:t>
      </w:r>
      <w:r w:rsidRPr="00734173">
        <w:rPr>
          <w:rFonts w:ascii="Tahoma" w:eastAsia="Calibri" w:hAnsi="Tahoma" w:cs="Tahoma"/>
          <w:sz w:val="19"/>
          <w:szCs w:val="19"/>
          <w:rtl/>
        </w:rPr>
        <w:t xml:space="preserve"> פטרה את לקוחותיה מתשלום של כ-27,500 אגרות בסך של כ-14.4 מיליון ש"ח שה</w:t>
      </w:r>
      <w:r w:rsidRPr="00734173">
        <w:rPr>
          <w:rFonts w:ascii="Tahoma" w:eastAsia="Calibri" w:hAnsi="Tahoma" w:cs="Tahoma" w:hint="cs"/>
          <w:sz w:val="19"/>
          <w:szCs w:val="19"/>
          <w:rtl/>
        </w:rPr>
        <w:t>ן</w:t>
      </w:r>
      <w:r w:rsidRPr="00734173">
        <w:rPr>
          <w:rFonts w:ascii="Tahoma" w:eastAsia="Calibri" w:hAnsi="Tahoma" w:cs="Tahoma"/>
          <w:sz w:val="19"/>
          <w:szCs w:val="19"/>
          <w:rtl/>
        </w:rPr>
        <w:t xml:space="preserve"> 26% מסכום האגרות שהוטלו. </w:t>
      </w:r>
      <w:r w:rsidRPr="00734173">
        <w:rPr>
          <w:rFonts w:ascii="Tahoma" w:eastAsia="Calibri" w:hAnsi="Tahoma" w:cs="Tahoma" w:hint="cs"/>
          <w:sz w:val="19"/>
          <w:szCs w:val="19"/>
          <w:rtl/>
        </w:rPr>
        <w:t xml:space="preserve">הסנגוריה הציבורית לא קבעה בנוהל האגרות מהם הקריטריונים שבגינם יינתן פטור מאגרה בכל אחד מהמצבים שהגדירה ככאלה המצריכים הגשת בקשה יזומה לפטור מאגרה. לדוגמה, הסנגוריה לא קבעה באילו מקרים חייל, שוטר או משרת בשירות לאומי יקבל פטור מאגרה, באילו מקרים יתקבלו בקשות של מקבלי קצבאות ביטוח לאומי (שאינן מקנות פטור יזום) ובאילו מצבים בריאותיים יינתן פטור. כפועל יוצא, ההחלטה בכל בקשה נתונה לשיקול דעת הגורם המטפל בבקשה במחוז; מצב כזה עלול ליצור חוסר שוויון באופן שבמקרים דומים יינתנו החלטות שונות. עוד נמצא כי הסנגוריה הציבורית ומטה משרד המשפטים אינם מבצעים הליכי בקרה שיבטיחו שהפטורים שהסנגוריה מעניקה אכן תואמים את הנחיותיה. </w:t>
      </w:r>
    </w:p>
    <w:p w:rsidR="00734173" w:rsidRPr="00734173" w:rsidP="00734173">
      <w:pPr>
        <w:numPr>
          <w:ilvl w:val="0"/>
          <w:numId w:val="14"/>
        </w:numPr>
        <w:spacing w:after="240" w:line="288" w:lineRule="auto"/>
        <w:ind w:left="-143" w:right="-567" w:hanging="595"/>
        <w:rPr>
          <w:rFonts w:ascii="Tahoma" w:eastAsia="Calibri" w:hAnsi="Tahoma" w:cs="Tahoma"/>
          <w:sz w:val="19"/>
          <w:szCs w:val="19"/>
        </w:rPr>
      </w:pPr>
      <w:r w:rsidRPr="00734173">
        <w:rPr>
          <w:rFonts w:ascii="Tahoma" w:eastAsia="Calibri" w:hAnsi="Tahoma" w:cs="Tahoma" w:hint="cs"/>
          <w:bCs/>
          <w:sz w:val="19"/>
          <w:szCs w:val="19"/>
          <w:rtl/>
        </w:rPr>
        <w:t>המצאת דרישות תשלום ללקוחות הסנגוריה</w:t>
      </w:r>
      <w:r w:rsidRPr="00734173">
        <w:rPr>
          <w:rFonts w:eastAsia="Calibri" w:hint="cs"/>
          <w:rtl/>
        </w:rPr>
        <w:t xml:space="preserve"> - </w:t>
      </w:r>
      <w:r w:rsidRPr="00734173">
        <w:rPr>
          <w:rFonts w:ascii="Tahoma" w:eastAsia="Calibri" w:hAnsi="Tahoma" w:cs="Tahoma" w:hint="cs"/>
          <w:sz w:val="19"/>
          <w:szCs w:val="19"/>
          <w:rtl/>
        </w:rPr>
        <w:t xml:space="preserve">הסנגוריה אינה מוודאת כי לקוחותיה החייבים בתשלום אגרה אכן קיבלו בפועל את דרישת התשלום שנשלחה אליהם, ומשכך אין באפשרותה לדעת מהו המועד הקובע לתשלום על פי תקנות האגרות, שלאחריו </w:t>
      </w:r>
      <w:r w:rsidRPr="00734173">
        <w:rPr>
          <w:rFonts w:ascii="Tahoma" w:eastAsia="Calibri" w:hAnsi="Tahoma" w:cs="Tahoma"/>
          <w:sz w:val="19"/>
          <w:szCs w:val="19"/>
          <w:rtl/>
        </w:rPr>
        <w:t>המג"ק מתחיל בתהליך גבייה, הכרוך לעיתים בהוצאות גבוהות שמוטלות על החייב</w:t>
      </w:r>
      <w:r w:rsidRPr="00734173">
        <w:rPr>
          <w:rFonts w:ascii="Tahoma" w:eastAsia="Calibri" w:hAnsi="Tahoma" w:cs="Tahoma" w:hint="cs"/>
          <w:sz w:val="19"/>
          <w:szCs w:val="19"/>
          <w:rtl/>
        </w:rPr>
        <w:t xml:space="preserve">. יתרה מכך, נמצא כי הסנגוריה הגדירה במערכת הממוחשבת שבאמצעותה היא מנהלת את פעילותה (מערכת דיפנדר) את המועד הקובע לתשלום בחלוף 60 ימים ממועד </w:t>
      </w:r>
      <w:r w:rsidRPr="00734173">
        <w:rPr>
          <w:rFonts w:ascii="Tahoma" w:eastAsia="Calibri" w:hAnsi="Tahoma" w:cs="Tahoma" w:hint="eastAsia"/>
          <w:sz w:val="19"/>
          <w:szCs w:val="19"/>
          <w:rtl/>
        </w:rPr>
        <w:t>הנפקת</w:t>
      </w:r>
      <w:r w:rsidRPr="00734173">
        <w:rPr>
          <w:rFonts w:ascii="Tahoma" w:eastAsia="Calibri" w:hAnsi="Tahoma" w:cs="Tahoma" w:hint="cs"/>
          <w:sz w:val="19"/>
          <w:szCs w:val="19"/>
          <w:rtl/>
        </w:rPr>
        <w:t xml:space="preserve"> דרישת התשלום, ולא 60 ימים ממועד </w:t>
      </w:r>
      <w:r w:rsidRPr="00734173">
        <w:rPr>
          <w:rFonts w:ascii="Tahoma" w:eastAsia="Calibri" w:hAnsi="Tahoma" w:cs="Tahoma" w:hint="eastAsia"/>
          <w:sz w:val="19"/>
          <w:szCs w:val="19"/>
          <w:rtl/>
        </w:rPr>
        <w:t>המצאת</w:t>
      </w:r>
      <w:r w:rsidRPr="00734173">
        <w:rPr>
          <w:rFonts w:ascii="Tahoma" w:eastAsia="Calibri" w:hAnsi="Tahoma" w:cs="Tahoma" w:hint="cs"/>
          <w:sz w:val="19"/>
          <w:szCs w:val="19"/>
          <w:rtl/>
        </w:rPr>
        <w:t xml:space="preserve"> דרישת התשלום ללקוחות כפי שנקבע בתקנות, כך שבמקרה של אי תשלום, המג"ק מתחיל בתהליך הגביה, בשלב מוקדם יותר מהנדרש.</w:t>
      </w:r>
    </w:p>
    <w:p w:rsidR="00734173" w:rsidRPr="00734173" w:rsidP="00734173">
      <w:pPr>
        <w:numPr>
          <w:ilvl w:val="0"/>
          <w:numId w:val="14"/>
        </w:numPr>
        <w:spacing w:after="240" w:line="288" w:lineRule="auto"/>
        <w:ind w:left="-143" w:right="-567" w:hanging="595"/>
        <w:rPr>
          <w:rFonts w:ascii="Tahoma" w:eastAsia="Calibri" w:hAnsi="Tahoma" w:cs="Tahoma"/>
          <w:sz w:val="19"/>
          <w:szCs w:val="19"/>
        </w:rPr>
      </w:pPr>
      <w:r w:rsidRPr="00734173">
        <w:rPr>
          <w:rFonts w:ascii="Tahoma" w:eastAsia="Calibri" w:hAnsi="Tahoma" w:cs="Tahoma" w:hint="cs"/>
          <w:bCs/>
          <w:sz w:val="19"/>
          <w:szCs w:val="19"/>
          <w:rtl/>
        </w:rPr>
        <w:t>העברת כלל החובות לגבייה במרכז לגביית קנסות</w:t>
      </w:r>
      <w:r w:rsidRPr="00734173">
        <w:rPr>
          <w:rFonts w:ascii="Tahoma" w:eastAsia="Calibri" w:hAnsi="Tahoma" w:cs="Tahoma" w:hint="cs"/>
          <w:bCs/>
          <w:sz w:val="19"/>
          <w:szCs w:val="19"/>
        </w:rPr>
        <w:t xml:space="preserve"> </w:t>
      </w:r>
      <w:r w:rsidRPr="00734173">
        <w:rPr>
          <w:rFonts w:ascii="Tahoma" w:eastAsia="Calibri" w:hAnsi="Tahoma" w:cs="Tahoma" w:hint="cs"/>
          <w:sz w:val="19"/>
          <w:szCs w:val="19"/>
          <w:rtl/>
        </w:rPr>
        <w:t xml:space="preserve">- נמצא כי בשנים </w:t>
      </w:r>
      <w:r w:rsidRPr="00734173">
        <w:rPr>
          <w:rFonts w:ascii="Tahoma" w:eastAsia="Calibri" w:hAnsi="Tahoma" w:cs="Tahoma"/>
          <w:sz w:val="19"/>
          <w:szCs w:val="19"/>
          <w:rtl/>
        </w:rPr>
        <w:t>2021 - 2024</w:t>
      </w:r>
      <w:r w:rsidRPr="00734173">
        <w:rPr>
          <w:rFonts w:ascii="Tahoma" w:eastAsia="Calibri" w:hAnsi="Tahoma" w:cs="Tahoma" w:hint="cs"/>
          <w:sz w:val="19"/>
          <w:szCs w:val="19"/>
          <w:rtl/>
        </w:rPr>
        <w:t xml:space="preserve"> הסנגוריה לא העבירה לגבייה אגרות בסך של כ-250,000 ש"ח שהוטלו על לקוחות בעלי דרכון ללא אזרחות ישראלית, אף שהמג"ק גובה חובות מסוג זה. היא גם לא פעלה לגביית האגרות שהוטלו על לקוחותיה שמספרי הזהות שלהם לא אומתו מול רשות האוכלוסין (בסך של כ-870,000 ש"ח) אף על פי שמדובר בלקוחות המיוצגים בפועל על ידי הסנגוריה, ו</w:t>
      </w:r>
      <w:r w:rsidRPr="00734173">
        <w:rPr>
          <w:rFonts w:ascii="Tahoma" w:eastAsia="Calibri" w:hAnsi="Tahoma" w:cs="Tahoma"/>
          <w:sz w:val="19"/>
          <w:szCs w:val="19"/>
          <w:rtl/>
        </w:rPr>
        <w:t>חובות של לקוחות שהסנגוריה לא עדכנה את מספר הזהות שלהם -</w:t>
      </w:r>
      <w:r w:rsidRPr="00734173">
        <w:rPr>
          <w:rFonts w:ascii="Tahoma" w:eastAsia="Calibri" w:hAnsi="Tahoma" w:cs="Tahoma" w:hint="cs"/>
          <w:sz w:val="19"/>
          <w:szCs w:val="19"/>
          <w:rtl/>
        </w:rPr>
        <w:t xml:space="preserve"> בסך של</w:t>
      </w:r>
      <w:r w:rsidRPr="00734173">
        <w:rPr>
          <w:rFonts w:ascii="Tahoma" w:eastAsia="Calibri" w:hAnsi="Tahoma" w:cs="Tahoma"/>
          <w:sz w:val="19"/>
          <w:szCs w:val="19"/>
          <w:rtl/>
        </w:rPr>
        <w:t xml:space="preserve"> כ-269,000 ש"ח</w:t>
      </w:r>
      <w:r w:rsidRPr="00734173">
        <w:rPr>
          <w:rFonts w:ascii="Tahoma" w:eastAsia="Calibri" w:hAnsi="Tahoma" w:cs="Tahoma" w:hint="cs"/>
          <w:sz w:val="19"/>
          <w:szCs w:val="19"/>
          <w:rtl/>
        </w:rPr>
        <w:t>. זאת ועוד, הסנגוריה לא העבירה לגבייה במג"ק גם חובות בסך של כמיליון ש"ח, הנוגעים ללקוחות שתעודות הזהות שלהם אומתו מול רשות האוכלוסין.</w:t>
      </w:r>
    </w:p>
    <w:p w:rsidR="00734173" w:rsidRPr="00680568" w:rsidP="00734173">
      <w:pPr>
        <w:spacing w:after="160" w:line="288" w:lineRule="auto"/>
        <w:ind w:right="-567" w:hanging="709"/>
        <w:rPr>
          <w:rFonts w:eastAsia="Calibri"/>
          <w:rtl/>
        </w:rPr>
      </w:pPr>
      <w:r w:rsidRPr="00680568">
        <w:rPr>
          <w:rFonts w:ascii="Tahoma" w:eastAsia="Calibri" w:hAnsi="Tahoma" w:cs="Tahoma" w:hint="cs"/>
          <w:b/>
          <w:bCs/>
          <w:sz w:val="22"/>
          <w:szCs w:val="22"/>
          <w:rtl/>
        </w:rPr>
        <w:t>הפיקוח על עבודת הסנגורים החיצוניים</w:t>
      </w:r>
    </w:p>
    <w:p w:rsidR="00734173" w:rsidRPr="00734173" w:rsidP="00734173">
      <w:pPr>
        <w:numPr>
          <w:ilvl w:val="0"/>
          <w:numId w:val="14"/>
        </w:numPr>
        <w:spacing w:after="240" w:line="288" w:lineRule="auto"/>
        <w:ind w:left="-143" w:right="-567" w:hanging="595"/>
        <w:rPr>
          <w:rFonts w:ascii="Tahoma" w:eastAsia="Calibri" w:hAnsi="Tahoma" w:cs="Tahoma"/>
          <w:sz w:val="19"/>
          <w:szCs w:val="19"/>
        </w:rPr>
      </w:pPr>
      <w:r w:rsidRPr="00734173">
        <w:rPr>
          <w:rFonts w:ascii="Tahoma" w:eastAsia="Calibri" w:hAnsi="Tahoma" w:cs="Tahoma" w:hint="cs"/>
          <w:bCs/>
          <w:sz w:val="19"/>
          <w:szCs w:val="19"/>
          <w:rtl/>
        </w:rPr>
        <w:t>הסדרת הפיקוח על עבודת הסנגורים החיצוניים והצעת מעבר לדגם פיקוח חדש בסנגוריה</w:t>
      </w:r>
      <w:r w:rsidRPr="00734173">
        <w:rPr>
          <w:rFonts w:ascii="David" w:eastAsia="Calibri" w:hAnsi="David" w:hint="cs"/>
          <w:rtl/>
        </w:rPr>
        <w:t xml:space="preserve"> - </w:t>
      </w:r>
      <w:r w:rsidRPr="00734173">
        <w:rPr>
          <w:rFonts w:ascii="Tahoma" w:eastAsia="Calibri" w:hAnsi="Tahoma" w:cs="Tahoma" w:hint="cs"/>
          <w:sz w:val="19"/>
          <w:szCs w:val="19"/>
          <w:rtl/>
        </w:rPr>
        <w:t xml:space="preserve">זה יותר מעשור לא הניחה הסנגוריה את התשתית המקצועית והתפקודית הדרושה לניהול מערך פיקוח ובקרה כלל-ארגוני שיתמוך בביצוע משימה מורכבת זו. בנסיבות אלה </w:t>
      </w:r>
      <w:r w:rsidRPr="00734173">
        <w:rPr>
          <w:rFonts w:ascii="Tahoma" w:eastAsia="Calibri" w:hAnsi="Tahoma" w:cs="Tahoma"/>
          <w:sz w:val="19"/>
          <w:szCs w:val="19"/>
          <w:rtl/>
        </w:rPr>
        <w:t xml:space="preserve">התפתחה במחוזות </w:t>
      </w:r>
      <w:r w:rsidRPr="00734173">
        <w:rPr>
          <w:rFonts w:ascii="Tahoma" w:eastAsia="Calibri" w:hAnsi="Tahoma" w:cs="Tahoma" w:hint="eastAsia"/>
          <w:sz w:val="19"/>
          <w:szCs w:val="19"/>
          <w:rtl/>
        </w:rPr>
        <w:t>השונים</w:t>
      </w:r>
      <w:r w:rsidRPr="00734173">
        <w:rPr>
          <w:rFonts w:ascii="Tahoma" w:eastAsia="Calibri" w:hAnsi="Tahoma" w:cs="Tahoma"/>
          <w:sz w:val="19"/>
          <w:szCs w:val="19"/>
          <w:rtl/>
        </w:rPr>
        <w:t xml:space="preserve"> פרקטיקה נבדלת בנושא </w:t>
      </w:r>
      <w:r w:rsidRPr="00734173">
        <w:rPr>
          <w:rFonts w:ascii="Tahoma" w:eastAsia="Calibri" w:hAnsi="Tahoma" w:cs="Tahoma" w:hint="eastAsia"/>
          <w:sz w:val="19"/>
          <w:szCs w:val="19"/>
          <w:rtl/>
        </w:rPr>
        <w:t>הפיקוח</w:t>
      </w:r>
      <w:r w:rsidRPr="00734173">
        <w:rPr>
          <w:rFonts w:ascii="Tahoma" w:eastAsia="Calibri" w:hAnsi="Tahoma" w:cs="Tahoma"/>
          <w:sz w:val="19"/>
          <w:szCs w:val="19"/>
          <w:rtl/>
        </w:rPr>
        <w:t xml:space="preserve"> </w:t>
      </w:r>
      <w:r w:rsidRPr="00734173">
        <w:rPr>
          <w:rFonts w:ascii="Tahoma" w:eastAsia="Calibri" w:hAnsi="Tahoma" w:cs="Tahoma" w:hint="eastAsia"/>
          <w:sz w:val="19"/>
          <w:szCs w:val="19"/>
          <w:rtl/>
        </w:rPr>
        <w:t>על</w:t>
      </w:r>
      <w:r w:rsidRPr="00734173">
        <w:rPr>
          <w:rFonts w:ascii="Tahoma" w:eastAsia="Calibri" w:hAnsi="Tahoma" w:cs="Tahoma"/>
          <w:sz w:val="19"/>
          <w:szCs w:val="19"/>
          <w:rtl/>
        </w:rPr>
        <w:t xml:space="preserve"> </w:t>
      </w:r>
      <w:r w:rsidRPr="00734173">
        <w:rPr>
          <w:rFonts w:ascii="Tahoma" w:eastAsia="Calibri" w:hAnsi="Tahoma" w:cs="Tahoma" w:hint="eastAsia"/>
          <w:sz w:val="19"/>
          <w:szCs w:val="19"/>
          <w:rtl/>
        </w:rPr>
        <w:t>איכות</w:t>
      </w:r>
      <w:r w:rsidRPr="00734173">
        <w:rPr>
          <w:rFonts w:ascii="Tahoma" w:eastAsia="Calibri" w:hAnsi="Tahoma" w:cs="Tahoma"/>
          <w:sz w:val="19"/>
          <w:szCs w:val="19"/>
          <w:rtl/>
        </w:rPr>
        <w:t xml:space="preserve"> </w:t>
      </w:r>
      <w:r w:rsidRPr="00734173">
        <w:rPr>
          <w:rFonts w:ascii="Tahoma" w:eastAsia="Calibri" w:hAnsi="Tahoma" w:cs="Tahoma" w:hint="eastAsia"/>
          <w:sz w:val="19"/>
          <w:szCs w:val="19"/>
          <w:rtl/>
        </w:rPr>
        <w:t>הייצוג</w:t>
      </w:r>
      <w:r w:rsidRPr="00734173">
        <w:rPr>
          <w:rFonts w:ascii="Tahoma" w:eastAsia="Calibri" w:hAnsi="Tahoma" w:cs="Tahoma"/>
          <w:sz w:val="19"/>
          <w:szCs w:val="19"/>
          <w:rtl/>
        </w:rPr>
        <w:t>.</w:t>
      </w:r>
      <w:r w:rsidRPr="00734173">
        <w:rPr>
          <w:rFonts w:ascii="Tahoma" w:eastAsia="Calibri" w:hAnsi="Tahoma" w:cs="Tahoma" w:hint="cs"/>
          <w:sz w:val="19"/>
          <w:szCs w:val="19"/>
          <w:rtl/>
        </w:rPr>
        <w:t xml:space="preserve"> </w:t>
      </w:r>
      <w:bookmarkStart w:id="8" w:name="_Hlk228256977"/>
      <w:r w:rsidRPr="00734173">
        <w:rPr>
          <w:rFonts w:ascii="Tahoma" w:eastAsia="Calibri" w:hAnsi="Tahoma" w:cs="Tahoma" w:hint="cs"/>
          <w:sz w:val="19"/>
          <w:szCs w:val="19"/>
          <w:rtl/>
        </w:rPr>
        <w:t>במאי 2023 הציגה הסנגוריה למנכ"ל משרד המשפטים</w:t>
      </w:r>
      <w:r w:rsidRPr="00734173">
        <w:rPr>
          <w:rFonts w:ascii="Tahoma" w:eastAsia="Calibri" w:hAnsi="Tahoma" w:cs="Tahoma"/>
          <w:sz w:val="19"/>
          <w:szCs w:val="19"/>
          <w:rtl/>
        </w:rPr>
        <w:t xml:space="preserve"> </w:t>
      </w:r>
      <w:r w:rsidRPr="00734173">
        <w:rPr>
          <w:rFonts w:ascii="Tahoma" w:eastAsia="Calibri" w:hAnsi="Tahoma" w:cs="Tahoma" w:hint="cs"/>
          <w:sz w:val="19"/>
          <w:szCs w:val="19"/>
          <w:rtl/>
        </w:rPr>
        <w:t xml:space="preserve">את מסקנות חברת הייעוץ, ובפברואר 2025 הציגה </w:t>
      </w:r>
      <w:r w:rsidRPr="00734173">
        <w:rPr>
          <w:rFonts w:ascii="Tahoma" w:eastAsia="Calibri" w:hAnsi="Tahoma" w:cs="Tahoma"/>
          <w:sz w:val="19"/>
          <w:szCs w:val="19"/>
          <w:rtl/>
        </w:rPr>
        <w:t>דגם פיקוח חדש שלפיו עבודת הפיקוח</w:t>
      </w:r>
      <w:r w:rsidRPr="00734173">
        <w:rPr>
          <w:rFonts w:ascii="Tahoma" w:eastAsia="Calibri" w:hAnsi="Tahoma" w:cs="Tahoma" w:hint="cs"/>
          <w:sz w:val="19"/>
          <w:szCs w:val="19"/>
          <w:rtl/>
        </w:rPr>
        <w:t xml:space="preserve"> של הסנגוריה</w:t>
      </w:r>
      <w:r w:rsidRPr="00734173">
        <w:rPr>
          <w:rFonts w:ascii="Tahoma" w:eastAsia="Calibri" w:hAnsi="Tahoma" w:cs="Tahoma"/>
          <w:sz w:val="19"/>
          <w:szCs w:val="19"/>
          <w:rtl/>
        </w:rPr>
        <w:t xml:space="preserve"> </w:t>
      </w:r>
      <w:r w:rsidRPr="00734173">
        <w:rPr>
          <w:rFonts w:ascii="Tahoma" w:eastAsia="Calibri" w:hAnsi="Tahoma" w:cs="Tahoma" w:hint="cs"/>
          <w:sz w:val="19"/>
          <w:szCs w:val="19"/>
          <w:rtl/>
        </w:rPr>
        <w:t xml:space="preserve">תסיט את הדגש </w:t>
      </w:r>
      <w:r w:rsidRPr="00734173">
        <w:rPr>
          <w:rFonts w:ascii="Tahoma" w:eastAsia="Calibri" w:hAnsi="Tahoma" w:cs="Tahoma"/>
          <w:sz w:val="19"/>
          <w:szCs w:val="19"/>
          <w:rtl/>
        </w:rPr>
        <w:t>מפיקוח על התיקים המתנהלים לפיקוח על סנגורים, וזאת באמצעות הערכות תקופתיות לסנגור ומתן מעטפת ליווי ותמיכה מקצועית. כמו כן, דגם הפיקוח החדש יהיה מוכוון נתונים ויתבסס על דוחות נתונים שיופקו באמצעות כלים טכנולוגיים (בינה מלאכותית ואוטומציה) עבור כל סנגור במסגרת הפיקוח על עבודתו</w:t>
      </w:r>
      <w:r w:rsidRPr="00734173">
        <w:rPr>
          <w:rFonts w:ascii="Tahoma" w:eastAsia="Calibri" w:hAnsi="Tahoma" w:cs="Tahoma" w:hint="cs"/>
          <w:sz w:val="19"/>
          <w:szCs w:val="19"/>
          <w:rtl/>
        </w:rPr>
        <w:t>.</w:t>
      </w:r>
      <w:r w:rsidRPr="00734173">
        <w:rPr>
          <w:rFonts w:ascii="Tahoma" w:eastAsia="Calibri" w:hAnsi="Tahoma" w:cs="Tahoma"/>
          <w:sz w:val="19"/>
          <w:szCs w:val="19"/>
          <w:rtl/>
        </w:rPr>
        <w:t xml:space="preserve"> </w:t>
      </w:r>
      <w:r w:rsidRPr="00734173">
        <w:rPr>
          <w:rFonts w:ascii="Tahoma" w:eastAsia="Calibri" w:hAnsi="Tahoma" w:cs="Tahoma" w:hint="cs"/>
          <w:sz w:val="19"/>
          <w:szCs w:val="19"/>
          <w:rtl/>
        </w:rPr>
        <w:t xml:space="preserve">למרות זאת, עד מועד סיום הביקורת לא הטמיעה הסנגוריה במחוזותיה את דגם הפיקוח החדש שפיתחה, ואף לא עיגנה אותו בנוהל מחייב. </w:t>
      </w:r>
      <w:bookmarkEnd w:id="8"/>
      <w:r w:rsidRPr="00734173">
        <w:rPr>
          <w:rFonts w:ascii="Tahoma" w:eastAsia="Calibri" w:hAnsi="Tahoma" w:cs="Tahoma" w:hint="cs"/>
          <w:sz w:val="19"/>
          <w:szCs w:val="19"/>
          <w:rtl/>
        </w:rPr>
        <w:t xml:space="preserve">כמו כן, לא נקבעו לוחות זמנים, אבני דרך, תוכניות הדרכה והטמעה, מדדי ביצוע, גורם מוביל ומנגנון בקרה ומעקב על קצב היישום והיקפו. זאת ועוד, לא הוקמה מערכת יישומית תומכת, הכוללת בין היתר תקציב, מערכת ממוחשבת וכוח אדם, שהיא תנאי מקדים להטמעת הדגם החדש. </w:t>
      </w:r>
    </w:p>
    <w:p w:rsidR="00734173" w:rsidRPr="00734173" w:rsidP="00734173">
      <w:pPr>
        <w:numPr>
          <w:ilvl w:val="0"/>
          <w:numId w:val="14"/>
        </w:numPr>
        <w:spacing w:after="240" w:line="288" w:lineRule="auto"/>
        <w:ind w:left="-143" w:right="-567" w:hanging="595"/>
        <w:rPr>
          <w:rFonts w:ascii="Tahoma" w:eastAsia="Calibri" w:hAnsi="Tahoma" w:cs="Tahoma"/>
          <w:sz w:val="19"/>
          <w:szCs w:val="19"/>
        </w:rPr>
      </w:pPr>
      <w:r w:rsidRPr="00734173">
        <w:rPr>
          <w:rFonts w:ascii="Tahoma" w:eastAsia="Calibri" w:hAnsi="Tahoma" w:cs="Tahoma" w:hint="cs"/>
          <w:bCs/>
          <w:sz w:val="19"/>
          <w:szCs w:val="19"/>
          <w:rtl/>
        </w:rPr>
        <w:t>פיקוח עומק</w:t>
      </w:r>
      <w:r w:rsidRPr="00734173">
        <w:rPr>
          <w:rFonts w:ascii="David" w:eastAsia="Calibri" w:hAnsi="David" w:hint="cs"/>
          <w:rtl/>
        </w:rPr>
        <w:t xml:space="preserve"> - </w:t>
      </w:r>
      <w:r w:rsidRPr="00734173">
        <w:rPr>
          <w:rFonts w:ascii="Tahoma" w:eastAsia="Calibri" w:hAnsi="Tahoma" w:cs="Tahoma" w:hint="cs"/>
          <w:sz w:val="19"/>
          <w:szCs w:val="19"/>
          <w:rtl/>
        </w:rPr>
        <w:t>מבין שלל אמצעי הפיקוח שמפעילה הסנגוריה - פיקוח עומק הוא</w:t>
      </w:r>
      <w:r w:rsidRPr="00734173">
        <w:rPr>
          <w:rFonts w:ascii="Tahoma" w:eastAsia="Calibri" w:hAnsi="Tahoma" w:cs="Tahoma"/>
          <w:sz w:val="19"/>
          <w:szCs w:val="19"/>
          <w:rtl/>
        </w:rPr>
        <w:t xml:space="preserve"> נדבך חשוב בהערכת הסנגורים</w:t>
      </w:r>
      <w:r w:rsidRPr="00734173">
        <w:rPr>
          <w:rFonts w:ascii="Tahoma" w:eastAsia="Calibri" w:hAnsi="Tahoma" w:cs="Tahoma" w:hint="cs"/>
          <w:sz w:val="19"/>
          <w:szCs w:val="19"/>
          <w:rtl/>
        </w:rPr>
        <w:t xml:space="preserve"> החיצוניים. </w:t>
      </w:r>
      <w:r w:rsidRPr="00734173">
        <w:rPr>
          <w:rFonts w:ascii="Tahoma" w:eastAsia="Calibri" w:hAnsi="Tahoma" w:cs="Tahoma"/>
          <w:sz w:val="19"/>
          <w:szCs w:val="19"/>
          <w:rtl/>
        </w:rPr>
        <w:t>במסגרת תהליך פיקוח עומק ניתן להתרשם באופן רוחבי מעבודת הסנגור החיצוני, להעניק לו ייעוץ נדרש, לתת לו משוב תקופתי על עבודתו ולקבל החלטות בדבר המשך העסקתו</w:t>
      </w:r>
      <w:r w:rsidRPr="00734173">
        <w:rPr>
          <w:rFonts w:ascii="Tahoma" w:eastAsia="Calibri" w:hAnsi="Tahoma" w:cs="Tahoma" w:hint="cs"/>
          <w:sz w:val="19"/>
          <w:szCs w:val="19"/>
          <w:rtl/>
        </w:rPr>
        <w:t>.</w:t>
      </w:r>
      <w:r w:rsidRPr="00734173">
        <w:rPr>
          <w:rFonts w:ascii="Tahoma" w:eastAsia="Calibri" w:hAnsi="Tahoma" w:cs="Tahoma"/>
          <w:sz w:val="19"/>
          <w:szCs w:val="19"/>
          <w:rtl/>
        </w:rPr>
        <w:t xml:space="preserve"> </w:t>
      </w:r>
      <w:r w:rsidRPr="00734173">
        <w:rPr>
          <w:rFonts w:ascii="Tahoma" w:eastAsia="Calibri" w:hAnsi="Tahoma" w:cs="Tahoma" w:hint="cs"/>
          <w:sz w:val="19"/>
          <w:szCs w:val="19"/>
          <w:rtl/>
        </w:rPr>
        <w:t>בפועל הסנגוריה ערכה פיקוח עומק לשיעור נמוך של סנגורים מתוך כלל הסנגורים החיצוניים המייצגים מטעמה (</w:t>
      </w:r>
      <w:bookmarkStart w:id="9" w:name="_Hlk228435203"/>
      <w:r w:rsidRPr="00734173">
        <w:rPr>
          <w:rFonts w:ascii="Tahoma" w:eastAsia="Calibri" w:hAnsi="Tahoma" w:cs="Tahoma" w:hint="cs"/>
          <w:sz w:val="19"/>
          <w:szCs w:val="19"/>
          <w:rtl/>
        </w:rPr>
        <w:t xml:space="preserve">בממוצע לכ-100 מתוך 760 סנגורים חיצוניים מדי שנה). בשנים 2022 ו-2024 נערכו פיקוחי עומק </w:t>
      </w:r>
      <w:r w:rsidRPr="00734173">
        <w:rPr>
          <w:rFonts w:ascii="Tahoma" w:eastAsia="Calibri" w:hAnsi="Tahoma" w:cs="Tahoma" w:hint="eastAsia"/>
          <w:sz w:val="19"/>
          <w:szCs w:val="19"/>
          <w:rtl/>
        </w:rPr>
        <w:t>רק</w:t>
      </w:r>
      <w:r w:rsidRPr="00734173">
        <w:rPr>
          <w:rFonts w:ascii="Tahoma" w:eastAsia="Calibri" w:hAnsi="Tahoma" w:cs="Tahoma" w:hint="cs"/>
          <w:sz w:val="19"/>
          <w:szCs w:val="19"/>
          <w:rtl/>
        </w:rPr>
        <w:t xml:space="preserve"> </w:t>
      </w:r>
      <w:r w:rsidRPr="00734173">
        <w:rPr>
          <w:rFonts w:ascii="Tahoma" w:eastAsia="Calibri" w:hAnsi="Tahoma" w:cs="Tahoma" w:hint="eastAsia"/>
          <w:sz w:val="19"/>
          <w:szCs w:val="19"/>
          <w:rtl/>
        </w:rPr>
        <w:t>לכ</w:t>
      </w:r>
      <w:r w:rsidRPr="00734173">
        <w:rPr>
          <w:rFonts w:ascii="Tahoma" w:eastAsia="Calibri" w:hAnsi="Tahoma" w:cs="Tahoma"/>
          <w:sz w:val="19"/>
          <w:szCs w:val="19"/>
          <w:rtl/>
        </w:rPr>
        <w:t xml:space="preserve">-14% </w:t>
      </w:r>
      <w:r w:rsidRPr="00734173">
        <w:rPr>
          <w:rFonts w:ascii="Tahoma" w:eastAsia="Calibri" w:hAnsi="Tahoma" w:cs="Tahoma" w:hint="eastAsia"/>
          <w:sz w:val="19"/>
          <w:szCs w:val="19"/>
          <w:rtl/>
        </w:rPr>
        <w:t>מהסנגורים</w:t>
      </w:r>
      <w:r w:rsidRPr="00734173">
        <w:rPr>
          <w:rFonts w:ascii="Tahoma" w:eastAsia="Calibri" w:hAnsi="Tahoma" w:cs="Tahoma"/>
          <w:sz w:val="19"/>
          <w:szCs w:val="19"/>
          <w:rtl/>
        </w:rPr>
        <w:t xml:space="preserve"> </w:t>
      </w:r>
      <w:r w:rsidRPr="00734173">
        <w:rPr>
          <w:rFonts w:ascii="Tahoma" w:eastAsia="Calibri" w:hAnsi="Tahoma" w:cs="Tahoma" w:hint="eastAsia"/>
          <w:sz w:val="19"/>
          <w:szCs w:val="19"/>
          <w:rtl/>
        </w:rPr>
        <w:t>החיצוניים</w:t>
      </w:r>
      <w:r w:rsidRPr="00734173">
        <w:rPr>
          <w:rFonts w:ascii="Tahoma" w:eastAsia="Calibri" w:hAnsi="Tahoma" w:cs="Tahoma"/>
          <w:sz w:val="19"/>
          <w:szCs w:val="19"/>
          <w:rtl/>
        </w:rPr>
        <w:t xml:space="preserve"> </w:t>
      </w:r>
      <w:r w:rsidRPr="00734173">
        <w:rPr>
          <w:rFonts w:ascii="Tahoma" w:eastAsia="Calibri" w:hAnsi="Tahoma" w:cs="Tahoma" w:hint="eastAsia"/>
          <w:sz w:val="19"/>
          <w:szCs w:val="19"/>
          <w:rtl/>
        </w:rPr>
        <w:t>שהועסקו</w:t>
      </w:r>
      <w:r w:rsidRPr="00734173">
        <w:rPr>
          <w:rFonts w:ascii="Tahoma" w:eastAsia="Calibri" w:hAnsi="Tahoma" w:cs="Tahoma"/>
          <w:sz w:val="19"/>
          <w:szCs w:val="19"/>
          <w:rtl/>
        </w:rPr>
        <w:t xml:space="preserve"> </w:t>
      </w:r>
      <w:r w:rsidRPr="00734173">
        <w:rPr>
          <w:rFonts w:ascii="Tahoma" w:eastAsia="Calibri" w:hAnsi="Tahoma" w:cs="Tahoma" w:hint="eastAsia"/>
          <w:sz w:val="19"/>
          <w:szCs w:val="19"/>
          <w:rtl/>
        </w:rPr>
        <w:t>במחוזות</w:t>
      </w:r>
      <w:bookmarkEnd w:id="9"/>
      <w:r w:rsidRPr="00734173">
        <w:rPr>
          <w:rFonts w:ascii="Tahoma" w:eastAsia="Calibri" w:hAnsi="Tahoma" w:cs="Tahoma" w:hint="cs"/>
          <w:sz w:val="19"/>
          <w:szCs w:val="19"/>
          <w:rtl/>
        </w:rPr>
        <w:t xml:space="preserve">. כמו כן, ל-8 סנגורים חיצוניים בוצעו פיקוחי עומק בשני מחוזות שונים במהלך 2022 - 2024, </w:t>
      </w:r>
      <w:r w:rsidRPr="00734173">
        <w:rPr>
          <w:rFonts w:ascii="Tahoma" w:eastAsia="Calibri" w:hAnsi="Tahoma" w:cs="Tahoma" w:hint="eastAsia"/>
          <w:sz w:val="19"/>
          <w:szCs w:val="19"/>
          <w:rtl/>
        </w:rPr>
        <w:t>ללא</w:t>
      </w:r>
      <w:r w:rsidRPr="00734173">
        <w:rPr>
          <w:rFonts w:ascii="Tahoma" w:eastAsia="Calibri" w:hAnsi="Tahoma" w:cs="Tahoma"/>
          <w:sz w:val="19"/>
          <w:szCs w:val="19"/>
          <w:rtl/>
        </w:rPr>
        <w:t xml:space="preserve"> תיאום</w:t>
      </w:r>
      <w:r w:rsidRPr="00734173">
        <w:rPr>
          <w:rFonts w:ascii="Tahoma" w:eastAsia="Calibri" w:hAnsi="Tahoma" w:cs="Tahoma" w:hint="cs"/>
          <w:sz w:val="19"/>
          <w:szCs w:val="19"/>
          <w:rtl/>
        </w:rPr>
        <w:t xml:space="preserve">, הגם שלעמדת הסנגוריה משאבי הפיקוח במחוזותיה מוגבלים מאוד. </w:t>
      </w:r>
      <w:r w:rsidRPr="00734173">
        <w:rPr>
          <w:rFonts w:ascii="Tahoma" w:eastAsia="Calibri" w:hAnsi="Tahoma" w:cs="Tahoma"/>
          <w:sz w:val="19"/>
          <w:szCs w:val="19"/>
          <w:rtl/>
        </w:rPr>
        <w:t xml:space="preserve">על אף התועלת הרבה שניתן להפיק מפיקוחי עומק הן עבור הארגון והן לטובת הסנגורים החיצוניים, כפי שעלה בדוח ביקורת פנים משנת 2017, במסקנות צוות אסטרטגי משנת 2023 ובדוח ייעוץ ארגוני </w:t>
      </w:r>
      <w:r w:rsidRPr="00734173">
        <w:rPr>
          <w:rFonts w:ascii="Tahoma" w:eastAsia="Calibri" w:hAnsi="Tahoma" w:cs="Tahoma" w:hint="cs"/>
          <w:sz w:val="19"/>
          <w:szCs w:val="19"/>
          <w:rtl/>
        </w:rPr>
        <w:t xml:space="preserve">שעסקו כולם גם </w:t>
      </w:r>
      <w:r w:rsidRPr="00734173">
        <w:rPr>
          <w:rFonts w:ascii="Tahoma" w:eastAsia="Calibri" w:hAnsi="Tahoma" w:cs="Tahoma"/>
          <w:sz w:val="19"/>
          <w:szCs w:val="19"/>
          <w:rtl/>
        </w:rPr>
        <w:t xml:space="preserve">בתחום הפיקוח, </w:t>
      </w:r>
      <w:r w:rsidRPr="00734173">
        <w:rPr>
          <w:rFonts w:ascii="Tahoma" w:eastAsia="Calibri" w:hAnsi="Tahoma" w:cs="Tahoma" w:hint="cs"/>
          <w:sz w:val="19"/>
          <w:szCs w:val="19"/>
          <w:rtl/>
        </w:rPr>
        <w:t>הסנגוריה לא מיסדה את תהליך הפיקוח המעמיק על היבטיו השונים.</w:t>
      </w:r>
      <w:r w:rsidRPr="00734173">
        <w:rPr>
          <w:rFonts w:ascii="Tahoma" w:eastAsia="Calibri" w:hAnsi="Tahoma" w:cs="Tahoma"/>
          <w:sz w:val="19"/>
          <w:szCs w:val="19"/>
        </w:rPr>
        <w:t xml:space="preserve"> </w:t>
      </w:r>
    </w:p>
    <w:p w:rsidR="00734173" w:rsidRPr="00734173" w:rsidP="00734173">
      <w:pPr>
        <w:numPr>
          <w:ilvl w:val="0"/>
          <w:numId w:val="14"/>
        </w:numPr>
        <w:spacing w:after="240" w:line="288" w:lineRule="auto"/>
        <w:ind w:left="-143" w:right="-567" w:hanging="595"/>
        <w:rPr>
          <w:rFonts w:eastAsia="Calibri"/>
        </w:rPr>
      </w:pPr>
      <w:r w:rsidRPr="00734173">
        <w:rPr>
          <w:rFonts w:ascii="Tahoma" w:eastAsia="Calibri" w:hAnsi="Tahoma" w:cs="Tahoma" w:hint="cs"/>
          <w:bCs/>
          <w:sz w:val="19"/>
          <w:szCs w:val="19"/>
          <w:rtl/>
        </w:rPr>
        <w:t>כלי הערכה לביצוע תהליכי פיקוח ובקרה על עבודת הסנגורים החיצוניים</w:t>
      </w:r>
      <w:r w:rsidRPr="00734173">
        <w:rPr>
          <w:rFonts w:ascii="Tahoma" w:eastAsia="Calibri" w:hAnsi="Tahoma" w:cs="Tahoma"/>
          <w:b/>
          <w:sz w:val="19"/>
          <w:szCs w:val="19"/>
          <w:rtl/>
        </w:rPr>
        <w:t xml:space="preserve"> </w:t>
      </w:r>
      <w:r w:rsidRPr="00734173">
        <w:rPr>
          <w:rFonts w:ascii="Tahoma" w:eastAsia="Calibri" w:hAnsi="Tahoma" w:cs="Tahoma" w:hint="cs"/>
          <w:b/>
          <w:sz w:val="19"/>
          <w:szCs w:val="19"/>
          <w:rtl/>
        </w:rPr>
        <w:t xml:space="preserve">- </w:t>
      </w:r>
      <w:r w:rsidRPr="00734173">
        <w:rPr>
          <w:rFonts w:ascii="Tahoma" w:eastAsia="Calibri" w:hAnsi="Tahoma" w:cs="Tahoma" w:hint="cs"/>
          <w:sz w:val="19"/>
          <w:szCs w:val="19"/>
          <w:rtl/>
        </w:rPr>
        <w:t>ל</w:t>
      </w:r>
      <w:r w:rsidRPr="00734173">
        <w:rPr>
          <w:rFonts w:ascii="Tahoma" w:eastAsia="Calibri" w:hAnsi="Tahoma" w:cs="Tahoma" w:hint="eastAsia"/>
          <w:sz w:val="19"/>
          <w:szCs w:val="19"/>
          <w:rtl/>
        </w:rPr>
        <w:t>מחוזות</w:t>
      </w:r>
      <w:r w:rsidRPr="00734173">
        <w:rPr>
          <w:rFonts w:ascii="Tahoma" w:eastAsia="Calibri" w:hAnsi="Tahoma" w:cs="Tahoma"/>
          <w:sz w:val="19"/>
          <w:szCs w:val="19"/>
          <w:rtl/>
        </w:rPr>
        <w:t xml:space="preserve"> הסנגוריה </w:t>
      </w:r>
      <w:r w:rsidRPr="00734173">
        <w:rPr>
          <w:rFonts w:ascii="Tahoma" w:eastAsia="Calibri" w:hAnsi="Tahoma" w:cs="Tahoma" w:hint="cs"/>
          <w:sz w:val="19"/>
          <w:szCs w:val="19"/>
          <w:rtl/>
        </w:rPr>
        <w:t xml:space="preserve">אין מתכונת מובנית וכלי הערכה לביצוע תהליכי פיקוח ובקרה שוטפים על עבודתם של הסנגורים החיצוניים, וככלל, עבודתם אינה נמדדת בהתאם לאמות מידה בנות תוקף ובהשוואה לתקן נדרש. הדבר </w:t>
      </w:r>
      <w:r w:rsidRPr="00734173">
        <w:rPr>
          <w:rFonts w:ascii="Tahoma" w:eastAsia="Calibri" w:hAnsi="Tahoma" w:cs="Tahoma" w:hint="eastAsia"/>
          <w:sz w:val="19"/>
          <w:szCs w:val="19"/>
          <w:rtl/>
        </w:rPr>
        <w:t>משק</w:t>
      </w:r>
      <w:r w:rsidRPr="00734173">
        <w:rPr>
          <w:rFonts w:ascii="Tahoma" w:eastAsia="Calibri" w:hAnsi="Tahoma" w:cs="Tahoma" w:hint="cs"/>
          <w:sz w:val="19"/>
          <w:szCs w:val="19"/>
          <w:rtl/>
        </w:rPr>
        <w:t>ף</w:t>
      </w:r>
      <w:r w:rsidRPr="00734173">
        <w:rPr>
          <w:rFonts w:ascii="Tahoma" w:eastAsia="Calibri" w:hAnsi="Tahoma" w:cs="Tahoma"/>
          <w:sz w:val="19"/>
          <w:szCs w:val="19"/>
          <w:rtl/>
        </w:rPr>
        <w:t xml:space="preserve"> חולשה ארגונית </w:t>
      </w:r>
      <w:r w:rsidRPr="00734173">
        <w:rPr>
          <w:rFonts w:ascii="Tahoma" w:eastAsia="Calibri" w:hAnsi="Tahoma" w:cs="Tahoma" w:hint="eastAsia"/>
          <w:sz w:val="19"/>
          <w:szCs w:val="19"/>
          <w:rtl/>
        </w:rPr>
        <w:t>בתחום</w:t>
      </w:r>
      <w:r w:rsidRPr="00734173">
        <w:rPr>
          <w:rFonts w:ascii="Tahoma" w:eastAsia="Calibri" w:hAnsi="Tahoma" w:cs="Tahoma"/>
          <w:sz w:val="19"/>
          <w:szCs w:val="19"/>
          <w:rtl/>
        </w:rPr>
        <w:t xml:space="preserve"> </w:t>
      </w:r>
      <w:r w:rsidRPr="00734173">
        <w:rPr>
          <w:rFonts w:ascii="Tahoma" w:eastAsia="Calibri" w:hAnsi="Tahoma" w:cs="Tahoma" w:hint="cs"/>
          <w:sz w:val="19"/>
          <w:szCs w:val="19"/>
          <w:rtl/>
        </w:rPr>
        <w:t>ה</w:t>
      </w:r>
      <w:r w:rsidRPr="00734173">
        <w:rPr>
          <w:rFonts w:ascii="Tahoma" w:eastAsia="Calibri" w:hAnsi="Tahoma" w:cs="Tahoma" w:hint="eastAsia"/>
          <w:sz w:val="19"/>
          <w:szCs w:val="19"/>
          <w:rtl/>
        </w:rPr>
        <w:t>ליבה</w:t>
      </w:r>
      <w:r w:rsidRPr="00734173">
        <w:rPr>
          <w:rFonts w:ascii="Tahoma" w:eastAsia="Calibri" w:hAnsi="Tahoma" w:cs="Tahoma"/>
          <w:sz w:val="19"/>
          <w:szCs w:val="19"/>
          <w:rtl/>
        </w:rPr>
        <w:t xml:space="preserve"> </w:t>
      </w:r>
      <w:r w:rsidRPr="00734173">
        <w:rPr>
          <w:rFonts w:ascii="Tahoma" w:eastAsia="Calibri" w:hAnsi="Tahoma" w:cs="Tahoma" w:hint="eastAsia"/>
          <w:sz w:val="19"/>
          <w:szCs w:val="19"/>
          <w:rtl/>
        </w:rPr>
        <w:t>שלשמו</w:t>
      </w:r>
      <w:r w:rsidRPr="00734173">
        <w:rPr>
          <w:rFonts w:ascii="Tahoma" w:eastAsia="Calibri" w:hAnsi="Tahoma" w:cs="Tahoma"/>
          <w:sz w:val="19"/>
          <w:szCs w:val="19"/>
          <w:rtl/>
        </w:rPr>
        <w:t xml:space="preserve"> </w:t>
      </w:r>
      <w:r w:rsidRPr="00734173">
        <w:rPr>
          <w:rFonts w:ascii="Tahoma" w:eastAsia="Calibri" w:hAnsi="Tahoma" w:cs="Tahoma" w:hint="eastAsia"/>
          <w:sz w:val="19"/>
          <w:szCs w:val="19"/>
          <w:rtl/>
        </w:rPr>
        <w:t>הוקמה</w:t>
      </w:r>
      <w:r w:rsidRPr="00734173">
        <w:rPr>
          <w:rFonts w:ascii="Tahoma" w:eastAsia="Calibri" w:hAnsi="Tahoma" w:cs="Tahoma"/>
          <w:sz w:val="19"/>
          <w:szCs w:val="19"/>
          <w:rtl/>
        </w:rPr>
        <w:t xml:space="preserve"> </w:t>
      </w:r>
      <w:r w:rsidRPr="00734173">
        <w:rPr>
          <w:rFonts w:ascii="Tahoma" w:eastAsia="Calibri" w:hAnsi="Tahoma" w:cs="Tahoma" w:hint="eastAsia"/>
          <w:sz w:val="19"/>
          <w:szCs w:val="19"/>
          <w:rtl/>
        </w:rPr>
        <w:t>הסנגוריה</w:t>
      </w:r>
      <w:r w:rsidRPr="00734173">
        <w:rPr>
          <w:rFonts w:ascii="Tahoma" w:eastAsia="Calibri" w:hAnsi="Tahoma" w:cs="Tahoma"/>
          <w:sz w:val="19"/>
          <w:szCs w:val="19"/>
          <w:rtl/>
        </w:rPr>
        <w:t xml:space="preserve">. </w:t>
      </w:r>
      <w:r w:rsidRPr="00734173">
        <w:rPr>
          <w:rFonts w:ascii="Tahoma" w:eastAsia="Calibri" w:hAnsi="Tahoma" w:cs="Tahoma" w:hint="cs"/>
          <w:sz w:val="19"/>
          <w:szCs w:val="19"/>
          <w:rtl/>
        </w:rPr>
        <w:t xml:space="preserve">לכל הסנגורים החיצוניים שעברו פיקוח עומק במחוזות צפון, חיפה ותל אביב, ולכ-25% מהסנגורים החיצוניים המפוקחים במחוזות דרום ומרכז, לא ניתנו הערכות כמותניות או איכותניות על פי הטופס המובנה אלא הערכות אשר לא ניתן להפיק מהן נתונים השוואתיים על הישגי הסנגורים החיצוניים או על טיב הייצוג שניתן. בהיעדר תקינה (סטנדרטיזציה) של דירוג עבודת הסנגורים החיצוניים, יש קושי גם להשוות בין הסנגורים החיצוניים בכל מחוז בנוגע לרמתם המקצועית והאישית, ובין המחוזות לבין עצמם, או להסיק מסקנות בדבר איכות הייצוג שניתן על ידם, מכיוון שהסנגוריה לא קבעה </w:t>
      </w:r>
      <w:r w:rsidRPr="00734173">
        <w:rPr>
          <w:rFonts w:ascii="Tahoma" w:eastAsia="Calibri" w:hAnsi="Tahoma" w:cs="Tahoma" w:hint="eastAsia"/>
          <w:sz w:val="19"/>
          <w:szCs w:val="19"/>
          <w:rtl/>
        </w:rPr>
        <w:t>מדד</w:t>
      </w:r>
      <w:r w:rsidRPr="00734173">
        <w:rPr>
          <w:rFonts w:ascii="Tahoma" w:eastAsia="Calibri" w:hAnsi="Tahoma" w:cs="Tahoma"/>
          <w:sz w:val="19"/>
          <w:szCs w:val="19"/>
          <w:rtl/>
        </w:rPr>
        <w:t xml:space="preserve"> </w:t>
      </w:r>
      <w:r w:rsidRPr="00734173">
        <w:rPr>
          <w:rFonts w:ascii="Tahoma" w:eastAsia="Calibri" w:hAnsi="Tahoma" w:cs="Tahoma" w:hint="eastAsia"/>
          <w:sz w:val="19"/>
          <w:szCs w:val="19"/>
          <w:rtl/>
        </w:rPr>
        <w:t>אחיד</w:t>
      </w:r>
      <w:r w:rsidRPr="00734173">
        <w:rPr>
          <w:rFonts w:ascii="Tahoma" w:eastAsia="Calibri" w:hAnsi="Tahoma" w:cs="Tahoma"/>
          <w:sz w:val="19"/>
          <w:szCs w:val="19"/>
          <w:rtl/>
        </w:rPr>
        <w:t xml:space="preserve"> להשוואה</w:t>
      </w:r>
      <w:r w:rsidRPr="00734173">
        <w:rPr>
          <w:rFonts w:ascii="David" w:eastAsia="Calibri" w:hAnsi="David" w:hint="cs"/>
          <w:sz w:val="24"/>
          <w:rtl/>
        </w:rPr>
        <w:t>.</w:t>
      </w:r>
    </w:p>
    <w:p w:rsidR="00734173" w:rsidRPr="00734173" w:rsidP="00734173">
      <w:pPr>
        <w:numPr>
          <w:ilvl w:val="0"/>
          <w:numId w:val="14"/>
        </w:numPr>
        <w:spacing w:after="240" w:line="288" w:lineRule="auto"/>
        <w:ind w:left="-143" w:right="-567" w:hanging="595"/>
        <w:rPr>
          <w:rFonts w:ascii="Tahoma" w:eastAsia="Calibri" w:hAnsi="Tahoma" w:cs="Tahoma"/>
          <w:sz w:val="19"/>
          <w:szCs w:val="19"/>
        </w:rPr>
      </w:pPr>
      <w:bookmarkStart w:id="10" w:name="_Toc225249783"/>
      <w:r w:rsidRPr="00734173">
        <w:rPr>
          <w:rFonts w:ascii="Tahoma" w:eastAsia="Calibri" w:hAnsi="Tahoma" w:cs="Tahoma" w:hint="eastAsia"/>
          <w:bCs/>
          <w:sz w:val="19"/>
          <w:szCs w:val="19"/>
          <w:rtl/>
        </w:rPr>
        <w:t>הקשר</w:t>
      </w:r>
      <w:r w:rsidRPr="00734173">
        <w:rPr>
          <w:rFonts w:ascii="Tahoma" w:eastAsia="Calibri" w:hAnsi="Tahoma" w:cs="Tahoma"/>
          <w:bCs/>
          <w:sz w:val="19"/>
          <w:szCs w:val="19"/>
          <w:rtl/>
        </w:rPr>
        <w:t xml:space="preserve"> בין </w:t>
      </w:r>
      <w:r w:rsidRPr="00734173">
        <w:rPr>
          <w:rFonts w:ascii="Tahoma" w:eastAsia="Calibri" w:hAnsi="Tahoma" w:cs="Tahoma" w:hint="cs"/>
          <w:bCs/>
          <w:sz w:val="19"/>
          <w:szCs w:val="19"/>
          <w:rtl/>
        </w:rPr>
        <w:t>תוצרי</w:t>
      </w:r>
      <w:r w:rsidRPr="00734173">
        <w:rPr>
          <w:rFonts w:ascii="Tahoma" w:eastAsia="Calibri" w:hAnsi="Tahoma" w:cs="Tahoma"/>
          <w:bCs/>
          <w:sz w:val="19"/>
          <w:szCs w:val="19"/>
          <w:rtl/>
        </w:rPr>
        <w:t xml:space="preserve"> הפיקוח לבין מינוי סנגור חיצוני לייצוג בתיק</w:t>
      </w:r>
      <w:bookmarkEnd w:id="10"/>
      <w:r w:rsidRPr="00734173">
        <w:rPr>
          <w:rFonts w:eastAsia="Calibri"/>
        </w:rPr>
        <w:t xml:space="preserve"> </w:t>
      </w:r>
      <w:r w:rsidRPr="00734173">
        <w:rPr>
          <w:rFonts w:eastAsia="Calibri"/>
          <w:rtl/>
        </w:rPr>
        <w:t xml:space="preserve">- </w:t>
      </w:r>
      <w:r w:rsidRPr="00734173">
        <w:rPr>
          <w:rFonts w:ascii="Tahoma" w:eastAsia="Calibri" w:hAnsi="Tahoma" w:cs="Tahoma"/>
          <w:sz w:val="19"/>
          <w:szCs w:val="19"/>
          <w:rtl/>
        </w:rPr>
        <w:t>אין לסנגוריה נתונים על ההשלכות של תוצרי הפיקוח וממצאיו ועל השפעתם על תהליך המינוי של הסנגורים החיצוניים לייצוג בתיקי הסנגוריה או על הפסקת ההתקשרות עמם</w:t>
      </w:r>
      <w:r w:rsidRPr="00734173">
        <w:rPr>
          <w:rFonts w:ascii="Tahoma" w:eastAsia="Calibri" w:hAnsi="Tahoma" w:cs="Tahoma" w:hint="cs"/>
          <w:sz w:val="19"/>
          <w:szCs w:val="19"/>
          <w:rtl/>
        </w:rPr>
        <w:t>. כמו כן,</w:t>
      </w:r>
      <w:r w:rsidRPr="00734173">
        <w:rPr>
          <w:rFonts w:ascii="Tahoma" w:eastAsia="Calibri" w:hAnsi="Tahoma" w:cs="Tahoma"/>
          <w:sz w:val="19"/>
          <w:szCs w:val="19"/>
          <w:rtl/>
        </w:rPr>
        <w:t xml:space="preserve"> לא נמצא תיעוד לפעולות מעקב אחר עבודת סנגורים שהערכתם המקצועית בפיקוח העומק דרשה זאת, הגם שהצורך בכך קיבל ביטוי חוזר במסמכי הסנגוריה. עוד עולה כי אמנם בשנים 202</w:t>
      </w:r>
      <w:r w:rsidRPr="00734173">
        <w:rPr>
          <w:rFonts w:ascii="Tahoma" w:eastAsia="Calibri" w:hAnsi="Tahoma" w:cs="Tahoma" w:hint="cs"/>
          <w:sz w:val="19"/>
          <w:szCs w:val="19"/>
          <w:rtl/>
        </w:rPr>
        <w:t>2</w:t>
      </w:r>
      <w:r w:rsidRPr="00734173">
        <w:rPr>
          <w:rFonts w:ascii="Tahoma" w:eastAsia="Calibri" w:hAnsi="Tahoma" w:cs="Tahoma"/>
          <w:sz w:val="19"/>
          <w:szCs w:val="19"/>
          <w:rtl/>
        </w:rPr>
        <w:t xml:space="preserve"> </w:t>
      </w:r>
      <w:r w:rsidRPr="00734173">
        <w:rPr>
          <w:rFonts w:ascii="Tahoma" w:eastAsia="Calibri" w:hAnsi="Tahoma" w:cs="Tahoma" w:hint="cs"/>
          <w:sz w:val="19"/>
          <w:szCs w:val="19"/>
          <w:rtl/>
        </w:rPr>
        <w:t>-</w:t>
      </w:r>
      <w:r w:rsidRPr="00734173">
        <w:rPr>
          <w:rFonts w:ascii="Tahoma" w:eastAsia="Calibri" w:hAnsi="Tahoma" w:cs="Tahoma"/>
          <w:sz w:val="19"/>
          <w:szCs w:val="19"/>
          <w:rtl/>
        </w:rPr>
        <w:t xml:space="preserve"> 2024</w:t>
      </w:r>
      <w:r w:rsidRPr="00734173">
        <w:rPr>
          <w:rFonts w:ascii="Tahoma" w:eastAsia="Calibri" w:hAnsi="Tahoma" w:cs="Tahoma" w:hint="cs"/>
          <w:sz w:val="19"/>
          <w:szCs w:val="19"/>
          <w:rtl/>
        </w:rPr>
        <w:t xml:space="preserve"> </w:t>
      </w:r>
      <w:r w:rsidRPr="00734173">
        <w:rPr>
          <w:rFonts w:ascii="Tahoma" w:eastAsia="Calibri" w:hAnsi="Tahoma" w:cs="Tahoma"/>
          <w:sz w:val="19"/>
          <w:szCs w:val="19"/>
          <w:rtl/>
        </w:rPr>
        <w:t>הסתיימה ההתקשרות עם כ-130 סנגורים חיצוניים, אך הסנגוריה אינה מתעדת את נסיבות סיום ההתקשרות ועילותיה בנתוניה</w:t>
      </w:r>
      <w:r w:rsidRPr="00734173">
        <w:rPr>
          <w:rFonts w:ascii="Tahoma" w:eastAsia="Calibri" w:hAnsi="Tahoma" w:cs="Tahoma" w:hint="cs"/>
          <w:sz w:val="19"/>
          <w:szCs w:val="19"/>
          <w:rtl/>
        </w:rPr>
        <w:t xml:space="preserve"> באופן שמאפשר את איגומם או שליפתם</w:t>
      </w:r>
      <w:r w:rsidRPr="00734173">
        <w:rPr>
          <w:rFonts w:ascii="Tahoma" w:eastAsia="Calibri" w:hAnsi="Tahoma" w:cs="Tahoma"/>
          <w:sz w:val="19"/>
          <w:szCs w:val="19"/>
          <w:rtl/>
        </w:rPr>
        <w:t>, ולכן אי אפשר לדעת אם קיים קשר סיבתי בין סיום ההתקשרות עמם לבין תוצרי הפיקוח על אותם סנגורים. זאת ועוד במערכות המידע של הסנגוריה נמצאו כ-80 סנגורים חיצוניים בסטטוס "פעיל - לא למינוי" ולא ברור אם מעמדם זה נובע מתוצאות הפיקוח עליהם אם לאו.</w:t>
      </w:r>
      <w:bookmarkStart w:id="11" w:name="_Toc225249785"/>
    </w:p>
    <w:p w:rsidR="00734173" w:rsidRPr="00734173" w:rsidP="00734173">
      <w:pPr>
        <w:numPr>
          <w:ilvl w:val="0"/>
          <w:numId w:val="14"/>
        </w:numPr>
        <w:spacing w:after="240" w:line="288" w:lineRule="auto"/>
        <w:ind w:left="-143" w:right="-567" w:hanging="595"/>
        <w:rPr>
          <w:rFonts w:ascii="Tahoma" w:eastAsia="Calibri" w:hAnsi="Tahoma" w:cs="Tahoma"/>
          <w:sz w:val="19"/>
          <w:szCs w:val="19"/>
          <w:rtl/>
        </w:rPr>
      </w:pPr>
      <w:r w:rsidRPr="00734173">
        <w:rPr>
          <w:rFonts w:ascii="Tahoma" w:eastAsia="Calibri" w:hAnsi="Tahoma" w:cs="Tahoma" w:hint="cs"/>
          <w:bCs/>
          <w:sz w:val="19"/>
          <w:szCs w:val="19"/>
          <w:rtl/>
        </w:rPr>
        <w:t xml:space="preserve">משוב על עבודת </w:t>
      </w:r>
      <w:r w:rsidRPr="00734173">
        <w:rPr>
          <w:rFonts w:ascii="Tahoma" w:eastAsia="Calibri" w:hAnsi="Tahoma" w:cs="Tahoma" w:hint="eastAsia"/>
          <w:bCs/>
          <w:sz w:val="19"/>
          <w:szCs w:val="19"/>
          <w:rtl/>
        </w:rPr>
        <w:t>הסנגורים</w:t>
      </w:r>
      <w:r w:rsidRPr="00734173">
        <w:rPr>
          <w:rFonts w:ascii="Tahoma" w:eastAsia="Calibri" w:hAnsi="Tahoma" w:cs="Tahoma"/>
          <w:bCs/>
          <w:sz w:val="19"/>
          <w:szCs w:val="19"/>
          <w:rtl/>
        </w:rPr>
        <w:t xml:space="preserve"> הציבוריים</w:t>
      </w:r>
      <w:bookmarkEnd w:id="11"/>
      <w:r w:rsidRPr="00734173">
        <w:rPr>
          <w:rFonts w:ascii="Tahoma" w:eastAsia="Calibri" w:hAnsi="Tahoma" w:cs="Tahoma" w:hint="cs"/>
          <w:bCs/>
          <w:sz w:val="19"/>
          <w:szCs w:val="19"/>
          <w:rtl/>
        </w:rPr>
        <w:t xml:space="preserve"> וטיפול בתלונות</w:t>
      </w:r>
      <w:r w:rsidRPr="00734173">
        <w:rPr>
          <w:rFonts w:ascii="Tahoma" w:eastAsia="Calibri" w:hAnsi="Tahoma" w:cs="Tahoma" w:hint="cs"/>
          <w:b/>
          <w:sz w:val="19"/>
          <w:szCs w:val="19"/>
          <w:rtl/>
        </w:rPr>
        <w:t xml:space="preserve"> -</w:t>
      </w:r>
      <w:r w:rsidRPr="00734173">
        <w:rPr>
          <w:rFonts w:ascii="Tahoma" w:eastAsia="Calibri" w:hAnsi="Tahoma" w:cs="Tahoma" w:hint="cs"/>
          <w:bCs/>
          <w:sz w:val="19"/>
          <w:szCs w:val="19"/>
          <w:rtl/>
        </w:rPr>
        <w:t xml:space="preserve"> </w:t>
      </w:r>
      <w:r w:rsidRPr="00734173">
        <w:rPr>
          <w:rFonts w:ascii="Tahoma" w:eastAsia="Calibri" w:hAnsi="Tahoma" w:cs="Tahoma" w:hint="cs"/>
          <w:sz w:val="19"/>
          <w:szCs w:val="19"/>
          <w:rtl/>
        </w:rPr>
        <w:t xml:space="preserve">הועלה כי סקר שביעות הרצון האחרון שערכה הסנגוריה, ובו מסרו </w:t>
      </w:r>
      <w:r w:rsidRPr="00734173">
        <w:rPr>
          <w:rFonts w:ascii="Tahoma" w:eastAsia="Calibri" w:hAnsi="Tahoma" w:cs="Tahoma"/>
          <w:sz w:val="19"/>
          <w:szCs w:val="19"/>
          <w:rtl/>
        </w:rPr>
        <w:t xml:space="preserve">לקוחותיה </w:t>
      </w:r>
      <w:r w:rsidRPr="00734173">
        <w:rPr>
          <w:rFonts w:ascii="Tahoma" w:eastAsia="Calibri" w:hAnsi="Tahoma" w:cs="Tahoma" w:hint="cs"/>
          <w:sz w:val="19"/>
          <w:szCs w:val="19"/>
          <w:rtl/>
        </w:rPr>
        <w:t>מידע על אודות</w:t>
      </w:r>
      <w:r w:rsidRPr="00734173">
        <w:rPr>
          <w:rFonts w:ascii="Tahoma" w:eastAsia="Calibri" w:hAnsi="Tahoma" w:cs="Tahoma"/>
          <w:sz w:val="19"/>
          <w:szCs w:val="19"/>
          <w:rtl/>
        </w:rPr>
        <w:t xml:space="preserve"> השירות </w:t>
      </w:r>
      <w:r w:rsidRPr="00734173">
        <w:rPr>
          <w:rFonts w:ascii="Tahoma" w:eastAsia="Calibri" w:hAnsi="Tahoma" w:cs="Tahoma" w:hint="eastAsia"/>
          <w:sz w:val="19"/>
          <w:szCs w:val="19"/>
          <w:rtl/>
        </w:rPr>
        <w:t>המשפטי</w:t>
      </w:r>
      <w:r w:rsidRPr="00734173">
        <w:rPr>
          <w:rFonts w:ascii="Tahoma" w:eastAsia="Calibri" w:hAnsi="Tahoma" w:cs="Tahoma"/>
          <w:sz w:val="19"/>
          <w:szCs w:val="19"/>
          <w:rtl/>
        </w:rPr>
        <w:t xml:space="preserve"> </w:t>
      </w:r>
      <w:r w:rsidRPr="00734173">
        <w:rPr>
          <w:rFonts w:ascii="Tahoma" w:eastAsia="Calibri" w:hAnsi="Tahoma" w:cs="Tahoma" w:hint="eastAsia"/>
          <w:sz w:val="19"/>
          <w:szCs w:val="19"/>
          <w:rtl/>
        </w:rPr>
        <w:t>שקיבלו</w:t>
      </w:r>
      <w:r w:rsidRPr="00734173">
        <w:rPr>
          <w:rFonts w:ascii="Tahoma" w:eastAsia="Calibri" w:hAnsi="Tahoma" w:cs="Tahoma" w:hint="cs"/>
          <w:sz w:val="19"/>
          <w:szCs w:val="19"/>
          <w:rtl/>
        </w:rPr>
        <w:t>, פורסם בשנת 2017 אך מאז הסנגוריה אינה עורכת סקרים דומים ואינה מקבלת מלקחותיה משוב שוטף בנושא. כמו כן, בשל מגבלות מערכת דיפנדר תלונות שהגישו לקוחות הסנגוריה</w:t>
      </w:r>
      <w:r w:rsidRPr="00734173">
        <w:rPr>
          <w:rFonts w:ascii="Tahoma" w:eastAsia="Calibri" w:hAnsi="Tahoma" w:cs="Tahoma"/>
          <w:sz w:val="19"/>
          <w:szCs w:val="19"/>
          <w:rtl/>
        </w:rPr>
        <w:t xml:space="preserve"> </w:t>
      </w:r>
      <w:r w:rsidRPr="00734173">
        <w:rPr>
          <w:rFonts w:ascii="Tahoma" w:eastAsia="Calibri" w:hAnsi="Tahoma" w:cs="Tahoma" w:hint="cs"/>
          <w:sz w:val="19"/>
          <w:szCs w:val="19"/>
          <w:rtl/>
        </w:rPr>
        <w:t xml:space="preserve">על טיב הייצוג ואופן הטיפול בהן לא תועדו על ידה באופן סדור; </w:t>
      </w:r>
      <w:r w:rsidRPr="00734173">
        <w:rPr>
          <w:rFonts w:ascii="Tahoma" w:eastAsia="Calibri" w:hAnsi="Tahoma" w:cs="Tahoma"/>
          <w:sz w:val="19"/>
          <w:szCs w:val="19"/>
          <w:rtl/>
        </w:rPr>
        <w:t xml:space="preserve">לכן לא ניתן </w:t>
      </w:r>
      <w:r w:rsidRPr="00734173">
        <w:rPr>
          <w:rFonts w:ascii="Tahoma" w:eastAsia="Calibri" w:hAnsi="Tahoma" w:cs="Tahoma" w:hint="eastAsia"/>
          <w:sz w:val="19"/>
          <w:szCs w:val="19"/>
          <w:rtl/>
        </w:rPr>
        <w:t>לדעת</w:t>
      </w:r>
      <w:r w:rsidRPr="00734173">
        <w:rPr>
          <w:rFonts w:ascii="Tahoma" w:eastAsia="Calibri" w:hAnsi="Tahoma" w:cs="Tahoma"/>
          <w:sz w:val="19"/>
          <w:szCs w:val="19"/>
          <w:rtl/>
        </w:rPr>
        <w:t xml:space="preserve"> </w:t>
      </w:r>
      <w:r w:rsidRPr="00734173">
        <w:rPr>
          <w:rFonts w:ascii="Tahoma" w:eastAsia="Calibri" w:hAnsi="Tahoma" w:cs="Tahoma" w:hint="eastAsia"/>
          <w:sz w:val="19"/>
          <w:szCs w:val="19"/>
          <w:rtl/>
        </w:rPr>
        <w:t>אם</w:t>
      </w:r>
      <w:r w:rsidRPr="00734173">
        <w:rPr>
          <w:rFonts w:ascii="Tahoma" w:eastAsia="Calibri" w:hAnsi="Tahoma" w:cs="Tahoma"/>
          <w:sz w:val="19"/>
          <w:szCs w:val="19"/>
          <w:rtl/>
        </w:rPr>
        <w:t xml:space="preserve"> </w:t>
      </w:r>
      <w:r w:rsidRPr="00734173">
        <w:rPr>
          <w:rFonts w:ascii="Tahoma" w:eastAsia="Calibri" w:hAnsi="Tahoma" w:cs="Tahoma" w:hint="eastAsia"/>
          <w:sz w:val="19"/>
          <w:szCs w:val="19"/>
          <w:rtl/>
        </w:rPr>
        <w:t>התקבלו</w:t>
      </w:r>
      <w:r w:rsidRPr="00734173">
        <w:rPr>
          <w:rFonts w:ascii="Tahoma" w:eastAsia="Calibri" w:hAnsi="Tahoma" w:cs="Tahoma"/>
          <w:sz w:val="19"/>
          <w:szCs w:val="19"/>
          <w:rtl/>
        </w:rPr>
        <w:t xml:space="preserve"> </w:t>
      </w:r>
      <w:r w:rsidRPr="00734173">
        <w:rPr>
          <w:rFonts w:ascii="Tahoma" w:eastAsia="Calibri" w:hAnsi="Tahoma" w:cs="Tahoma" w:hint="eastAsia"/>
          <w:sz w:val="19"/>
          <w:szCs w:val="19"/>
          <w:rtl/>
        </w:rPr>
        <w:t>תלונות</w:t>
      </w:r>
      <w:r w:rsidRPr="00734173">
        <w:rPr>
          <w:rFonts w:ascii="Tahoma" w:eastAsia="Calibri" w:hAnsi="Tahoma" w:cs="Tahoma"/>
          <w:sz w:val="19"/>
          <w:szCs w:val="19"/>
          <w:rtl/>
        </w:rPr>
        <w:t xml:space="preserve"> </w:t>
      </w:r>
      <w:r w:rsidRPr="00734173">
        <w:rPr>
          <w:rFonts w:ascii="Tahoma" w:eastAsia="Calibri" w:hAnsi="Tahoma" w:cs="Tahoma" w:hint="eastAsia"/>
          <w:sz w:val="19"/>
          <w:szCs w:val="19"/>
          <w:rtl/>
        </w:rPr>
        <w:t>בתקופה</w:t>
      </w:r>
      <w:r w:rsidRPr="00734173">
        <w:rPr>
          <w:rFonts w:ascii="Tahoma" w:eastAsia="Calibri" w:hAnsi="Tahoma" w:cs="Tahoma"/>
          <w:sz w:val="19"/>
          <w:szCs w:val="19"/>
          <w:rtl/>
        </w:rPr>
        <w:t xml:space="preserve"> </w:t>
      </w:r>
      <w:r w:rsidRPr="00734173">
        <w:rPr>
          <w:rFonts w:ascii="Tahoma" w:eastAsia="Calibri" w:hAnsi="Tahoma" w:cs="Tahoma" w:hint="eastAsia"/>
          <w:sz w:val="19"/>
          <w:szCs w:val="19"/>
          <w:rtl/>
        </w:rPr>
        <w:t>מסוימת</w:t>
      </w:r>
      <w:r w:rsidRPr="00734173">
        <w:rPr>
          <w:rFonts w:ascii="Tahoma" w:eastAsia="Calibri" w:hAnsi="Tahoma" w:cs="Tahoma"/>
          <w:sz w:val="19"/>
          <w:szCs w:val="19"/>
          <w:rtl/>
        </w:rPr>
        <w:t xml:space="preserve">, </w:t>
      </w:r>
      <w:r w:rsidRPr="00734173">
        <w:rPr>
          <w:rFonts w:ascii="Tahoma" w:eastAsia="Calibri" w:hAnsi="Tahoma" w:cs="Tahoma" w:hint="eastAsia"/>
          <w:sz w:val="19"/>
          <w:szCs w:val="19"/>
          <w:rtl/>
        </w:rPr>
        <w:t>לכמת</w:t>
      </w:r>
      <w:r w:rsidRPr="00734173">
        <w:rPr>
          <w:rFonts w:ascii="Tahoma" w:eastAsia="Calibri" w:hAnsi="Tahoma" w:cs="Tahoma"/>
          <w:sz w:val="19"/>
          <w:szCs w:val="19"/>
          <w:rtl/>
        </w:rPr>
        <w:t xml:space="preserve"> </w:t>
      </w:r>
      <w:r w:rsidRPr="00734173">
        <w:rPr>
          <w:rFonts w:ascii="Tahoma" w:eastAsia="Calibri" w:hAnsi="Tahoma" w:cs="Tahoma" w:hint="eastAsia"/>
          <w:sz w:val="19"/>
          <w:szCs w:val="19"/>
          <w:rtl/>
        </w:rPr>
        <w:t>את</w:t>
      </w:r>
      <w:r w:rsidRPr="00734173">
        <w:rPr>
          <w:rFonts w:ascii="Tahoma" w:eastAsia="Calibri" w:hAnsi="Tahoma" w:cs="Tahoma"/>
          <w:sz w:val="19"/>
          <w:szCs w:val="19"/>
          <w:rtl/>
        </w:rPr>
        <w:t xml:space="preserve"> </w:t>
      </w:r>
      <w:r w:rsidRPr="00734173">
        <w:rPr>
          <w:rFonts w:ascii="Tahoma" w:eastAsia="Calibri" w:hAnsi="Tahoma" w:cs="Tahoma" w:hint="eastAsia"/>
          <w:sz w:val="19"/>
          <w:szCs w:val="19"/>
          <w:rtl/>
        </w:rPr>
        <w:t>מספרן</w:t>
      </w:r>
      <w:r w:rsidRPr="00734173">
        <w:rPr>
          <w:rFonts w:ascii="Tahoma" w:eastAsia="Calibri" w:hAnsi="Tahoma" w:cs="Tahoma"/>
          <w:sz w:val="19"/>
          <w:szCs w:val="19"/>
          <w:rtl/>
        </w:rPr>
        <w:t xml:space="preserve">, </w:t>
      </w:r>
      <w:r w:rsidRPr="00734173">
        <w:rPr>
          <w:rFonts w:ascii="Tahoma" w:eastAsia="Calibri" w:hAnsi="Tahoma" w:cs="Tahoma" w:hint="eastAsia"/>
          <w:sz w:val="19"/>
          <w:szCs w:val="19"/>
          <w:rtl/>
        </w:rPr>
        <w:t>לוודא</w:t>
      </w:r>
      <w:r w:rsidRPr="00734173">
        <w:rPr>
          <w:rFonts w:ascii="Tahoma" w:eastAsia="Calibri" w:hAnsi="Tahoma" w:cs="Tahoma"/>
          <w:sz w:val="19"/>
          <w:szCs w:val="19"/>
          <w:rtl/>
        </w:rPr>
        <w:t xml:space="preserve"> </w:t>
      </w:r>
      <w:r w:rsidRPr="00734173">
        <w:rPr>
          <w:rFonts w:ascii="Tahoma" w:eastAsia="Calibri" w:hAnsi="Tahoma" w:cs="Tahoma" w:hint="eastAsia"/>
          <w:sz w:val="19"/>
          <w:szCs w:val="19"/>
          <w:rtl/>
        </w:rPr>
        <w:t>את</w:t>
      </w:r>
      <w:r w:rsidRPr="00734173">
        <w:rPr>
          <w:rFonts w:ascii="Tahoma" w:eastAsia="Calibri" w:hAnsi="Tahoma" w:cs="Tahoma"/>
          <w:sz w:val="19"/>
          <w:szCs w:val="19"/>
          <w:rtl/>
        </w:rPr>
        <w:t xml:space="preserve"> </w:t>
      </w:r>
      <w:r w:rsidRPr="00734173">
        <w:rPr>
          <w:rFonts w:ascii="Tahoma" w:eastAsia="Calibri" w:hAnsi="Tahoma" w:cs="Tahoma" w:hint="eastAsia"/>
          <w:sz w:val="19"/>
          <w:szCs w:val="19"/>
          <w:rtl/>
        </w:rPr>
        <w:t>מיהות</w:t>
      </w:r>
      <w:r w:rsidRPr="00734173">
        <w:rPr>
          <w:rFonts w:ascii="Tahoma" w:eastAsia="Calibri" w:hAnsi="Tahoma" w:cs="Tahoma"/>
          <w:sz w:val="19"/>
          <w:szCs w:val="19"/>
          <w:rtl/>
        </w:rPr>
        <w:t xml:space="preserve"> </w:t>
      </w:r>
      <w:r w:rsidRPr="00734173">
        <w:rPr>
          <w:rFonts w:ascii="Tahoma" w:eastAsia="Calibri" w:hAnsi="Tahoma" w:cs="Tahoma" w:hint="eastAsia"/>
          <w:sz w:val="19"/>
          <w:szCs w:val="19"/>
          <w:rtl/>
        </w:rPr>
        <w:t>הגורם</w:t>
      </w:r>
      <w:r w:rsidRPr="00734173">
        <w:rPr>
          <w:rFonts w:ascii="Tahoma" w:eastAsia="Calibri" w:hAnsi="Tahoma" w:cs="Tahoma"/>
          <w:sz w:val="19"/>
          <w:szCs w:val="19"/>
          <w:rtl/>
        </w:rPr>
        <w:t xml:space="preserve"> </w:t>
      </w:r>
      <w:r w:rsidRPr="00734173">
        <w:rPr>
          <w:rFonts w:ascii="Tahoma" w:eastAsia="Calibri" w:hAnsi="Tahoma" w:cs="Tahoma" w:hint="eastAsia"/>
          <w:sz w:val="19"/>
          <w:szCs w:val="19"/>
          <w:rtl/>
        </w:rPr>
        <w:t>המטפל</w:t>
      </w:r>
      <w:r w:rsidRPr="00734173">
        <w:rPr>
          <w:rFonts w:ascii="Tahoma" w:eastAsia="Calibri" w:hAnsi="Tahoma" w:cs="Tahoma"/>
          <w:sz w:val="19"/>
          <w:szCs w:val="19"/>
          <w:rtl/>
        </w:rPr>
        <w:t xml:space="preserve"> ולאפיין את </w:t>
      </w:r>
      <w:r w:rsidRPr="00734173">
        <w:rPr>
          <w:rFonts w:ascii="Tahoma" w:eastAsia="Calibri" w:hAnsi="Tahoma" w:cs="Tahoma" w:hint="eastAsia"/>
          <w:sz w:val="19"/>
          <w:szCs w:val="19"/>
          <w:rtl/>
        </w:rPr>
        <w:t>מהות</w:t>
      </w:r>
      <w:r w:rsidRPr="00734173">
        <w:rPr>
          <w:rFonts w:ascii="Tahoma" w:eastAsia="Calibri" w:hAnsi="Tahoma" w:cs="Tahoma"/>
          <w:sz w:val="19"/>
          <w:szCs w:val="19"/>
          <w:rtl/>
        </w:rPr>
        <w:t xml:space="preserve"> </w:t>
      </w:r>
      <w:r w:rsidRPr="00734173">
        <w:rPr>
          <w:rFonts w:ascii="Tahoma" w:eastAsia="Calibri" w:hAnsi="Tahoma" w:cs="Tahoma" w:hint="eastAsia"/>
          <w:sz w:val="19"/>
          <w:szCs w:val="19"/>
          <w:rtl/>
        </w:rPr>
        <w:t>הטיפול</w:t>
      </w:r>
      <w:r w:rsidRPr="00734173">
        <w:rPr>
          <w:rFonts w:ascii="Tahoma" w:eastAsia="Calibri" w:hAnsi="Tahoma" w:cs="Tahoma"/>
          <w:sz w:val="19"/>
          <w:szCs w:val="19"/>
          <w:rtl/>
        </w:rPr>
        <w:t xml:space="preserve"> </w:t>
      </w:r>
      <w:r w:rsidRPr="00734173">
        <w:rPr>
          <w:rFonts w:ascii="Tahoma" w:eastAsia="Calibri" w:hAnsi="Tahoma" w:cs="Tahoma" w:hint="eastAsia"/>
          <w:sz w:val="19"/>
          <w:szCs w:val="19"/>
          <w:rtl/>
        </w:rPr>
        <w:t>בהן</w:t>
      </w:r>
      <w:r w:rsidRPr="00734173">
        <w:rPr>
          <w:rFonts w:ascii="Tahoma" w:eastAsia="Calibri" w:hAnsi="Tahoma" w:cs="Tahoma"/>
          <w:sz w:val="19"/>
          <w:szCs w:val="19"/>
          <w:rtl/>
        </w:rPr>
        <w:t>.</w:t>
      </w:r>
      <w:r w:rsidRPr="00734173">
        <w:rPr>
          <w:rFonts w:ascii="Tahoma" w:eastAsia="Calibri" w:hAnsi="Tahoma" w:cs="Tahoma" w:hint="cs"/>
          <w:sz w:val="19"/>
          <w:szCs w:val="19"/>
          <w:rtl/>
        </w:rPr>
        <w:t xml:space="preserve"> התלונות גם אינן יכולות לשמש תשומה להערכת תפקוד של סנגור במסגרת הפיקוח.</w:t>
      </w:r>
    </w:p>
    <w:p w:rsidR="00734173" w:rsidRPr="00680568" w:rsidP="00734173">
      <w:pPr>
        <w:spacing w:after="160" w:line="288" w:lineRule="auto"/>
        <w:ind w:left="-709" w:right="-567"/>
        <w:rPr>
          <w:rFonts w:ascii="Tahoma" w:eastAsia="Calibri" w:hAnsi="Tahoma" w:cs="Tahoma"/>
          <w:sz w:val="19"/>
          <w:szCs w:val="19"/>
          <w:rtl/>
        </w:rPr>
      </w:pPr>
      <w:r w:rsidRPr="00680568">
        <w:rPr>
          <w:rFonts w:ascii="Tahoma" w:eastAsia="Calibri" w:hAnsi="Tahoma" w:cs="Tahoma" w:hint="cs"/>
          <w:b/>
          <w:bCs/>
          <w:sz w:val="22"/>
          <w:szCs w:val="22"/>
          <w:rtl/>
        </w:rPr>
        <w:t>שכר טרחת הסנגורים החיצוניים</w:t>
      </w:r>
    </w:p>
    <w:p w:rsidR="00734173" w:rsidRPr="00734173" w:rsidP="00734173">
      <w:pPr>
        <w:numPr>
          <w:ilvl w:val="0"/>
          <w:numId w:val="14"/>
        </w:numPr>
        <w:spacing w:after="240" w:line="288" w:lineRule="auto"/>
        <w:ind w:left="-143" w:right="-567" w:hanging="595"/>
        <w:rPr>
          <w:rFonts w:ascii="Tahoma" w:eastAsia="Calibri" w:hAnsi="Tahoma" w:cs="Tahoma"/>
          <w:sz w:val="19"/>
          <w:szCs w:val="19"/>
          <w:rtl/>
        </w:rPr>
      </w:pPr>
      <w:r w:rsidRPr="00734173">
        <w:rPr>
          <w:rFonts w:ascii="Tahoma" w:eastAsia="Calibri" w:hAnsi="Tahoma" w:cs="Tahoma" w:hint="cs"/>
          <w:bCs/>
          <w:sz w:val="19"/>
          <w:szCs w:val="19"/>
          <w:rtl/>
        </w:rPr>
        <w:t>עדכון לאורך השנים של תעריף שכר הטרחה לסנגורים החיצוניים הקבוע בתקנות</w:t>
      </w:r>
      <w:r w:rsidRPr="00734173">
        <w:rPr>
          <w:rFonts w:eastAsia="Calibri"/>
          <w:rtl/>
        </w:rPr>
        <w:t xml:space="preserve"> </w:t>
      </w:r>
      <w:r w:rsidRPr="00734173">
        <w:rPr>
          <w:rFonts w:ascii="Tahoma" w:eastAsia="Calibri" w:hAnsi="Tahoma" w:cs="Tahoma"/>
          <w:bCs/>
          <w:sz w:val="19"/>
          <w:szCs w:val="19"/>
          <w:rtl/>
        </w:rPr>
        <w:t>שכר הטרחה</w:t>
      </w:r>
      <w:r>
        <w:rPr>
          <w:rFonts w:ascii="Tahoma" w:eastAsia="Calibri" w:hAnsi="Tahoma" w:cs="Tahoma"/>
          <w:bCs/>
          <w:sz w:val="19"/>
          <w:szCs w:val="19"/>
          <w:vertAlign w:val="superscript"/>
          <w:rtl/>
        </w:rPr>
        <w:footnoteReference w:id="4"/>
      </w:r>
      <w:r w:rsidRPr="00734173">
        <w:rPr>
          <w:rFonts w:ascii="Tahoma" w:eastAsia="Calibri" w:hAnsi="Tahoma" w:cs="Tahoma"/>
          <w:bCs/>
          <w:sz w:val="19"/>
          <w:szCs w:val="19"/>
          <w:rtl/>
        </w:rPr>
        <w:t xml:space="preserve"> </w:t>
      </w:r>
      <w:r w:rsidRPr="00734173">
        <w:rPr>
          <w:rFonts w:eastAsia="Calibri" w:hint="cs"/>
          <w:rtl/>
        </w:rPr>
        <w:t xml:space="preserve">- </w:t>
      </w:r>
      <w:r w:rsidRPr="00734173">
        <w:rPr>
          <w:rFonts w:ascii="Tahoma" w:eastAsia="Calibri" w:hAnsi="Tahoma" w:cs="Tahoma" w:hint="cs"/>
          <w:sz w:val="19"/>
          <w:szCs w:val="19"/>
          <w:rtl/>
        </w:rPr>
        <w:t xml:space="preserve">בעוד שבשנים 2010 - 2024 עלו משכורות </w:t>
      </w:r>
      <w:r w:rsidRPr="00734173">
        <w:rPr>
          <w:rFonts w:ascii="Tahoma" w:eastAsia="Calibri" w:hAnsi="Tahoma" w:cs="Tahoma" w:hint="eastAsia"/>
          <w:sz w:val="19"/>
          <w:szCs w:val="19"/>
          <w:rtl/>
        </w:rPr>
        <w:t>הפרקליטים</w:t>
      </w:r>
      <w:r w:rsidRPr="00734173">
        <w:rPr>
          <w:rFonts w:ascii="Tahoma" w:eastAsia="Calibri" w:hAnsi="Tahoma" w:cs="Tahoma" w:hint="cs"/>
          <w:sz w:val="19"/>
          <w:szCs w:val="19"/>
          <w:rtl/>
        </w:rPr>
        <w:t xml:space="preserve"> ושכר טרחת התובעים המועסקים בשירות המדינה במיקור חוץ בשיעור של 58% ו-79% (בהתאמה), עלה שכר טרחת הסנגורים החיצוניים המועסקים בסנגוריה הציבורית (בדומה לשכר טרחת עורכי הדין החיצוניים המועסקים בסיוע המשפטי) בשיעור של 21% בלבד שהוא שיעור עליית מדד המחירים לצרכן בשנים אלו. כך </w:t>
      </w:r>
      <w:r w:rsidRPr="00734173">
        <w:rPr>
          <w:rFonts w:ascii="Tahoma" w:eastAsia="Calibri" w:hAnsi="Tahoma" w:cs="Tahoma"/>
          <w:sz w:val="19"/>
          <w:szCs w:val="19"/>
          <w:rtl/>
        </w:rPr>
        <w:t>לדוגמה, בשנת 2024 שולם על הכנת תיק וניהול משא ומתן - לתובע</w:t>
      </w:r>
      <w:r w:rsidRPr="00734173">
        <w:rPr>
          <w:rFonts w:ascii="Tahoma" w:eastAsia="Calibri" w:hAnsi="Tahoma" w:cs="Tahoma" w:hint="cs"/>
          <w:sz w:val="19"/>
          <w:szCs w:val="19"/>
          <w:rtl/>
        </w:rPr>
        <w:t xml:space="preserve"> חיצוני</w:t>
      </w:r>
      <w:r w:rsidRPr="00734173">
        <w:rPr>
          <w:rFonts w:ascii="Tahoma" w:eastAsia="Calibri" w:hAnsi="Tahoma" w:cs="Tahoma"/>
          <w:sz w:val="19"/>
          <w:szCs w:val="19"/>
          <w:rtl/>
        </w:rPr>
        <w:t xml:space="preserve"> 3,750 ש"ח ולסנגור 1,695 ש"ח; על ייצוג בדיון מהותי - לתובע</w:t>
      </w:r>
      <w:r w:rsidRPr="00734173">
        <w:rPr>
          <w:rFonts w:ascii="Tahoma" w:eastAsia="Calibri" w:hAnsi="Tahoma" w:cs="Tahoma" w:hint="cs"/>
          <w:sz w:val="19"/>
          <w:szCs w:val="19"/>
          <w:rtl/>
        </w:rPr>
        <w:t xml:space="preserve"> חיצוני</w:t>
      </w:r>
      <w:r w:rsidRPr="00734173">
        <w:rPr>
          <w:rFonts w:ascii="Tahoma" w:eastAsia="Calibri" w:hAnsi="Tahoma" w:cs="Tahoma"/>
          <w:sz w:val="19"/>
          <w:szCs w:val="19"/>
          <w:rtl/>
        </w:rPr>
        <w:t xml:space="preserve"> 2,200 ש"ח ולסנגור 551 ש"ח; ועל סיכומים בכתב - לתובע</w:t>
      </w:r>
      <w:r w:rsidRPr="00734173">
        <w:rPr>
          <w:rFonts w:ascii="Tahoma" w:eastAsia="Calibri" w:hAnsi="Tahoma" w:cs="Tahoma" w:hint="cs"/>
          <w:sz w:val="19"/>
          <w:szCs w:val="19"/>
          <w:rtl/>
        </w:rPr>
        <w:t xml:space="preserve"> חיצוני</w:t>
      </w:r>
      <w:r w:rsidRPr="00734173">
        <w:rPr>
          <w:rFonts w:ascii="Tahoma" w:eastAsia="Calibri" w:hAnsi="Tahoma" w:cs="Tahoma"/>
          <w:sz w:val="19"/>
          <w:szCs w:val="19"/>
          <w:rtl/>
        </w:rPr>
        <w:t xml:space="preserve"> 2,300 ש"ח ולסנגור 551 ש"ח בלבד. </w:t>
      </w:r>
      <w:r w:rsidRPr="00734173">
        <w:rPr>
          <w:rFonts w:ascii="Tahoma" w:eastAsia="Calibri" w:hAnsi="Tahoma" w:cs="Tahoma" w:hint="cs"/>
          <w:sz w:val="19"/>
          <w:szCs w:val="19"/>
          <w:rtl/>
        </w:rPr>
        <w:t xml:space="preserve">פערי השכר האמורים שנוצרו במהלך השנים מאז 2008 לא הובילו לעדכון של </w:t>
      </w:r>
      <w:r w:rsidRPr="00734173">
        <w:rPr>
          <w:rFonts w:ascii="Tahoma" w:eastAsia="Calibri" w:hAnsi="Tahoma" w:cs="Tahoma"/>
          <w:sz w:val="19"/>
          <w:szCs w:val="19"/>
          <w:rtl/>
        </w:rPr>
        <w:t xml:space="preserve">שכר הטרחה </w:t>
      </w:r>
      <w:r w:rsidRPr="00734173">
        <w:rPr>
          <w:rFonts w:ascii="Tahoma" w:eastAsia="Calibri" w:hAnsi="Tahoma" w:cs="Tahoma" w:hint="cs"/>
          <w:sz w:val="19"/>
          <w:szCs w:val="19"/>
          <w:rtl/>
        </w:rPr>
        <w:t xml:space="preserve">של הסנגורים החיצוניים. </w:t>
      </w:r>
      <w:r w:rsidRPr="00734173">
        <w:rPr>
          <w:rFonts w:ascii="Tahoma" w:eastAsia="Calibri" w:hAnsi="Tahoma" w:cs="Tahoma"/>
          <w:sz w:val="19"/>
          <w:szCs w:val="19"/>
          <w:rtl/>
        </w:rPr>
        <w:t>פערים ניכרים הנמשכים לאורך זמן בין רמות שכר הטרחה שהסנגוריה הציבורית משלמת לבין חלופות אחרות במשק בכלל ובשוק השירותים המשפטיים בפרט, עלולים ליצור תמריץ שלילי לסנגורים לעבוד עבור הסנגוריה הציבורית בתנאים כאלו</w:t>
      </w:r>
      <w:r w:rsidRPr="00734173">
        <w:rPr>
          <w:rFonts w:ascii="Tahoma" w:eastAsia="Calibri" w:hAnsi="Tahoma" w:cs="Tahoma" w:hint="cs"/>
          <w:sz w:val="19"/>
          <w:szCs w:val="19"/>
          <w:rtl/>
        </w:rPr>
        <w:t>, ותמריץ שלילי</w:t>
      </w:r>
      <w:r w:rsidRPr="00734173">
        <w:rPr>
          <w:rFonts w:ascii="Tahoma" w:eastAsia="Calibri" w:hAnsi="Tahoma" w:cs="Tahoma"/>
          <w:sz w:val="19"/>
          <w:szCs w:val="19"/>
          <w:rtl/>
        </w:rPr>
        <w:t xml:space="preserve"> להשקעה בייצוג מצד הסנגורים שבחרו לעבוד עם הסנגוריה.</w:t>
      </w:r>
    </w:p>
    <w:p w:rsidR="00734173" w:rsidRPr="00734173" w:rsidP="00734173">
      <w:pPr>
        <w:numPr>
          <w:ilvl w:val="0"/>
          <w:numId w:val="14"/>
        </w:numPr>
        <w:spacing w:after="240" w:line="288" w:lineRule="auto"/>
        <w:ind w:left="-143" w:right="-567" w:hanging="595"/>
        <w:rPr>
          <w:rFonts w:ascii="Tahoma" w:eastAsia="Calibri" w:hAnsi="Tahoma" w:cs="Tahoma"/>
          <w:sz w:val="19"/>
          <w:szCs w:val="19"/>
        </w:rPr>
      </w:pPr>
      <w:r w:rsidRPr="00734173">
        <w:rPr>
          <w:rFonts w:ascii="Tahoma" w:eastAsia="Calibri" w:hAnsi="Tahoma" w:cs="Tahoma" w:hint="cs"/>
          <w:bCs/>
          <w:sz w:val="19"/>
          <w:szCs w:val="19"/>
          <w:rtl/>
        </w:rPr>
        <w:t xml:space="preserve">הבקרה על תשלום שכר הטרחה </w:t>
      </w:r>
      <w:r w:rsidRPr="00734173">
        <w:rPr>
          <w:rFonts w:ascii="Tahoma" w:eastAsia="Calibri" w:hAnsi="Tahoma" w:cs="Tahoma" w:hint="cs"/>
          <w:b/>
          <w:sz w:val="19"/>
          <w:szCs w:val="19"/>
          <w:rtl/>
        </w:rPr>
        <w:t>-</w:t>
      </w:r>
      <w:r w:rsidRPr="00734173">
        <w:rPr>
          <w:rFonts w:ascii="Tahoma" w:eastAsia="Calibri" w:hAnsi="Tahoma" w:cs="Tahoma" w:hint="cs"/>
          <w:bCs/>
          <w:sz w:val="19"/>
          <w:szCs w:val="19"/>
          <w:rtl/>
        </w:rPr>
        <w:t xml:space="preserve"> </w:t>
      </w:r>
      <w:r w:rsidRPr="00734173">
        <w:rPr>
          <w:rFonts w:ascii="Tahoma" w:eastAsia="Calibri" w:hAnsi="Tahoma" w:cs="Tahoma"/>
          <w:sz w:val="19"/>
          <w:szCs w:val="19"/>
          <w:rtl/>
        </w:rPr>
        <w:t xml:space="preserve">שיטת התשלום לסנגורים חיצוניים לפי הופעה בדיונים עלולה לאפשר ניצול לרעה של משאבי הסנגוריה באמצעות הגדלת מספר הדיונים בתיק שלא לצורך. </w:t>
      </w:r>
      <w:r w:rsidRPr="00734173">
        <w:rPr>
          <w:rFonts w:ascii="Tahoma" w:eastAsia="Calibri" w:hAnsi="Tahoma" w:cs="Tahoma" w:hint="cs"/>
          <w:sz w:val="19"/>
          <w:szCs w:val="19"/>
          <w:rtl/>
        </w:rPr>
        <w:t xml:space="preserve">השיטה עשויה </w:t>
      </w:r>
      <w:r w:rsidRPr="00734173">
        <w:rPr>
          <w:rFonts w:ascii="Tahoma" w:eastAsia="Calibri" w:hAnsi="Tahoma" w:cs="Tahoma"/>
          <w:sz w:val="19"/>
          <w:szCs w:val="19"/>
          <w:rtl/>
        </w:rPr>
        <w:t>לעודד דיווח על דיוני סרק או דיווח כפול על הוצאות נסיעה ושהייה עבור כל הגורמים המעורבים בתיק הפלילי. מעבר לעובדה ששיטות כאלו פסולות מהיסוד הן אף גורמות לבזבוז זמן שיפוטי יקר, ואף עלולות לגרום לעינוי דין ללקוחות הסנגוריה.</w:t>
      </w:r>
      <w:r w:rsidRPr="00734173">
        <w:rPr>
          <w:rFonts w:ascii="Tahoma" w:eastAsia="Calibri" w:hAnsi="Tahoma" w:cs="Tahoma" w:hint="cs"/>
          <w:sz w:val="19"/>
          <w:szCs w:val="19"/>
          <w:rtl/>
        </w:rPr>
        <w:t xml:space="preserve"> </w:t>
      </w:r>
    </w:p>
    <w:p w:rsidR="00734173" w:rsidRPr="00680568" w:rsidP="00734173">
      <w:pPr>
        <w:spacing w:after="160" w:line="288" w:lineRule="auto"/>
        <w:ind w:left="-851" w:right="-567"/>
        <w:rPr>
          <w:rFonts w:eastAsia="Calibri"/>
          <w:rtl/>
        </w:rPr>
      </w:pPr>
      <w:bookmarkStart w:id="12" w:name="_Hlk232692417"/>
      <w:r w:rsidRPr="00680568">
        <w:rPr>
          <w:rFonts w:ascii="Tahoma" w:eastAsia="Calibri" w:hAnsi="Tahoma" w:cs="Tahoma" w:hint="cs"/>
          <w:b/>
          <w:bCs/>
          <w:sz w:val="22"/>
          <w:szCs w:val="22"/>
          <w:rtl/>
        </w:rPr>
        <w:t>אבטחת המידע והגנת הפרטיות במאגר המידע של הסנגוריה הציבורית (מערכת דיפנדר)</w:t>
      </w:r>
    </w:p>
    <w:bookmarkEnd w:id="12"/>
    <w:p w:rsidR="00734173" w:rsidRPr="00734173" w:rsidP="00734173">
      <w:pPr>
        <w:numPr>
          <w:ilvl w:val="0"/>
          <w:numId w:val="14"/>
        </w:numPr>
        <w:spacing w:after="240" w:line="288" w:lineRule="auto"/>
        <w:ind w:left="-143" w:right="-567" w:hanging="595"/>
        <w:rPr>
          <w:rFonts w:eastAsia="Calibri"/>
        </w:rPr>
      </w:pPr>
      <w:r w:rsidRPr="00734173">
        <w:rPr>
          <w:rFonts w:ascii="Tahoma" w:eastAsia="Calibri" w:hAnsi="Tahoma" w:cs="Tahoma" w:hint="cs"/>
          <w:bCs/>
          <w:sz w:val="19"/>
          <w:szCs w:val="19"/>
          <w:rtl/>
        </w:rPr>
        <w:t>היקף הגישה למידע על אודות לקוחות הסנגוריה במערכת דיפנדר</w:t>
      </w:r>
      <w:r w:rsidRPr="00734173">
        <w:rPr>
          <w:rFonts w:eastAsia="Calibri" w:hint="cs"/>
          <w:rtl/>
        </w:rPr>
        <w:t xml:space="preserve"> -</w:t>
      </w:r>
      <w:r w:rsidRPr="00734173">
        <w:rPr>
          <w:rFonts w:ascii="Tahoma" w:eastAsia="Calibri" w:hAnsi="Tahoma" w:cs="Tahoma" w:hint="cs"/>
          <w:sz w:val="19"/>
          <w:szCs w:val="19"/>
          <w:rtl/>
        </w:rPr>
        <w:t xml:space="preserve"> </w:t>
      </w:r>
      <w:bookmarkStart w:id="13" w:name="_Hlk228113639"/>
      <w:r w:rsidRPr="00734173">
        <w:rPr>
          <w:rFonts w:ascii="Tahoma" w:eastAsia="Calibri" w:hAnsi="Tahoma" w:cs="Tahoma"/>
          <w:sz w:val="19"/>
          <w:szCs w:val="19"/>
          <w:rtl/>
        </w:rPr>
        <w:t>לכל 392 עובדי הסנגוריה הציבורית</w:t>
      </w:r>
      <w:r w:rsidRPr="00734173">
        <w:rPr>
          <w:rFonts w:ascii="Tahoma" w:eastAsia="Calibri" w:hAnsi="Tahoma" w:cs="Tahoma" w:hint="cs"/>
          <w:sz w:val="19"/>
          <w:szCs w:val="19"/>
          <w:rtl/>
        </w:rPr>
        <w:t xml:space="preserve"> (כולל עובדים לשעבר)</w:t>
      </w:r>
      <w:r w:rsidRPr="00734173">
        <w:rPr>
          <w:rFonts w:ascii="Tahoma" w:eastAsia="Calibri" w:hAnsi="Tahoma" w:cs="Tahoma"/>
          <w:sz w:val="19"/>
          <w:szCs w:val="19"/>
          <w:rtl/>
        </w:rPr>
        <w:t xml:space="preserve"> שניתנו להם הרשאות פעילות במערכת הממוחשבת של הסנגוריה</w:t>
      </w:r>
      <w:r w:rsidRPr="00734173">
        <w:rPr>
          <w:rFonts w:ascii="Tahoma" w:eastAsia="Calibri" w:hAnsi="Tahoma" w:cs="Tahoma" w:hint="cs"/>
          <w:sz w:val="19"/>
          <w:szCs w:val="19"/>
          <w:rtl/>
        </w:rPr>
        <w:t>,</w:t>
      </w:r>
      <w:r w:rsidRPr="00734173">
        <w:rPr>
          <w:rFonts w:ascii="Tahoma" w:eastAsia="Calibri" w:hAnsi="Tahoma" w:cs="Tahoma"/>
          <w:sz w:val="19"/>
          <w:szCs w:val="19"/>
          <w:rtl/>
        </w:rPr>
        <w:t xml:space="preserve"> יש גישה לכל המידע על כלל לקוחות הסנגוריה</w:t>
      </w:r>
      <w:r w:rsidRPr="00734173">
        <w:rPr>
          <w:rFonts w:ascii="Tahoma" w:eastAsia="Calibri" w:hAnsi="Tahoma" w:cs="Tahoma" w:hint="cs"/>
          <w:sz w:val="19"/>
          <w:szCs w:val="19"/>
          <w:rtl/>
        </w:rPr>
        <w:t>.</w:t>
      </w:r>
      <w:r w:rsidRPr="00734173">
        <w:rPr>
          <w:rFonts w:eastAsia="Calibri"/>
          <w:rtl/>
        </w:rPr>
        <w:t xml:space="preserve"> </w:t>
      </w:r>
      <w:r w:rsidRPr="00734173">
        <w:rPr>
          <w:rFonts w:ascii="Tahoma" w:eastAsia="Calibri" w:hAnsi="Tahoma" w:cs="Tahoma" w:hint="cs"/>
          <w:sz w:val="19"/>
          <w:szCs w:val="19"/>
          <w:rtl/>
        </w:rPr>
        <w:t xml:space="preserve">יצוין כי </w:t>
      </w:r>
      <w:r w:rsidRPr="00734173">
        <w:rPr>
          <w:rFonts w:ascii="Tahoma" w:eastAsia="Calibri" w:hAnsi="Tahoma" w:cs="Tahoma"/>
          <w:sz w:val="19"/>
          <w:szCs w:val="19"/>
          <w:rtl/>
        </w:rPr>
        <w:t xml:space="preserve">במאגר המידע של הסנגוריה מצויים נתונים רגישים משנת 1996 ואילך לגבי נאשמים </w:t>
      </w:r>
      <w:r w:rsidRPr="00734173">
        <w:rPr>
          <w:rFonts w:ascii="Tahoma" w:eastAsia="Calibri" w:hAnsi="Tahoma" w:cs="Tahoma" w:hint="cs"/>
          <w:sz w:val="19"/>
          <w:szCs w:val="19"/>
          <w:rtl/>
        </w:rPr>
        <w:t xml:space="preserve">וחשודים </w:t>
      </w:r>
      <w:r w:rsidRPr="00734173">
        <w:rPr>
          <w:rFonts w:ascii="Tahoma" w:eastAsia="Calibri" w:hAnsi="Tahoma" w:cs="Tahoma"/>
          <w:sz w:val="19"/>
          <w:szCs w:val="19"/>
          <w:rtl/>
        </w:rPr>
        <w:t>בתיקים פליליים להם מעניקה הסנגוריה שירותי ייעוץ לפני חקירה וייצוג בהליכי מעצר</w:t>
      </w:r>
      <w:r w:rsidRPr="00734173">
        <w:rPr>
          <w:rFonts w:ascii="Tahoma" w:eastAsia="Calibri" w:hAnsi="Tahoma" w:cs="Tahoma" w:hint="cs"/>
          <w:sz w:val="19"/>
          <w:szCs w:val="19"/>
          <w:rtl/>
        </w:rPr>
        <w:t xml:space="preserve"> </w:t>
      </w:r>
      <w:r w:rsidRPr="00734173">
        <w:rPr>
          <w:rFonts w:ascii="Tahoma" w:eastAsia="Calibri" w:hAnsi="Tahoma" w:cs="Tahoma"/>
          <w:sz w:val="19"/>
          <w:szCs w:val="19"/>
          <w:rtl/>
        </w:rPr>
        <w:t>(</w:t>
      </w:r>
      <w:r w:rsidRPr="00734173">
        <w:rPr>
          <w:rFonts w:ascii="Tahoma" w:eastAsia="Calibri" w:hAnsi="Tahoma" w:cs="Tahoma" w:hint="cs"/>
          <w:sz w:val="19"/>
          <w:szCs w:val="19"/>
          <w:rtl/>
        </w:rPr>
        <w:t>ובסך הכ</w:t>
      </w:r>
      <w:r w:rsidR="000E7EC1">
        <w:rPr>
          <w:rFonts w:ascii="Tahoma" w:eastAsia="Calibri" w:hAnsi="Tahoma" w:cs="Tahoma" w:hint="cs"/>
          <w:sz w:val="19"/>
          <w:szCs w:val="19"/>
          <w:rtl/>
        </w:rPr>
        <w:t>ו</w:t>
      </w:r>
      <w:r w:rsidRPr="00734173">
        <w:rPr>
          <w:rFonts w:ascii="Tahoma" w:eastAsia="Calibri" w:hAnsi="Tahoma" w:cs="Tahoma" w:hint="cs"/>
          <w:sz w:val="19"/>
          <w:szCs w:val="19"/>
          <w:rtl/>
        </w:rPr>
        <w:t xml:space="preserve">ל </w:t>
      </w:r>
      <w:r w:rsidRPr="00734173">
        <w:rPr>
          <w:rFonts w:ascii="Tahoma" w:eastAsia="Calibri" w:hAnsi="Tahoma" w:cs="Tahoma"/>
          <w:sz w:val="19"/>
          <w:szCs w:val="19"/>
          <w:rtl/>
        </w:rPr>
        <w:t>למעלה מחצי מיליון לקוחות הסנגוריה).</w:t>
      </w:r>
      <w:r w:rsidRPr="00734173">
        <w:rPr>
          <w:rFonts w:ascii="Tahoma" w:eastAsia="Calibri" w:hAnsi="Tahoma" w:cs="Tahoma" w:hint="cs"/>
          <w:sz w:val="19"/>
          <w:szCs w:val="19"/>
          <w:rtl/>
        </w:rPr>
        <w:t xml:space="preserve"> הסנגוריה לא בחנה את היקף הגישה למידע הנחוץ לכל אחד מעובדיה על פי הגדרת תפקידו ולפי המחוז שבו הוא מועסק, ולא הגדירה מידור מתאים של המידע על לקוחותיה במערכת דיפנדר.</w:t>
      </w:r>
      <w:bookmarkStart w:id="14" w:name="_Hlk227482545"/>
      <w:bookmarkEnd w:id="13"/>
      <w:r w:rsidRPr="00734173">
        <w:rPr>
          <w:rFonts w:ascii="Tahoma" w:eastAsia="Calibri" w:hAnsi="Tahoma" w:cs="Tahoma" w:hint="cs"/>
          <w:sz w:val="19"/>
          <w:szCs w:val="19"/>
          <w:rtl/>
        </w:rPr>
        <w:t xml:space="preserve"> </w:t>
      </w:r>
      <w:bookmarkEnd w:id="14"/>
      <w:r w:rsidRPr="00734173">
        <w:rPr>
          <w:rFonts w:ascii="Tahoma" w:eastAsia="Calibri" w:hAnsi="Tahoma" w:cs="Tahoma" w:hint="cs"/>
          <w:sz w:val="19"/>
          <w:szCs w:val="19"/>
          <w:rtl/>
        </w:rPr>
        <w:t>מתן הרשאת גישה רחבה למידע, ללא מידור מתאים, מעמיד את הסנגוריה בסיכון לשימוש לרעה של משתמשי המערכת במאגר הנתונים הרגיש, והוא אף עלול לפגוע בפרטיות לקוחות הסנגוריה</w:t>
      </w:r>
      <w:r w:rsidRPr="00734173">
        <w:rPr>
          <w:rFonts w:eastAsia="Calibri" w:hint="cs"/>
          <w:rtl/>
        </w:rPr>
        <w:t>.</w:t>
      </w:r>
    </w:p>
    <w:p w:rsidR="00734173" w:rsidRPr="00734173" w:rsidP="00734173">
      <w:pPr>
        <w:numPr>
          <w:ilvl w:val="0"/>
          <w:numId w:val="14"/>
        </w:numPr>
        <w:spacing w:after="240" w:line="288" w:lineRule="auto"/>
        <w:ind w:left="-143" w:right="-567" w:hanging="595"/>
        <w:rPr>
          <w:rFonts w:ascii="Tahoma" w:eastAsia="Calibri" w:hAnsi="Tahoma" w:cs="Tahoma"/>
          <w:sz w:val="19"/>
          <w:szCs w:val="19"/>
          <w:rtl/>
        </w:rPr>
      </w:pPr>
      <w:r w:rsidRPr="00734173">
        <w:rPr>
          <w:rFonts w:ascii="Tahoma" w:eastAsia="Calibri" w:hAnsi="Tahoma" w:cs="Tahoma" w:hint="cs"/>
          <w:b/>
          <w:bCs/>
          <w:sz w:val="19"/>
          <w:szCs w:val="19"/>
          <w:rtl/>
        </w:rPr>
        <w:t xml:space="preserve">ניהול הרשאות הגישה למערכת דיפנדר </w:t>
      </w:r>
      <w:r w:rsidRPr="00734173">
        <w:rPr>
          <w:rFonts w:ascii="Tahoma" w:eastAsia="Calibri" w:hAnsi="Tahoma" w:cs="Tahoma" w:hint="cs"/>
          <w:sz w:val="19"/>
          <w:szCs w:val="19"/>
          <w:rtl/>
        </w:rPr>
        <w:t>-</w:t>
      </w:r>
      <w:r w:rsidRPr="00734173">
        <w:rPr>
          <w:rFonts w:ascii="Tahoma" w:eastAsia="Calibri" w:hAnsi="Tahoma" w:cs="Tahoma" w:hint="cs"/>
          <w:b/>
          <w:bCs/>
          <w:sz w:val="19"/>
          <w:szCs w:val="19"/>
          <w:rtl/>
        </w:rPr>
        <w:t xml:space="preserve"> </w:t>
      </w:r>
      <w:bookmarkStart w:id="15" w:name="_Hlk228114416"/>
      <w:r w:rsidRPr="00734173">
        <w:rPr>
          <w:rFonts w:ascii="Tahoma" w:eastAsia="Calibri" w:hAnsi="Tahoma" w:cs="Tahoma"/>
          <w:sz w:val="19"/>
          <w:szCs w:val="19"/>
          <w:rtl/>
        </w:rPr>
        <w:t>מ</w:t>
      </w:r>
      <w:r w:rsidRPr="00734173">
        <w:rPr>
          <w:rFonts w:ascii="Tahoma" w:eastAsia="Calibri" w:hAnsi="Tahoma" w:cs="Tahoma" w:hint="cs"/>
          <w:sz w:val="19"/>
          <w:szCs w:val="19"/>
          <w:rtl/>
        </w:rPr>
        <w:t>קרב</w:t>
      </w:r>
      <w:r w:rsidRPr="00734173">
        <w:rPr>
          <w:rFonts w:ascii="Tahoma" w:eastAsia="Calibri" w:hAnsi="Tahoma" w:cs="Tahoma"/>
          <w:sz w:val="19"/>
          <w:szCs w:val="19"/>
          <w:rtl/>
        </w:rPr>
        <w:t xml:space="preserve"> </w:t>
      </w:r>
      <w:r w:rsidRPr="00734173">
        <w:rPr>
          <w:rFonts w:ascii="Tahoma" w:eastAsia="Calibri" w:hAnsi="Tahoma" w:cs="Tahoma" w:hint="cs"/>
          <w:sz w:val="19"/>
          <w:szCs w:val="19"/>
          <w:rtl/>
        </w:rPr>
        <w:t>392 עובדי סנגוריה</w:t>
      </w:r>
      <w:r w:rsidRPr="00734173">
        <w:rPr>
          <w:rFonts w:ascii="Tahoma" w:eastAsia="Calibri" w:hAnsi="Tahoma" w:cs="Tahoma"/>
          <w:sz w:val="19"/>
          <w:szCs w:val="19"/>
          <w:rtl/>
        </w:rPr>
        <w:t xml:space="preserve"> בעלי הרשאות פעילות </w:t>
      </w:r>
      <w:r w:rsidRPr="00734173">
        <w:rPr>
          <w:rFonts w:ascii="Tahoma" w:eastAsia="Calibri" w:hAnsi="Tahoma" w:cs="Tahoma" w:hint="cs"/>
          <w:sz w:val="19"/>
          <w:szCs w:val="19"/>
          <w:rtl/>
        </w:rPr>
        <w:t>ב</w:t>
      </w:r>
      <w:r w:rsidRPr="00734173">
        <w:rPr>
          <w:rFonts w:ascii="Tahoma" w:eastAsia="Calibri" w:hAnsi="Tahoma" w:cs="Tahoma"/>
          <w:sz w:val="19"/>
          <w:szCs w:val="19"/>
          <w:rtl/>
        </w:rPr>
        <w:t>מערכת</w:t>
      </w:r>
      <w:r w:rsidRPr="00734173">
        <w:rPr>
          <w:rFonts w:ascii="Tahoma" w:eastAsia="Calibri" w:hAnsi="Tahoma" w:cs="Tahoma" w:hint="cs"/>
          <w:sz w:val="19"/>
          <w:szCs w:val="19"/>
          <w:rtl/>
        </w:rPr>
        <w:t xml:space="preserve"> </w:t>
      </w:r>
      <w:r w:rsidRPr="00734173">
        <w:rPr>
          <w:rFonts w:ascii="Tahoma" w:eastAsia="Calibri" w:hAnsi="Tahoma" w:cs="Tahoma"/>
          <w:sz w:val="19"/>
          <w:szCs w:val="19"/>
          <w:rtl/>
        </w:rPr>
        <w:t>דיפנדר נמצאו</w:t>
      </w:r>
      <w:r w:rsidRPr="00734173">
        <w:rPr>
          <w:rFonts w:ascii="Tahoma" w:eastAsia="Calibri" w:hAnsi="Tahoma" w:cs="Tahoma" w:hint="cs"/>
          <w:sz w:val="19"/>
          <w:szCs w:val="19"/>
          <w:rtl/>
        </w:rPr>
        <w:t xml:space="preserve"> 25 </w:t>
      </w:r>
      <w:r w:rsidRPr="00734173">
        <w:rPr>
          <w:rFonts w:ascii="Tahoma" w:eastAsia="Calibri" w:hAnsi="Tahoma" w:cs="Tahoma"/>
          <w:sz w:val="19"/>
          <w:szCs w:val="19"/>
          <w:rtl/>
        </w:rPr>
        <w:t>עובד</w:t>
      </w:r>
      <w:r w:rsidRPr="00734173">
        <w:rPr>
          <w:rFonts w:ascii="Tahoma" w:eastAsia="Calibri" w:hAnsi="Tahoma" w:cs="Tahoma" w:hint="cs"/>
          <w:sz w:val="19"/>
          <w:szCs w:val="19"/>
          <w:rtl/>
        </w:rPr>
        <w:t>ים</w:t>
      </w:r>
      <w:r w:rsidRPr="00734173">
        <w:rPr>
          <w:rFonts w:ascii="Tahoma" w:eastAsia="Calibri" w:hAnsi="Tahoma" w:cs="Tahoma"/>
          <w:sz w:val="19"/>
          <w:szCs w:val="19"/>
        </w:rPr>
        <w:t xml:space="preserve"> </w:t>
      </w:r>
      <w:r w:rsidRPr="00734173">
        <w:rPr>
          <w:rFonts w:ascii="Tahoma" w:eastAsia="Calibri" w:hAnsi="Tahoma" w:cs="Tahoma" w:hint="cs"/>
          <w:sz w:val="19"/>
          <w:szCs w:val="19"/>
          <w:rtl/>
        </w:rPr>
        <w:t xml:space="preserve">(כ-6.5% שרובם הגדול עובדים זמניים) שסיימו את עבודתם בסנגוריה בלי </w:t>
      </w:r>
      <w:r w:rsidRPr="00734173">
        <w:rPr>
          <w:rFonts w:ascii="Tahoma" w:eastAsia="Calibri" w:hAnsi="Tahoma" w:cs="Tahoma"/>
          <w:sz w:val="19"/>
          <w:szCs w:val="19"/>
          <w:rtl/>
        </w:rPr>
        <w:t>שהרשאותיהם בוטלו</w:t>
      </w:r>
      <w:r w:rsidRPr="00734173">
        <w:rPr>
          <w:rFonts w:ascii="Tahoma" w:eastAsia="Calibri" w:hAnsi="Tahoma" w:cs="Tahoma" w:hint="cs"/>
          <w:sz w:val="19"/>
          <w:szCs w:val="19"/>
          <w:rtl/>
        </w:rPr>
        <w:t>. כמו כן, הרשאותיהם של 8 ילדי העובדים שהועסקו בקיץ לא בוטלו, הגם שחלקם סיים את העסקתו בסנגוריה כבר בשנת 2020. זאת, בניגוד להוראות תקנות אבטחת מידע</w:t>
      </w:r>
      <w:r>
        <w:rPr>
          <w:rFonts w:ascii="Tahoma" w:eastAsia="Calibri" w:hAnsi="Tahoma" w:cs="Tahoma"/>
          <w:sz w:val="19"/>
          <w:szCs w:val="19"/>
          <w:vertAlign w:val="superscript"/>
          <w:rtl/>
        </w:rPr>
        <w:footnoteReference w:id="5"/>
      </w:r>
      <w:r w:rsidRPr="00734173">
        <w:rPr>
          <w:rFonts w:ascii="Tahoma" w:eastAsia="Calibri" w:hAnsi="Tahoma" w:cs="Tahoma" w:hint="cs"/>
          <w:sz w:val="19"/>
          <w:szCs w:val="19"/>
          <w:rtl/>
        </w:rPr>
        <w:t xml:space="preserve"> ולהנחיות היחידה להגנת הסייבר בממשלה (יה"ב), שלפיהן נדרש להסיר הרשאות של עובדים שעזבו באופן מיידי עם עזיבתם. </w:t>
      </w:r>
      <w:bookmarkEnd w:id="15"/>
    </w:p>
    <w:p w:rsidR="00734173" w:rsidRPr="00734173" w:rsidP="00734173">
      <w:pPr>
        <w:numPr>
          <w:ilvl w:val="0"/>
          <w:numId w:val="14"/>
        </w:numPr>
        <w:spacing w:after="240" w:line="288" w:lineRule="auto"/>
        <w:ind w:left="-143" w:right="-567" w:hanging="595"/>
        <w:rPr>
          <w:rFonts w:ascii="Tahoma" w:eastAsia="Calibri" w:hAnsi="Tahoma" w:cs="Tahoma"/>
          <w:sz w:val="19"/>
          <w:szCs w:val="19"/>
        </w:rPr>
      </w:pPr>
      <w:r w:rsidRPr="00734173">
        <w:rPr>
          <w:rFonts w:ascii="Tahoma" w:eastAsia="Calibri" w:hAnsi="Tahoma" w:cs="Tahoma" w:hint="cs"/>
          <w:b/>
          <w:bCs/>
          <w:sz w:val="19"/>
          <w:szCs w:val="19"/>
          <w:rtl/>
        </w:rPr>
        <w:t xml:space="preserve">בקרה על הגישה למידע במערכת דיפנדר - </w:t>
      </w:r>
      <w:r w:rsidRPr="00734173">
        <w:rPr>
          <w:rFonts w:ascii="Tahoma" w:eastAsia="Calibri" w:hAnsi="Tahoma" w:cs="Tahoma"/>
          <w:sz w:val="19"/>
          <w:szCs w:val="19"/>
          <w:rtl/>
        </w:rPr>
        <w:t xml:space="preserve">הסנגוריה העניקה ל-419 משתמשים, בהם עובדי הסנגוריה, עובדי </w:t>
      </w:r>
      <w:r w:rsidRPr="00734173">
        <w:rPr>
          <w:rFonts w:ascii="Tahoma" w:eastAsia="Calibri" w:hAnsi="Tahoma" w:cs="Tahoma" w:hint="cs"/>
          <w:sz w:val="19"/>
          <w:szCs w:val="19"/>
          <w:rtl/>
        </w:rPr>
        <w:t>ה</w:t>
      </w:r>
      <w:r w:rsidRPr="00734173">
        <w:rPr>
          <w:rFonts w:ascii="Tahoma" w:eastAsia="Calibri" w:hAnsi="Tahoma" w:cs="Tahoma"/>
          <w:sz w:val="19"/>
          <w:szCs w:val="19"/>
          <w:rtl/>
        </w:rPr>
        <w:t xml:space="preserve">מוקד </w:t>
      </w:r>
      <w:r w:rsidRPr="00734173">
        <w:rPr>
          <w:rFonts w:ascii="Tahoma" w:eastAsia="Calibri" w:hAnsi="Tahoma" w:cs="Tahoma" w:hint="cs"/>
          <w:sz w:val="19"/>
          <w:szCs w:val="19"/>
          <w:rtl/>
        </w:rPr>
        <w:t>הטלפוני</w:t>
      </w:r>
      <w:r w:rsidRPr="00734173">
        <w:rPr>
          <w:rFonts w:ascii="Tahoma" w:eastAsia="Calibri" w:hAnsi="Tahoma" w:cs="Tahoma"/>
          <w:sz w:val="19"/>
          <w:szCs w:val="19"/>
          <w:rtl/>
        </w:rPr>
        <w:t xml:space="preserve"> של משרד המשפטים</w:t>
      </w:r>
      <w:r w:rsidRPr="00734173">
        <w:rPr>
          <w:rFonts w:ascii="Tahoma" w:eastAsia="Calibri" w:hAnsi="Tahoma" w:cs="Tahoma" w:hint="cs"/>
          <w:sz w:val="19"/>
          <w:szCs w:val="19"/>
          <w:rtl/>
        </w:rPr>
        <w:t xml:space="preserve"> (הפעיל בשעות הלילה)</w:t>
      </w:r>
      <w:r w:rsidRPr="00734173">
        <w:rPr>
          <w:rFonts w:ascii="Tahoma" w:eastAsia="Calibri" w:hAnsi="Tahoma" w:cs="Tahoma"/>
          <w:sz w:val="19"/>
          <w:szCs w:val="19"/>
          <w:rtl/>
        </w:rPr>
        <w:t xml:space="preserve"> ועובדי מערכות מידע, גישה למערכת הממוחשבת דיפנדר, הכוללת מידע רגיש. </w:t>
      </w:r>
      <w:r w:rsidRPr="00734173">
        <w:rPr>
          <w:rFonts w:ascii="Tahoma" w:eastAsia="Calibri" w:hAnsi="Tahoma" w:cs="Tahoma" w:hint="cs"/>
          <w:sz w:val="19"/>
          <w:szCs w:val="19"/>
          <w:rtl/>
        </w:rPr>
        <w:t>אף שמשרד המשפטים מחזיק בתיעוד של כל הגורמים ושל בעלי התפקידים שניגשו למידע של משתמשי מערכת דיפנדר, הסנגוריה הציבורית ומשרד המשפטים לא הפעילו כל כלי טכנולוגי לבקרה על הגישה למערכת עד למועד הביקורת של משרד מבקר המדינה. כמו כן, הם לא ביצעו כל בקרה אחרת הנוגעת לגישה למידע בפועל, ולא בדקו, ולו באופן מדגמי, כי אכן משתמשי המערכת ניגשו אך ורק למידע הדרוש להם לצורכי ביצוע עבודתם.</w:t>
      </w:r>
      <w:bookmarkStart w:id="16" w:name="_Hlk227861790"/>
      <w:r w:rsidRPr="00734173">
        <w:rPr>
          <w:rFonts w:ascii="Tahoma" w:eastAsia="Calibri" w:hAnsi="Tahoma" w:cs="Tahoma" w:hint="cs"/>
          <w:sz w:val="19"/>
          <w:szCs w:val="19"/>
          <w:rtl/>
        </w:rPr>
        <w:t xml:space="preserve"> זאת, חרף הוראות תקנות אבטחת מידע ולמרות הגישה הרחבה שניתנה למשתמשי המערכת למידע על לקוחות הסנגוריה.</w:t>
      </w:r>
      <w:r w:rsidRPr="00734173">
        <w:rPr>
          <w:rFonts w:eastAsia="Calibri" w:hint="cs"/>
          <w:b/>
          <w:bCs/>
          <w:rtl/>
        </w:rPr>
        <w:t xml:space="preserve"> </w:t>
      </w:r>
      <w:bookmarkEnd w:id="16"/>
    </w:p>
    <w:p w:rsidR="00734173" w:rsidRPr="00734173" w:rsidP="00734173">
      <w:pPr>
        <w:spacing w:after="180" w:line="288" w:lineRule="auto"/>
        <w:ind w:left="-710"/>
        <w:rPr>
          <w:rFonts w:ascii="Tahoma" w:eastAsia="Calibri" w:hAnsi="Tahoma" w:cs="Tahoma"/>
          <w:color w:val="0D0D0D"/>
          <w:sz w:val="18"/>
          <w:szCs w:val="18"/>
          <w:rtl/>
        </w:rPr>
      </w:pPr>
    </w:p>
    <w:p w:rsidR="00B425ED" w:rsidP="00734173">
      <w:pPr>
        <w:spacing w:after="240" w:line="288" w:lineRule="auto"/>
        <w:ind w:left="-143" w:right="-567"/>
        <w:rPr>
          <w:rFonts w:ascii="Tahoma" w:eastAsia="Calibri" w:hAnsi="Tahoma" w:cs="Tahoma"/>
          <w:sz w:val="19"/>
          <w:szCs w:val="19"/>
          <w:rtl/>
        </w:rPr>
      </w:pPr>
      <w:r w:rsidRPr="00734173">
        <w:rPr>
          <w:rFonts w:ascii="Tahoma" w:eastAsia="Calibri" w:hAnsi="Tahoma" w:cs="Tahoma" w:hint="cs"/>
          <w:noProof/>
          <w:color w:val="0D0D0D"/>
          <w:sz w:val="19"/>
          <w:szCs w:val="19"/>
          <w:rtl/>
        </w:rPr>
        <w:drawing>
          <wp:anchor distT="0" distB="0" distL="114300" distR="114300" simplePos="0" relativeHeight="251661312" behindDoc="0" locked="0" layoutInCell="1" allowOverlap="1">
            <wp:simplePos x="0" y="0"/>
            <wp:positionH relativeFrom="column">
              <wp:posOffset>3375025</wp:posOffset>
            </wp:positionH>
            <wp:positionV relativeFrom="paragraph">
              <wp:posOffset>33269</wp:posOffset>
            </wp:positionV>
            <wp:extent cx="2355215" cy="180340"/>
            <wp:effectExtent l="0" t="0" r="0" b="0"/>
            <wp:wrapSquare wrapText="bothSides"/>
            <wp:docPr id="20" name="תמונה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like.png"/>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a:xfrm>
                      <a:off x="0" y="0"/>
                      <a:ext cx="2355215" cy="180340"/>
                    </a:xfrm>
                    <a:prstGeom prst="rect">
                      <a:avLst/>
                    </a:prstGeom>
                  </pic:spPr>
                </pic:pic>
              </a:graphicData>
            </a:graphic>
            <wp14:sizeRelH relativeFrom="margin">
              <wp14:pctWidth>0</wp14:pctWidth>
            </wp14:sizeRelH>
          </wp:anchor>
        </w:drawing>
      </w:r>
    </w:p>
    <w:p w:rsidR="00734173" w:rsidRPr="00734173" w:rsidP="00734173">
      <w:pPr>
        <w:spacing w:after="240" w:line="288" w:lineRule="auto"/>
        <w:ind w:left="-143" w:right="-567"/>
        <w:rPr>
          <w:rFonts w:ascii="Tahoma" w:eastAsia="Calibri" w:hAnsi="Tahoma" w:cs="Tahoma"/>
          <w:sz w:val="19"/>
          <w:szCs w:val="19"/>
          <w:rtl/>
        </w:rPr>
      </w:pPr>
      <w:r w:rsidRPr="00734173">
        <w:rPr>
          <w:rFonts w:ascii="Tahoma" w:eastAsia="Calibri" w:hAnsi="Tahoma" w:cs="Tahoma" w:hint="cs"/>
          <w:sz w:val="19"/>
          <w:szCs w:val="19"/>
          <w:rtl/>
        </w:rPr>
        <w:t xml:space="preserve">משרד מבקר המדינה מציין לחיוב את פעילות הסנגוריה הציבורית ואגף מערכות מידע של משרד המשפטים לפיתוח אלגוריתם </w:t>
      </w:r>
      <w:r w:rsidRPr="00734173">
        <w:rPr>
          <w:rFonts w:ascii="Tahoma" w:eastAsia="Calibri" w:hAnsi="Tahoma" w:cs="Tahoma" w:hint="cs"/>
          <w:sz w:val="19"/>
          <w:szCs w:val="19"/>
        </w:rPr>
        <w:t>AI</w:t>
      </w:r>
      <w:r w:rsidRPr="00734173">
        <w:rPr>
          <w:rFonts w:ascii="Tahoma" w:eastAsia="Calibri" w:hAnsi="Tahoma" w:cs="Tahoma" w:hint="cs"/>
          <w:sz w:val="19"/>
          <w:szCs w:val="19"/>
          <w:rtl/>
        </w:rPr>
        <w:t xml:space="preserve"> לבדיקת דרישות שכר טרחה, שבאפשרותו לייעל ולדייק את עבודת מחלקות שכר הטרחה והגזברים המחוזיים, ולאפשר להם להתמקד בבקשות בנושאים מיוחדים בלבד, שהאלגוריתם עדיין אינו מסוגל לנתח כהלכה. </w:t>
      </w:r>
      <w:bookmarkStart w:id="17" w:name="_Hlk227842634"/>
      <w:r w:rsidRPr="00734173">
        <w:rPr>
          <w:rFonts w:ascii="Tahoma" w:eastAsia="Calibri" w:hAnsi="Tahoma" w:cs="Tahoma" w:hint="cs"/>
          <w:sz w:val="19"/>
          <w:szCs w:val="19"/>
          <w:rtl/>
        </w:rPr>
        <w:t xml:space="preserve">ועם זאת, יצוין </w:t>
      </w:r>
      <w:r w:rsidRPr="00734173">
        <w:rPr>
          <w:rFonts w:ascii="Tahoma" w:eastAsia="Calibri" w:hAnsi="Tahoma" w:cs="Tahoma"/>
          <w:sz w:val="19"/>
          <w:szCs w:val="19"/>
          <w:rtl/>
        </w:rPr>
        <w:t>כי נכון למועד עריכת הביקורת האלגוריתם אינו מבצע פעולה עצמאית במערכת דיפנדר אלא מסייע לעובדי מחלקות שכר הטרחה בסנגוריה, ואלו עדיין מחשבים כל בקשה לשכר טרחה באופן ידני.</w:t>
      </w:r>
      <w:bookmarkEnd w:id="17"/>
    </w:p>
    <w:p w:rsidR="00734173" w:rsidRPr="00734173" w:rsidP="00734173">
      <w:pPr>
        <w:bidi w:val="0"/>
        <w:spacing w:after="200" w:line="276" w:lineRule="auto"/>
        <w:rPr>
          <w:rFonts w:ascii="Tahoma" w:eastAsia="Calibri" w:hAnsi="Tahoma" w:cs="Tahoma"/>
          <w:sz w:val="19"/>
          <w:szCs w:val="19"/>
        </w:rPr>
      </w:pPr>
      <w:r>
        <w:rPr>
          <w:rFonts w:ascii="Tahoma" w:eastAsia="Calibri" w:hAnsi="Tahoma" w:cs="Tahoma"/>
          <w:sz w:val="19"/>
          <w:szCs w:val="19"/>
          <w:rtl/>
        </w:rPr>
        <w:br w:type="page"/>
      </w:r>
    </w:p>
    <w:tbl>
      <w:tblPr>
        <w:tblStyle w:val="110"/>
        <w:tblpPr w:leftFromText="180" w:rightFromText="180" w:vertAnchor="text" w:tblpXSpec="center" w:tblpY="1"/>
        <w:tblOverlap w:val="never"/>
        <w:bidiVisual/>
        <w:tblW w:w="9783" w:type="dxa"/>
        <w:tblLayout w:type="fixed"/>
        <w:tblLook w:val="04A0"/>
      </w:tblPr>
      <w:tblGrid>
        <w:gridCol w:w="9783"/>
      </w:tblGrid>
      <w:tr w:rsidTr="001560B0">
        <w:tblPrEx>
          <w:tblW w:w="9783" w:type="dxa"/>
          <w:tblLayout w:type="fixed"/>
          <w:tblLook w:val="04A0"/>
        </w:tblPrEx>
        <w:trPr>
          <w:trHeight w:val="851"/>
        </w:trPr>
        <w:tc>
          <w:tcPr>
            <w:tcW w:w="9783" w:type="dxa"/>
            <w:tcBorders>
              <w:top w:val="nil"/>
              <w:left w:val="nil"/>
              <w:bottom w:val="nil"/>
              <w:right w:val="nil"/>
            </w:tcBorders>
          </w:tcPr>
          <w:p w:rsidR="00734173" w:rsidRPr="00734173" w:rsidP="00934B18">
            <w:pPr>
              <w:spacing w:line="480" w:lineRule="auto"/>
              <w:jc w:val="both"/>
              <w:rPr>
                <w:rFonts w:ascii="Tahoma" w:eastAsia="Calibri" w:hAnsi="Tahoma" w:cs="Tahoma"/>
                <w:sz w:val="20"/>
                <w:rtl/>
              </w:rPr>
            </w:pPr>
            <w:r w:rsidRPr="00734173">
              <w:rPr>
                <w:rFonts w:ascii="Tahoma" w:eastAsia="Calibri" w:hAnsi="Tahoma" w:cs="Tahoma"/>
                <w:noProof/>
                <w:rtl/>
              </w:rPr>
              <w:drawing>
                <wp:inline distT="0" distB="0" distL="0" distR="0">
                  <wp:extent cx="6091555" cy="439381"/>
                  <wp:effectExtent l="0" t="0" r="0" b="0"/>
                  <wp:docPr id="11" name="תמונה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תקציר תמונה 3.4.png"/>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a:xfrm>
                            <a:off x="0" y="0"/>
                            <a:ext cx="6249763" cy="450792"/>
                          </a:xfrm>
                          <a:prstGeom prst="rect">
                            <a:avLst/>
                          </a:prstGeom>
                        </pic:spPr>
                      </pic:pic>
                    </a:graphicData>
                  </a:graphic>
                </wp:inline>
              </w:drawing>
            </w:r>
          </w:p>
        </w:tc>
      </w:tr>
      <w:tr w:rsidTr="001560B0">
        <w:tblPrEx>
          <w:tblW w:w="9783" w:type="dxa"/>
          <w:tblLayout w:type="fixed"/>
          <w:tblLook w:val="04A0"/>
        </w:tblPrEx>
        <w:trPr>
          <w:trHeight w:val="1131"/>
        </w:trPr>
        <w:tc>
          <w:tcPr>
            <w:tcW w:w="9783" w:type="dxa"/>
            <w:tcBorders>
              <w:top w:val="nil"/>
              <w:left w:val="nil"/>
              <w:bottom w:val="nil"/>
              <w:right w:val="nil"/>
            </w:tcBorders>
            <w:shd w:val="clear" w:color="auto" w:fill="F1F5F9"/>
          </w:tcPr>
          <w:p w:rsidR="00734173" w:rsidRPr="00934B18" w:rsidP="00734173">
            <w:pPr>
              <w:spacing w:line="288" w:lineRule="auto"/>
              <w:ind w:left="598" w:right="173" w:hanging="598"/>
              <w:contextualSpacing/>
              <w:jc w:val="both"/>
              <w:rPr>
                <w:rFonts w:ascii="Tahoma" w:eastAsia="Calibri" w:hAnsi="Tahoma" w:cs="Tahoma"/>
                <w:sz w:val="19"/>
                <w:szCs w:val="19"/>
              </w:rPr>
            </w:pPr>
          </w:p>
          <w:p w:rsidR="00934B18" w:rsidRPr="00934B18" w:rsidP="00934B18">
            <w:pPr>
              <w:spacing w:line="288" w:lineRule="auto"/>
              <w:ind w:left="608" w:right="316"/>
              <w:contextualSpacing/>
              <w:jc w:val="both"/>
              <w:rPr>
                <w:rFonts w:ascii="Tahoma" w:eastAsia="Calibri" w:hAnsi="Tahoma" w:cs="Tahoma"/>
                <w:sz w:val="11"/>
                <w:szCs w:val="11"/>
              </w:rPr>
            </w:pPr>
            <w:bookmarkStart w:id="18" w:name="_Hlk227482923"/>
          </w:p>
          <w:p w:rsidR="00734173" w:rsidRPr="00734173" w:rsidP="00934B18">
            <w:pPr>
              <w:numPr>
                <w:ilvl w:val="0"/>
                <w:numId w:val="15"/>
              </w:numPr>
              <w:spacing w:after="360" w:line="288" w:lineRule="auto"/>
              <w:ind w:left="608" w:right="316" w:hanging="502"/>
              <w:contextualSpacing/>
              <w:jc w:val="both"/>
              <w:rPr>
                <w:rFonts w:ascii="Tahoma" w:eastAsia="Calibri" w:hAnsi="Tahoma" w:cs="Tahoma"/>
                <w:sz w:val="19"/>
                <w:szCs w:val="19"/>
              </w:rPr>
            </w:pPr>
            <w:r w:rsidRPr="00734173">
              <w:rPr>
                <w:rFonts w:ascii="Tahoma" w:eastAsia="Calibri" w:hAnsi="Tahoma" w:cs="Tahoma"/>
                <w:sz w:val="19"/>
                <w:szCs w:val="19"/>
                <w:rtl/>
              </w:rPr>
              <w:t>מערכת הפרופיל הכלכלי שפיתח משרד המשפטים אמורה לאפשר לסנגוריה ל</w:t>
            </w:r>
            <w:r w:rsidRPr="00734173">
              <w:rPr>
                <w:rFonts w:ascii="Tahoma" w:eastAsia="Calibri" w:hAnsi="Tahoma" w:cs="Tahoma" w:hint="cs"/>
                <w:sz w:val="19"/>
                <w:szCs w:val="19"/>
                <w:rtl/>
              </w:rPr>
              <w:t>אמת</w:t>
            </w:r>
            <w:r w:rsidRPr="00734173">
              <w:rPr>
                <w:rFonts w:ascii="Tahoma" w:eastAsia="Calibri" w:hAnsi="Tahoma" w:cs="Tahoma"/>
                <w:sz w:val="19"/>
                <w:szCs w:val="19"/>
                <w:rtl/>
              </w:rPr>
              <w:t xml:space="preserve"> רכיבים </w:t>
            </w:r>
            <w:r w:rsidRPr="00734173">
              <w:rPr>
                <w:rFonts w:ascii="Tahoma" w:eastAsia="Calibri" w:hAnsi="Tahoma" w:cs="Tahoma" w:hint="cs"/>
                <w:sz w:val="19"/>
                <w:szCs w:val="19"/>
                <w:rtl/>
              </w:rPr>
              <w:t xml:space="preserve">כלכליים </w:t>
            </w:r>
            <w:r w:rsidRPr="00734173">
              <w:rPr>
                <w:rFonts w:ascii="Tahoma" w:eastAsia="Calibri" w:hAnsi="Tahoma" w:cs="Tahoma"/>
                <w:sz w:val="19"/>
                <w:szCs w:val="19"/>
                <w:rtl/>
              </w:rPr>
              <w:t>חשובים</w:t>
            </w:r>
            <w:r>
              <w:rPr>
                <w:rFonts w:ascii="Tahoma" w:eastAsia="Calibri" w:hAnsi="Tahoma" w:cs="Tahoma"/>
                <w:sz w:val="19"/>
                <w:szCs w:val="19"/>
                <w:vertAlign w:val="superscript"/>
                <w:rtl/>
              </w:rPr>
              <w:footnoteReference w:id="6"/>
            </w:r>
            <w:r w:rsidRPr="00734173">
              <w:rPr>
                <w:rFonts w:ascii="Tahoma" w:eastAsia="Calibri" w:hAnsi="Tahoma" w:cs="Tahoma"/>
                <w:sz w:val="19"/>
                <w:szCs w:val="19"/>
                <w:rtl/>
              </w:rPr>
              <w:t xml:space="preserve"> </w:t>
            </w:r>
            <w:r w:rsidRPr="00734173">
              <w:rPr>
                <w:rFonts w:ascii="Tahoma" w:eastAsia="Calibri" w:hAnsi="Tahoma" w:cs="Tahoma" w:hint="cs"/>
                <w:sz w:val="19"/>
                <w:szCs w:val="19"/>
                <w:rtl/>
              </w:rPr>
              <w:t xml:space="preserve">שהם </w:t>
            </w:r>
            <w:r w:rsidRPr="00734173">
              <w:rPr>
                <w:rFonts w:ascii="Tahoma" w:eastAsia="Calibri" w:hAnsi="Tahoma" w:cs="Tahoma"/>
                <w:sz w:val="19"/>
                <w:szCs w:val="19"/>
                <w:rtl/>
              </w:rPr>
              <w:t xml:space="preserve">תנאי </w:t>
            </w:r>
            <w:r w:rsidRPr="00734173">
              <w:rPr>
                <w:rFonts w:ascii="Tahoma" w:eastAsia="Calibri" w:hAnsi="Tahoma" w:cs="Tahoma" w:hint="cs"/>
                <w:sz w:val="19"/>
                <w:szCs w:val="19"/>
                <w:rtl/>
              </w:rPr>
              <w:t>מקדים ל</w:t>
            </w:r>
            <w:r w:rsidRPr="00734173">
              <w:rPr>
                <w:rFonts w:ascii="Tahoma" w:eastAsia="Calibri" w:hAnsi="Tahoma" w:cs="Tahoma"/>
                <w:sz w:val="19"/>
                <w:szCs w:val="19"/>
                <w:rtl/>
              </w:rPr>
              <w:t xml:space="preserve">זכאות של לקוחותיה לקבל ממנה שירות </w:t>
            </w:r>
            <w:r w:rsidRPr="00734173">
              <w:rPr>
                <w:rFonts w:ascii="Tahoma" w:eastAsia="Calibri" w:hAnsi="Tahoma" w:cs="Tahoma" w:hint="cs"/>
                <w:sz w:val="19"/>
                <w:szCs w:val="19"/>
                <w:rtl/>
              </w:rPr>
              <w:t>ע</w:t>
            </w:r>
            <w:r w:rsidRPr="00734173">
              <w:rPr>
                <w:rFonts w:ascii="Tahoma" w:eastAsia="Calibri" w:hAnsi="Tahoma" w:cs="Tahoma"/>
                <w:sz w:val="19"/>
                <w:szCs w:val="19"/>
                <w:rtl/>
              </w:rPr>
              <w:t>ל</w:t>
            </w:r>
            <w:r w:rsidRPr="00734173">
              <w:rPr>
                <w:rFonts w:ascii="Tahoma" w:eastAsia="Calibri" w:hAnsi="Tahoma" w:cs="Tahoma" w:hint="cs"/>
                <w:sz w:val="19"/>
                <w:szCs w:val="19"/>
                <w:rtl/>
              </w:rPr>
              <w:t xml:space="preserve"> פי </w:t>
            </w:r>
            <w:r w:rsidRPr="00734173">
              <w:rPr>
                <w:rFonts w:ascii="Tahoma" w:eastAsia="Calibri" w:hAnsi="Tahoma" w:cs="Tahoma"/>
                <w:sz w:val="19"/>
                <w:szCs w:val="19"/>
                <w:rtl/>
              </w:rPr>
              <w:t>הוראות הדין.</w:t>
            </w:r>
            <w:r w:rsidRPr="00734173">
              <w:rPr>
                <w:rFonts w:ascii="Tahoma" w:eastAsia="Calibri" w:hAnsi="Tahoma" w:cs="Tahoma" w:hint="cs"/>
                <w:sz w:val="19"/>
                <w:szCs w:val="19"/>
                <w:rtl/>
              </w:rPr>
              <w:t xml:space="preserve"> מומלץ כי ה</w:t>
            </w:r>
            <w:r w:rsidRPr="00734173">
              <w:rPr>
                <w:rFonts w:ascii="Tahoma" w:eastAsia="Calibri" w:hAnsi="Tahoma" w:cs="Tahoma"/>
                <w:sz w:val="19"/>
                <w:szCs w:val="19"/>
                <w:rtl/>
              </w:rPr>
              <w:t xml:space="preserve">סנגוריה </w:t>
            </w:r>
            <w:r w:rsidRPr="00734173">
              <w:rPr>
                <w:rFonts w:ascii="Tahoma" w:eastAsia="Calibri" w:hAnsi="Tahoma" w:cs="Tahoma" w:hint="cs"/>
                <w:sz w:val="19"/>
                <w:szCs w:val="19"/>
                <w:rtl/>
              </w:rPr>
              <w:t>תמשיך לקדם את השימוש במערכת גם לצורך אימות פרטים שמסרו לקוחות עצורים. בד בבד מומלץ כי הסנגוריה תבחן שילוב של כלים טכנולוגיים מתקדמים תוך בחינת שימוש בכלי בינה מלאכותית (</w:t>
            </w:r>
            <w:r w:rsidRPr="00734173">
              <w:rPr>
                <w:rFonts w:ascii="Tahoma" w:eastAsia="Calibri" w:hAnsi="Tahoma" w:cs="Tahoma" w:hint="cs"/>
                <w:sz w:val="19"/>
                <w:szCs w:val="19"/>
              </w:rPr>
              <w:t>AI</w:t>
            </w:r>
            <w:r w:rsidRPr="00734173">
              <w:rPr>
                <w:rFonts w:ascii="Tahoma" w:eastAsia="Calibri" w:hAnsi="Tahoma" w:cs="Tahoma" w:hint="cs"/>
                <w:sz w:val="19"/>
                <w:szCs w:val="19"/>
                <w:rtl/>
              </w:rPr>
              <w:t>),</w:t>
            </w:r>
            <w:r w:rsidRPr="00734173">
              <w:rPr>
                <w:rFonts w:ascii="Tahoma" w:eastAsia="Calibri" w:hAnsi="Tahoma" w:cs="Tahoma"/>
                <w:sz w:val="19"/>
                <w:szCs w:val="19"/>
                <w:rtl/>
              </w:rPr>
              <w:t xml:space="preserve"> שיאפשר לה לוודא שלקוחותיה </w:t>
            </w:r>
            <w:bookmarkStart w:id="19" w:name="_Hlk227608225"/>
            <w:r w:rsidRPr="00734173">
              <w:rPr>
                <w:rFonts w:ascii="Tahoma" w:eastAsia="Calibri" w:hAnsi="Tahoma" w:cs="Tahoma"/>
                <w:sz w:val="19"/>
                <w:szCs w:val="19"/>
                <w:rtl/>
              </w:rPr>
              <w:t>מקבלים</w:t>
            </w:r>
            <w:bookmarkEnd w:id="19"/>
            <w:r w:rsidRPr="00734173">
              <w:rPr>
                <w:rFonts w:ascii="Tahoma" w:eastAsia="Calibri" w:hAnsi="Tahoma" w:cs="Tahoma"/>
                <w:sz w:val="19"/>
                <w:szCs w:val="19"/>
                <w:rtl/>
              </w:rPr>
              <w:t xml:space="preserve"> ייצוג כ"מחוסרי אמצעים" רק במקרים המתאימים.</w:t>
            </w:r>
          </w:p>
          <w:p w:rsidR="00734173" w:rsidRPr="00734173" w:rsidP="00934B18">
            <w:pPr>
              <w:spacing w:after="360" w:line="288" w:lineRule="auto"/>
              <w:ind w:left="608" w:hanging="502"/>
              <w:contextualSpacing/>
              <w:jc w:val="both"/>
              <w:rPr>
                <w:rFonts w:eastAsia="Calibri" w:cs="David"/>
                <w:b/>
                <w:bCs/>
                <w:sz w:val="20"/>
              </w:rPr>
            </w:pPr>
          </w:p>
          <w:p w:rsidR="00734173" w:rsidRPr="00734173" w:rsidP="00934B18">
            <w:pPr>
              <w:numPr>
                <w:ilvl w:val="0"/>
                <w:numId w:val="15"/>
              </w:numPr>
              <w:spacing w:after="360" w:line="288" w:lineRule="auto"/>
              <w:ind w:left="608" w:right="316" w:hanging="502"/>
              <w:contextualSpacing/>
              <w:jc w:val="both"/>
              <w:rPr>
                <w:rFonts w:ascii="Tahoma" w:eastAsia="Calibri" w:hAnsi="Tahoma" w:cs="Tahoma"/>
                <w:sz w:val="19"/>
                <w:szCs w:val="19"/>
              </w:rPr>
            </w:pPr>
            <w:r w:rsidRPr="00734173">
              <w:rPr>
                <w:rFonts w:ascii="Tahoma" w:eastAsia="Calibri" w:hAnsi="Tahoma" w:cs="Tahoma" w:hint="cs"/>
                <w:sz w:val="19"/>
                <w:szCs w:val="19"/>
                <w:rtl/>
              </w:rPr>
              <w:t>לשם חיסכון במשאבי הציבור וניצול מיטבי של תקציב הסנגוריה עבור האוכלוסיות שאכן זקוקות לכך, מומלץ שמשרד המשפטים והסנגוריה יחדשו את הדיון בטיוטת התיקון לתקנות האגרות בעניין חובת תשלום של זכאים לייצוג; יכריעו במחלוקות בין הצדדים, ובכללם רשות האכיפה והגבייה; ויפעלו לקידום הסדרת השתתפות לקוחות הסנגוריה בעלות הייצוג בתיקים אלה בהתאם ליכולתם הכלכלית.</w:t>
            </w:r>
          </w:p>
          <w:p w:rsidR="00734173" w:rsidRPr="00734173" w:rsidP="00934B18">
            <w:pPr>
              <w:spacing w:after="360" w:line="288" w:lineRule="auto"/>
              <w:ind w:left="608" w:hanging="502"/>
              <w:contextualSpacing/>
              <w:jc w:val="both"/>
              <w:rPr>
                <w:rFonts w:ascii="Tahoma" w:eastAsia="Calibri" w:hAnsi="Tahoma" w:cs="Tahoma"/>
                <w:sz w:val="19"/>
                <w:szCs w:val="19"/>
                <w:rtl/>
              </w:rPr>
            </w:pPr>
          </w:p>
          <w:p w:rsidR="00734173" w:rsidRPr="00734173" w:rsidP="00934B18">
            <w:pPr>
              <w:numPr>
                <w:ilvl w:val="0"/>
                <w:numId w:val="15"/>
              </w:numPr>
              <w:spacing w:after="360" w:line="288" w:lineRule="auto"/>
              <w:ind w:left="608" w:right="316" w:hanging="502"/>
              <w:contextualSpacing/>
              <w:jc w:val="both"/>
              <w:rPr>
                <w:rFonts w:ascii="Tahoma" w:eastAsia="Calibri" w:hAnsi="Tahoma" w:cs="Tahoma"/>
                <w:sz w:val="19"/>
                <w:szCs w:val="19"/>
              </w:rPr>
            </w:pPr>
            <w:bookmarkStart w:id="20" w:name="_Hlk232692759"/>
            <w:r w:rsidRPr="00734173">
              <w:rPr>
                <w:rFonts w:ascii="Tahoma" w:eastAsia="Calibri" w:hAnsi="Tahoma" w:cs="Tahoma"/>
                <w:sz w:val="19"/>
                <w:szCs w:val="19"/>
                <w:rtl/>
              </w:rPr>
              <w:t>על הסנגוריה הציבורית ועל משרד המשפטים לפעול באופן אקטיבי</w:t>
            </w:r>
            <w:r w:rsidRPr="00734173">
              <w:rPr>
                <w:rFonts w:ascii="Tahoma" w:eastAsia="Calibri" w:hAnsi="Tahoma" w:cs="Tahoma" w:hint="cs"/>
                <w:sz w:val="19"/>
                <w:szCs w:val="19"/>
                <w:rtl/>
              </w:rPr>
              <w:t xml:space="preserve"> להסדרת נושא גביית האגרות</w:t>
            </w:r>
            <w:r w:rsidRPr="00734173">
              <w:rPr>
                <w:rFonts w:ascii="Tahoma" w:eastAsia="Calibri" w:hAnsi="Tahoma" w:cs="Tahoma"/>
                <w:sz w:val="19"/>
                <w:szCs w:val="19"/>
                <w:rtl/>
              </w:rPr>
              <w:t xml:space="preserve">, </w:t>
            </w:r>
            <w:r w:rsidRPr="00734173">
              <w:rPr>
                <w:rFonts w:ascii="Tahoma" w:eastAsia="Calibri" w:hAnsi="Tahoma" w:cs="Tahoma" w:hint="cs"/>
                <w:sz w:val="19"/>
                <w:szCs w:val="19"/>
                <w:rtl/>
              </w:rPr>
              <w:t>ו</w:t>
            </w:r>
            <w:r w:rsidRPr="00734173">
              <w:rPr>
                <w:rFonts w:ascii="Tahoma" w:eastAsia="Calibri" w:hAnsi="Tahoma" w:cs="Tahoma"/>
                <w:sz w:val="19"/>
                <w:szCs w:val="19"/>
                <w:rtl/>
              </w:rPr>
              <w:t>המג"ק</w:t>
            </w:r>
            <w:r w:rsidRPr="00734173">
              <w:rPr>
                <w:rFonts w:ascii="Tahoma" w:eastAsia="Calibri" w:hAnsi="Tahoma" w:cs="Tahoma" w:hint="cs"/>
                <w:sz w:val="19"/>
                <w:szCs w:val="19"/>
                <w:rtl/>
              </w:rPr>
              <w:t xml:space="preserve"> נדרש לפעול</w:t>
            </w:r>
            <w:r w:rsidRPr="00734173">
              <w:rPr>
                <w:rFonts w:ascii="Tahoma" w:eastAsia="Calibri" w:hAnsi="Tahoma" w:cs="Tahoma"/>
                <w:sz w:val="19"/>
                <w:szCs w:val="19"/>
                <w:rtl/>
              </w:rPr>
              <w:t xml:space="preserve"> לגביית כלל האגרות שהוטלו על פי דין על לקוחות הסנגוריה.</w:t>
            </w:r>
          </w:p>
          <w:bookmarkEnd w:id="20"/>
          <w:p w:rsidR="00734173" w:rsidRPr="00734173" w:rsidP="00934B18">
            <w:pPr>
              <w:spacing w:line="288" w:lineRule="auto"/>
              <w:ind w:left="608" w:hanging="502"/>
              <w:jc w:val="both"/>
              <w:rPr>
                <w:rFonts w:ascii="Tahoma" w:eastAsia="Calibri" w:hAnsi="Tahoma" w:cs="Tahoma"/>
                <w:sz w:val="19"/>
                <w:szCs w:val="19"/>
              </w:rPr>
            </w:pPr>
          </w:p>
          <w:p w:rsidR="00734173" w:rsidRPr="00734173" w:rsidP="00934B18">
            <w:pPr>
              <w:numPr>
                <w:ilvl w:val="0"/>
                <w:numId w:val="15"/>
              </w:numPr>
              <w:spacing w:after="360" w:line="288" w:lineRule="auto"/>
              <w:ind w:left="608" w:right="316" w:hanging="502"/>
              <w:jc w:val="both"/>
              <w:rPr>
                <w:rFonts w:ascii="Tahoma" w:eastAsia="Calibri" w:hAnsi="Tahoma" w:cs="Tahoma"/>
                <w:sz w:val="19"/>
                <w:szCs w:val="19"/>
                <w:rtl/>
              </w:rPr>
            </w:pPr>
            <w:r w:rsidRPr="00734173">
              <w:rPr>
                <w:rFonts w:ascii="Tahoma" w:eastAsia="Calibri" w:hAnsi="Tahoma" w:cs="Tahoma" w:hint="cs"/>
                <w:sz w:val="19"/>
                <w:szCs w:val="19"/>
                <w:rtl/>
              </w:rPr>
              <w:t>מומלץ שהסנגוריה הציבורית תקבע קריטריונים שיתוו את שיקול הדעת של גורמי המקצוע במחוזות השונים בהחלטותיהם בבקשות של לקוחות למתן פטור מאגרה, כדי להימנע מקבלת החלטות מפלות או החלטות הסותרות זו את זו. זאת ועוד, על הסנגוריה הציבורית ועל משרד המשפטים לבצע באופן שוטף בקרה על מתן הפטורים מתשלום אגרה שהסנגוריה מעניקה ללקוחותיה כדי לוודא שהם מוענקים על פי הכללים שקבעה.</w:t>
            </w:r>
          </w:p>
          <w:bookmarkEnd w:id="18"/>
          <w:p w:rsidR="00734173" w:rsidRPr="00734173" w:rsidP="00934B18">
            <w:pPr>
              <w:numPr>
                <w:ilvl w:val="0"/>
                <w:numId w:val="15"/>
              </w:numPr>
              <w:spacing w:after="360" w:line="288" w:lineRule="auto"/>
              <w:ind w:left="608" w:right="318" w:hanging="502"/>
              <w:jc w:val="both"/>
              <w:rPr>
                <w:rFonts w:ascii="Tahoma" w:eastAsia="Calibri" w:hAnsi="Tahoma" w:cs="Tahoma"/>
                <w:sz w:val="19"/>
                <w:szCs w:val="19"/>
              </w:rPr>
            </w:pPr>
            <w:r w:rsidRPr="00734173">
              <w:rPr>
                <w:rFonts w:ascii="Tahoma" w:eastAsia="Calibri" w:hAnsi="Tahoma" w:cs="Tahoma" w:hint="cs"/>
                <w:sz w:val="19"/>
                <w:szCs w:val="19"/>
                <w:rtl/>
              </w:rPr>
              <w:t xml:space="preserve">על הסנגוריה הציבורית לפעול בהתאם לתקנות האגרות ולחשב את המועד הקובע לתשלום בחלוף 60 ימים ממועד המצאת דרישת התשלום. לצורך כך, על הסנגוריה הציבורית לוודא באמצעות שיגור דואר רשום, פניה ישירה ללקוחותיה או בכל דרך אחרת, כי לקוחותיה אכן מקבלים את דרישות התשלום שהיא שולחת להם ולעדכן את תאריך המסירה בפועל במערכת. עוד מומלץ שהסנגוריה ומשרד המשפטים יקיימו בחינה בנוגע לפרקטיקה הנוהגת על ידם שלפיה תקופת חישוב החוב, לרבות הפרשי הצמדה וריבית, נשענת על מסירת הודעת דואר רגיל בלי לקבל תיקוף למועד המסירה בפועל לחייב. </w:t>
            </w:r>
          </w:p>
          <w:p w:rsidR="00734173" w:rsidRPr="00734173" w:rsidP="00934B18">
            <w:pPr>
              <w:numPr>
                <w:ilvl w:val="0"/>
                <w:numId w:val="15"/>
              </w:numPr>
              <w:spacing w:after="360" w:line="288" w:lineRule="auto"/>
              <w:ind w:left="608" w:right="316" w:hanging="502"/>
              <w:jc w:val="both"/>
              <w:rPr>
                <w:rFonts w:ascii="Tahoma" w:eastAsia="Calibri" w:hAnsi="Tahoma" w:cs="Tahoma"/>
                <w:sz w:val="19"/>
                <w:szCs w:val="19"/>
              </w:rPr>
            </w:pPr>
            <w:r w:rsidRPr="00734173">
              <w:rPr>
                <w:rFonts w:ascii="Tahoma" w:eastAsia="Calibri" w:hAnsi="Tahoma" w:cs="Tahoma" w:hint="eastAsia"/>
                <w:sz w:val="19"/>
                <w:szCs w:val="19"/>
                <w:rtl/>
              </w:rPr>
              <w:t>מומלץ</w:t>
            </w:r>
            <w:r w:rsidRPr="00734173">
              <w:rPr>
                <w:rFonts w:ascii="Tahoma" w:eastAsia="Calibri" w:hAnsi="Tahoma" w:cs="Tahoma" w:hint="cs"/>
                <w:sz w:val="19"/>
                <w:szCs w:val="19"/>
                <w:rtl/>
              </w:rPr>
              <w:t xml:space="preserve"> לסנגוריה הארצית לגבש אבני דרך ולוחות זמנים קצרים וישימים להשלמת התוכנית להטמעת דגם הפיקוח החדש ולגיבוש הנוהל המתאים שיוחל על כלל מחוזות הסנגוריה, וכן ללוות תהליך זה במערכת יישומית תומכת, לשם השלמת הסדרת תחום הפיקוח. </w:t>
            </w:r>
          </w:p>
          <w:p w:rsidR="00734173" w:rsidRPr="00734173" w:rsidP="00934B18">
            <w:pPr>
              <w:numPr>
                <w:ilvl w:val="0"/>
                <w:numId w:val="15"/>
              </w:numPr>
              <w:spacing w:after="360" w:line="288" w:lineRule="auto"/>
              <w:ind w:left="608" w:right="316" w:hanging="502"/>
              <w:jc w:val="both"/>
              <w:rPr>
                <w:rFonts w:ascii="Tahoma" w:eastAsia="Calibri" w:hAnsi="Tahoma" w:cs="Tahoma"/>
                <w:sz w:val="19"/>
                <w:szCs w:val="19"/>
              </w:rPr>
            </w:pPr>
            <w:r w:rsidRPr="00734173">
              <w:rPr>
                <w:rFonts w:ascii="Tahoma" w:eastAsia="Calibri" w:hAnsi="Tahoma" w:cs="Tahoma" w:hint="cs"/>
                <w:sz w:val="19"/>
                <w:szCs w:val="19"/>
                <w:rtl/>
              </w:rPr>
              <w:t>מומלץ שהסנגוריה תלמד את החסרונות ששוקפו על ידי הרפרנטים בנושא פיקוחי העומק ותפעל לתיקון הנושאים שהועלו. עוד מומלץ</w:t>
            </w:r>
            <w:r w:rsidRPr="00734173">
              <w:rPr>
                <w:rFonts w:ascii="Tahoma" w:eastAsia="Calibri" w:hAnsi="Tahoma" w:cs="Tahoma"/>
                <w:sz w:val="19"/>
                <w:szCs w:val="19"/>
                <w:rtl/>
              </w:rPr>
              <w:t xml:space="preserve"> כי </w:t>
            </w:r>
            <w:r w:rsidRPr="00734173">
              <w:rPr>
                <w:rFonts w:ascii="Tahoma" w:eastAsia="Calibri" w:hAnsi="Tahoma" w:cs="Tahoma" w:hint="eastAsia"/>
                <w:sz w:val="19"/>
                <w:szCs w:val="19"/>
                <w:rtl/>
              </w:rPr>
              <w:t>הסנגוריה</w:t>
            </w:r>
            <w:r w:rsidRPr="00734173">
              <w:rPr>
                <w:rFonts w:ascii="Tahoma" w:eastAsia="Calibri" w:hAnsi="Tahoma" w:cs="Tahoma"/>
                <w:sz w:val="19"/>
                <w:szCs w:val="19"/>
                <w:rtl/>
              </w:rPr>
              <w:t xml:space="preserve"> </w:t>
            </w:r>
            <w:r w:rsidRPr="00734173">
              <w:rPr>
                <w:rFonts w:ascii="Tahoma" w:eastAsia="Calibri" w:hAnsi="Tahoma" w:cs="Tahoma" w:hint="eastAsia"/>
                <w:sz w:val="19"/>
                <w:szCs w:val="19"/>
                <w:rtl/>
              </w:rPr>
              <w:t>ת</w:t>
            </w:r>
            <w:r w:rsidRPr="00734173">
              <w:rPr>
                <w:rFonts w:ascii="Tahoma" w:eastAsia="Calibri" w:hAnsi="Tahoma" w:cs="Tahoma" w:hint="cs"/>
                <w:sz w:val="19"/>
                <w:szCs w:val="19"/>
                <w:rtl/>
              </w:rPr>
              <w:t>י</w:t>
            </w:r>
            <w:r w:rsidRPr="00734173">
              <w:rPr>
                <w:rFonts w:ascii="Tahoma" w:eastAsia="Calibri" w:hAnsi="Tahoma" w:cs="Tahoma" w:hint="eastAsia"/>
                <w:sz w:val="19"/>
                <w:szCs w:val="19"/>
                <w:rtl/>
              </w:rPr>
              <w:t>תן</w:t>
            </w:r>
            <w:r w:rsidRPr="00734173">
              <w:rPr>
                <w:rFonts w:ascii="Tahoma" w:eastAsia="Calibri" w:hAnsi="Tahoma" w:cs="Tahoma"/>
                <w:sz w:val="19"/>
                <w:szCs w:val="19"/>
                <w:rtl/>
              </w:rPr>
              <w:t xml:space="preserve"> דעתה על </w:t>
            </w:r>
            <w:r w:rsidRPr="00734173">
              <w:rPr>
                <w:rFonts w:ascii="Tahoma" w:eastAsia="Calibri" w:hAnsi="Tahoma" w:cs="Tahoma" w:hint="eastAsia"/>
                <w:sz w:val="19"/>
                <w:szCs w:val="19"/>
                <w:rtl/>
              </w:rPr>
              <w:t>הצורך</w:t>
            </w:r>
            <w:r w:rsidRPr="00734173">
              <w:rPr>
                <w:rFonts w:ascii="Tahoma" w:eastAsia="Calibri" w:hAnsi="Tahoma" w:cs="Tahoma"/>
                <w:sz w:val="19"/>
                <w:szCs w:val="19"/>
                <w:rtl/>
              </w:rPr>
              <w:t xml:space="preserve"> </w:t>
            </w:r>
            <w:r w:rsidRPr="00734173">
              <w:rPr>
                <w:rFonts w:ascii="Tahoma" w:eastAsia="Calibri" w:hAnsi="Tahoma" w:cs="Tahoma" w:hint="eastAsia"/>
                <w:sz w:val="19"/>
                <w:szCs w:val="19"/>
                <w:rtl/>
              </w:rPr>
              <w:t>לבצע</w:t>
            </w:r>
            <w:r w:rsidRPr="00734173">
              <w:rPr>
                <w:rFonts w:ascii="Tahoma" w:eastAsia="Calibri" w:hAnsi="Tahoma" w:cs="Tahoma"/>
                <w:sz w:val="19"/>
                <w:szCs w:val="19"/>
                <w:rtl/>
              </w:rPr>
              <w:t xml:space="preserve"> </w:t>
            </w:r>
            <w:r w:rsidRPr="00734173">
              <w:rPr>
                <w:rFonts w:ascii="Tahoma" w:eastAsia="Calibri" w:hAnsi="Tahoma" w:cs="Tahoma" w:hint="eastAsia"/>
                <w:sz w:val="19"/>
                <w:szCs w:val="19"/>
                <w:rtl/>
              </w:rPr>
              <w:t>אחת</w:t>
            </w:r>
            <w:r w:rsidRPr="00734173">
              <w:rPr>
                <w:rFonts w:ascii="Tahoma" w:eastAsia="Calibri" w:hAnsi="Tahoma" w:cs="Tahoma"/>
                <w:sz w:val="19"/>
                <w:szCs w:val="19"/>
                <w:rtl/>
              </w:rPr>
              <w:t xml:space="preserve"> </w:t>
            </w:r>
            <w:r w:rsidRPr="00734173">
              <w:rPr>
                <w:rFonts w:ascii="Tahoma" w:eastAsia="Calibri" w:hAnsi="Tahoma" w:cs="Tahoma" w:hint="eastAsia"/>
                <w:sz w:val="19"/>
                <w:szCs w:val="19"/>
                <w:rtl/>
              </w:rPr>
              <w:t>לתקופה</w:t>
            </w:r>
            <w:r w:rsidRPr="00734173">
              <w:rPr>
                <w:rFonts w:ascii="Tahoma" w:eastAsia="Calibri" w:hAnsi="Tahoma" w:cs="Tahoma"/>
                <w:sz w:val="19"/>
                <w:szCs w:val="19"/>
                <w:rtl/>
              </w:rPr>
              <w:t xml:space="preserve"> </w:t>
            </w:r>
            <w:r w:rsidRPr="00734173">
              <w:rPr>
                <w:rFonts w:ascii="Tahoma" w:eastAsia="Calibri" w:hAnsi="Tahoma" w:cs="Tahoma" w:hint="eastAsia"/>
                <w:sz w:val="19"/>
                <w:szCs w:val="19"/>
                <w:rtl/>
              </w:rPr>
              <w:t>שתיקבע</w:t>
            </w:r>
            <w:r w:rsidRPr="00734173">
              <w:rPr>
                <w:rFonts w:ascii="Tahoma" w:eastAsia="Calibri" w:hAnsi="Tahoma" w:cs="Tahoma"/>
                <w:sz w:val="19"/>
                <w:szCs w:val="19"/>
                <w:rtl/>
              </w:rPr>
              <w:t xml:space="preserve">, </w:t>
            </w:r>
            <w:r w:rsidRPr="00734173">
              <w:rPr>
                <w:rFonts w:ascii="Tahoma" w:eastAsia="Calibri" w:hAnsi="Tahoma" w:cs="Tahoma" w:hint="eastAsia"/>
                <w:sz w:val="19"/>
                <w:szCs w:val="19"/>
                <w:rtl/>
              </w:rPr>
              <w:t>פיקוח</w:t>
            </w:r>
            <w:r w:rsidRPr="00734173">
              <w:rPr>
                <w:rFonts w:ascii="Tahoma" w:eastAsia="Calibri" w:hAnsi="Tahoma" w:cs="Tahoma"/>
                <w:sz w:val="19"/>
                <w:szCs w:val="19"/>
                <w:rtl/>
              </w:rPr>
              <w:t xml:space="preserve"> </w:t>
            </w:r>
            <w:r w:rsidRPr="00734173">
              <w:rPr>
                <w:rFonts w:ascii="Tahoma" w:eastAsia="Calibri" w:hAnsi="Tahoma" w:cs="Tahoma" w:hint="cs"/>
                <w:sz w:val="19"/>
                <w:szCs w:val="19"/>
                <w:rtl/>
              </w:rPr>
              <w:t>מעמיק</w:t>
            </w:r>
            <w:r w:rsidRPr="00734173">
              <w:rPr>
                <w:rFonts w:ascii="Tahoma" w:eastAsia="Calibri" w:hAnsi="Tahoma" w:cs="Tahoma"/>
                <w:sz w:val="19"/>
                <w:szCs w:val="19"/>
                <w:rtl/>
              </w:rPr>
              <w:t xml:space="preserve"> </w:t>
            </w:r>
            <w:r w:rsidRPr="00734173">
              <w:rPr>
                <w:rFonts w:ascii="Tahoma" w:eastAsia="Calibri" w:hAnsi="Tahoma" w:cs="Tahoma" w:hint="cs"/>
                <w:sz w:val="19"/>
                <w:szCs w:val="19"/>
                <w:rtl/>
              </w:rPr>
              <w:t xml:space="preserve">(באמצעות פיקוח עומק או בדרך אחרת) </w:t>
            </w:r>
            <w:r w:rsidRPr="00734173">
              <w:rPr>
                <w:rFonts w:ascii="Tahoma" w:eastAsia="Calibri" w:hAnsi="Tahoma" w:cs="Tahoma" w:hint="eastAsia"/>
                <w:sz w:val="19"/>
                <w:szCs w:val="19"/>
                <w:rtl/>
              </w:rPr>
              <w:t>לכל</w:t>
            </w:r>
            <w:r w:rsidRPr="00734173">
              <w:rPr>
                <w:rFonts w:ascii="Tahoma" w:eastAsia="Calibri" w:hAnsi="Tahoma" w:cs="Tahoma"/>
                <w:sz w:val="19"/>
                <w:szCs w:val="19"/>
                <w:rtl/>
              </w:rPr>
              <w:t xml:space="preserve"> </w:t>
            </w:r>
            <w:r w:rsidRPr="00734173">
              <w:rPr>
                <w:rFonts w:ascii="Tahoma" w:eastAsia="Calibri" w:hAnsi="Tahoma" w:cs="Tahoma" w:hint="eastAsia"/>
                <w:sz w:val="19"/>
                <w:szCs w:val="19"/>
                <w:rtl/>
              </w:rPr>
              <w:t>אחד</w:t>
            </w:r>
            <w:r w:rsidRPr="00734173">
              <w:rPr>
                <w:rFonts w:ascii="Tahoma" w:eastAsia="Calibri" w:hAnsi="Tahoma" w:cs="Tahoma"/>
                <w:sz w:val="19"/>
                <w:szCs w:val="19"/>
                <w:rtl/>
              </w:rPr>
              <w:t xml:space="preserve"> </w:t>
            </w:r>
            <w:r w:rsidRPr="00734173">
              <w:rPr>
                <w:rFonts w:ascii="Tahoma" w:eastAsia="Calibri" w:hAnsi="Tahoma" w:cs="Tahoma" w:hint="eastAsia"/>
                <w:sz w:val="19"/>
                <w:szCs w:val="19"/>
                <w:rtl/>
              </w:rPr>
              <w:t>ואחת</w:t>
            </w:r>
            <w:r w:rsidRPr="00734173">
              <w:rPr>
                <w:rFonts w:ascii="Tahoma" w:eastAsia="Calibri" w:hAnsi="Tahoma" w:cs="Tahoma"/>
                <w:sz w:val="19"/>
                <w:szCs w:val="19"/>
                <w:rtl/>
              </w:rPr>
              <w:t xml:space="preserve"> </w:t>
            </w:r>
            <w:r w:rsidRPr="00734173">
              <w:rPr>
                <w:rFonts w:ascii="Tahoma" w:eastAsia="Calibri" w:hAnsi="Tahoma" w:cs="Tahoma" w:hint="eastAsia"/>
                <w:sz w:val="19"/>
                <w:szCs w:val="19"/>
                <w:rtl/>
              </w:rPr>
              <w:t>מהסנגורים</w:t>
            </w:r>
            <w:r w:rsidRPr="00734173">
              <w:rPr>
                <w:rFonts w:ascii="Tahoma" w:eastAsia="Calibri" w:hAnsi="Tahoma" w:cs="Tahoma"/>
                <w:sz w:val="19"/>
                <w:szCs w:val="19"/>
                <w:rtl/>
              </w:rPr>
              <w:t xml:space="preserve"> </w:t>
            </w:r>
            <w:r w:rsidRPr="00734173">
              <w:rPr>
                <w:rFonts w:ascii="Tahoma" w:eastAsia="Calibri" w:hAnsi="Tahoma" w:cs="Tahoma" w:hint="eastAsia"/>
                <w:sz w:val="19"/>
                <w:szCs w:val="19"/>
                <w:rtl/>
              </w:rPr>
              <w:t>החיצוניים</w:t>
            </w:r>
            <w:r w:rsidRPr="00734173">
              <w:rPr>
                <w:rFonts w:ascii="Tahoma" w:eastAsia="Calibri" w:hAnsi="Tahoma" w:cs="Tahoma"/>
                <w:sz w:val="19"/>
                <w:szCs w:val="19"/>
                <w:rtl/>
              </w:rPr>
              <w:t xml:space="preserve"> </w:t>
            </w:r>
            <w:r w:rsidRPr="00734173">
              <w:rPr>
                <w:rFonts w:ascii="Tahoma" w:eastAsia="Calibri" w:hAnsi="Tahoma" w:cs="Tahoma" w:hint="eastAsia"/>
                <w:sz w:val="19"/>
                <w:szCs w:val="19"/>
                <w:rtl/>
              </w:rPr>
              <w:t>המועסקים</w:t>
            </w:r>
            <w:r w:rsidRPr="00734173">
              <w:rPr>
                <w:rFonts w:ascii="Tahoma" w:eastAsia="Calibri" w:hAnsi="Tahoma" w:cs="Tahoma"/>
                <w:sz w:val="19"/>
                <w:szCs w:val="19"/>
                <w:rtl/>
              </w:rPr>
              <w:t xml:space="preserve"> </w:t>
            </w:r>
            <w:r w:rsidRPr="00734173">
              <w:rPr>
                <w:rFonts w:ascii="Tahoma" w:eastAsia="Calibri" w:hAnsi="Tahoma" w:cs="Tahoma" w:hint="eastAsia"/>
                <w:sz w:val="19"/>
                <w:szCs w:val="19"/>
                <w:rtl/>
              </w:rPr>
              <w:t>על</w:t>
            </w:r>
            <w:r w:rsidRPr="00734173">
              <w:rPr>
                <w:rFonts w:ascii="Tahoma" w:eastAsia="Calibri" w:hAnsi="Tahoma" w:cs="Tahoma"/>
                <w:sz w:val="19"/>
                <w:szCs w:val="19"/>
                <w:rtl/>
              </w:rPr>
              <w:t xml:space="preserve"> </w:t>
            </w:r>
            <w:r w:rsidRPr="00734173">
              <w:rPr>
                <w:rFonts w:ascii="Tahoma" w:eastAsia="Calibri" w:hAnsi="Tahoma" w:cs="Tahoma" w:hint="eastAsia"/>
                <w:sz w:val="19"/>
                <w:szCs w:val="19"/>
                <w:rtl/>
              </w:rPr>
              <w:t>יד</w:t>
            </w:r>
            <w:r w:rsidRPr="00734173">
              <w:rPr>
                <w:rFonts w:ascii="Tahoma" w:eastAsia="Calibri" w:hAnsi="Tahoma" w:cs="Tahoma" w:hint="cs"/>
                <w:sz w:val="19"/>
                <w:szCs w:val="19"/>
                <w:rtl/>
              </w:rPr>
              <w:t xml:space="preserve">ה. כמו כן, מומלץ כי במסגרת פעילות הסנגוריה להטמעת דגם הפיקוח החדש במחוזות במהלך 2026, ייושמו </w:t>
            </w:r>
            <w:r w:rsidRPr="00734173">
              <w:rPr>
                <w:rFonts w:ascii="Tahoma" w:eastAsia="Calibri" w:hAnsi="Tahoma" w:cs="Tahoma" w:hint="eastAsia"/>
                <w:sz w:val="19"/>
                <w:szCs w:val="19"/>
                <w:rtl/>
              </w:rPr>
              <w:t>מדד</w:t>
            </w:r>
            <w:r w:rsidRPr="00734173">
              <w:rPr>
                <w:rFonts w:ascii="Tahoma" w:eastAsia="Calibri" w:hAnsi="Tahoma" w:cs="Tahoma" w:hint="cs"/>
                <w:sz w:val="19"/>
                <w:szCs w:val="19"/>
                <w:rtl/>
              </w:rPr>
              <w:t>ים</w:t>
            </w:r>
            <w:r w:rsidRPr="00734173">
              <w:rPr>
                <w:rFonts w:ascii="Tahoma" w:eastAsia="Calibri" w:hAnsi="Tahoma" w:cs="Tahoma"/>
                <w:sz w:val="19"/>
                <w:szCs w:val="19"/>
                <w:rtl/>
              </w:rPr>
              <w:t xml:space="preserve"> </w:t>
            </w:r>
            <w:r w:rsidRPr="00734173">
              <w:rPr>
                <w:rFonts w:ascii="Tahoma" w:eastAsia="Calibri" w:hAnsi="Tahoma" w:cs="Tahoma" w:hint="cs"/>
                <w:sz w:val="19"/>
                <w:szCs w:val="19"/>
                <w:rtl/>
              </w:rPr>
              <w:t xml:space="preserve">מהימנים ובני השוואה בין המחוזות </w:t>
            </w:r>
            <w:r w:rsidRPr="00734173">
              <w:rPr>
                <w:rFonts w:ascii="Tahoma" w:eastAsia="Calibri" w:hAnsi="Tahoma" w:cs="Tahoma" w:hint="eastAsia"/>
                <w:sz w:val="19"/>
                <w:szCs w:val="19"/>
                <w:rtl/>
              </w:rPr>
              <w:t>ל</w:t>
            </w:r>
            <w:r w:rsidRPr="00734173">
              <w:rPr>
                <w:rFonts w:ascii="Tahoma" w:eastAsia="Calibri" w:hAnsi="Tahoma" w:cs="Tahoma" w:hint="cs"/>
                <w:sz w:val="19"/>
                <w:szCs w:val="19"/>
                <w:rtl/>
              </w:rPr>
              <w:t xml:space="preserve">צורך </w:t>
            </w:r>
            <w:r w:rsidRPr="00734173">
              <w:rPr>
                <w:rFonts w:ascii="Tahoma" w:eastAsia="Calibri" w:hAnsi="Tahoma" w:cs="Tahoma" w:hint="eastAsia"/>
                <w:sz w:val="19"/>
                <w:szCs w:val="19"/>
                <w:rtl/>
              </w:rPr>
              <w:t>הערכת</w:t>
            </w:r>
            <w:r w:rsidRPr="00734173">
              <w:rPr>
                <w:rFonts w:ascii="Tahoma" w:eastAsia="Calibri" w:hAnsi="Tahoma" w:cs="Tahoma"/>
                <w:sz w:val="19"/>
                <w:szCs w:val="19"/>
                <w:rtl/>
              </w:rPr>
              <w:t xml:space="preserve"> </w:t>
            </w:r>
            <w:r w:rsidRPr="00734173">
              <w:rPr>
                <w:rFonts w:ascii="Tahoma" w:eastAsia="Calibri" w:hAnsi="Tahoma" w:cs="Tahoma" w:hint="eastAsia"/>
                <w:sz w:val="19"/>
                <w:szCs w:val="19"/>
                <w:rtl/>
              </w:rPr>
              <w:t>הביצועים</w:t>
            </w:r>
            <w:r w:rsidRPr="00734173">
              <w:rPr>
                <w:rFonts w:ascii="Tahoma" w:eastAsia="Calibri" w:hAnsi="Tahoma" w:cs="Tahoma"/>
                <w:sz w:val="19"/>
                <w:szCs w:val="19"/>
                <w:rtl/>
              </w:rPr>
              <w:t xml:space="preserve"> </w:t>
            </w:r>
            <w:r w:rsidRPr="00734173">
              <w:rPr>
                <w:rFonts w:ascii="Tahoma" w:eastAsia="Calibri" w:hAnsi="Tahoma" w:cs="Tahoma" w:hint="eastAsia"/>
                <w:sz w:val="19"/>
                <w:szCs w:val="19"/>
                <w:rtl/>
              </w:rPr>
              <w:t>של</w:t>
            </w:r>
            <w:r w:rsidRPr="00734173">
              <w:rPr>
                <w:rFonts w:ascii="Tahoma" w:eastAsia="Calibri" w:hAnsi="Tahoma" w:cs="Tahoma"/>
                <w:sz w:val="19"/>
                <w:szCs w:val="19"/>
                <w:rtl/>
              </w:rPr>
              <w:t xml:space="preserve"> </w:t>
            </w:r>
            <w:r w:rsidRPr="00734173">
              <w:rPr>
                <w:rFonts w:ascii="Tahoma" w:eastAsia="Calibri" w:hAnsi="Tahoma" w:cs="Tahoma" w:hint="eastAsia"/>
                <w:sz w:val="19"/>
                <w:szCs w:val="19"/>
                <w:rtl/>
              </w:rPr>
              <w:t>הסנגורים</w:t>
            </w:r>
            <w:r w:rsidRPr="00734173">
              <w:rPr>
                <w:rFonts w:ascii="Tahoma" w:eastAsia="Calibri" w:hAnsi="Tahoma" w:cs="Tahoma"/>
                <w:sz w:val="19"/>
                <w:szCs w:val="19"/>
                <w:rtl/>
              </w:rPr>
              <w:t xml:space="preserve"> </w:t>
            </w:r>
            <w:r w:rsidRPr="00734173">
              <w:rPr>
                <w:rFonts w:ascii="Tahoma" w:eastAsia="Calibri" w:hAnsi="Tahoma" w:cs="Tahoma" w:hint="eastAsia"/>
                <w:sz w:val="19"/>
                <w:szCs w:val="19"/>
                <w:rtl/>
              </w:rPr>
              <w:t>החיצוניים</w:t>
            </w:r>
            <w:r w:rsidRPr="00734173">
              <w:rPr>
                <w:rFonts w:ascii="Tahoma" w:eastAsia="Calibri" w:hAnsi="Tahoma" w:cs="Tahoma"/>
                <w:sz w:val="19"/>
                <w:szCs w:val="19"/>
                <w:rtl/>
              </w:rPr>
              <w:t xml:space="preserve"> </w:t>
            </w:r>
            <w:r w:rsidRPr="00734173">
              <w:rPr>
                <w:rFonts w:ascii="Tahoma" w:eastAsia="Calibri" w:hAnsi="Tahoma" w:cs="Tahoma" w:hint="eastAsia"/>
                <w:sz w:val="19"/>
                <w:szCs w:val="19"/>
                <w:rtl/>
              </w:rPr>
              <w:t>במסגרת</w:t>
            </w:r>
            <w:r w:rsidRPr="00734173">
              <w:rPr>
                <w:rFonts w:ascii="Tahoma" w:eastAsia="Calibri" w:hAnsi="Tahoma" w:cs="Tahoma"/>
                <w:sz w:val="19"/>
                <w:szCs w:val="19"/>
                <w:rtl/>
              </w:rPr>
              <w:t xml:space="preserve"> </w:t>
            </w:r>
            <w:r w:rsidRPr="00734173">
              <w:rPr>
                <w:rFonts w:ascii="Tahoma" w:eastAsia="Calibri" w:hAnsi="Tahoma" w:cs="Tahoma" w:hint="eastAsia"/>
                <w:sz w:val="19"/>
                <w:szCs w:val="19"/>
                <w:rtl/>
              </w:rPr>
              <w:t>פיקוח</w:t>
            </w:r>
            <w:r w:rsidRPr="00734173">
              <w:rPr>
                <w:rFonts w:ascii="Tahoma" w:eastAsia="Calibri" w:hAnsi="Tahoma" w:cs="Tahoma"/>
                <w:sz w:val="19"/>
                <w:szCs w:val="19"/>
                <w:rtl/>
              </w:rPr>
              <w:t xml:space="preserve"> </w:t>
            </w:r>
            <w:r w:rsidRPr="00734173">
              <w:rPr>
                <w:rFonts w:ascii="Tahoma" w:eastAsia="Calibri" w:hAnsi="Tahoma" w:cs="Tahoma" w:hint="eastAsia"/>
                <w:sz w:val="19"/>
                <w:szCs w:val="19"/>
                <w:rtl/>
              </w:rPr>
              <w:t>ה</w:t>
            </w:r>
            <w:r w:rsidRPr="00734173">
              <w:rPr>
                <w:rFonts w:ascii="Tahoma" w:eastAsia="Calibri" w:hAnsi="Tahoma" w:cs="Tahoma" w:hint="cs"/>
                <w:sz w:val="19"/>
                <w:szCs w:val="19"/>
                <w:rtl/>
              </w:rPr>
              <w:t>עומק, כל זאת, לצורך שיפור ממוצע הציונים של הסנגורים החיצוניים במחוזות השונים.</w:t>
            </w:r>
            <w:r w:rsidRPr="00734173">
              <w:rPr>
                <w:rFonts w:eastAsia="Calibri" w:cs="David"/>
                <w:sz w:val="20"/>
                <w:rtl/>
              </w:rPr>
              <w:t xml:space="preserve"> </w:t>
            </w:r>
          </w:p>
          <w:p w:rsidR="00934B18" w:rsidP="00934B18">
            <w:pPr>
              <w:spacing w:after="160" w:line="288" w:lineRule="auto"/>
              <w:ind w:left="608" w:right="316"/>
              <w:jc w:val="both"/>
              <w:rPr>
                <w:rFonts w:ascii="Tahoma" w:eastAsia="Calibri" w:hAnsi="Tahoma" w:cs="Tahoma"/>
                <w:sz w:val="19"/>
                <w:szCs w:val="19"/>
              </w:rPr>
            </w:pPr>
          </w:p>
          <w:p w:rsidR="00734173" w:rsidRPr="00734173" w:rsidP="00934B18">
            <w:pPr>
              <w:numPr>
                <w:ilvl w:val="0"/>
                <w:numId w:val="15"/>
              </w:numPr>
              <w:spacing w:after="360" w:line="288" w:lineRule="auto"/>
              <w:ind w:left="608" w:right="316" w:hanging="502"/>
              <w:jc w:val="both"/>
              <w:rPr>
                <w:rFonts w:ascii="Tahoma" w:eastAsia="Calibri" w:hAnsi="Tahoma" w:cs="Tahoma"/>
                <w:sz w:val="19"/>
                <w:szCs w:val="19"/>
              </w:rPr>
            </w:pPr>
            <w:r w:rsidRPr="00734173">
              <w:rPr>
                <w:rFonts w:ascii="Tahoma" w:eastAsia="Calibri" w:hAnsi="Tahoma" w:cs="Tahoma" w:hint="cs"/>
                <w:sz w:val="19"/>
                <w:szCs w:val="19"/>
                <w:rtl/>
              </w:rPr>
              <w:t>מומלץ כי</w:t>
            </w:r>
            <w:r w:rsidRPr="00734173">
              <w:rPr>
                <w:rFonts w:ascii="Tahoma" w:eastAsia="Calibri" w:hAnsi="Tahoma" w:cs="Tahoma"/>
                <w:sz w:val="19"/>
                <w:szCs w:val="19"/>
                <w:rtl/>
              </w:rPr>
              <w:t xml:space="preserve"> תוצרי הפיקוח</w:t>
            </w:r>
            <w:r w:rsidRPr="00734173">
              <w:rPr>
                <w:rFonts w:ascii="Tahoma" w:eastAsia="Calibri" w:hAnsi="Tahoma" w:cs="Tahoma" w:hint="cs"/>
                <w:sz w:val="19"/>
                <w:szCs w:val="19"/>
                <w:rtl/>
              </w:rPr>
              <w:t xml:space="preserve"> השוטף והמעמיק</w:t>
            </w:r>
            <w:r w:rsidRPr="00734173">
              <w:rPr>
                <w:rFonts w:ascii="Tahoma" w:eastAsia="Calibri" w:hAnsi="Tahoma" w:cs="Tahoma"/>
                <w:sz w:val="19"/>
                <w:szCs w:val="19"/>
                <w:rtl/>
              </w:rPr>
              <w:t xml:space="preserve"> </w:t>
            </w:r>
            <w:r w:rsidRPr="00734173">
              <w:rPr>
                <w:rFonts w:ascii="Tahoma" w:eastAsia="Calibri" w:hAnsi="Tahoma" w:cs="Tahoma" w:hint="cs"/>
                <w:sz w:val="19"/>
                <w:szCs w:val="19"/>
                <w:rtl/>
              </w:rPr>
              <w:t xml:space="preserve">יוטמעו </w:t>
            </w:r>
            <w:r w:rsidRPr="00734173">
              <w:rPr>
                <w:rFonts w:ascii="Tahoma" w:eastAsia="Calibri" w:hAnsi="Tahoma" w:cs="Tahoma"/>
                <w:sz w:val="19"/>
                <w:szCs w:val="19"/>
                <w:rtl/>
              </w:rPr>
              <w:t>באופן מובנה בתהליך המינוי של הסנגורים החיצוניים</w:t>
            </w:r>
            <w:r w:rsidRPr="00734173">
              <w:rPr>
                <w:rFonts w:ascii="Tahoma" w:eastAsia="Calibri" w:hAnsi="Tahoma" w:cs="Tahoma" w:hint="cs"/>
                <w:sz w:val="19"/>
                <w:szCs w:val="19"/>
                <w:rtl/>
              </w:rPr>
              <w:t xml:space="preserve">, ואף ישמשו בסיס מקצועי, במקרים המתאימים, למינויו של סנגור </w:t>
            </w:r>
            <w:r w:rsidRPr="00734173">
              <w:rPr>
                <w:rFonts w:ascii="Tahoma" w:eastAsia="Calibri" w:hAnsi="Tahoma" w:cs="Tahoma"/>
                <w:sz w:val="19"/>
                <w:szCs w:val="19"/>
                <w:rtl/>
              </w:rPr>
              <w:t>לייצוג דווקא בתיקים מסוימים ועד כדי הפסקת ייצוג</w:t>
            </w:r>
            <w:r w:rsidRPr="00734173">
              <w:rPr>
                <w:rFonts w:ascii="Tahoma" w:eastAsia="Calibri" w:hAnsi="Tahoma" w:cs="Tahoma" w:hint="cs"/>
                <w:sz w:val="19"/>
                <w:szCs w:val="19"/>
                <w:rtl/>
              </w:rPr>
              <w:t xml:space="preserve">. לצד זאת, מומלץ כי הסנגוריה תפעל להידוק הקשר בין הרפרנטים ובין הסנגורים החיצוניים כדי שיהיה בידה מידע רב ככל הניתן לצורך קבלת ההחלטות האמורות. </w:t>
            </w:r>
          </w:p>
          <w:p w:rsidR="00734173" w:rsidRPr="00734173" w:rsidP="00934B18">
            <w:pPr>
              <w:numPr>
                <w:ilvl w:val="0"/>
                <w:numId w:val="15"/>
              </w:numPr>
              <w:spacing w:after="360" w:line="288" w:lineRule="auto"/>
              <w:ind w:left="608" w:right="316" w:hanging="502"/>
              <w:jc w:val="both"/>
              <w:rPr>
                <w:rFonts w:ascii="Tahoma" w:eastAsia="Calibri" w:hAnsi="Tahoma" w:cs="Tahoma"/>
                <w:sz w:val="19"/>
                <w:szCs w:val="19"/>
              </w:rPr>
            </w:pPr>
            <w:r w:rsidRPr="00734173">
              <w:rPr>
                <w:rFonts w:ascii="Tahoma" w:eastAsia="Calibri" w:hAnsi="Tahoma" w:cs="Tahoma" w:hint="cs"/>
                <w:sz w:val="19"/>
                <w:szCs w:val="19"/>
                <w:rtl/>
              </w:rPr>
              <w:t xml:space="preserve">על </w:t>
            </w:r>
            <w:r w:rsidRPr="00734173">
              <w:rPr>
                <w:rFonts w:ascii="Tahoma" w:eastAsia="Calibri" w:hAnsi="Tahoma" w:cs="Tahoma"/>
                <w:sz w:val="19"/>
                <w:szCs w:val="19"/>
                <w:rtl/>
              </w:rPr>
              <w:t xml:space="preserve">הסנגוריה </w:t>
            </w:r>
            <w:r w:rsidRPr="00734173">
              <w:rPr>
                <w:rFonts w:ascii="Tahoma" w:eastAsia="Calibri" w:hAnsi="Tahoma" w:cs="Tahoma" w:hint="cs"/>
                <w:sz w:val="19"/>
                <w:szCs w:val="19"/>
                <w:rtl/>
              </w:rPr>
              <w:t>ל</w:t>
            </w:r>
            <w:r w:rsidRPr="00734173">
              <w:rPr>
                <w:rFonts w:ascii="Tahoma" w:eastAsia="Calibri" w:hAnsi="Tahoma" w:cs="Tahoma"/>
                <w:sz w:val="19"/>
                <w:szCs w:val="19"/>
                <w:rtl/>
              </w:rPr>
              <w:t xml:space="preserve">נהל רישום </w:t>
            </w:r>
            <w:r w:rsidRPr="00734173">
              <w:rPr>
                <w:rFonts w:ascii="Tahoma" w:eastAsia="Calibri" w:hAnsi="Tahoma" w:cs="Tahoma" w:hint="cs"/>
                <w:sz w:val="19"/>
                <w:szCs w:val="19"/>
                <w:rtl/>
              </w:rPr>
              <w:t xml:space="preserve">ממוחשב מפורט </w:t>
            </w:r>
            <w:r w:rsidRPr="00734173">
              <w:rPr>
                <w:rFonts w:ascii="Tahoma" w:eastAsia="Calibri" w:hAnsi="Tahoma" w:cs="Tahoma"/>
                <w:sz w:val="19"/>
                <w:szCs w:val="19"/>
                <w:rtl/>
              </w:rPr>
              <w:t xml:space="preserve">המתעד את התלונות שהתקבלו מהלקוחות </w:t>
            </w:r>
            <w:r w:rsidRPr="00734173">
              <w:rPr>
                <w:rFonts w:ascii="Tahoma" w:eastAsia="Calibri" w:hAnsi="Tahoma" w:cs="Tahoma" w:hint="cs"/>
                <w:sz w:val="19"/>
                <w:szCs w:val="19"/>
                <w:rtl/>
              </w:rPr>
              <w:t xml:space="preserve">ומיתר הגורמים הבאים במגע עם הסנגורים הציבוריים, </w:t>
            </w:r>
            <w:r w:rsidRPr="00734173">
              <w:rPr>
                <w:rFonts w:ascii="Tahoma" w:eastAsia="Calibri" w:hAnsi="Tahoma" w:cs="Tahoma"/>
                <w:sz w:val="19"/>
                <w:szCs w:val="19"/>
                <w:rtl/>
              </w:rPr>
              <w:t xml:space="preserve">על </w:t>
            </w:r>
            <w:r w:rsidRPr="00734173">
              <w:rPr>
                <w:rFonts w:ascii="Tahoma" w:eastAsia="Calibri" w:hAnsi="Tahoma" w:cs="Tahoma" w:hint="cs"/>
                <w:sz w:val="19"/>
                <w:szCs w:val="19"/>
                <w:rtl/>
              </w:rPr>
              <w:t>תפקוד</w:t>
            </w:r>
            <w:r w:rsidRPr="00734173">
              <w:rPr>
                <w:rFonts w:ascii="Tahoma" w:eastAsia="Calibri" w:hAnsi="Tahoma" w:cs="Tahoma"/>
                <w:sz w:val="19"/>
                <w:szCs w:val="19"/>
                <w:rtl/>
              </w:rPr>
              <w:t xml:space="preserve"> הסנגורים</w:t>
            </w:r>
            <w:r w:rsidRPr="00734173">
              <w:rPr>
                <w:rFonts w:ascii="Tahoma" w:eastAsia="Calibri" w:hAnsi="Tahoma" w:cs="Tahoma" w:hint="cs"/>
                <w:sz w:val="19"/>
                <w:szCs w:val="19"/>
                <w:rtl/>
              </w:rPr>
              <w:t xml:space="preserve"> הציבוריים</w:t>
            </w:r>
            <w:r w:rsidRPr="00734173">
              <w:rPr>
                <w:rFonts w:ascii="Tahoma" w:eastAsia="Calibri" w:hAnsi="Tahoma" w:cs="Tahoma"/>
                <w:sz w:val="19"/>
                <w:szCs w:val="19"/>
                <w:rtl/>
              </w:rPr>
              <w:t xml:space="preserve"> ועל התנהגותם במהלך הייצוג בתיקים</w:t>
            </w:r>
            <w:r w:rsidRPr="00734173">
              <w:rPr>
                <w:rFonts w:ascii="Tahoma" w:eastAsia="Calibri" w:hAnsi="Tahoma" w:cs="Tahoma" w:hint="cs"/>
                <w:sz w:val="19"/>
                <w:szCs w:val="19"/>
                <w:rtl/>
              </w:rPr>
              <w:t xml:space="preserve">, ועל אופן הטיפול בהן, כך שיתאפשר לקבל תמונה כוללת ופרטנית </w:t>
            </w:r>
            <w:r w:rsidRPr="00734173">
              <w:rPr>
                <w:rFonts w:ascii="Tahoma" w:eastAsia="Calibri" w:hAnsi="Tahoma" w:cs="Tahoma"/>
                <w:sz w:val="19"/>
                <w:szCs w:val="19"/>
                <w:rtl/>
              </w:rPr>
              <w:t xml:space="preserve">לאורך זמן או יאפשר את אחזורן. </w:t>
            </w:r>
            <w:r w:rsidRPr="00734173">
              <w:rPr>
                <w:rFonts w:ascii="Tahoma" w:eastAsia="Calibri" w:hAnsi="Tahoma" w:cs="Tahoma" w:hint="cs"/>
                <w:sz w:val="19"/>
                <w:szCs w:val="19"/>
                <w:rtl/>
              </w:rPr>
              <w:t xml:space="preserve">כמו כן, מוצע לוודא כי אם הדבר יידרש, יוסקו מסקנות רוחביות מתלונות חוזרות, והנושאים העולים בהן יטופלו באופן שיביא לטיוב עבודת הסנגורים הציבוריים. </w:t>
            </w:r>
            <w:r w:rsidRPr="00734173">
              <w:rPr>
                <w:rFonts w:ascii="Tahoma" w:eastAsia="Calibri" w:hAnsi="Tahoma" w:cs="Tahoma"/>
                <w:sz w:val="19"/>
                <w:szCs w:val="19"/>
                <w:rtl/>
              </w:rPr>
              <w:t>לצד זאת, מומלץ שהסנגוריה תבנה הליכי משוב יזומים וסדורים מלקוחותיה, שממצאיהם יוכלו אף הם לשמש אותה להעשרת המידע על אופן תפקודם של הסנגורים.</w:t>
            </w:r>
          </w:p>
          <w:p w:rsidR="00734173" w:rsidRPr="00734173" w:rsidP="00934B18">
            <w:pPr>
              <w:numPr>
                <w:ilvl w:val="0"/>
                <w:numId w:val="15"/>
              </w:numPr>
              <w:spacing w:after="360" w:line="288" w:lineRule="auto"/>
              <w:ind w:left="608" w:right="316" w:hanging="502"/>
              <w:jc w:val="both"/>
              <w:rPr>
                <w:rFonts w:ascii="Tahoma" w:eastAsia="Calibri" w:hAnsi="Tahoma" w:cs="Tahoma"/>
                <w:sz w:val="19"/>
                <w:szCs w:val="19"/>
              </w:rPr>
            </w:pPr>
            <w:r w:rsidRPr="00734173">
              <w:rPr>
                <w:rFonts w:ascii="Tahoma" w:eastAsia="Calibri" w:hAnsi="Tahoma" w:cs="Tahoma" w:hint="cs"/>
                <w:sz w:val="19"/>
                <w:szCs w:val="19"/>
                <w:rtl/>
              </w:rPr>
              <w:t>מומלץ כי משרד המשפטים והסנגוריה הציבורית, בשיתוף עם משרד האוצר, יחזרו ויבחנו את השכר המשולם לסנגורים החיצוניים, גם למול המלצות חברת ייעוץ ארגוני שהוגשו לסנגוריה בשנת 2024 ולדגם הפיקוח החדש שהציגה הסנגוריה בפברואר 2026. זאת, כדי לחתור לתגמול הסנגורים החיצוניים באופן ההולם את היקף העבודה שהם נדרשים להשקיע בכל תיק ותיק, וכפי שמקובל בהתקשרויות של גופים ציבוריים שונים בישראל עם עורכי דין במיקור חוץ.</w:t>
            </w:r>
          </w:p>
          <w:p w:rsidR="00734173" w:rsidRPr="00734173" w:rsidP="00934B18">
            <w:pPr>
              <w:numPr>
                <w:ilvl w:val="0"/>
                <w:numId w:val="15"/>
              </w:numPr>
              <w:spacing w:after="360" w:line="288" w:lineRule="auto"/>
              <w:ind w:left="608" w:right="316" w:hanging="502"/>
              <w:jc w:val="both"/>
              <w:rPr>
                <w:rFonts w:ascii="Tahoma" w:eastAsia="Calibri" w:hAnsi="Tahoma" w:cs="Tahoma"/>
                <w:sz w:val="19"/>
                <w:szCs w:val="19"/>
              </w:rPr>
            </w:pPr>
            <w:r w:rsidRPr="00734173">
              <w:rPr>
                <w:rFonts w:ascii="Tahoma" w:eastAsia="Calibri" w:hAnsi="Tahoma" w:cs="Tahoma" w:hint="cs"/>
                <w:sz w:val="19"/>
                <w:szCs w:val="19"/>
                <w:rtl/>
              </w:rPr>
              <w:t>מומלץ כי בד בבד עם בחינת האפשרות לשלם שכר טרחה הכולל תגמול עבור פגישות עם לקוחות, הסנגוריה תפעל באמצעים הניהוליים העומדים לרשותה לחיזוק הבקרה הנוגעת לשיטת תשלום זו כדי להבטיח כי הדיווחים ודרישות התשלום משקפים את הצרכים המקצועיים הנדרשים לטיפול בתיק ואת ניהולו באופן יעיל ותקין. במסגרת חיזוק הבקרות מומלץ</w:t>
            </w:r>
            <w:r w:rsidRPr="00734173">
              <w:rPr>
                <w:rFonts w:ascii="Tahoma" w:eastAsia="Calibri" w:hAnsi="Tahoma" w:cs="Tahoma" w:hint="cs"/>
                <w:sz w:val="19"/>
                <w:szCs w:val="19"/>
                <w:rtl/>
              </w:rPr>
              <w:t xml:space="preserve"> </w:t>
            </w:r>
            <w:r w:rsidRPr="00734173">
              <w:rPr>
                <w:rFonts w:ascii="Tahoma" w:eastAsia="Calibri" w:hAnsi="Tahoma" w:cs="Tahoma" w:hint="cs"/>
                <w:sz w:val="19"/>
                <w:szCs w:val="19"/>
                <w:rtl/>
              </w:rPr>
              <w:t xml:space="preserve">לתת את הדעת לצורך למנוע תגמול מסנגורים חיצוניים בגין השתתפות שלא לצורך בדיוני סרק (דיונים שאינם מקדמים את צורכי לקוחותיהם), ובפרט דיונים שמתקיימים בו זמנית בתיקים שונים. </w:t>
            </w:r>
          </w:p>
          <w:p w:rsidR="00734173" w:rsidRPr="00734173" w:rsidP="00934B18">
            <w:pPr>
              <w:numPr>
                <w:ilvl w:val="0"/>
                <w:numId w:val="15"/>
              </w:numPr>
              <w:spacing w:after="360" w:line="288" w:lineRule="auto"/>
              <w:ind w:left="608" w:right="316" w:hanging="502"/>
              <w:jc w:val="both"/>
              <w:rPr>
                <w:rFonts w:ascii="Tahoma" w:eastAsia="Calibri" w:hAnsi="Tahoma" w:cs="Tahoma"/>
                <w:sz w:val="19"/>
                <w:szCs w:val="19"/>
              </w:rPr>
            </w:pPr>
            <w:r w:rsidRPr="00734173">
              <w:rPr>
                <w:rFonts w:ascii="Tahoma" w:eastAsia="Calibri" w:hAnsi="Tahoma" w:cs="Tahoma" w:hint="cs"/>
                <w:sz w:val="19"/>
                <w:szCs w:val="19"/>
                <w:rtl/>
              </w:rPr>
              <w:t xml:space="preserve">מומלץ </w:t>
            </w:r>
            <w:r w:rsidRPr="00734173">
              <w:rPr>
                <w:rFonts w:ascii="Tahoma" w:eastAsia="Calibri" w:hAnsi="Tahoma" w:cs="Tahoma"/>
                <w:sz w:val="19"/>
                <w:szCs w:val="19"/>
                <w:rtl/>
              </w:rPr>
              <w:t xml:space="preserve">כי הסנגוריה הציבורית ואגף מערכות מידע במשרד המשפטים ימשיכו לקדם את פיתוח אלגוריתם </w:t>
            </w:r>
            <w:r w:rsidRPr="00734173">
              <w:rPr>
                <w:rFonts w:ascii="Tahoma" w:eastAsia="Calibri" w:hAnsi="Tahoma" w:cs="Tahoma"/>
                <w:sz w:val="19"/>
                <w:szCs w:val="19"/>
              </w:rPr>
              <w:t>AI</w:t>
            </w:r>
            <w:r w:rsidRPr="00734173">
              <w:rPr>
                <w:rFonts w:ascii="Tahoma" w:eastAsia="Calibri" w:hAnsi="Tahoma" w:cs="Tahoma"/>
                <w:sz w:val="19"/>
                <w:szCs w:val="19"/>
                <w:rtl/>
              </w:rPr>
              <w:t xml:space="preserve"> לבדיקת דרישות שכר טרחה, שבאפשרותו לייעל ולדייק את עבודת</w:t>
            </w:r>
            <w:r w:rsidRPr="00734173">
              <w:rPr>
                <w:rFonts w:ascii="Tahoma" w:eastAsia="Calibri" w:hAnsi="Tahoma" w:cs="Tahoma" w:hint="cs"/>
                <w:sz w:val="19"/>
                <w:szCs w:val="19"/>
                <w:rtl/>
              </w:rPr>
              <w:t xml:space="preserve">ה, ויקדמו את </w:t>
            </w:r>
            <w:r w:rsidRPr="00734173">
              <w:rPr>
                <w:rFonts w:ascii="Tahoma" w:eastAsia="Calibri" w:hAnsi="Tahoma" w:cs="Tahoma"/>
                <w:sz w:val="19"/>
                <w:szCs w:val="19"/>
                <w:rtl/>
              </w:rPr>
              <w:t xml:space="preserve">הטמעתו במערכת </w:t>
            </w:r>
            <w:r w:rsidRPr="00734173">
              <w:rPr>
                <w:rFonts w:ascii="Tahoma" w:eastAsia="Calibri" w:hAnsi="Tahoma" w:cs="Tahoma" w:hint="eastAsia"/>
                <w:sz w:val="19"/>
                <w:szCs w:val="19"/>
                <w:rtl/>
              </w:rPr>
              <w:t>דיפנדר</w:t>
            </w:r>
            <w:r w:rsidRPr="00734173">
              <w:rPr>
                <w:rFonts w:ascii="Tahoma" w:eastAsia="Calibri" w:hAnsi="Tahoma" w:cs="Tahoma"/>
                <w:sz w:val="19"/>
                <w:szCs w:val="19"/>
                <w:rtl/>
              </w:rPr>
              <w:t>.</w:t>
            </w:r>
          </w:p>
          <w:p w:rsidR="00734173" w:rsidRPr="00734173" w:rsidP="006E08A5">
            <w:pPr>
              <w:numPr>
                <w:ilvl w:val="0"/>
                <w:numId w:val="15"/>
              </w:numPr>
              <w:spacing w:after="360" w:line="288" w:lineRule="auto"/>
              <w:ind w:left="608" w:right="316" w:hanging="502"/>
              <w:jc w:val="both"/>
              <w:rPr>
                <w:rFonts w:ascii="Tahoma" w:eastAsia="Calibri" w:hAnsi="Tahoma" w:cs="Tahoma"/>
                <w:sz w:val="19"/>
                <w:szCs w:val="19"/>
                <w:rtl/>
              </w:rPr>
            </w:pPr>
            <w:r w:rsidRPr="00734173">
              <w:rPr>
                <w:rFonts w:ascii="Tahoma" w:eastAsia="Calibri" w:hAnsi="Tahoma" w:cs="Tahoma" w:hint="cs"/>
                <w:sz w:val="19"/>
                <w:szCs w:val="19"/>
                <w:rtl/>
              </w:rPr>
              <w:t xml:space="preserve">על הסנגוריה לבחון את היקף הרשאות הגישה למידע הנדרש </w:t>
            </w:r>
            <w:r w:rsidRPr="00734173">
              <w:rPr>
                <w:rFonts w:ascii="Tahoma" w:eastAsia="Calibri" w:hAnsi="Tahoma" w:cs="Tahoma" w:hint="eastAsia"/>
                <w:sz w:val="19"/>
                <w:szCs w:val="19"/>
                <w:rtl/>
              </w:rPr>
              <w:t>לעובדיה</w:t>
            </w:r>
            <w:r w:rsidRPr="00734173">
              <w:rPr>
                <w:rFonts w:ascii="Tahoma" w:eastAsia="Calibri" w:hAnsi="Tahoma" w:cs="Tahoma" w:hint="cs"/>
                <w:sz w:val="19"/>
                <w:szCs w:val="19"/>
                <w:rtl/>
              </w:rPr>
              <w:t xml:space="preserve">, ובפרט עובדי המוקד הטלפוני, על פי הגדרת התפקיד של כל עובד ולפי המחוז שבו הוא מועסק. עליה להקפיד על מידור של המידע על לקוחותיה במערכת דיפנדר, כך שלכל עובד תהיה הרשאה רק למידע הנחוץ לו לצורך מילוי תפקידו. בכלל זה, על הסנגוריה לבחון את האיזון בין צורכי התפקיד לבין הצורך בשמירה על פרטיותם של לקוחותיה לצד החובה לעמוד בדרישות הדין, והכול כדי לצמצם את הסיכון לזליגת מידע או לשימוש לא הולם בו. </w:t>
            </w:r>
          </w:p>
          <w:p w:rsidR="00734173" w:rsidRPr="00734173" w:rsidP="006E08A5">
            <w:pPr>
              <w:numPr>
                <w:ilvl w:val="0"/>
                <w:numId w:val="15"/>
              </w:numPr>
              <w:spacing w:after="360" w:line="288" w:lineRule="auto"/>
              <w:ind w:left="608" w:right="316" w:hanging="502"/>
              <w:jc w:val="both"/>
              <w:rPr>
                <w:rFonts w:ascii="Tahoma" w:eastAsia="Calibri" w:hAnsi="Tahoma" w:cs="Tahoma"/>
                <w:sz w:val="19"/>
                <w:szCs w:val="19"/>
              </w:rPr>
            </w:pPr>
            <w:r w:rsidRPr="00734173">
              <w:rPr>
                <w:rFonts w:ascii="Tahoma" w:eastAsia="Calibri" w:hAnsi="Tahoma" w:cs="Tahoma" w:hint="cs"/>
                <w:sz w:val="19"/>
                <w:szCs w:val="19"/>
                <w:rtl/>
              </w:rPr>
              <w:t xml:space="preserve">על הסנגוריה הציבורית להקפיד לבטל את כלל ההרשאות שניתנו לעובדים שעזבו את הארגון בסמוך למועד עזיבתם. </w:t>
            </w:r>
          </w:p>
          <w:p w:rsidR="00734173" w:rsidRPr="00734173" w:rsidP="006E08A5">
            <w:pPr>
              <w:numPr>
                <w:ilvl w:val="0"/>
                <w:numId w:val="15"/>
              </w:numPr>
              <w:spacing w:after="360" w:line="288" w:lineRule="auto"/>
              <w:ind w:left="608" w:right="316" w:hanging="502"/>
              <w:jc w:val="both"/>
              <w:rPr>
                <w:rFonts w:eastAsia="Calibri" w:cs="David"/>
                <w:sz w:val="20"/>
                <w:rtl/>
              </w:rPr>
            </w:pPr>
            <w:r w:rsidRPr="00734173">
              <w:rPr>
                <w:rFonts w:ascii="Tahoma" w:eastAsia="Calibri" w:hAnsi="Tahoma" w:cs="Tahoma" w:hint="cs"/>
                <w:sz w:val="19"/>
                <w:szCs w:val="19"/>
                <w:rtl/>
              </w:rPr>
              <w:t xml:space="preserve">על הסנגוריה הציבורית ועל משרד המשפטים לבצע בקרות שגרתיות על הגישה למידע של משתמשי מערכת </w:t>
            </w:r>
            <w:r w:rsidRPr="00734173">
              <w:rPr>
                <w:rFonts w:ascii="Tahoma" w:eastAsia="Calibri" w:hAnsi="Tahoma" w:cs="Tahoma" w:hint="eastAsia"/>
                <w:sz w:val="19"/>
                <w:szCs w:val="19"/>
                <w:rtl/>
              </w:rPr>
              <w:t>דיפנדר</w:t>
            </w:r>
            <w:r w:rsidRPr="00734173">
              <w:rPr>
                <w:rFonts w:ascii="Tahoma" w:eastAsia="Calibri" w:hAnsi="Tahoma" w:cs="Tahoma" w:hint="cs"/>
                <w:sz w:val="19"/>
                <w:szCs w:val="19"/>
                <w:rtl/>
              </w:rPr>
              <w:t xml:space="preserve">, כדי להבטיח כי המשתמשים במערכת ניגשים אך ורק למידע הנחוץ להם לצורכי עבודתם. </w:t>
            </w:r>
          </w:p>
        </w:tc>
      </w:tr>
    </w:tbl>
    <w:p w:rsidR="00734173" w:rsidRPr="00734173" w:rsidP="00734173">
      <w:pPr>
        <w:bidi w:val="0"/>
        <w:spacing w:after="200" w:line="276" w:lineRule="auto"/>
        <w:rPr>
          <w:rFonts w:eastAsia="Calibri"/>
          <w:rtl/>
        </w:rPr>
      </w:pPr>
      <w:r>
        <w:rPr>
          <w:rFonts w:eastAsia="Calibri"/>
          <w:rtl/>
        </w:rPr>
        <w:br w:type="page"/>
      </w:r>
    </w:p>
    <w:p w:rsidR="00734173" w:rsidRPr="00734173" w:rsidP="00680568">
      <w:pPr>
        <w:spacing w:before="200" w:line="288" w:lineRule="auto"/>
        <w:ind w:left="-711"/>
        <w:jc w:val="left"/>
        <w:rPr>
          <w:rFonts w:ascii="Tahoma" w:eastAsia="Calibri" w:hAnsi="Tahoma" w:cs="Tahoma"/>
          <w:b/>
          <w:bCs/>
          <w:noProof/>
          <w:color w:val="FFFFFF"/>
          <w:sz w:val="22"/>
          <w:szCs w:val="22"/>
          <w:rtl/>
        </w:rPr>
      </w:pPr>
      <w:r w:rsidRPr="00734173">
        <w:rPr>
          <w:rFonts w:ascii="Tahoma" w:eastAsia="Calibri" w:hAnsi="Tahoma" w:cs="Tahoma"/>
          <w:b/>
          <w:bCs/>
          <w:noProof/>
          <w:color w:val="FFFFFF"/>
          <w:sz w:val="22"/>
          <w:szCs w:val="22"/>
          <w:rtl/>
        </w:rPr>
        <w:drawing>
          <wp:anchor distT="0" distB="0" distL="114300" distR="114300" simplePos="0" relativeHeight="251660288" behindDoc="1" locked="0" layoutInCell="1" allowOverlap="1">
            <wp:simplePos x="0" y="0"/>
            <wp:positionH relativeFrom="page">
              <wp:posOffset>709930</wp:posOffset>
            </wp:positionH>
            <wp:positionV relativeFrom="paragraph">
              <wp:posOffset>-65101</wp:posOffset>
            </wp:positionV>
            <wp:extent cx="6235700" cy="698500"/>
            <wp:effectExtent l="0" t="0" r="0" b="6350"/>
            <wp:wrapNone/>
            <wp:docPr id="13" name="תמונה 13"/>
            <wp:cNvGraphicFramePr/>
            <a:graphic xmlns:a="http://schemas.openxmlformats.org/drawingml/2006/main">
              <a:graphicData uri="http://schemas.openxmlformats.org/drawingml/2006/picture">
                <pic:pic xmlns:pic="http://schemas.openxmlformats.org/drawingml/2006/picture">
                  <pic:nvPicPr>
                    <pic:cNvPr id="13" name="תקציר-03.png"/>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a:xfrm>
                      <a:off x="0" y="0"/>
                      <a:ext cx="6235700" cy="698500"/>
                    </a:xfrm>
                    <a:prstGeom prst="rect">
                      <a:avLst/>
                    </a:prstGeom>
                  </pic:spPr>
                </pic:pic>
              </a:graphicData>
            </a:graphic>
            <wp14:sizeRelH relativeFrom="page">
              <wp14:pctWidth>0</wp14:pctWidth>
            </wp14:sizeRelH>
            <wp14:sizeRelV relativeFrom="page">
              <wp14:pctHeight>0</wp14:pctHeight>
            </wp14:sizeRelV>
          </wp:anchor>
        </w:drawing>
      </w:r>
      <w:r w:rsidRPr="00734173">
        <w:rPr>
          <w:rFonts w:ascii="Tahoma" w:eastAsia="Calibri" w:hAnsi="Tahoma" w:cs="Tahoma" w:hint="cs"/>
          <w:b/>
          <w:bCs/>
          <w:noProof/>
          <w:color w:val="FFFFFF"/>
          <w:sz w:val="22"/>
          <w:szCs w:val="22"/>
          <w:rtl/>
        </w:rPr>
        <w:t>ממוצע פיקוחי עומק בהשוואה למספר הכולל של הסנגורים החיצוניים במחוזות בשנים 2022 - 2024</w:t>
      </w:r>
    </w:p>
    <w:p w:rsidR="00734173" w:rsidRPr="00734173" w:rsidP="00734173">
      <w:pPr>
        <w:spacing w:line="288" w:lineRule="auto"/>
        <w:rPr>
          <w:rFonts w:eastAsia="Calibri"/>
          <w:noProof/>
          <w:rtl/>
        </w:rPr>
      </w:pPr>
    </w:p>
    <w:p w:rsidR="00734173" w:rsidRPr="00734173" w:rsidP="00734173">
      <w:pPr>
        <w:spacing w:line="288" w:lineRule="auto"/>
        <w:jc w:val="center"/>
        <w:rPr>
          <w:rFonts w:ascii="Tahoma" w:eastAsia="Calibri" w:hAnsi="Tahoma" w:cs="Tahoma"/>
          <w:color w:val="FFFFFF"/>
          <w:rtl/>
        </w:rPr>
      </w:pPr>
      <w:r w:rsidRPr="00734173">
        <w:rPr>
          <w:rFonts w:ascii="Tahoma" w:eastAsia="Calibri" w:hAnsi="Tahoma" w:cs="Tahoma"/>
          <w:noProof/>
          <w:color w:val="FFFFFF"/>
          <w:rtl/>
          <w:lang w:val="he-IL"/>
        </w:rPr>
        <w:drawing>
          <wp:inline distT="0" distB="0" distL="0" distR="0">
            <wp:extent cx="5220335" cy="3128010"/>
            <wp:effectExtent l="0" t="0" r="0" b="0"/>
            <wp:docPr id="14" name="תמונה 14" descr="הגרף מציג את היחס והערכים המוחלטים של סך הסנגורים החיצוניים (בכתום) לעומת מספר פיקוחי העומק שבוצעו להם (בכחול) בחלוקה לששת מחוזות הסנגוריה, מסודרים משמאל לימין לפי שיעור הפיקוח העולה:&#10;&#10;ירושלים: 195 סנגורים חיצוניים, 0 פיקוחי עומק.&#10;&#10;חיפה: 199 סנגורים חיצוניים, 21 פיקוחי עומק.&#10;&#10;צפון: 156 סנגורים חיצוניים, 18 פיקוחי עומק.&#10;&#10;דרום: 279 סנגורים חיצוניים, 52 פיקוחי עומק.&#10;&#10;תל אביב: 346 סנגורים חיצוניים, 74 פיקוחי עומק.&#10;&#10;מרכז: 304 סנגורים חיצוניים, 145 פיקוחי עומ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תרשים 11.PNG"/>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a:xfrm>
                      <a:off x="0" y="0"/>
                      <a:ext cx="5220335" cy="3128010"/>
                    </a:xfrm>
                    <a:prstGeom prst="rect">
                      <a:avLst/>
                    </a:prstGeom>
                  </pic:spPr>
                </pic:pic>
              </a:graphicData>
            </a:graphic>
          </wp:inline>
        </w:drawing>
      </w:r>
    </w:p>
    <w:p w:rsidR="00734173" w:rsidRPr="00734173" w:rsidP="00734173">
      <w:pPr>
        <w:spacing w:line="288" w:lineRule="auto"/>
        <w:ind w:left="-851"/>
        <w:rPr>
          <w:rFonts w:ascii="Tahoma" w:eastAsia="Calibri" w:hAnsi="Tahoma" w:cs="Tahoma"/>
          <w:b/>
          <w:sz w:val="16"/>
          <w:szCs w:val="16"/>
          <w:rtl/>
        </w:rPr>
      </w:pPr>
      <w:r w:rsidRPr="00734173">
        <w:rPr>
          <w:rFonts w:ascii="Tahoma" w:eastAsia="Calibri" w:hAnsi="Tahoma" w:cs="Tahoma" w:hint="cs"/>
          <w:b/>
          <w:sz w:val="16"/>
          <w:szCs w:val="16"/>
          <w:rtl/>
        </w:rPr>
        <w:t xml:space="preserve">על פי נתוני </w:t>
      </w:r>
      <w:r w:rsidRPr="00734173">
        <w:rPr>
          <w:rFonts w:ascii="Tahoma" w:eastAsia="Calibri" w:hAnsi="Tahoma" w:cs="Tahoma" w:hint="eastAsia"/>
          <w:b/>
          <w:sz w:val="16"/>
          <w:szCs w:val="16"/>
          <w:rtl/>
        </w:rPr>
        <w:t>הסנגוריה</w:t>
      </w:r>
      <w:r w:rsidRPr="00734173">
        <w:rPr>
          <w:rFonts w:ascii="Tahoma" w:eastAsia="Calibri" w:hAnsi="Tahoma" w:cs="Tahoma"/>
          <w:b/>
          <w:sz w:val="16"/>
          <w:szCs w:val="16"/>
          <w:rtl/>
        </w:rPr>
        <w:t xml:space="preserve"> </w:t>
      </w:r>
      <w:r w:rsidRPr="00734173">
        <w:rPr>
          <w:rFonts w:ascii="Tahoma" w:eastAsia="Calibri" w:hAnsi="Tahoma" w:cs="Tahoma" w:hint="eastAsia"/>
          <w:b/>
          <w:sz w:val="16"/>
          <w:szCs w:val="16"/>
          <w:rtl/>
        </w:rPr>
        <w:t>הציבורית</w:t>
      </w:r>
      <w:r w:rsidRPr="00734173">
        <w:rPr>
          <w:rFonts w:ascii="Tahoma" w:eastAsia="Calibri" w:hAnsi="Tahoma" w:cs="Tahoma" w:hint="cs"/>
          <w:b/>
          <w:sz w:val="16"/>
          <w:szCs w:val="16"/>
          <w:rtl/>
        </w:rPr>
        <w:t>,</w:t>
      </w:r>
      <w:r w:rsidRPr="00734173">
        <w:rPr>
          <w:rFonts w:ascii="Tahoma" w:eastAsia="Calibri" w:hAnsi="Tahoma" w:cs="Tahoma"/>
          <w:b/>
          <w:sz w:val="16"/>
          <w:szCs w:val="16"/>
          <w:rtl/>
        </w:rPr>
        <w:t xml:space="preserve"> </w:t>
      </w:r>
      <w:r w:rsidRPr="00734173">
        <w:rPr>
          <w:rFonts w:ascii="Tahoma" w:eastAsia="Calibri" w:hAnsi="Tahoma" w:cs="Tahoma" w:hint="eastAsia"/>
          <w:b/>
          <w:sz w:val="16"/>
          <w:szCs w:val="16"/>
          <w:rtl/>
        </w:rPr>
        <w:t>בעיבוד</w:t>
      </w:r>
      <w:r w:rsidRPr="00734173">
        <w:rPr>
          <w:rFonts w:ascii="Tahoma" w:eastAsia="Calibri" w:hAnsi="Tahoma" w:cs="Tahoma"/>
          <w:b/>
          <w:sz w:val="16"/>
          <w:szCs w:val="16"/>
          <w:rtl/>
        </w:rPr>
        <w:t xml:space="preserve"> </w:t>
      </w:r>
      <w:r w:rsidRPr="00734173">
        <w:rPr>
          <w:rFonts w:ascii="Tahoma" w:eastAsia="Calibri" w:hAnsi="Tahoma" w:cs="Tahoma" w:hint="eastAsia"/>
          <w:b/>
          <w:sz w:val="16"/>
          <w:szCs w:val="16"/>
          <w:rtl/>
        </w:rPr>
        <w:t>משרד</w:t>
      </w:r>
      <w:r w:rsidRPr="00734173">
        <w:rPr>
          <w:rFonts w:ascii="Tahoma" w:eastAsia="Calibri" w:hAnsi="Tahoma" w:cs="Tahoma"/>
          <w:b/>
          <w:sz w:val="16"/>
          <w:szCs w:val="16"/>
          <w:rtl/>
        </w:rPr>
        <w:t xml:space="preserve"> </w:t>
      </w:r>
      <w:r w:rsidRPr="00734173">
        <w:rPr>
          <w:rFonts w:ascii="Tahoma" w:eastAsia="Calibri" w:hAnsi="Tahoma" w:cs="Tahoma" w:hint="eastAsia"/>
          <w:b/>
          <w:sz w:val="16"/>
          <w:szCs w:val="16"/>
          <w:rtl/>
        </w:rPr>
        <w:t>מבקר</w:t>
      </w:r>
      <w:r w:rsidRPr="00734173">
        <w:rPr>
          <w:rFonts w:ascii="Tahoma" w:eastAsia="Calibri" w:hAnsi="Tahoma" w:cs="Tahoma"/>
          <w:b/>
          <w:sz w:val="16"/>
          <w:szCs w:val="16"/>
          <w:rtl/>
        </w:rPr>
        <w:t xml:space="preserve"> </w:t>
      </w:r>
      <w:r w:rsidRPr="00734173">
        <w:rPr>
          <w:rFonts w:ascii="Tahoma" w:eastAsia="Calibri" w:hAnsi="Tahoma" w:cs="Tahoma" w:hint="eastAsia"/>
          <w:b/>
          <w:sz w:val="16"/>
          <w:szCs w:val="16"/>
          <w:rtl/>
        </w:rPr>
        <w:t>המדינה</w:t>
      </w:r>
      <w:r w:rsidRPr="00734173">
        <w:rPr>
          <w:rFonts w:ascii="Tahoma" w:eastAsia="Calibri" w:hAnsi="Tahoma" w:cs="Tahoma"/>
          <w:b/>
          <w:sz w:val="16"/>
          <w:szCs w:val="16"/>
          <w:rtl/>
        </w:rPr>
        <w:t>.</w:t>
      </w:r>
    </w:p>
    <w:p w:rsidR="00734173" w:rsidRPr="00734173" w:rsidP="00734173">
      <w:pPr>
        <w:spacing w:line="288" w:lineRule="auto"/>
        <w:rPr>
          <w:rFonts w:ascii="David" w:eastAsia="Calibri" w:hAnsi="David"/>
          <w:sz w:val="22"/>
          <w:szCs w:val="22"/>
          <w:rtl/>
        </w:rPr>
      </w:pPr>
    </w:p>
    <w:p w:rsidR="00734173" w:rsidRPr="00734173" w:rsidP="00734173">
      <w:pPr>
        <w:spacing w:line="288" w:lineRule="auto"/>
        <w:rPr>
          <w:rFonts w:ascii="David" w:eastAsia="Calibri" w:hAnsi="David"/>
          <w:sz w:val="22"/>
          <w:szCs w:val="22"/>
          <w:rtl/>
        </w:rPr>
      </w:pPr>
      <w:r w:rsidRPr="00734173">
        <w:rPr>
          <w:rFonts w:ascii="Tahoma" w:eastAsia="Calibri" w:hAnsi="Tahoma" w:cs="Tahoma"/>
          <w:b/>
          <w:bCs/>
          <w:noProof/>
          <w:color w:val="FFFFFF"/>
          <w:sz w:val="22"/>
          <w:szCs w:val="22"/>
          <w:rtl/>
        </w:rPr>
        <w:drawing>
          <wp:anchor distT="0" distB="0" distL="114300" distR="114300" simplePos="0" relativeHeight="251662336" behindDoc="1" locked="0" layoutInCell="1" allowOverlap="1">
            <wp:simplePos x="0" y="0"/>
            <wp:positionH relativeFrom="page">
              <wp:posOffset>931333</wp:posOffset>
            </wp:positionH>
            <wp:positionV relativeFrom="paragraph">
              <wp:posOffset>209338</wp:posOffset>
            </wp:positionV>
            <wp:extent cx="6029294" cy="778934"/>
            <wp:effectExtent l="0" t="0" r="0" b="2540"/>
            <wp:wrapNone/>
            <wp:docPr id="3" name="תמונה 3"/>
            <wp:cNvGraphicFramePr/>
            <a:graphic xmlns:a="http://schemas.openxmlformats.org/drawingml/2006/main">
              <a:graphicData uri="http://schemas.openxmlformats.org/drawingml/2006/picture">
                <pic:pic xmlns:pic="http://schemas.openxmlformats.org/drawingml/2006/picture">
                  <pic:nvPicPr>
                    <pic:cNvPr id="3" name="תקציר-03.png"/>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a:xfrm>
                      <a:off x="0" y="0"/>
                      <a:ext cx="6053403" cy="782049"/>
                    </a:xfrm>
                    <a:prstGeom prst="rect">
                      <a:avLst/>
                    </a:prstGeom>
                  </pic:spPr>
                </pic:pic>
              </a:graphicData>
            </a:graphic>
            <wp14:sizeRelH relativeFrom="page">
              <wp14:pctWidth>0</wp14:pctWidth>
            </wp14:sizeRelH>
            <wp14:sizeRelV relativeFrom="page">
              <wp14:pctHeight>0</wp14:pctHeight>
            </wp14:sizeRelV>
          </wp:anchor>
        </w:drawing>
      </w:r>
    </w:p>
    <w:p w:rsidR="00734173" w:rsidRPr="00734173" w:rsidP="006E08A5">
      <w:pPr>
        <w:spacing w:before="200" w:line="288" w:lineRule="auto"/>
        <w:ind w:left="-711"/>
        <w:jc w:val="left"/>
        <w:rPr>
          <w:rFonts w:ascii="Tahoma" w:eastAsia="Calibri" w:hAnsi="Tahoma" w:cs="Tahoma"/>
          <w:b/>
          <w:bCs/>
          <w:noProof/>
          <w:color w:val="FFFFFF"/>
          <w:sz w:val="22"/>
          <w:szCs w:val="22"/>
          <w:rtl/>
        </w:rPr>
      </w:pPr>
      <w:bookmarkStart w:id="21" w:name="_Hlk228352313"/>
      <w:r w:rsidRPr="00734173">
        <w:rPr>
          <w:rFonts w:ascii="Tahoma" w:eastAsia="Calibri" w:hAnsi="Tahoma" w:cs="Tahoma" w:hint="cs"/>
          <w:b/>
          <w:bCs/>
          <w:noProof/>
          <w:color w:val="FFFFFF"/>
          <w:sz w:val="22"/>
          <w:szCs w:val="22"/>
          <w:rtl/>
        </w:rPr>
        <w:t xml:space="preserve">אגרות שהטילה </w:t>
      </w:r>
      <w:r w:rsidRPr="00734173">
        <w:rPr>
          <w:rFonts w:ascii="Tahoma" w:eastAsia="Calibri" w:hAnsi="Tahoma" w:cs="Tahoma"/>
          <w:b/>
          <w:bCs/>
          <w:noProof/>
          <w:color w:val="FFFFFF"/>
          <w:sz w:val="22"/>
          <w:szCs w:val="22"/>
          <w:rtl/>
        </w:rPr>
        <w:t>הסנגוריה הציבורית,</w:t>
      </w:r>
      <w:r w:rsidRPr="00734173">
        <w:rPr>
          <w:rFonts w:ascii="Tahoma" w:eastAsia="Calibri" w:hAnsi="Tahoma" w:cs="Tahoma" w:hint="cs"/>
          <w:b/>
          <w:bCs/>
          <w:noProof/>
          <w:color w:val="FFFFFF"/>
          <w:sz w:val="22"/>
          <w:szCs w:val="22"/>
          <w:rtl/>
        </w:rPr>
        <w:t xml:space="preserve"> בגין ייצוג של לקוחותיה</w:t>
      </w:r>
      <w:r w:rsidRPr="00734173">
        <w:rPr>
          <w:rFonts w:ascii="Tahoma" w:eastAsia="Calibri" w:hAnsi="Tahoma" w:cs="Tahoma"/>
          <w:b/>
          <w:bCs/>
          <w:noProof/>
          <w:color w:val="FFFFFF"/>
          <w:sz w:val="22"/>
          <w:szCs w:val="22"/>
          <w:rtl/>
        </w:rPr>
        <w:t xml:space="preserve"> 20</w:t>
      </w:r>
      <w:r w:rsidRPr="00734173">
        <w:rPr>
          <w:rFonts w:ascii="Tahoma" w:eastAsia="Calibri" w:hAnsi="Tahoma" w:cs="Tahoma" w:hint="cs"/>
          <w:b/>
          <w:bCs/>
          <w:noProof/>
          <w:color w:val="FFFFFF"/>
          <w:sz w:val="22"/>
          <w:szCs w:val="22"/>
          <w:rtl/>
        </w:rPr>
        <w:t>21</w:t>
      </w:r>
      <w:r w:rsidRPr="00734173">
        <w:rPr>
          <w:rFonts w:ascii="Tahoma" w:eastAsia="Calibri" w:hAnsi="Tahoma" w:cs="Tahoma"/>
          <w:b/>
          <w:bCs/>
          <w:noProof/>
          <w:color w:val="FFFFFF"/>
          <w:sz w:val="22"/>
          <w:szCs w:val="22"/>
          <w:rtl/>
        </w:rPr>
        <w:t xml:space="preserve"> - 2024</w:t>
      </w:r>
      <w:r w:rsidRPr="00734173">
        <w:rPr>
          <w:rFonts w:ascii="Tahoma" w:eastAsia="Calibri" w:hAnsi="Tahoma" w:cs="Tahoma" w:hint="cs"/>
          <w:b/>
          <w:bCs/>
          <w:noProof/>
          <w:color w:val="FFFFFF"/>
          <w:sz w:val="22"/>
          <w:szCs w:val="22"/>
          <w:rtl/>
        </w:rPr>
        <w:t xml:space="preserve"> (במיליוני ש"ח)</w:t>
      </w:r>
    </w:p>
    <w:p w:rsidR="00734173" w:rsidRPr="00734173" w:rsidP="00734173">
      <w:pPr>
        <w:spacing w:line="288" w:lineRule="auto"/>
        <w:rPr>
          <w:rFonts w:eastAsia="Calibri"/>
          <w:rtl/>
        </w:rPr>
      </w:pPr>
    </w:p>
    <w:p w:rsidR="00734173" w:rsidRPr="00734173" w:rsidP="006E08A5">
      <w:pPr>
        <w:spacing w:line="288" w:lineRule="auto"/>
        <w:ind w:left="-285"/>
        <w:jc w:val="left"/>
        <w:rPr>
          <w:rFonts w:eastAsia="Calibri"/>
        </w:rPr>
      </w:pPr>
      <w:r w:rsidRPr="00734173">
        <w:rPr>
          <w:rFonts w:eastAsia="Calibri"/>
          <w:noProof/>
        </w:rPr>
        <w:drawing>
          <wp:inline distT="0" distB="0" distL="0" distR="0">
            <wp:extent cx="4938063" cy="3313430"/>
            <wp:effectExtent l="0" t="0" r="0" b="1270"/>
            <wp:docPr id="16" name="תמונה 16" descr="הדיאגרמה מציגה את חלוקת אגרות הייצוג שהוטלו בתקופה זו, שסכומן הכולל עומד על כ-55.9 מיליון ש&quot;ח:&#10;&#10;אגרות שטרם נגבו (נכון ליולי 2025): 29.85 מיליוני ש&quot;ח (הנתח הגדול ביותר, כ-53%)&#10;&#10;אגרות שהסנגוריה פטרה מהן: 14.43 מיליוני ש&quot;ח (כ-26%)&#10;&#10;אגרות שנגבו על ידי הסנגוריה: 2.73 מיליוני ש&quot;ח (כ-5%)&#10;&#10;אגרות שנגבו על ידי המרכז לגביית קנסות: 8.89 מיליוני ש&quot;ח (כ-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תרשים 8.PNG"/>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tretch>
                      <a:fillRect/>
                    </a:stretch>
                  </pic:blipFill>
                  <pic:spPr>
                    <a:xfrm>
                      <a:off x="0" y="0"/>
                      <a:ext cx="4964106" cy="3330905"/>
                    </a:xfrm>
                    <a:prstGeom prst="rect">
                      <a:avLst/>
                    </a:prstGeom>
                  </pic:spPr>
                </pic:pic>
              </a:graphicData>
            </a:graphic>
          </wp:inline>
        </w:drawing>
      </w:r>
    </w:p>
    <w:p w:rsidR="00B425ED" w:rsidP="00734173">
      <w:pPr>
        <w:spacing w:line="288" w:lineRule="auto"/>
        <w:ind w:left="-851"/>
        <w:rPr>
          <w:rFonts w:ascii="Tahoma" w:eastAsia="Calibri" w:hAnsi="Tahoma" w:cs="Tahoma"/>
          <w:b/>
          <w:sz w:val="16"/>
          <w:szCs w:val="16"/>
          <w:rtl/>
        </w:rPr>
      </w:pPr>
      <w:r w:rsidRPr="00734173">
        <w:rPr>
          <w:rFonts w:ascii="Tahoma" w:eastAsia="Calibri" w:hAnsi="Tahoma" w:cs="Tahoma" w:hint="eastAsia"/>
          <w:b/>
          <w:sz w:val="16"/>
          <w:szCs w:val="16"/>
          <w:rtl/>
        </w:rPr>
        <w:t>על</w:t>
      </w:r>
      <w:r w:rsidRPr="00734173">
        <w:rPr>
          <w:rFonts w:ascii="Tahoma" w:eastAsia="Calibri" w:hAnsi="Tahoma" w:cs="Tahoma"/>
          <w:b/>
          <w:sz w:val="16"/>
          <w:szCs w:val="16"/>
          <w:rtl/>
        </w:rPr>
        <w:t xml:space="preserve"> פי נתוני </w:t>
      </w:r>
      <w:r w:rsidRPr="00734173">
        <w:rPr>
          <w:rFonts w:ascii="Tahoma" w:eastAsia="Calibri" w:hAnsi="Tahoma" w:cs="Tahoma" w:hint="eastAsia"/>
          <w:b/>
          <w:sz w:val="16"/>
          <w:szCs w:val="16"/>
          <w:rtl/>
        </w:rPr>
        <w:t>הסנגוריה</w:t>
      </w:r>
      <w:r w:rsidRPr="00734173">
        <w:rPr>
          <w:rFonts w:ascii="Tahoma" w:eastAsia="Calibri" w:hAnsi="Tahoma" w:cs="Tahoma"/>
          <w:b/>
          <w:sz w:val="16"/>
          <w:szCs w:val="16"/>
          <w:rtl/>
        </w:rPr>
        <w:t xml:space="preserve"> הציבורית, בעיבוד משרד מבקר המדינה.</w:t>
      </w:r>
    </w:p>
    <w:p w:rsidR="00B425ED">
      <w:pPr>
        <w:bidi w:val="0"/>
        <w:spacing w:after="200" w:line="276" w:lineRule="auto"/>
        <w:rPr>
          <w:rFonts w:ascii="Tahoma" w:eastAsia="Calibri" w:hAnsi="Tahoma" w:cs="Tahoma"/>
          <w:b/>
          <w:sz w:val="16"/>
          <w:szCs w:val="16"/>
          <w:rtl/>
        </w:rPr>
      </w:pPr>
      <w:r>
        <w:rPr>
          <w:rFonts w:ascii="Tahoma" w:eastAsia="Calibri" w:hAnsi="Tahoma" w:cs="Tahoma"/>
          <w:b/>
          <w:sz w:val="16"/>
          <w:szCs w:val="16"/>
          <w:rtl/>
        </w:rPr>
        <w:br w:type="page"/>
      </w:r>
    </w:p>
    <w:p w:rsidR="00734173" w:rsidRPr="00B425ED" w:rsidP="006E08A5">
      <w:pPr>
        <w:spacing w:line="288" w:lineRule="auto"/>
        <w:ind w:left="-711"/>
        <w:rPr>
          <w:rFonts w:ascii="Tahoma" w:eastAsia="Calibri" w:hAnsi="Tahoma" w:cs="Tahoma"/>
          <w:b/>
          <w:sz w:val="16"/>
          <w:szCs w:val="16"/>
          <w:rtl/>
        </w:rPr>
      </w:pPr>
      <w:r w:rsidRPr="00734173">
        <w:rPr>
          <w:rFonts w:ascii="Tahoma" w:eastAsia="Calibri" w:hAnsi="Tahoma" w:cs="Tahoma"/>
          <w:b/>
          <w:bCs/>
          <w:noProof/>
          <w:color w:val="FFFFFF"/>
          <w:sz w:val="22"/>
          <w:szCs w:val="22"/>
          <w:rtl/>
        </w:rPr>
        <w:drawing>
          <wp:anchor distT="0" distB="0" distL="114300" distR="114300" simplePos="0" relativeHeight="251663360" behindDoc="1" locked="0" layoutInCell="1" allowOverlap="1">
            <wp:simplePos x="0" y="0"/>
            <wp:positionH relativeFrom="page">
              <wp:posOffset>679450</wp:posOffset>
            </wp:positionH>
            <wp:positionV relativeFrom="paragraph">
              <wp:posOffset>-64932</wp:posOffset>
            </wp:positionV>
            <wp:extent cx="6292850" cy="730250"/>
            <wp:effectExtent l="0" t="0" r="0" b="0"/>
            <wp:wrapNone/>
            <wp:docPr id="15" name="תמונה 15"/>
            <wp:cNvGraphicFramePr/>
            <a:graphic xmlns:a="http://schemas.openxmlformats.org/drawingml/2006/main">
              <a:graphicData uri="http://schemas.openxmlformats.org/drawingml/2006/picture">
                <pic:pic xmlns:pic="http://schemas.openxmlformats.org/drawingml/2006/picture">
                  <pic:nvPicPr>
                    <pic:cNvPr id="15" name="תקציר-03.png"/>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a:xfrm>
                      <a:off x="0" y="0"/>
                      <a:ext cx="6292850" cy="730250"/>
                    </a:xfrm>
                    <a:prstGeom prst="rect">
                      <a:avLst/>
                    </a:prstGeom>
                  </pic:spPr>
                </pic:pic>
              </a:graphicData>
            </a:graphic>
            <wp14:sizeRelH relativeFrom="page">
              <wp14:pctWidth>0</wp14:pctWidth>
            </wp14:sizeRelH>
            <wp14:sizeRelV relativeFrom="page">
              <wp14:pctHeight>0</wp14:pctHeight>
            </wp14:sizeRelV>
          </wp:anchor>
        </w:drawing>
      </w:r>
      <w:r w:rsidRPr="00734173">
        <w:rPr>
          <w:rFonts w:ascii="Tahoma" w:eastAsia="Calibri" w:hAnsi="Tahoma" w:cs="Tahoma" w:hint="cs"/>
          <w:b/>
          <w:bCs/>
          <w:noProof/>
          <w:color w:val="FFFFFF"/>
          <w:sz w:val="22"/>
          <w:szCs w:val="22"/>
          <w:rtl/>
        </w:rPr>
        <w:t>היקף שכר הטרחה לסנגורים חיצוניים מתוך תקציב הסנגוריה, 2020 - 2024 (במיליוני ש"ח)</w:t>
      </w:r>
    </w:p>
    <w:bookmarkEnd w:id="21"/>
    <w:p w:rsidR="00734173" w:rsidRPr="00734173" w:rsidP="00734173">
      <w:pPr>
        <w:spacing w:line="288" w:lineRule="auto"/>
        <w:rPr>
          <w:rFonts w:eastAsia="Calibri"/>
          <w:rtl/>
        </w:rPr>
      </w:pPr>
    </w:p>
    <w:p w:rsidR="00734173" w:rsidRPr="00734173" w:rsidP="00734173">
      <w:pPr>
        <w:spacing w:line="288" w:lineRule="auto"/>
        <w:jc w:val="center"/>
        <w:rPr>
          <w:rFonts w:eastAsia="Calibri"/>
        </w:rPr>
      </w:pPr>
      <w:r w:rsidRPr="00734173">
        <w:rPr>
          <w:rFonts w:eastAsia="Calibri"/>
          <w:noProof/>
        </w:rPr>
        <w:drawing>
          <wp:inline distT="0" distB="0" distL="0" distR="0">
            <wp:extent cx="5220335" cy="3135619"/>
            <wp:effectExtent l="0" t="0" r="0" b="8255"/>
            <wp:docPr id="1" name="תמונה 1" descr="הגרף מציג את סך תקציב הסנגוריה (כלל גובה העמודה) ואת חלקו של שכר טרחת הסנגורים החיצוניים מתוכו (החלק הכחול התחתון) לאורך חמש שנים (בסדר יורד משמאל לימין):&#10;&#10;2024: 206 מיליוני ש&quot;ח שכר טרחה מתוך תקציב של 283 מיליוני ש&quot;ח (73%)&#10;&#10;2023: 192 מיליוני ש&quot;ח שכר טרחה מתוך תקציב של 274 מיליוני ש&quot;ח (70%)&#10;&#10;2022: 186 מיליוני ש&quot;ח שכר טרחה מתוך תקציב של 269 מיליוני ש&quot;ח (69%)&#10;&#10;2021: 175 מיליוני ש&quot;ח שכר טרחה מתוך תקציב של 253 מיליוני ש&quot;ח (69%)&#10;&#10;2020: 159 מיליוני ש&quot;ח שכר טרחה מתוך תקציב של 238 מיליוני ש&quot;ח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tretch>
                      <a:fillRect/>
                    </a:stretch>
                  </pic:blipFill>
                  <pic:spPr bwMode="auto">
                    <a:xfrm>
                      <a:off x="0" y="0"/>
                      <a:ext cx="5220335" cy="3135619"/>
                    </a:xfrm>
                    <a:prstGeom prst="rect">
                      <a:avLst/>
                    </a:prstGeom>
                    <a:noFill/>
                    <a:ln>
                      <a:noFill/>
                    </a:ln>
                  </pic:spPr>
                </pic:pic>
              </a:graphicData>
            </a:graphic>
          </wp:inline>
        </w:drawing>
      </w:r>
    </w:p>
    <w:p w:rsidR="00734173" w:rsidRPr="00734173" w:rsidP="00734173">
      <w:pPr>
        <w:spacing w:line="288" w:lineRule="auto"/>
        <w:ind w:left="-851"/>
        <w:rPr>
          <w:rFonts w:ascii="Tahoma" w:eastAsia="Calibri" w:hAnsi="Tahoma" w:cs="Tahoma"/>
          <w:b/>
          <w:sz w:val="16"/>
          <w:szCs w:val="16"/>
          <w:rtl/>
        </w:rPr>
      </w:pPr>
      <w:r w:rsidRPr="00734173">
        <w:rPr>
          <w:rFonts w:ascii="Tahoma" w:eastAsia="Calibri" w:hAnsi="Tahoma" w:cs="Tahoma" w:hint="eastAsia"/>
          <w:b/>
          <w:sz w:val="16"/>
          <w:szCs w:val="16"/>
          <w:rtl/>
        </w:rPr>
        <w:t>על</w:t>
      </w:r>
      <w:r w:rsidRPr="00734173">
        <w:rPr>
          <w:rFonts w:ascii="Tahoma" w:eastAsia="Calibri" w:hAnsi="Tahoma" w:cs="Tahoma"/>
          <w:b/>
          <w:sz w:val="16"/>
          <w:szCs w:val="16"/>
          <w:rtl/>
        </w:rPr>
        <w:t xml:space="preserve"> פי נתוני הסנגוריה הציבורית, בעיבוד משרד מבקר המדינה</w:t>
      </w:r>
      <w:r w:rsidRPr="00734173">
        <w:rPr>
          <w:rFonts w:ascii="Tahoma" w:eastAsia="Calibri" w:hAnsi="Tahoma" w:cs="Tahoma" w:hint="cs"/>
          <w:b/>
          <w:sz w:val="16"/>
          <w:szCs w:val="16"/>
          <w:rtl/>
        </w:rPr>
        <w:t>.</w:t>
      </w:r>
    </w:p>
    <w:p w:rsidR="00734173" w:rsidRPr="00734173" w:rsidP="00734173">
      <w:pPr>
        <w:spacing w:line="288" w:lineRule="auto"/>
        <w:ind w:left="-851"/>
        <w:rPr>
          <w:rFonts w:ascii="Tahoma" w:eastAsia="Calibri" w:hAnsi="Tahoma" w:cs="Tahoma"/>
          <w:sz w:val="22"/>
          <w:szCs w:val="22"/>
          <w:rtl/>
        </w:rPr>
      </w:pPr>
    </w:p>
    <w:p w:rsidR="00734173" w:rsidRPr="00734173" w:rsidP="00734173">
      <w:pPr>
        <w:bidi w:val="0"/>
        <w:spacing w:after="160" w:line="259" w:lineRule="auto"/>
        <w:jc w:val="left"/>
        <w:rPr>
          <w:rFonts w:ascii="Tahoma" w:eastAsia="Calibri" w:hAnsi="Tahoma" w:cs="Tahoma"/>
          <w:sz w:val="22"/>
          <w:szCs w:val="22"/>
          <w:rtl/>
        </w:rPr>
      </w:pPr>
      <w:r w:rsidRPr="00734173">
        <w:rPr>
          <w:rFonts w:ascii="Tahoma" w:eastAsia="Calibri" w:hAnsi="Tahoma" w:cs="Tahoma"/>
          <w:sz w:val="22"/>
          <w:szCs w:val="22"/>
          <w:rtl/>
        </w:rPr>
        <w:br w:type="page"/>
      </w:r>
    </w:p>
    <w:p w:rsidR="00734173" w:rsidRPr="00734173" w:rsidP="00734173">
      <w:pPr>
        <w:spacing w:line="288" w:lineRule="auto"/>
        <w:ind w:left="-851"/>
        <w:rPr>
          <w:rFonts w:ascii="Tahoma" w:eastAsia="Calibri" w:hAnsi="Tahoma" w:cs="Tahoma"/>
          <w:rtl/>
        </w:rPr>
      </w:pPr>
      <w:r w:rsidRPr="00734173">
        <w:rPr>
          <w:rFonts w:ascii="Tahoma" w:eastAsia="Calibri" w:hAnsi="Tahoma" w:cs="Tahoma"/>
          <w:noProof/>
        </w:rPr>
        <w:drawing>
          <wp:inline distT="0" distB="0" distL="0" distR="0">
            <wp:extent cx="6128084" cy="304165"/>
            <wp:effectExtent l="0" t="0" r="6350" b="635"/>
            <wp:docPr id="12" name="תמונה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4"/>
                    <pic:cNvPicPr>
                      <a:picLocks noChangeAspect="1" noChangeArrowheads="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142716" cy="304891"/>
                    </a:xfrm>
                    <a:prstGeom prst="rect">
                      <a:avLst/>
                    </a:prstGeom>
                    <a:noFill/>
                    <a:ln>
                      <a:noFill/>
                    </a:ln>
                  </pic:spPr>
                </pic:pic>
              </a:graphicData>
            </a:graphic>
          </wp:inline>
        </w:drawing>
      </w:r>
    </w:p>
    <w:p w:rsidR="00734173" w:rsidRPr="00734173" w:rsidP="00734173">
      <w:pPr>
        <w:spacing w:line="288" w:lineRule="auto"/>
        <w:ind w:left="-851"/>
        <w:rPr>
          <w:rFonts w:ascii="David" w:eastAsia="Calibri" w:hAnsi="David"/>
          <w:bCs/>
          <w:rtl/>
        </w:rPr>
      </w:pPr>
    </w:p>
    <w:p w:rsidR="00734173" w:rsidRPr="00734173" w:rsidP="00734173">
      <w:pPr>
        <w:spacing w:after="120" w:line="288" w:lineRule="auto"/>
        <w:ind w:left="-851" w:right="-567"/>
        <w:rPr>
          <w:rFonts w:ascii="Tahoma" w:eastAsia="Calibri" w:hAnsi="Tahoma" w:cs="Tahoma"/>
          <w:sz w:val="19"/>
          <w:szCs w:val="19"/>
          <w:rtl/>
        </w:rPr>
      </w:pPr>
      <w:r w:rsidRPr="00734173">
        <w:rPr>
          <w:rFonts w:ascii="Tahoma" w:eastAsia="Calibri" w:hAnsi="Tahoma" w:cs="Tahoma"/>
          <w:sz w:val="19"/>
          <w:szCs w:val="19"/>
          <w:rtl/>
        </w:rPr>
        <w:t xml:space="preserve">הסנגוריה הציבורית ממלאת תפקיד מרכזי בהגנה על זכויות הפרט בהליכים משפטיים באמצעות מתן ייצוג </w:t>
      </w:r>
      <w:r w:rsidR="00285266">
        <w:rPr>
          <w:rFonts w:ascii="Tahoma" w:eastAsia="Calibri" w:hAnsi="Tahoma" w:cs="Tahoma" w:hint="cs"/>
          <w:sz w:val="19"/>
          <w:szCs w:val="19"/>
          <w:rtl/>
        </w:rPr>
        <w:t>ליותר</w:t>
      </w:r>
      <w:r w:rsidRPr="00734173">
        <w:rPr>
          <w:rFonts w:ascii="Tahoma" w:eastAsia="Calibri" w:hAnsi="Tahoma" w:cs="Tahoma"/>
          <w:sz w:val="19"/>
          <w:szCs w:val="19"/>
          <w:rtl/>
        </w:rPr>
        <w:t xml:space="preserve"> מחצי מיליון חשודים בעבירות פליליות ולנאשמים אשר בשלושים השנים האחרונות נמצאו זכאים לכך על פי תבחינים שנקבעו בחוק הסנגוריה. בשנים האחרונות היקף הזכאים לשירותיה הולך וגדל, ונתח הייצוג שלה של הנאשמים בהליכים הפליליים המתנהלים בכלל הערכאות בישראל, בשנים 20</w:t>
      </w:r>
      <w:r w:rsidRPr="00734173">
        <w:rPr>
          <w:rFonts w:ascii="Tahoma" w:eastAsia="Calibri" w:hAnsi="Tahoma" w:cs="Tahoma" w:hint="cs"/>
          <w:sz w:val="19"/>
          <w:szCs w:val="19"/>
          <w:rtl/>
        </w:rPr>
        <w:t xml:space="preserve">16 </w:t>
      </w:r>
      <w:r w:rsidRPr="00734173">
        <w:rPr>
          <w:rFonts w:ascii="Tahoma" w:eastAsia="Calibri" w:hAnsi="Tahoma" w:cs="Tahoma"/>
          <w:sz w:val="19"/>
          <w:szCs w:val="19"/>
          <w:rtl/>
        </w:rPr>
        <w:t>-</w:t>
      </w:r>
      <w:r w:rsidRPr="00734173">
        <w:rPr>
          <w:rFonts w:ascii="Tahoma" w:eastAsia="Calibri" w:hAnsi="Tahoma" w:cs="Tahoma" w:hint="cs"/>
          <w:sz w:val="19"/>
          <w:szCs w:val="19"/>
          <w:rtl/>
        </w:rPr>
        <w:t xml:space="preserve"> </w:t>
      </w:r>
      <w:r w:rsidRPr="00734173">
        <w:rPr>
          <w:rFonts w:ascii="Tahoma" w:eastAsia="Calibri" w:hAnsi="Tahoma" w:cs="Tahoma"/>
          <w:sz w:val="19"/>
          <w:szCs w:val="19"/>
          <w:rtl/>
        </w:rPr>
        <w:t>20</w:t>
      </w:r>
      <w:r w:rsidRPr="00734173">
        <w:rPr>
          <w:rFonts w:ascii="Tahoma" w:eastAsia="Calibri" w:hAnsi="Tahoma" w:cs="Tahoma" w:hint="cs"/>
          <w:sz w:val="19"/>
          <w:szCs w:val="19"/>
          <w:rtl/>
        </w:rPr>
        <w:t>24</w:t>
      </w:r>
      <w:r w:rsidRPr="00734173">
        <w:rPr>
          <w:rFonts w:ascii="Tahoma" w:eastAsia="Calibri" w:hAnsi="Tahoma" w:cs="Tahoma"/>
          <w:sz w:val="19"/>
          <w:szCs w:val="19"/>
          <w:rtl/>
        </w:rPr>
        <w:t xml:space="preserve">, הוא כ-63% (219,000 מ-346,000). </w:t>
      </w:r>
    </w:p>
    <w:p w:rsidR="00734173" w:rsidRPr="00734173" w:rsidP="00734173">
      <w:pPr>
        <w:spacing w:after="120" w:line="288" w:lineRule="auto"/>
        <w:ind w:left="-851" w:right="-567"/>
        <w:rPr>
          <w:rFonts w:ascii="Tahoma" w:eastAsia="Calibri" w:hAnsi="Tahoma" w:cs="Tahoma"/>
          <w:sz w:val="19"/>
          <w:szCs w:val="19"/>
          <w:rtl/>
        </w:rPr>
      </w:pPr>
      <w:r w:rsidRPr="00734173">
        <w:rPr>
          <w:rFonts w:ascii="Tahoma" w:eastAsia="Calibri" w:hAnsi="Tahoma" w:cs="Tahoma"/>
          <w:sz w:val="19"/>
          <w:szCs w:val="19"/>
          <w:rtl/>
        </w:rPr>
        <w:t>בביקורת נמצאו ליקויים בהתנהלות הסנגוריה בהתקשרויותיה עם הלקוחות - הן בווידוא קיום תנאי הזכאות שלהם לקבלת שירותי הייצוג באמצעות בקרה על נכונות הבדיקות שבוצעו</w:t>
      </w:r>
      <w:r w:rsidR="00285266">
        <w:rPr>
          <w:rFonts w:ascii="Tahoma" w:eastAsia="Calibri" w:hAnsi="Tahoma" w:cs="Tahoma" w:hint="cs"/>
          <w:sz w:val="19"/>
          <w:szCs w:val="19"/>
          <w:rtl/>
        </w:rPr>
        <w:t xml:space="preserve"> ו</w:t>
      </w:r>
      <w:r w:rsidRPr="00734173">
        <w:rPr>
          <w:rFonts w:ascii="Tahoma" w:eastAsia="Calibri" w:hAnsi="Tahoma" w:cs="Tahoma"/>
          <w:sz w:val="19"/>
          <w:szCs w:val="19"/>
          <w:rtl/>
        </w:rPr>
        <w:t>המידע שמסרו לשם כך, והן בתחום גביית האגרות ומתן פטור מתשלומן: מחוזות הסנגוריה אינם מוודאים כי הלקוחות המקבלים שירותי ייצוג ציבורי עומדים בתנאי הזכאות לכך. גם בתחום גביית האגרות ומתן פטור מתשלומן, התנהלות הסנגוריה אינה מתיישבת עם קיום החובות החקוקות (הסטטוטוריות) המוטלות עליה בנוגע ללקוחותיה ועם האחריות המוטלת עליה כלפי הציבור; משום כך, ניהול ההיבטים הכספיים מול לקוחות הסנגוריה טעון תיקון רוחבי בשיתוף משרד המשפטים והמג"ק.</w:t>
      </w:r>
    </w:p>
    <w:p w:rsidR="00734173" w:rsidRPr="00734173" w:rsidP="00734173">
      <w:pPr>
        <w:spacing w:after="120" w:line="288" w:lineRule="auto"/>
        <w:ind w:left="-851" w:right="-567"/>
        <w:rPr>
          <w:rFonts w:ascii="Tahoma" w:eastAsia="Calibri" w:hAnsi="Tahoma" w:cs="Tahoma"/>
          <w:sz w:val="19"/>
          <w:szCs w:val="19"/>
          <w:rtl/>
        </w:rPr>
      </w:pPr>
      <w:r w:rsidRPr="00734173">
        <w:rPr>
          <w:rFonts w:ascii="Tahoma" w:eastAsia="Calibri" w:hAnsi="Tahoma" w:cs="Tahoma"/>
          <w:sz w:val="19"/>
          <w:szCs w:val="19"/>
          <w:rtl/>
        </w:rPr>
        <w:t>למעלה מ-90% מלקוחות הסנגוריה מיוצגים על ידי עורכי דין המועסקים במיקור חוץ, אולם אין הלימה בין שכר הטרחה המשולם להם, הצמוד למדד המחירים לצרכן שעלה בשנים 20</w:t>
      </w:r>
      <w:r w:rsidRPr="00734173">
        <w:rPr>
          <w:rFonts w:ascii="Tahoma" w:eastAsia="Calibri" w:hAnsi="Tahoma" w:cs="Tahoma" w:hint="cs"/>
          <w:sz w:val="19"/>
          <w:szCs w:val="19"/>
          <w:rtl/>
        </w:rPr>
        <w:t xml:space="preserve">10 </w:t>
      </w:r>
      <w:r w:rsidRPr="00734173">
        <w:rPr>
          <w:rFonts w:ascii="Tahoma" w:eastAsia="Calibri" w:hAnsi="Tahoma" w:cs="Tahoma"/>
          <w:sz w:val="19"/>
          <w:szCs w:val="19"/>
          <w:rtl/>
        </w:rPr>
        <w:t>-</w:t>
      </w:r>
      <w:r w:rsidRPr="00734173">
        <w:rPr>
          <w:rFonts w:ascii="Tahoma" w:eastAsia="Calibri" w:hAnsi="Tahoma" w:cs="Tahoma" w:hint="cs"/>
          <w:sz w:val="19"/>
          <w:szCs w:val="19"/>
          <w:rtl/>
        </w:rPr>
        <w:t xml:space="preserve"> </w:t>
      </w:r>
      <w:r w:rsidRPr="00734173">
        <w:rPr>
          <w:rFonts w:ascii="Tahoma" w:eastAsia="Calibri" w:hAnsi="Tahoma" w:cs="Tahoma"/>
          <w:sz w:val="19"/>
          <w:szCs w:val="19"/>
          <w:rtl/>
        </w:rPr>
        <w:t>20</w:t>
      </w:r>
      <w:r w:rsidRPr="00734173">
        <w:rPr>
          <w:rFonts w:ascii="Tahoma" w:eastAsia="Calibri" w:hAnsi="Tahoma" w:cs="Tahoma" w:hint="cs"/>
          <w:sz w:val="19"/>
          <w:szCs w:val="19"/>
          <w:rtl/>
        </w:rPr>
        <w:t>24</w:t>
      </w:r>
      <w:r w:rsidRPr="00734173">
        <w:rPr>
          <w:rFonts w:ascii="Tahoma" w:eastAsia="Calibri" w:hAnsi="Tahoma" w:cs="Tahoma"/>
          <w:sz w:val="19"/>
          <w:szCs w:val="19"/>
          <w:rtl/>
        </w:rPr>
        <w:t xml:space="preserve">, ב-21% בהשוואה לשכר הפרקליטים בשירות המדינה שעלה בתקופה המקבילה ב-58% ושל התובעים החיצוניים המועסקים על ידי המדינה שעלה ב-79%; ולכן הפער האמור, שמגיע בממוצע לשיעור של כ-173% לפעולת ייצוג בגובה שכר הטרחה של התובעים, עלול ליצור תמריץ שלילי עבור סנגורים מוכשרים מהמגזר הפרטי בייצוג לקוחות הסנגוריה. כמו כן, שיטת התשלום לסנגורים אינה מתגמלת אותם עבור פגישות עם הלקוחות ועבור פעילות יצירתית לקידום אינטרס הלקוח בתיק, אלא מעודדת תפקוד העלול לפגוע בלקוחות וגם באינטרס הציבורי. נושא זה ראוי לעיון וטיפול מיטבי של הסנגוריה עקב השפעת רמתם המקצועית של הסנגורים על הישגיה, על המוניטין שלה ועל תדמיתה. </w:t>
      </w:r>
    </w:p>
    <w:p w:rsidR="00734173" w:rsidRPr="00734173" w:rsidP="00734173">
      <w:pPr>
        <w:spacing w:after="120" w:line="288" w:lineRule="auto"/>
        <w:ind w:left="-851" w:right="-567"/>
        <w:rPr>
          <w:rFonts w:ascii="Tahoma" w:eastAsia="Calibri" w:hAnsi="Tahoma" w:cs="Tahoma"/>
          <w:sz w:val="19"/>
          <w:szCs w:val="19"/>
          <w:rtl/>
        </w:rPr>
      </w:pPr>
      <w:r w:rsidRPr="00734173">
        <w:rPr>
          <w:rFonts w:ascii="Tahoma" w:eastAsia="Calibri" w:hAnsi="Tahoma" w:cs="Tahoma"/>
          <w:sz w:val="19"/>
          <w:szCs w:val="19"/>
          <w:rtl/>
        </w:rPr>
        <w:t xml:space="preserve">בנסיבות אלה, תהליכי הפיקוח על עבודת הסנגורים החיצוניים שעליהם אמונים מחוזות הסנגוריה, חיוניים להבטחת מתן ייצוג הולם ללקוחות הסנגוריה, אך הם נעשים ללא תיאום בין-מחוזי, ללא מתכונת מובנית ומחייבת, ללא כלים ומדדים להערכת ביצוע מהימנה ומתוקפת של עבודת הסנגורים, ללא תדירות אפקטיבית ובלי שמתקיים משוב או סקר שביעות רצון בקרב לקוחות הסנגוריה. מידת המועילות של הפיקוח הוטלה בספק כבר לפני למעלה מעשור, אולם ליקויים שנמצאו בתחום זה לא תוקנו. מומלץ שהסנגוריה תטמיע את דגם הפיקוח החדש שאותו פעלה לקדם בשנים האחרונות ותכלול בו גם הליכי משוב שוטף סדורים על הסנגורים, תסדיר בנוהל מחייב את תהליכי הפיקוח ותדירותם, תגדיר תנאי כשירות לביצוע תפקיד רפרנט פיקוח, ותעמיד לרשות הסנגורים הפנימיים (עובדי המדינה) המפקחים על הסנגורים החיצוניים את הכלים הנדרשים לכך, בדגש על הכשרה מקצועית מתאימה. </w:t>
      </w:r>
    </w:p>
    <w:p w:rsidR="00734173" w:rsidRPr="00734173" w:rsidP="00734173">
      <w:pPr>
        <w:spacing w:after="120" w:line="288" w:lineRule="auto"/>
        <w:ind w:left="-851" w:right="-567"/>
        <w:rPr>
          <w:rFonts w:ascii="Tahoma" w:eastAsia="Calibri" w:hAnsi="Tahoma" w:cs="Tahoma"/>
          <w:sz w:val="19"/>
          <w:szCs w:val="19"/>
          <w:rtl/>
        </w:rPr>
      </w:pPr>
      <w:r w:rsidRPr="00734173">
        <w:rPr>
          <w:rFonts w:ascii="Tahoma" w:eastAsia="Calibri" w:hAnsi="Tahoma" w:cs="Tahoma"/>
          <w:sz w:val="19"/>
          <w:szCs w:val="19"/>
          <w:rtl/>
        </w:rPr>
        <w:t>עוד מומלץ כי משרד המשפטים יחד עם הסנגוריה יבחנו את שילובם של כלים טכנולוגיים מתקדמים ובהם כלי בינה מלאכותית (</w:t>
      </w:r>
      <w:r w:rsidRPr="00734173">
        <w:rPr>
          <w:rFonts w:ascii="Tahoma" w:eastAsia="Calibri" w:hAnsi="Tahoma" w:cs="Tahoma"/>
          <w:sz w:val="19"/>
          <w:szCs w:val="19"/>
        </w:rPr>
        <w:t>AI</w:t>
      </w:r>
      <w:r w:rsidRPr="00734173">
        <w:rPr>
          <w:rFonts w:ascii="Tahoma" w:eastAsia="Calibri" w:hAnsi="Tahoma" w:cs="Tahoma"/>
          <w:sz w:val="19"/>
          <w:szCs w:val="19"/>
          <w:rtl/>
        </w:rPr>
        <w:t xml:space="preserve">) בעבודתה השוטפת של הסנגוריה הציבורית, ובפרט בקשר למילוי חובתה בפיקוח ובקרה על תפקודם המקצועי של הסנגורים החיצוניים בניהול התיקים. </w:t>
      </w:r>
    </w:p>
    <w:p w:rsidR="00734173" w:rsidRPr="00734173" w:rsidP="00734173">
      <w:pPr>
        <w:spacing w:after="120" w:line="288" w:lineRule="auto"/>
        <w:ind w:left="-851" w:right="-567"/>
        <w:rPr>
          <w:rFonts w:ascii="Tahoma" w:eastAsia="Calibri" w:hAnsi="Tahoma" w:cs="Tahoma"/>
          <w:sz w:val="19"/>
          <w:szCs w:val="19"/>
          <w:rtl/>
        </w:rPr>
      </w:pPr>
      <w:r w:rsidRPr="00734173">
        <w:rPr>
          <w:rFonts w:ascii="Tahoma" w:eastAsia="Calibri" w:hAnsi="Tahoma" w:cs="Tahoma"/>
          <w:sz w:val="19"/>
          <w:szCs w:val="19"/>
          <w:rtl/>
        </w:rPr>
        <w:t xml:space="preserve">בהינתן מעמדה הערכי הייחודי של הסנגוריה עליה לוודא כי הסנגורים הציבוריים שומרים בקפידה על כללי האתיקה המקצועית של לשכת עורכי הדין, ובפרט בתפקודם מול הלקוחות, רשויות התביעה ובתי המשפט. לכן, ראוי שהסנגוריה תתעד את הטיפול בתלונות הגורמים והגופים האמורים על התנהגותם ותפקודם של הסנגורים, באופן המאפשר גישה לתיעוד ותבצע מעקב ובקרה בעניין הטיפול בהן. נוסף על כך, הסנגוריה נדרשת להבטיח כי נגישותם של עובדיה למידע רגיש נעשה בהרשאה חוקית, בכפוף לדיני אבטחת המידע והגנת הפרטיות, לרבות בנוגע ליישום כללי המידור המתחייבים, ובפרט במערכת הממוחשבת, לשם מניעת זליגת פרטים ונתונים לגורמים בלתי מורשים. </w:t>
      </w:r>
    </w:p>
    <w:p w:rsidR="00734173" w:rsidRPr="00734173" w:rsidP="00734173">
      <w:pPr>
        <w:spacing w:line="288" w:lineRule="auto"/>
        <w:ind w:left="-851" w:right="-567"/>
        <w:rPr>
          <w:rFonts w:eastAsia="Calibri"/>
        </w:rPr>
      </w:pPr>
      <w:r w:rsidRPr="00734173">
        <w:rPr>
          <w:rFonts w:ascii="Tahoma" w:eastAsia="Calibri" w:hAnsi="Tahoma" w:cs="Tahoma"/>
          <w:sz w:val="19"/>
          <w:szCs w:val="19"/>
          <w:rtl/>
        </w:rPr>
        <w:t xml:space="preserve">הבטחת איכות הייצוג, מתוך שמירה על משאבי הציבור, טיוב השקיפות בפעילותה של הסנגוריה ועמידה בחובות המוטלות עליה בחוק, היא ערובה למימוש ייעודה ותכלית הקמתה של הסנגוריה הציבורית. </w:t>
      </w:r>
    </w:p>
    <w:p w:rsidR="00734173" w:rsidRPr="00734173" w:rsidP="00734173">
      <w:pPr>
        <w:spacing w:line="288" w:lineRule="auto"/>
        <w:rPr>
          <w:rFonts w:eastAsia="Calibri"/>
        </w:rPr>
      </w:pPr>
    </w:p>
    <w:p w:rsidR="00734173" w:rsidRPr="00734173" w:rsidP="00734173">
      <w:pPr>
        <w:spacing w:line="288" w:lineRule="auto"/>
        <w:rPr>
          <w:rFonts w:eastAsia="Calibri"/>
        </w:rPr>
      </w:pPr>
    </w:p>
    <w:p w:rsidR="003B2B50" w:rsidRPr="00734173" w:rsidP="003B2B50">
      <w:pPr>
        <w:rPr>
          <w:rFonts w:eastAsia="Calibri"/>
          <w:sz w:val="22"/>
          <w:szCs w:val="22"/>
          <w:rtl/>
        </w:rPr>
      </w:pPr>
    </w:p>
    <w:p w:rsidR="003B2B50" w:rsidRPr="003B2B50" w:rsidP="003B2B50">
      <w:pPr>
        <w:spacing w:after="60" w:line="288" w:lineRule="auto"/>
        <w:ind w:left="-709" w:right="-567"/>
        <w:rPr>
          <w:rFonts w:ascii="Tahoma" w:eastAsia="Calibri" w:hAnsi="Tahoma" w:cs="Tahoma"/>
          <w:sz w:val="19"/>
          <w:szCs w:val="19"/>
          <w:rtl/>
        </w:rPr>
      </w:pPr>
    </w:p>
    <w:bookmarkEnd w:id="1"/>
    <w:p w:rsidR="003B2B50" w:rsidRPr="003B2B50" w:rsidP="00B425ED">
      <w:pPr>
        <w:keepNext/>
        <w:keepLines/>
        <w:spacing w:line="269" w:lineRule="auto"/>
        <w:rPr>
          <w:rFonts w:ascii="Tahoma" w:eastAsia="Calibri" w:hAnsi="Tahoma" w:cs="Tahoma"/>
          <w:b/>
          <w:bCs/>
          <w:sz w:val="19"/>
          <w:szCs w:val="19"/>
          <w:rtl/>
        </w:rPr>
      </w:pPr>
    </w:p>
    <w:sectPr w:rsidSect="006C2C6D">
      <w:headerReference w:type="first" r:id="rId23"/>
      <w:pgSz w:w="11906" w:h="16838"/>
      <w:pgMar w:top="1701" w:right="1985" w:bottom="1588" w:left="1701" w:header="709" w:footer="709" w:gutter="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22E2">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2186305</wp:posOffset>
              </wp:positionH>
              <wp:positionV relativeFrom="paragraph">
                <wp:posOffset>-1106170</wp:posOffset>
              </wp:positionV>
              <wp:extent cx="2959100" cy="273050"/>
              <wp:effectExtent l="0" t="0" r="0" b="0"/>
              <wp:wrapNone/>
              <wp:docPr id="10" name="תיבת טקסט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2959100" cy="273050"/>
                      </a:xfrm>
                      <a:prstGeom prst="rect">
                        <a:avLst/>
                      </a:prstGeom>
                      <a:noFill/>
                      <a:ln w="6350">
                        <a:noFill/>
                      </a:ln>
                    </wps:spPr>
                    <wps:txbx>
                      <w:txbxContent>
                        <w:p w:rsidR="00A222E2" w:rsidRPr="00A222E2" w:rsidP="00A222E2">
                          <w:pPr>
                            <w:jc w:val="center"/>
                            <w:rPr>
                              <w:rFonts w:ascii="Calibri" w:hAnsi="Calibri" w:cs="Calibri"/>
                              <w:color w:val="FFFFFF" w:themeColor="background1"/>
                              <w:spacing w:val="80"/>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תיבת טקסט 10" o:spid="_x0000_s2063" type="#_x0000_t202" style="width:233pt;height:21.5pt;margin-top:-87.1pt;margin-left:172.15pt;mso-position-horizontal-relative:page;mso-wrap-distance-bottom:0;mso-wrap-distance-left:9pt;mso-wrap-distance-right:9pt;mso-wrap-distance-top:0;mso-wrap-style:square;position:absolute;visibility:visible;v-text-anchor:top;z-index:251659264" filled="f" stroked="f" strokeweight="0.5pt">
              <v:textbox>
                <w:txbxContent>
                  <w:p w:rsidR="00A222E2" w:rsidRPr="00A222E2" w:rsidP="00A222E2">
                    <w:pPr>
                      <w:jc w:val="center"/>
                      <w:rPr>
                        <w:rFonts w:ascii="Calibri" w:hAnsi="Calibri" w:cs="Calibri"/>
                        <w:color w:val="FFFFFF" w:themeColor="background1"/>
                        <w:spacing w:val="80"/>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3F7845" w:rsidP="00C23CC9">
      <w:pPr>
        <w:spacing w:line="240" w:lineRule="auto"/>
      </w:pPr>
      <w:r>
        <w:separator/>
      </w:r>
    </w:p>
  </w:footnote>
  <w:footnote w:type="continuationSeparator" w:id="1">
    <w:p w:rsidR="003F7845" w:rsidP="00C23CC9">
      <w:pPr>
        <w:spacing w:line="240" w:lineRule="auto"/>
      </w:pPr>
      <w:r>
        <w:continuationSeparator/>
      </w:r>
    </w:p>
  </w:footnote>
  <w:footnote w:id="2">
    <w:p w:rsidR="00734173" w:rsidP="00734173">
      <w:pPr>
        <w:pStyle w:val="FootnoteText"/>
        <w:rPr>
          <w:rtl/>
        </w:rPr>
      </w:pPr>
      <w:r>
        <w:rPr>
          <w:rStyle w:val="FootnoteReference1"/>
        </w:rPr>
        <w:footnoteRef/>
      </w:r>
      <w:r>
        <w:rPr>
          <w:rFonts w:hint="cs"/>
          <w:rtl/>
        </w:rPr>
        <w:t xml:space="preserve"> </w:t>
      </w:r>
      <w:r>
        <w:rPr>
          <w:rtl/>
        </w:rPr>
        <w:tab/>
      </w:r>
      <w:r w:rsidRPr="00735F4D">
        <w:rPr>
          <w:rFonts w:ascii="Tahoma" w:hAnsi="Tahoma" w:cs="Tahoma" w:hint="cs"/>
          <w:sz w:val="16"/>
          <w:szCs w:val="16"/>
          <w:rtl/>
        </w:rPr>
        <w:t>מחוזות דרום, תל אביב, ירושלים, מרכז, חיפה וצפון.</w:t>
      </w:r>
    </w:p>
  </w:footnote>
  <w:footnote w:id="3">
    <w:p w:rsidR="00734173" w:rsidRPr="000876C1" w:rsidP="00734173">
      <w:pPr>
        <w:pStyle w:val="FootnoteText"/>
        <w:ind w:left="708" w:right="-567" w:hanging="708"/>
        <w:rPr>
          <w:rFonts w:ascii="Tahoma" w:hAnsi="Tahoma" w:cs="Tahoma"/>
          <w:sz w:val="16"/>
          <w:szCs w:val="16"/>
        </w:rPr>
      </w:pPr>
      <w:r>
        <w:rPr>
          <w:rStyle w:val="FootnoteReference1"/>
        </w:rPr>
        <w:footnoteRef/>
      </w:r>
      <w:r>
        <w:rPr>
          <w:rtl/>
        </w:rPr>
        <w:t xml:space="preserve"> </w:t>
      </w:r>
      <w:r>
        <w:rPr>
          <w:rFonts w:ascii="Tahoma" w:hAnsi="Tahoma" w:cs="Tahoma"/>
          <w:sz w:val="16"/>
          <w:szCs w:val="16"/>
          <w:rtl/>
        </w:rPr>
        <w:tab/>
      </w:r>
      <w:r>
        <w:rPr>
          <w:rFonts w:ascii="Tahoma" w:hAnsi="Tahoma" w:cs="Tahoma" w:hint="cs"/>
          <w:sz w:val="16"/>
          <w:szCs w:val="16"/>
          <w:rtl/>
        </w:rPr>
        <w:t xml:space="preserve">טיוטת </w:t>
      </w:r>
      <w:r w:rsidRPr="001D4CF3">
        <w:rPr>
          <w:rFonts w:ascii="Tahoma" w:hAnsi="Tahoma" w:cs="Tahoma"/>
          <w:sz w:val="16"/>
          <w:szCs w:val="16"/>
          <w:rtl/>
        </w:rPr>
        <w:t>תקנות הסנגוריה הציבורית (חובת תשלום של זכאים לייצוג)(תיקון), התשע"ח-2018</w:t>
      </w:r>
      <w:r w:rsidRPr="000876C1">
        <w:rPr>
          <w:rFonts w:ascii="Tahoma" w:hAnsi="Tahoma" w:cs="Tahoma" w:hint="cs"/>
          <w:sz w:val="16"/>
          <w:szCs w:val="16"/>
          <w:rtl/>
        </w:rPr>
        <w:t xml:space="preserve">, לתיקון </w:t>
      </w:r>
      <w:r>
        <w:rPr>
          <w:rFonts w:ascii="Tahoma" w:hAnsi="Tahoma" w:cs="Tahoma" w:hint="cs"/>
          <w:sz w:val="16"/>
          <w:szCs w:val="16"/>
          <w:rtl/>
        </w:rPr>
        <w:t xml:space="preserve">של </w:t>
      </w:r>
      <w:r w:rsidRPr="000876C1">
        <w:rPr>
          <w:rFonts w:ascii="Tahoma" w:hAnsi="Tahoma" w:cs="Tahoma"/>
          <w:sz w:val="16"/>
          <w:szCs w:val="16"/>
          <w:rtl/>
        </w:rPr>
        <w:t>תקנות הסנגוריה הציבורית (חובת תשלום של זכאים לייצוג), התשע"ב-2011 (תקנות האגרות)</w:t>
      </w:r>
      <w:r>
        <w:rPr>
          <w:rFonts w:ascii="Tahoma" w:hAnsi="Tahoma" w:cs="Tahoma" w:hint="cs"/>
          <w:sz w:val="16"/>
          <w:szCs w:val="16"/>
          <w:rtl/>
        </w:rPr>
        <w:t>.</w:t>
      </w:r>
    </w:p>
  </w:footnote>
  <w:footnote w:id="4">
    <w:p w:rsidR="00734173" w:rsidP="00734173">
      <w:pPr>
        <w:pStyle w:val="FootnoteText"/>
        <w:rPr>
          <w:rtl/>
        </w:rPr>
      </w:pPr>
      <w:r>
        <w:rPr>
          <w:rStyle w:val="FootnoteReference1"/>
        </w:rPr>
        <w:footnoteRef/>
      </w:r>
      <w:r>
        <w:rPr>
          <w:rtl/>
        </w:rPr>
        <w:t xml:space="preserve"> </w:t>
      </w:r>
      <w:r>
        <w:rPr>
          <w:rFonts w:ascii="Tahoma" w:hAnsi="Tahoma" w:cs="Tahoma"/>
          <w:b/>
          <w:sz w:val="16"/>
          <w:szCs w:val="16"/>
          <w:rtl/>
        </w:rPr>
        <w:tab/>
      </w:r>
      <w:r w:rsidRPr="001D4CF3">
        <w:rPr>
          <w:rFonts w:ascii="Tahoma" w:hAnsi="Tahoma" w:cs="Tahoma"/>
          <w:b/>
          <w:sz w:val="16"/>
          <w:szCs w:val="16"/>
          <w:rtl/>
        </w:rPr>
        <w:t>הסנגוריה הציבורית (שכר טרחה לסנגורים ציבוריים), התשנ"ו-1996</w:t>
      </w:r>
      <w:r>
        <w:rPr>
          <w:rFonts w:hint="cs"/>
          <w:rtl/>
        </w:rPr>
        <w:t>.</w:t>
      </w:r>
    </w:p>
  </w:footnote>
  <w:footnote w:id="5">
    <w:p w:rsidR="00734173" w:rsidP="00734173">
      <w:pPr>
        <w:pStyle w:val="FootnoteText"/>
        <w:rPr>
          <w:rtl/>
        </w:rPr>
      </w:pPr>
      <w:r>
        <w:rPr>
          <w:rStyle w:val="FootnoteReference1"/>
        </w:rPr>
        <w:footnoteRef/>
      </w:r>
      <w:r>
        <w:rPr>
          <w:rtl/>
        </w:rPr>
        <w:t xml:space="preserve"> </w:t>
      </w:r>
      <w:r>
        <w:rPr>
          <w:rFonts w:ascii="Tahoma" w:hAnsi="Tahoma" w:cs="Tahoma"/>
          <w:b/>
          <w:sz w:val="16"/>
          <w:szCs w:val="16"/>
          <w:rtl/>
        </w:rPr>
        <w:tab/>
      </w:r>
      <w:r w:rsidRPr="001D4CF3">
        <w:rPr>
          <w:rFonts w:ascii="Tahoma" w:hAnsi="Tahoma" w:cs="Tahoma"/>
          <w:b/>
          <w:sz w:val="16"/>
          <w:szCs w:val="16"/>
          <w:rtl/>
        </w:rPr>
        <w:t>תקנות הגנת הפרטיות (אבטחת מידע), התשע"ז-2017</w:t>
      </w:r>
      <w:r>
        <w:rPr>
          <w:rFonts w:ascii="Tahoma" w:hAnsi="Tahoma" w:cs="Tahoma" w:hint="cs"/>
          <w:b/>
          <w:sz w:val="16"/>
          <w:szCs w:val="16"/>
          <w:rtl/>
        </w:rPr>
        <w:t>.</w:t>
      </w:r>
      <w:r>
        <w:rPr>
          <w:rFonts w:ascii="Tahoma" w:hAnsi="Tahoma" w:cs="Tahoma"/>
          <w:sz w:val="19"/>
          <w:szCs w:val="19"/>
          <w:rtl/>
        </w:rPr>
        <w:t xml:space="preserve"> </w:t>
      </w:r>
    </w:p>
  </w:footnote>
  <w:footnote w:id="6">
    <w:p w:rsidR="00734173" w:rsidP="00734173">
      <w:pPr>
        <w:pStyle w:val="FootnoteText"/>
        <w:ind w:left="708" w:right="-567" w:hanging="708"/>
      </w:pPr>
      <w:r w:rsidRPr="00C05650">
        <w:rPr>
          <w:rStyle w:val="FootnoteReference1"/>
        </w:rPr>
        <w:footnoteRef/>
      </w:r>
      <w:r w:rsidRPr="00990092">
        <w:rPr>
          <w:rFonts w:ascii="Tahoma" w:hAnsi="Tahoma" w:cs="Tahoma"/>
          <w:b/>
          <w:sz w:val="16"/>
          <w:szCs w:val="16"/>
          <w:rtl/>
        </w:rPr>
        <w:t xml:space="preserve"> </w:t>
      </w:r>
      <w:r>
        <w:rPr>
          <w:rFonts w:ascii="Tahoma" w:hAnsi="Tahoma" w:cs="Tahoma"/>
          <w:b/>
          <w:sz w:val="16"/>
          <w:szCs w:val="16"/>
          <w:rtl/>
        </w:rPr>
        <w:tab/>
      </w:r>
      <w:r w:rsidRPr="00990092">
        <w:rPr>
          <w:rFonts w:ascii="Tahoma" w:hAnsi="Tahoma" w:cs="Tahoma"/>
          <w:b/>
          <w:sz w:val="16"/>
          <w:szCs w:val="16"/>
          <w:rtl/>
        </w:rPr>
        <w:t>מידע מהמוסד לביטוח לאומי, ממשרד התחבורה ומהרשות לרישום והסדר זכויות מקרקעין, כדי לבדוק, בהסכמת הלקוח, אם יש נכסים בבעלותו</w:t>
      </w:r>
      <w:r>
        <w:rPr>
          <w:rFonts w:hint="cs"/>
          <w:rtl/>
        </w:rPr>
        <w:t>.</w:t>
      </w:r>
      <w:r>
        <w:rPr>
          <w:rtl/>
        </w:rPr>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6F75" w:rsidRPr="0062451B" w:rsidP="001F4412">
    <w:pPr>
      <w:pStyle w:val="Header"/>
      <w:tabs>
        <w:tab w:val="clear" w:pos="8306"/>
        <w:tab w:val="right" w:pos="8504"/>
      </w:tabs>
      <w:ind w:right="-709"/>
      <w:jc w:val="right"/>
      <w:rPr>
        <w:rFonts w:asciiTheme="minorHAnsi" w:hAnsiTheme="minorHAnsi" w:cstheme="minorHAnsi"/>
        <w:color w:val="002060"/>
        <w:szCs w:val="20"/>
      </w:rPr>
    </w:pP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66432" behindDoc="0" locked="0" layoutInCell="1" allowOverlap="1">
              <wp:simplePos x="0" y="0"/>
              <wp:positionH relativeFrom="margin">
                <wp:posOffset>2520315</wp:posOffset>
              </wp:positionH>
              <wp:positionV relativeFrom="paragraph">
                <wp:posOffset>216535</wp:posOffset>
              </wp:positionV>
              <wp:extent cx="3500755" cy="285750"/>
              <wp:effectExtent l="0" t="0" r="0" b="0"/>
              <wp:wrapSquare wrapText="bothSides"/>
              <wp:docPr id="7"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500755" cy="285750"/>
                      </a:xfrm>
                      <a:prstGeom prst="rect">
                        <a:avLst/>
                      </a:prstGeom>
                      <a:noFill/>
                      <a:ln w="9525">
                        <a:noFill/>
                        <a:miter lim="800000"/>
                        <a:headEnd/>
                        <a:tailEnd/>
                      </a:ln>
                    </wps:spPr>
                    <wps:txbx>
                      <w:txbxContent>
                        <w:p w:rsidR="001E204F" w:rsidRPr="001E204F" w:rsidP="00354F9A">
                          <w:pPr>
                            <w:rPr>
                              <w:rFonts w:ascii="Calibri" w:hAnsi="Calibri" w:cs="Calibri"/>
                              <w:color w:val="002060"/>
                              <w:szCs w:val="20"/>
                              <w:rtl/>
                            </w:rPr>
                          </w:pPr>
                          <w:r w:rsidRPr="00734173">
                            <w:rPr>
                              <w:rFonts w:ascii="Calibri" w:hAnsi="Calibri" w:cs="Calibri"/>
                              <w:color w:val="002060"/>
                              <w:szCs w:val="20"/>
                              <w:rtl/>
                            </w:rPr>
                            <w:t>פעילות הסנגוריה הציבורית</w:t>
                          </w:r>
                          <w:r w:rsidRPr="00734173">
                            <w:rPr>
                              <w:rFonts w:ascii="Calibri" w:hAnsi="Calibri" w:cs="Calibri" w:hint="cs"/>
                              <w:color w:val="002060"/>
                              <w:szCs w:val="20"/>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2" o:spid="_x0000_s2049" type="#_x0000_t202" style="width:275.65pt;height:22.5pt;margin-top:17.05pt;margin-left:198.45pt;flip:x;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7456" filled="f" stroked="f">
              <v:textbox>
                <w:txbxContent>
                  <w:p w:rsidR="001E204F" w:rsidRPr="001E204F" w:rsidP="00354F9A">
                    <w:pPr>
                      <w:rPr>
                        <w:rFonts w:ascii="Calibri" w:hAnsi="Calibri" w:cs="Calibri"/>
                        <w:color w:val="002060"/>
                        <w:szCs w:val="20"/>
                        <w:rtl/>
                      </w:rPr>
                    </w:pPr>
                    <w:r w:rsidRPr="00734173">
                      <w:rPr>
                        <w:rFonts w:ascii="Calibri" w:hAnsi="Calibri" w:cs="Calibri"/>
                        <w:color w:val="002060"/>
                        <w:szCs w:val="20"/>
                        <w:rtl/>
                      </w:rPr>
                      <w:t>פעילות הסנגוריה הציבורית</w:t>
                    </w:r>
                    <w:r w:rsidRPr="00734173">
                      <w:rPr>
                        <w:rFonts w:ascii="Calibri" w:hAnsi="Calibri" w:cs="Calibri" w:hint="cs"/>
                        <w:color w:val="002060"/>
                        <w:szCs w:val="20"/>
                        <w:rtl/>
                      </w:rPr>
                      <w:t xml:space="preserve"> </w:t>
                    </w:r>
                  </w:p>
                </w:txbxContent>
              </v:textbox>
              <w10:wrap type="square"/>
            </v:shape>
          </w:pict>
        </mc:Fallback>
      </mc:AlternateContent>
    </w:r>
    <w:r w:rsidRPr="0062451B" w:rsidR="00CD0511">
      <w:rPr>
        <w:rFonts w:asciiTheme="minorHAnsi" w:hAnsiTheme="minorHAnsi" w:cs="Times New Roman"/>
        <w:noProof/>
        <w:color w:val="002060"/>
        <w:szCs w:val="20"/>
        <w:rtl/>
      </w:rPr>
      <mc:AlternateContent>
        <mc:Choice Requires="wps">
          <w:drawing>
            <wp:anchor distT="45720" distB="45720" distL="114300" distR="114300" simplePos="0" relativeHeight="251662336" behindDoc="0" locked="0" layoutInCell="1" allowOverlap="1">
              <wp:simplePos x="0" y="0"/>
              <wp:positionH relativeFrom="column">
                <wp:posOffset>1344930</wp:posOffset>
              </wp:positionH>
              <wp:positionV relativeFrom="paragraph">
                <wp:posOffset>-100965</wp:posOffset>
              </wp:positionV>
              <wp:extent cx="4675505" cy="285750"/>
              <wp:effectExtent l="0" t="0" r="0" b="0"/>
              <wp:wrapSquare wrapText="bothSides"/>
              <wp:docPr id="217"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4675505" cy="285750"/>
                      </a:xfrm>
                      <a:prstGeom prst="rect">
                        <a:avLst/>
                      </a:prstGeom>
                      <a:noFill/>
                      <a:ln w="9525">
                        <a:noFill/>
                        <a:miter lim="800000"/>
                        <a:headEnd/>
                        <a:tailEnd/>
                      </a:ln>
                    </wps:spPr>
                    <wps:txbx>
                      <w:txbxContent>
                        <w:p w:rsidR="0062451B" w:rsidRPr="0062451B">
                          <w:pPr>
                            <w:rPr>
                              <w:rFonts w:ascii="Calibri" w:hAnsi="Calibri" w:cs="Calibri"/>
                              <w:color w:val="002060"/>
                              <w:sz w:val="22"/>
                              <w:szCs w:val="22"/>
                              <w:rtl/>
                            </w:rPr>
                          </w:pPr>
                          <w:r w:rsidRPr="0062451B">
                            <w:rPr>
                              <w:rFonts w:ascii="Calibri" w:hAnsi="Calibri" w:cs="Calibri"/>
                              <w:color w:val="002060"/>
                              <w:sz w:val="22"/>
                              <w:szCs w:val="22"/>
                              <w:rtl/>
                            </w:rPr>
                            <w:t xml:space="preserve">דוח מבקר </w:t>
                          </w:r>
                          <w:r w:rsidRPr="0062451B" w:rsidR="008131AD">
                            <w:rPr>
                              <w:rFonts w:ascii="Calibri" w:hAnsi="Calibri" w:cs="Calibri"/>
                              <w:color w:val="002060"/>
                              <w:sz w:val="22"/>
                              <w:szCs w:val="22"/>
                              <w:rtl/>
                            </w:rPr>
                            <w:t>המדינה</w:t>
                          </w:r>
                          <w:r w:rsidR="008131AD">
                            <w:rPr>
                              <w:rFonts w:ascii="Calibri" w:hAnsi="Calibri" w:cs="Calibri" w:hint="cs"/>
                              <w:color w:val="002060"/>
                              <w:sz w:val="22"/>
                              <w:szCs w:val="22"/>
                              <w:rtl/>
                            </w:rPr>
                            <w:t xml:space="preserve"> </w:t>
                          </w:r>
                          <w:r w:rsidR="009802D2">
                            <w:rPr>
                              <w:rFonts w:ascii="Calibri" w:hAnsi="Calibri" w:cs="Calibri" w:hint="cs"/>
                              <w:color w:val="002060"/>
                              <w:sz w:val="22"/>
                              <w:szCs w:val="22"/>
                              <w:rtl/>
                            </w:rPr>
                            <w:t xml:space="preserve">| </w:t>
                          </w:r>
                          <w:r w:rsidRPr="00CD0511" w:rsidR="00CD0511">
                            <w:rPr>
                              <w:rFonts w:ascii="Calibri" w:hAnsi="Calibri" w:cs="Calibri"/>
                              <w:color w:val="002060"/>
                              <w:sz w:val="22"/>
                              <w:szCs w:val="22"/>
                              <w:rtl/>
                            </w:rPr>
                            <w:t>התמודדות המדינה עם סיכונים סביבתיים, טכנולוגיים וחברתיים</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0" type="#_x0000_t202" style="width:368.15pt;height:22.5pt;margin-top:-7.95pt;margin-left:105.9pt;flip:x;mso-height-percent:0;mso-height-relative:margin;mso-width-percent:0;mso-width-relative:margin;mso-wrap-distance-bottom:3.6pt;mso-wrap-distance-left:9pt;mso-wrap-distance-right:9pt;mso-wrap-distance-top:3.6pt;mso-wrap-style:square;position:absolute;visibility:visible;v-text-anchor:top;z-index:251663360" filled="f" stroked="f">
              <v:textbox>
                <w:txbxContent>
                  <w:p w:rsidR="0062451B" w:rsidRPr="0062451B">
                    <w:pPr>
                      <w:rPr>
                        <w:rFonts w:ascii="Calibri" w:hAnsi="Calibri" w:cs="Calibri"/>
                        <w:color w:val="002060"/>
                        <w:sz w:val="22"/>
                        <w:szCs w:val="22"/>
                        <w:rtl/>
                      </w:rPr>
                    </w:pPr>
                    <w:r w:rsidRPr="0062451B">
                      <w:rPr>
                        <w:rFonts w:ascii="Calibri" w:hAnsi="Calibri" w:cs="Calibri"/>
                        <w:color w:val="002060"/>
                        <w:sz w:val="22"/>
                        <w:szCs w:val="22"/>
                        <w:rtl/>
                      </w:rPr>
                      <w:t xml:space="preserve">דוח מבקר </w:t>
                    </w:r>
                    <w:r w:rsidRPr="0062451B" w:rsidR="008131AD">
                      <w:rPr>
                        <w:rFonts w:ascii="Calibri" w:hAnsi="Calibri" w:cs="Calibri"/>
                        <w:color w:val="002060"/>
                        <w:sz w:val="22"/>
                        <w:szCs w:val="22"/>
                        <w:rtl/>
                      </w:rPr>
                      <w:t>המדינה</w:t>
                    </w:r>
                    <w:r w:rsidR="008131AD">
                      <w:rPr>
                        <w:rFonts w:ascii="Calibri" w:hAnsi="Calibri" w:cs="Calibri" w:hint="cs"/>
                        <w:color w:val="002060"/>
                        <w:sz w:val="22"/>
                        <w:szCs w:val="22"/>
                        <w:rtl/>
                      </w:rPr>
                      <w:t xml:space="preserve"> </w:t>
                    </w:r>
                    <w:r w:rsidR="009802D2">
                      <w:rPr>
                        <w:rFonts w:ascii="Calibri" w:hAnsi="Calibri" w:cs="Calibri" w:hint="cs"/>
                        <w:color w:val="002060"/>
                        <w:sz w:val="22"/>
                        <w:szCs w:val="22"/>
                        <w:rtl/>
                      </w:rPr>
                      <w:t xml:space="preserve">| </w:t>
                    </w:r>
                    <w:r w:rsidRPr="00CD0511" w:rsidR="00CD0511">
                      <w:rPr>
                        <w:rFonts w:ascii="Calibri" w:hAnsi="Calibri" w:cs="Calibri"/>
                        <w:color w:val="002060"/>
                        <w:sz w:val="22"/>
                        <w:szCs w:val="22"/>
                        <w:rtl/>
                      </w:rPr>
                      <w:t>התמודדות המדינה עם סיכונים סביבתיים, טכנולוגיים וחברתיים</w:t>
                    </w:r>
                  </w:p>
                </w:txbxContent>
              </v:textbox>
              <w10:wrap type="square"/>
            </v:shape>
          </w:pict>
        </mc:Fallback>
      </mc:AlternateContent>
    </w:r>
    <w:r w:rsidR="00F954E4">
      <w:rPr>
        <w:rFonts w:asciiTheme="minorHAnsi" w:hAnsiTheme="minorHAnsi" w:cstheme="minorHAnsi"/>
        <w:noProof/>
        <w:color w:val="002060"/>
        <w:szCs w:val="20"/>
        <w:rtl/>
        <w:lang w:val="he-IL"/>
      </w:rPr>
      <mc:AlternateContent>
        <mc:Choice Requires="wps">
          <w:drawing>
            <wp:anchor distT="0" distB="0" distL="114300" distR="114300" simplePos="0" relativeHeight="251660288" behindDoc="0" locked="0" layoutInCell="1" allowOverlap="1">
              <wp:simplePos x="0" y="0"/>
              <wp:positionH relativeFrom="column">
                <wp:posOffset>-485140</wp:posOffset>
              </wp:positionH>
              <wp:positionV relativeFrom="paragraph">
                <wp:posOffset>221720</wp:posOffset>
              </wp:positionV>
              <wp:extent cx="6434455" cy="0"/>
              <wp:effectExtent l="0" t="0" r="0" b="0"/>
              <wp:wrapNone/>
              <wp:docPr id="4" name="מחבר ישר 4"/>
              <wp:cNvGraphicFramePr/>
              <a:graphic xmlns:a="http://schemas.openxmlformats.org/drawingml/2006/main">
                <a:graphicData uri="http://schemas.microsoft.com/office/word/2010/wordprocessingShape">
                  <wps:wsp xmlns:wps="http://schemas.microsoft.com/office/word/2010/wordprocessingShape">
                    <wps:cNvCnPr/>
                    <wps:spPr>
                      <a:xfrm flipV="1">
                        <a:off x="0" y="0"/>
                        <a:ext cx="6434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4" o:spid="_x0000_s2051" style="flip:y;mso-height-percent:0;mso-height-relative:margin;mso-width-percent:0;mso-width-relative:margin;mso-wrap-distance-bottom:0;mso-wrap-distance-left:9pt;mso-wrap-distance-right:9pt;mso-wrap-distance-top:0;mso-wrap-style:square;position:absolute;visibility:visible;z-index:251661312" from="-38.2pt,17.45pt" to="468.45pt,17.45pt" strokecolor="#4579b8"/>
          </w:pict>
        </mc:Fallback>
      </mc:AlternateContent>
    </w:r>
    <w:r w:rsidRPr="0062451B" w:rsidR="00F954E4">
      <w:rPr>
        <w:rFonts w:asciiTheme="minorHAnsi" w:hAnsiTheme="minorHAnsi" w:cs="Times New Roman"/>
        <w:noProof/>
        <w:color w:val="002060"/>
        <w:szCs w:val="20"/>
        <w:rtl/>
      </w:rPr>
      <mc:AlternateContent>
        <mc:Choice Requires="wps">
          <w:drawing>
            <wp:anchor distT="45720" distB="45720" distL="114300" distR="114300" simplePos="0" relativeHeight="251664384" behindDoc="1" locked="0" layoutInCell="1" allowOverlap="1">
              <wp:simplePos x="0" y="0"/>
              <wp:positionH relativeFrom="page">
                <wp:posOffset>515515</wp:posOffset>
              </wp:positionH>
              <wp:positionV relativeFrom="paragraph">
                <wp:posOffset>235585</wp:posOffset>
              </wp:positionV>
              <wp:extent cx="3164205" cy="285750"/>
              <wp:effectExtent l="0" t="0" r="0" b="0"/>
              <wp:wrapTight wrapText="bothSides">
                <wp:wrapPolygon>
                  <wp:start x="390" y="0"/>
                  <wp:lineTo x="390" y="20160"/>
                  <wp:lineTo x="21197" y="20160"/>
                  <wp:lineTo x="21197" y="0"/>
                  <wp:lineTo x="390" y="0"/>
                </wp:wrapPolygon>
              </wp:wrapTight>
              <wp:docPr id="6"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62451B" w:rsidRPr="0062451B" w:rsidP="0062451B">
                          <w:pPr>
                            <w:jc w:val="right"/>
                            <w:rPr>
                              <w:rFonts w:ascii="Calibri" w:hAnsi="Calibri" w:cs="Calibri"/>
                              <w:color w:val="002060"/>
                              <w:szCs w:val="20"/>
                              <w:rtl/>
                            </w:rPr>
                          </w:pPr>
                          <w:r>
                            <w:rPr>
                              <w:rFonts w:ascii="Calibri" w:hAnsi="Calibri" w:cs="Calibri" w:hint="cs"/>
                              <w:color w:val="002060"/>
                              <w:szCs w:val="20"/>
                              <w:rtl/>
                            </w:rPr>
                            <w:t>תמוז</w:t>
                          </w:r>
                          <w:r w:rsidRPr="00D125D2" w:rsidR="00B4321D">
                            <w:rPr>
                              <w:rFonts w:ascii="Calibri" w:hAnsi="Calibri" w:cs="Calibri" w:hint="cs"/>
                              <w:color w:val="002060"/>
                              <w:szCs w:val="20"/>
                              <w:rtl/>
                            </w:rPr>
                            <w:t xml:space="preserve"> התשפ"</w:t>
                          </w:r>
                          <w:r w:rsidRPr="00D125D2" w:rsidR="00D05C85">
                            <w:rPr>
                              <w:rFonts w:ascii="Calibri" w:hAnsi="Calibri" w:cs="Calibri" w:hint="cs"/>
                              <w:color w:val="002060"/>
                              <w:szCs w:val="20"/>
                              <w:rtl/>
                            </w:rPr>
                            <w:t>ו</w:t>
                          </w:r>
                          <w:r w:rsidRPr="00D125D2">
                            <w:rPr>
                              <w:rFonts w:ascii="Calibri" w:hAnsi="Calibri" w:cs="Calibri" w:hint="cs"/>
                              <w:color w:val="002060"/>
                              <w:szCs w:val="20"/>
                              <w:rtl/>
                            </w:rPr>
                            <w:t xml:space="preserve"> </w:t>
                          </w:r>
                          <w:r w:rsidRPr="00D125D2" w:rsidR="001E204F">
                            <w:rPr>
                              <w:rFonts w:asciiTheme="minorHAnsi" w:hAnsiTheme="minorHAnsi" w:cstheme="minorHAnsi"/>
                              <w:color w:val="002060"/>
                              <w:spacing w:val="20"/>
                              <w:sz w:val="22"/>
                              <w:szCs w:val="22"/>
                            </w:rPr>
                            <w:t xml:space="preserve"> </w:t>
                          </w:r>
                          <w:r w:rsidRPr="00D125D2" w:rsidR="001E204F">
                            <w:rPr>
                              <w:rFonts w:ascii="Wingdings" w:hAnsi="Wingdings" w:cstheme="minorHAnsi"/>
                              <w:color w:val="002060"/>
                              <w:spacing w:val="20"/>
                              <w:sz w:val="22"/>
                              <w:szCs w:val="22"/>
                            </w:rPr>
                            <w:sym w:font="Wingdings" w:char="F0A7"/>
                          </w:r>
                          <w:r w:rsidR="00D125D2">
                            <w:rPr>
                              <w:rFonts w:ascii="Calibri" w:hAnsi="Calibri" w:cs="Calibri" w:hint="cs"/>
                              <w:color w:val="002060"/>
                              <w:szCs w:val="20"/>
                              <w:rtl/>
                            </w:rPr>
                            <w:t>יוני</w:t>
                          </w:r>
                          <w:r w:rsidRPr="00D125D2" w:rsidR="0039415D">
                            <w:rPr>
                              <w:rFonts w:ascii="Calibri" w:hAnsi="Calibri" w:cs="Calibri" w:hint="cs"/>
                              <w:color w:val="002060"/>
                              <w:szCs w:val="20"/>
                              <w:rtl/>
                            </w:rPr>
                            <w:t xml:space="preserve"> 202</w:t>
                          </w:r>
                          <w:r w:rsidR="00D125D2">
                            <w:rPr>
                              <w:rFonts w:ascii="Calibri" w:hAnsi="Calibri" w:cs="Calibri" w:hint="cs"/>
                              <w:color w:val="002060"/>
                              <w:szCs w:val="20"/>
                              <w:rtl/>
                            </w:rPr>
                            <w:t>6</w:t>
                          </w:r>
                          <w:r w:rsidRPr="0062451B">
                            <w:rPr>
                              <w:rFonts w:ascii="Calibri" w:hAnsi="Calibri" w:cs="Calibri" w:hint="cs"/>
                              <w:color w:val="002060"/>
                              <w:szCs w:val="20"/>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2" type="#_x0000_t202" style="width:249.15pt;height:22.5pt;margin-top:18.55pt;margin-left:40.6pt;flip:x;mso-height-percent:0;mso-height-relative:margin;mso-position-horizontal-relative:page;mso-width-percent:0;mso-width-relative:margin;mso-wrap-distance-bottom:3.6pt;mso-wrap-distance-left:9pt;mso-wrap-distance-right:9pt;mso-wrap-distance-top:3.6pt;mso-wrap-style:square;position:absolute;visibility:visible;v-text-anchor:top;z-index:-251651072" filled="f" stroked="f">
              <v:textbox>
                <w:txbxContent>
                  <w:p w:rsidR="0062451B" w:rsidRPr="0062451B" w:rsidP="0062451B">
                    <w:pPr>
                      <w:jc w:val="right"/>
                      <w:rPr>
                        <w:rFonts w:ascii="Calibri" w:hAnsi="Calibri" w:cs="Calibri"/>
                        <w:color w:val="002060"/>
                        <w:szCs w:val="20"/>
                        <w:rtl/>
                      </w:rPr>
                    </w:pPr>
                    <w:r>
                      <w:rPr>
                        <w:rFonts w:ascii="Calibri" w:hAnsi="Calibri" w:cs="Calibri" w:hint="cs"/>
                        <w:color w:val="002060"/>
                        <w:szCs w:val="20"/>
                        <w:rtl/>
                      </w:rPr>
                      <w:t>תמוז</w:t>
                    </w:r>
                    <w:r w:rsidRPr="00D125D2" w:rsidR="00B4321D">
                      <w:rPr>
                        <w:rFonts w:ascii="Calibri" w:hAnsi="Calibri" w:cs="Calibri" w:hint="cs"/>
                        <w:color w:val="002060"/>
                        <w:szCs w:val="20"/>
                        <w:rtl/>
                      </w:rPr>
                      <w:t xml:space="preserve"> התשפ"</w:t>
                    </w:r>
                    <w:r w:rsidRPr="00D125D2" w:rsidR="00D05C85">
                      <w:rPr>
                        <w:rFonts w:ascii="Calibri" w:hAnsi="Calibri" w:cs="Calibri" w:hint="cs"/>
                        <w:color w:val="002060"/>
                        <w:szCs w:val="20"/>
                        <w:rtl/>
                      </w:rPr>
                      <w:t>ו</w:t>
                    </w:r>
                    <w:r w:rsidRPr="00D125D2">
                      <w:rPr>
                        <w:rFonts w:ascii="Calibri" w:hAnsi="Calibri" w:cs="Calibri" w:hint="cs"/>
                        <w:color w:val="002060"/>
                        <w:szCs w:val="20"/>
                        <w:rtl/>
                      </w:rPr>
                      <w:t xml:space="preserve"> </w:t>
                    </w:r>
                    <w:r w:rsidRPr="00D125D2" w:rsidR="001E204F">
                      <w:rPr>
                        <w:rFonts w:asciiTheme="minorHAnsi" w:hAnsiTheme="minorHAnsi" w:cstheme="minorHAnsi"/>
                        <w:color w:val="002060"/>
                        <w:spacing w:val="20"/>
                        <w:sz w:val="22"/>
                        <w:szCs w:val="22"/>
                      </w:rPr>
                      <w:t xml:space="preserve"> </w:t>
                    </w:r>
                    <w:r w:rsidRPr="00D125D2" w:rsidR="001E204F">
                      <w:rPr>
                        <w:rFonts w:ascii="Wingdings" w:hAnsi="Wingdings" w:cstheme="minorHAnsi"/>
                        <w:color w:val="002060"/>
                        <w:spacing w:val="20"/>
                        <w:sz w:val="22"/>
                        <w:szCs w:val="22"/>
                      </w:rPr>
                      <w:sym w:font="Wingdings" w:char="F0A7"/>
                    </w:r>
                    <w:r w:rsidR="00D125D2">
                      <w:rPr>
                        <w:rFonts w:ascii="Calibri" w:hAnsi="Calibri" w:cs="Calibri" w:hint="cs"/>
                        <w:color w:val="002060"/>
                        <w:szCs w:val="20"/>
                        <w:rtl/>
                      </w:rPr>
                      <w:t>יוני</w:t>
                    </w:r>
                    <w:r w:rsidRPr="00D125D2" w:rsidR="0039415D">
                      <w:rPr>
                        <w:rFonts w:ascii="Calibri" w:hAnsi="Calibri" w:cs="Calibri" w:hint="cs"/>
                        <w:color w:val="002060"/>
                        <w:szCs w:val="20"/>
                        <w:rtl/>
                      </w:rPr>
                      <w:t xml:space="preserve"> 202</w:t>
                    </w:r>
                    <w:r w:rsidR="00D125D2">
                      <w:rPr>
                        <w:rFonts w:ascii="Calibri" w:hAnsi="Calibri" w:cs="Calibri" w:hint="cs"/>
                        <w:color w:val="002060"/>
                        <w:szCs w:val="20"/>
                        <w:rtl/>
                      </w:rPr>
                      <w:t>6</w:t>
                    </w:r>
                    <w:r w:rsidRPr="0062451B">
                      <w:rPr>
                        <w:rFonts w:ascii="Calibri" w:hAnsi="Calibri" w:cs="Calibri" w:hint="cs"/>
                        <w:color w:val="002060"/>
                        <w:szCs w:val="20"/>
                        <w:rtl/>
                      </w:rPr>
                      <w:t xml:space="preserve"> </w:t>
                    </w:r>
                  </w:p>
                </w:txbxContent>
              </v:textbox>
              <w10:wrap type="tight"/>
            </v:shape>
          </w:pict>
        </mc:Fallback>
      </mc:AlternateConten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sidRPr="0062451B">
      <w:rPr>
        <w:rFonts w:asciiTheme="minorHAnsi" w:hAnsiTheme="minorHAnsi" w:cstheme="minorHAnsi"/>
        <w:noProof/>
        <w:color w:val="002060"/>
        <w:szCs w:val="20"/>
        <w:rtl/>
      </w:rPr>
      <w:t>2</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6F75">
    <w:pPr>
      <w:pStyle w:val="Header"/>
    </w:pPr>
    <w:r>
      <w:rPr>
        <w:noProof/>
      </w:rPr>
      <mc:AlternateContent>
        <mc:Choice Requires="wpg">
          <w:drawing>
            <wp:anchor distT="0" distB="0" distL="114300" distR="114300" simplePos="0" relativeHeight="251658240" behindDoc="0" locked="0" layoutInCell="1" allowOverlap="1">
              <wp:simplePos x="0" y="0"/>
              <wp:positionH relativeFrom="margin">
                <wp:align>center</wp:align>
              </wp:positionH>
              <wp:positionV relativeFrom="paragraph">
                <wp:posOffset>-464185</wp:posOffset>
              </wp:positionV>
              <wp:extent cx="2959100" cy="10690225"/>
              <wp:effectExtent l="0" t="0" r="0" b="0"/>
              <wp:wrapNone/>
              <wp:docPr id="52" name="קבוצה 52"/>
              <wp:cNvGraphicFramePr/>
              <a:graphic xmlns:a="http://schemas.openxmlformats.org/drawingml/2006/main">
                <a:graphicData uri="http://schemas.microsoft.com/office/word/2010/wordprocessingGroup">
                  <wpg:wgp xmlns:wpg="http://schemas.microsoft.com/office/word/2010/wordprocessingGroup">
                    <wpg:cNvGrpSpPr/>
                    <wpg:grpSpPr>
                      <a:xfrm>
                        <a:off x="0" y="0"/>
                        <a:ext cx="2959100" cy="10690225"/>
                        <a:chOff x="0" y="0"/>
                        <a:chExt cx="2959100" cy="10690225"/>
                      </a:xfrm>
                    </wpg:grpSpPr>
                    <wpg:grpSp>
                      <wpg:cNvPr id="53" name="קבוצה 53"/>
                      <wpg:cNvGrpSpPr/>
                      <wpg:grpSpPr>
                        <a:xfrm>
                          <a:off x="0" y="0"/>
                          <a:ext cx="2959100" cy="3009900"/>
                          <a:chOff x="0" y="0"/>
                          <a:chExt cx="2959100" cy="3009900"/>
                        </a:xfrm>
                      </wpg:grpSpPr>
                      <wps:wsp xmlns:wps="http://schemas.microsoft.com/office/word/2010/wordprocessingShape">
                        <wps:cNvPr id="54" name="מלבן 54"/>
                        <wps:cNvSpPr/>
                        <wps:spPr>
                          <a:xfrm>
                            <a:off x="628650" y="0"/>
                            <a:ext cx="1691005" cy="246380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pic:pic xmlns:pic="http://schemas.openxmlformats.org/drawingml/2006/picture">
                        <pic:nvPicPr>
                          <pic:cNvPr id="55" name="גרפיקה 55"/>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1038225" y="1438275"/>
                            <a:ext cx="871220" cy="570865"/>
                          </a:xfrm>
                          <a:prstGeom prst="rect">
                            <a:avLst/>
                          </a:prstGeom>
                        </pic:spPr>
                      </pic:pic>
                      <wps:wsp xmlns:wps="http://schemas.microsoft.com/office/word/2010/wordprocessingShape">
                        <wps:cNvPr id="56" name="מחבר ישר 56"/>
                        <wps:cNvCnPr/>
                        <wps:spPr>
                          <a:xfrm>
                            <a:off x="647700" y="3009900"/>
                            <a:ext cx="1676400"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57" name="תיבת טקסט 57"/>
                        <wps:cNvSpPr txBox="1"/>
                        <wps:spPr>
                          <a:xfrm>
                            <a:off x="0" y="2600325"/>
                            <a:ext cx="2959100" cy="273050"/>
                          </a:xfrm>
                          <a:prstGeom prst="rect">
                            <a:avLst/>
                          </a:prstGeom>
                          <a:noFill/>
                          <a:ln w="6350">
                            <a:noFill/>
                          </a:ln>
                        </wps:spPr>
                        <wps:txbx>
                          <w:txbxContent>
                            <w:p w:rsidR="0062451B" w:rsidRPr="00CD28D9" w:rsidP="0062451B">
                              <w:pPr>
                                <w:jc w:val="center"/>
                                <w:rPr>
                                  <w:rFonts w:ascii="Calibri" w:hAnsi="Calibri" w:cs="Calibri"/>
                                  <w:color w:val="002060"/>
                                  <w:spacing w:val="80"/>
                                </w:rPr>
                              </w:pPr>
                              <w:r w:rsidRPr="00CD28D9">
                                <w:rPr>
                                  <w:rFonts w:ascii="Calibri" w:hAnsi="Calibri" w:cs="Calibri"/>
                                  <w:color w:val="002060"/>
                                  <w:spacing w:val="80"/>
                                  <w:rtl/>
                                </w:rPr>
                                <w:t>דוח מבקר המדינה</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g:grpSp>
                    <wpg:grpSp>
                      <wpg:cNvPr id="58" name="קבוצה 58"/>
                      <wpg:cNvGrpSpPr/>
                      <wpg:grpSpPr>
                        <a:xfrm>
                          <a:off x="219075" y="8324850"/>
                          <a:ext cx="2512060" cy="2365375"/>
                          <a:chOff x="0" y="0"/>
                          <a:chExt cx="2512060" cy="2365375"/>
                        </a:xfrm>
                      </wpg:grpSpPr>
                      <wps:wsp xmlns:wps="http://schemas.microsoft.com/office/word/2010/wordprocessingShape">
                        <wps:cNvPr id="59" name="tbMMHF"/>
                        <wps:cNvSpPr txBox="1"/>
                        <wps:spPr>
                          <a:xfrm>
                            <a:off x="0" y="180975"/>
                            <a:ext cx="2512060" cy="304800"/>
                          </a:xfrm>
                          <a:prstGeom prst="rect">
                            <a:avLst/>
                          </a:prstGeom>
                          <a:solidFill>
                            <a:schemeClr val="bg1"/>
                          </a:solidFill>
                          <a:ln w="6350">
                            <a:noFill/>
                          </a:ln>
                        </wps:spPr>
                        <wps:txbx>
                          <w:txbxContent>
                            <w:p w:rsidR="0062451B" w:rsidRPr="0062451B" w:rsidP="0062451B">
                              <w:pPr>
                                <w:spacing w:line="240" w:lineRule="auto"/>
                                <w:jc w:val="center"/>
                                <w:rPr>
                                  <w:rFonts w:asciiTheme="minorHAnsi" w:hAnsiTheme="minorHAnsi" w:cstheme="minorHAnsi"/>
                                  <w:color w:val="002060"/>
                                  <w:spacing w:val="20"/>
                                  <w:sz w:val="22"/>
                                  <w:szCs w:val="22"/>
                                  <w:rtl/>
                                </w:rPr>
                              </w:pPr>
                              <w:r w:rsidRPr="00D125D2">
                                <w:rPr>
                                  <w:rFonts w:ascii="Wingdings" w:hAnsi="Wingdings" w:cstheme="minorHAnsi"/>
                                  <w:color w:val="002060"/>
                                  <w:spacing w:val="20"/>
                                  <w:sz w:val="22"/>
                                  <w:szCs w:val="22"/>
                                </w:rPr>
                                <w:sym w:font="Wingdings" w:char="F0A7"/>
                              </w:r>
                              <w:r w:rsidRPr="00D125D2">
                                <w:rPr>
                                  <w:rFonts w:asciiTheme="minorHAnsi" w:hAnsiTheme="minorHAnsi" w:cstheme="minorHAnsi"/>
                                  <w:color w:val="002060"/>
                                  <w:spacing w:val="20"/>
                                  <w:sz w:val="22"/>
                                  <w:szCs w:val="22"/>
                                  <w:rtl/>
                                </w:rPr>
                                <w:t xml:space="preserve"> </w:t>
                              </w:r>
                              <w:r w:rsidR="009802D2">
                                <w:rPr>
                                  <w:rFonts w:asciiTheme="minorHAnsi" w:hAnsiTheme="minorHAnsi" w:cstheme="minorHAnsi" w:hint="cs"/>
                                  <w:color w:val="002060"/>
                                  <w:spacing w:val="20"/>
                                  <w:sz w:val="22"/>
                                  <w:szCs w:val="22"/>
                                  <w:rtl/>
                                </w:rPr>
                                <w:t>תמוז</w:t>
                              </w:r>
                              <w:r w:rsidRPr="00D125D2">
                                <w:rPr>
                                  <w:rFonts w:asciiTheme="minorHAnsi" w:hAnsiTheme="minorHAnsi" w:cstheme="minorHAnsi"/>
                                  <w:color w:val="002060"/>
                                  <w:spacing w:val="20"/>
                                  <w:sz w:val="22"/>
                                  <w:szCs w:val="22"/>
                                  <w:rtl/>
                                </w:rPr>
                                <w:t xml:space="preserve"> התשפ"</w:t>
                              </w:r>
                              <w:r w:rsidRPr="00D125D2" w:rsidR="00D05C85">
                                <w:rPr>
                                  <w:rFonts w:asciiTheme="minorHAnsi" w:hAnsiTheme="minorHAnsi" w:cstheme="minorHAnsi" w:hint="cs"/>
                                  <w:color w:val="002060"/>
                                  <w:spacing w:val="20"/>
                                  <w:sz w:val="22"/>
                                  <w:szCs w:val="22"/>
                                  <w:rtl/>
                                </w:rPr>
                                <w:t>ו</w:t>
                              </w:r>
                              <w:r w:rsidRPr="00D125D2">
                                <w:rPr>
                                  <w:rFonts w:asciiTheme="minorHAnsi" w:hAnsiTheme="minorHAnsi" w:cstheme="minorHAnsi"/>
                                  <w:color w:val="002060"/>
                                  <w:spacing w:val="20"/>
                                  <w:sz w:val="22"/>
                                  <w:szCs w:val="22"/>
                                  <w:rtl/>
                                </w:rPr>
                                <w:t xml:space="preserve"> </w:t>
                              </w:r>
                              <w:r w:rsidRPr="00D125D2">
                                <w:rPr>
                                  <w:rFonts w:asciiTheme="minorHAnsi" w:hAnsiTheme="minorHAnsi" w:cstheme="minorHAnsi"/>
                                  <w:color w:val="002060"/>
                                  <w:spacing w:val="20"/>
                                  <w:sz w:val="22"/>
                                  <w:szCs w:val="22"/>
                                </w:rPr>
                                <w:t xml:space="preserve"> </w:t>
                              </w:r>
                              <w:r w:rsidRPr="00D125D2">
                                <w:rPr>
                                  <w:rFonts w:ascii="Wingdings" w:hAnsi="Wingdings" w:cstheme="minorHAnsi"/>
                                  <w:color w:val="002060"/>
                                  <w:spacing w:val="20"/>
                                  <w:sz w:val="22"/>
                                  <w:szCs w:val="22"/>
                                </w:rPr>
                                <w:sym w:font="Wingdings" w:char="F0A7"/>
                              </w:r>
                              <w:r w:rsidR="00D125D2">
                                <w:rPr>
                                  <w:rFonts w:asciiTheme="minorHAnsi" w:hAnsiTheme="minorHAnsi" w:cstheme="minorHAnsi" w:hint="cs"/>
                                  <w:color w:val="002060"/>
                                  <w:spacing w:val="20"/>
                                  <w:sz w:val="22"/>
                                  <w:szCs w:val="22"/>
                                  <w:rtl/>
                                </w:rPr>
                                <w:t>יוני</w:t>
                              </w:r>
                              <w:r w:rsidRPr="00D125D2" w:rsidR="00EE57E1">
                                <w:rPr>
                                  <w:rFonts w:asciiTheme="minorHAnsi" w:hAnsiTheme="minorHAnsi" w:cstheme="minorHAnsi" w:hint="cs"/>
                                  <w:color w:val="002060"/>
                                  <w:spacing w:val="20"/>
                                  <w:sz w:val="22"/>
                                  <w:szCs w:val="22"/>
                                  <w:rtl/>
                                </w:rPr>
                                <w:t xml:space="preserve"> </w:t>
                              </w:r>
                              <w:r w:rsidRPr="00D125D2">
                                <w:rPr>
                                  <w:rFonts w:asciiTheme="minorHAnsi" w:hAnsiTheme="minorHAnsi" w:cstheme="minorHAnsi" w:hint="cs"/>
                                  <w:color w:val="002060"/>
                                  <w:spacing w:val="20"/>
                                  <w:sz w:val="22"/>
                                  <w:szCs w:val="22"/>
                                  <w:rtl/>
                                </w:rPr>
                                <w:t>202</w:t>
                              </w:r>
                              <w:r w:rsidRPr="00D125D2" w:rsidR="00D125D2">
                                <w:rPr>
                                  <w:rFonts w:asciiTheme="minorHAnsi" w:hAnsiTheme="minorHAnsi" w:cstheme="minorHAnsi" w:hint="cs"/>
                                  <w:color w:val="002060"/>
                                  <w:spacing w:val="20"/>
                                  <w:sz w:val="22"/>
                                  <w:szCs w:val="22"/>
                                  <w:rtl/>
                                </w:rPr>
                                <w:t>6</w:t>
                              </w:r>
                              <w:r w:rsidRPr="00D125D2">
                                <w:rPr>
                                  <w:rFonts w:asciiTheme="minorHAnsi" w:hAnsiTheme="minorHAnsi" w:cstheme="minorHAnsi"/>
                                  <w:color w:val="002060"/>
                                  <w:spacing w:val="20"/>
                                  <w:sz w:val="22"/>
                                  <w:szCs w:val="22"/>
                                  <w:rtl/>
                                </w:rPr>
                                <w:t xml:space="preserve"> </w:t>
                              </w:r>
                              <w:r w:rsidRPr="00D125D2">
                                <w:rPr>
                                  <w:rFonts w:ascii="Wingdings" w:hAnsi="Wingdings" w:cstheme="minorHAnsi"/>
                                  <w:color w:val="002060"/>
                                  <w:spacing w:val="20"/>
                                  <w:sz w:val="22"/>
                                  <w:szCs w:val="22"/>
                                </w:rPr>
                                <w:sym w:font="Wingdings" w:char="F0A7"/>
                              </w:r>
                              <w:r w:rsidRPr="00D125D2">
                                <w:rPr>
                                  <w:rFonts w:asciiTheme="minorHAnsi" w:hAnsiTheme="minorHAnsi" w:cstheme="minorHAnsi"/>
                                  <w:color w:val="002060"/>
                                  <w:spacing w:val="20"/>
                                  <w:sz w:val="22"/>
                                  <w:szCs w:val="22"/>
                                </w:rPr>
                                <w:softHyphen/>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s:wsp xmlns:wps="http://schemas.microsoft.com/office/word/2010/wordprocessingShape">
                        <wps:cNvPr id="60" name="מחבר ישר 60"/>
                        <wps:cNvCnPr/>
                        <wps:spPr>
                          <a:xfrm>
                            <a:off x="428625" y="0"/>
                            <a:ext cx="1676400" cy="0"/>
                          </a:xfrm>
                          <a:prstGeom prst="line">
                            <a:avLst/>
                          </a:prstGeom>
                          <a:ln w="15875">
                            <a:solidFill>
                              <a:srgbClr val="002060"/>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61" name="מלבן 61"/>
                        <wps:cNvSpPr/>
                        <wps:spPr>
                          <a:xfrm>
                            <a:off x="409575" y="581025"/>
                            <a:ext cx="1691005" cy="178435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g:grpSp>
                  </wpg:wgp>
                </a:graphicData>
              </a:graphic>
            </wp:anchor>
          </w:drawing>
        </mc:Choice>
        <mc:Fallback>
          <w:pict>
            <v:group id="קבוצה 52" o:spid="_x0000_s2053" style="width:233pt;height:841.75pt;margin-top:-36.55pt;margin-left:0;mso-position-horizontal:center;mso-position-horizontal-relative:margin;position:absolute;z-index:251659264" coordsize="29591,106902">
              <v:group id="קבוצה 53" o:spid="_x0000_s2054" style="width:29591;height:30099;position:absolute" coordsize="29591,30099">
                <v:rect id="מלבן 54" o:spid="_x0000_s2055" style="width:16910;height:24638;left:6286;mso-wrap-style:square;position:absolute;visibility:visible;v-text-anchor:middle" fillcolor="#002060"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גרפיקה 55" o:spid="_x0000_s2056" type="#_x0000_t75" style="width:8712;height:5709;left:10382;mso-wrap-style:square;position:absolute;top:14382;visibility:visible">
                  <v:imagedata r:id="rId3" o:title=""/>
                </v:shape>
                <v:line id="מחבר ישר 56" o:spid="_x0000_s2057" style="mso-wrap-style:square;position:absolute;visibility:visible" from="6477,30099" to="23241,30099" o:connectortype="straight" strokecolor="#002060" strokeweight="2pt"/>
                <v:shapetype id="_x0000_t202" coordsize="21600,21600" o:spt="202" path="m,l,21600r21600,l21600,xe">
                  <v:stroke joinstyle="miter"/>
                  <v:path gradientshapeok="t" o:connecttype="rect"/>
                </v:shapetype>
                <v:shape id="תיבת טקסט 57" o:spid="_x0000_s2058" type="#_x0000_t202" style="width:29591;height:2730;mso-wrap-style:square;position:absolute;top:26003;visibility:visible;v-text-anchor:top" filled="f" stroked="f" strokeweight="0.5pt">
                  <v:textbox>
                    <w:txbxContent>
                      <w:p w:rsidR="0062451B" w:rsidRPr="00CD28D9" w:rsidP="0062451B">
                        <w:pPr>
                          <w:jc w:val="center"/>
                          <w:rPr>
                            <w:rFonts w:ascii="Calibri" w:hAnsi="Calibri" w:cs="Calibri"/>
                            <w:color w:val="002060"/>
                            <w:spacing w:val="80"/>
                          </w:rPr>
                        </w:pPr>
                        <w:r w:rsidRPr="00CD28D9">
                          <w:rPr>
                            <w:rFonts w:ascii="Calibri" w:hAnsi="Calibri" w:cs="Calibri"/>
                            <w:color w:val="002060"/>
                            <w:spacing w:val="80"/>
                            <w:rtl/>
                          </w:rPr>
                          <w:t>דוח מבקר המדינה</w:t>
                        </w:r>
                      </w:p>
                    </w:txbxContent>
                  </v:textbox>
                </v:shape>
              </v:group>
              <v:group id="קבוצה 58" o:spid="_x0000_s2059" style="width:25121;height:23654;left:2190;position:absolute;top:83248" coordsize="25120,23653">
                <v:shape id="tbMMHF" o:spid="_x0000_s2060" type="#_x0000_t202" style="width:25120;height:3048;mso-wrap-style:square;position:absolute;top:1809;visibility:visible;v-text-anchor:top" fillcolor="white" stroked="f" strokeweight="0.5pt">
                  <v:textbox>
                    <w:txbxContent>
                      <w:p w:rsidR="0062451B" w:rsidRPr="0062451B" w:rsidP="0062451B">
                        <w:pPr>
                          <w:spacing w:line="240" w:lineRule="auto"/>
                          <w:jc w:val="center"/>
                          <w:rPr>
                            <w:rFonts w:asciiTheme="minorHAnsi" w:hAnsiTheme="minorHAnsi" w:cstheme="minorHAnsi"/>
                            <w:color w:val="002060"/>
                            <w:spacing w:val="20"/>
                            <w:sz w:val="22"/>
                            <w:szCs w:val="22"/>
                            <w:rtl/>
                          </w:rPr>
                        </w:pPr>
                        <w:r w:rsidRPr="00D125D2">
                          <w:rPr>
                            <w:rFonts w:ascii="Wingdings" w:hAnsi="Wingdings" w:cstheme="minorHAnsi"/>
                            <w:color w:val="002060"/>
                            <w:spacing w:val="20"/>
                            <w:sz w:val="22"/>
                            <w:szCs w:val="22"/>
                          </w:rPr>
                          <w:sym w:font="Wingdings" w:char="F0A7"/>
                        </w:r>
                        <w:r w:rsidRPr="00D125D2">
                          <w:rPr>
                            <w:rFonts w:asciiTheme="minorHAnsi" w:hAnsiTheme="minorHAnsi" w:cstheme="minorHAnsi"/>
                            <w:color w:val="002060"/>
                            <w:spacing w:val="20"/>
                            <w:sz w:val="22"/>
                            <w:szCs w:val="22"/>
                            <w:rtl/>
                          </w:rPr>
                          <w:t xml:space="preserve"> </w:t>
                        </w:r>
                        <w:r w:rsidR="009802D2">
                          <w:rPr>
                            <w:rFonts w:asciiTheme="minorHAnsi" w:hAnsiTheme="minorHAnsi" w:cstheme="minorHAnsi" w:hint="cs"/>
                            <w:color w:val="002060"/>
                            <w:spacing w:val="20"/>
                            <w:sz w:val="22"/>
                            <w:szCs w:val="22"/>
                            <w:rtl/>
                          </w:rPr>
                          <w:t>תמוז</w:t>
                        </w:r>
                        <w:r w:rsidRPr="00D125D2">
                          <w:rPr>
                            <w:rFonts w:asciiTheme="minorHAnsi" w:hAnsiTheme="minorHAnsi" w:cstheme="minorHAnsi"/>
                            <w:color w:val="002060"/>
                            <w:spacing w:val="20"/>
                            <w:sz w:val="22"/>
                            <w:szCs w:val="22"/>
                            <w:rtl/>
                          </w:rPr>
                          <w:t xml:space="preserve"> התשפ"</w:t>
                        </w:r>
                        <w:r w:rsidRPr="00D125D2" w:rsidR="00D05C85">
                          <w:rPr>
                            <w:rFonts w:asciiTheme="minorHAnsi" w:hAnsiTheme="minorHAnsi" w:cstheme="minorHAnsi" w:hint="cs"/>
                            <w:color w:val="002060"/>
                            <w:spacing w:val="20"/>
                            <w:sz w:val="22"/>
                            <w:szCs w:val="22"/>
                            <w:rtl/>
                          </w:rPr>
                          <w:t>ו</w:t>
                        </w:r>
                        <w:r w:rsidRPr="00D125D2">
                          <w:rPr>
                            <w:rFonts w:asciiTheme="minorHAnsi" w:hAnsiTheme="minorHAnsi" w:cstheme="minorHAnsi"/>
                            <w:color w:val="002060"/>
                            <w:spacing w:val="20"/>
                            <w:sz w:val="22"/>
                            <w:szCs w:val="22"/>
                            <w:rtl/>
                          </w:rPr>
                          <w:t xml:space="preserve"> </w:t>
                        </w:r>
                        <w:r w:rsidRPr="00D125D2">
                          <w:rPr>
                            <w:rFonts w:asciiTheme="minorHAnsi" w:hAnsiTheme="minorHAnsi" w:cstheme="minorHAnsi"/>
                            <w:color w:val="002060"/>
                            <w:spacing w:val="20"/>
                            <w:sz w:val="22"/>
                            <w:szCs w:val="22"/>
                          </w:rPr>
                          <w:t xml:space="preserve"> </w:t>
                        </w:r>
                        <w:r w:rsidRPr="00D125D2">
                          <w:rPr>
                            <w:rFonts w:ascii="Wingdings" w:hAnsi="Wingdings" w:cstheme="minorHAnsi"/>
                            <w:color w:val="002060"/>
                            <w:spacing w:val="20"/>
                            <w:sz w:val="22"/>
                            <w:szCs w:val="22"/>
                          </w:rPr>
                          <w:sym w:font="Wingdings" w:char="F0A7"/>
                        </w:r>
                        <w:r w:rsidR="00D125D2">
                          <w:rPr>
                            <w:rFonts w:asciiTheme="minorHAnsi" w:hAnsiTheme="minorHAnsi" w:cstheme="minorHAnsi" w:hint="cs"/>
                            <w:color w:val="002060"/>
                            <w:spacing w:val="20"/>
                            <w:sz w:val="22"/>
                            <w:szCs w:val="22"/>
                            <w:rtl/>
                          </w:rPr>
                          <w:t>יוני</w:t>
                        </w:r>
                        <w:r w:rsidRPr="00D125D2" w:rsidR="00EE57E1">
                          <w:rPr>
                            <w:rFonts w:asciiTheme="minorHAnsi" w:hAnsiTheme="minorHAnsi" w:cstheme="minorHAnsi" w:hint="cs"/>
                            <w:color w:val="002060"/>
                            <w:spacing w:val="20"/>
                            <w:sz w:val="22"/>
                            <w:szCs w:val="22"/>
                            <w:rtl/>
                          </w:rPr>
                          <w:t xml:space="preserve"> </w:t>
                        </w:r>
                        <w:r w:rsidRPr="00D125D2">
                          <w:rPr>
                            <w:rFonts w:asciiTheme="minorHAnsi" w:hAnsiTheme="minorHAnsi" w:cstheme="minorHAnsi" w:hint="cs"/>
                            <w:color w:val="002060"/>
                            <w:spacing w:val="20"/>
                            <w:sz w:val="22"/>
                            <w:szCs w:val="22"/>
                            <w:rtl/>
                          </w:rPr>
                          <w:t>202</w:t>
                        </w:r>
                        <w:r w:rsidRPr="00D125D2" w:rsidR="00D125D2">
                          <w:rPr>
                            <w:rFonts w:asciiTheme="minorHAnsi" w:hAnsiTheme="minorHAnsi" w:cstheme="minorHAnsi" w:hint="cs"/>
                            <w:color w:val="002060"/>
                            <w:spacing w:val="20"/>
                            <w:sz w:val="22"/>
                            <w:szCs w:val="22"/>
                            <w:rtl/>
                          </w:rPr>
                          <w:t>6</w:t>
                        </w:r>
                        <w:r w:rsidRPr="00D125D2">
                          <w:rPr>
                            <w:rFonts w:asciiTheme="minorHAnsi" w:hAnsiTheme="minorHAnsi" w:cstheme="minorHAnsi"/>
                            <w:color w:val="002060"/>
                            <w:spacing w:val="20"/>
                            <w:sz w:val="22"/>
                            <w:szCs w:val="22"/>
                            <w:rtl/>
                          </w:rPr>
                          <w:t xml:space="preserve"> </w:t>
                        </w:r>
                        <w:r w:rsidRPr="00D125D2">
                          <w:rPr>
                            <w:rFonts w:ascii="Wingdings" w:hAnsi="Wingdings" w:cstheme="minorHAnsi"/>
                            <w:color w:val="002060"/>
                            <w:spacing w:val="20"/>
                            <w:sz w:val="22"/>
                            <w:szCs w:val="22"/>
                          </w:rPr>
                          <w:sym w:font="Wingdings" w:char="F0A7"/>
                        </w:r>
                        <w:r w:rsidRPr="00D125D2">
                          <w:rPr>
                            <w:rFonts w:asciiTheme="minorHAnsi" w:hAnsiTheme="minorHAnsi" w:cstheme="minorHAnsi"/>
                            <w:color w:val="002060"/>
                            <w:spacing w:val="20"/>
                            <w:sz w:val="22"/>
                            <w:szCs w:val="22"/>
                          </w:rPr>
                          <w:softHyphen/>
                        </w:r>
                      </w:p>
                    </w:txbxContent>
                  </v:textbox>
                </v:shape>
                <v:line id="מחבר ישר 60" o:spid="_x0000_s2061" style="mso-wrap-style:square;position:absolute;visibility:visible" from="4286,0" to="21050,0" o:connectortype="straight" strokecolor="#002060" strokeweight="1.25pt"/>
                <v:rect id="מלבן 61" o:spid="_x0000_s2062" style="width:16910;height:17843;left:4095;mso-wrap-style:square;position:absolute;top:5810;visibility:visible;v-text-anchor:middle" fillcolor="#002060" stroked="f" strokeweight="2pt"/>
              </v:group>
              <w10:wrap anchorx="margin"/>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125D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F4539" w:rsidRPr="003B2B50" w:rsidP="00EF4539">
    <w:pPr>
      <w:pStyle w:val="Header"/>
      <w:tabs>
        <w:tab w:val="clear" w:pos="8306"/>
        <w:tab w:val="right" w:pos="8504"/>
      </w:tabs>
      <w:ind w:right="-709"/>
      <w:jc w:val="right"/>
      <w:rPr>
        <w:rFonts w:ascii="Calibri" w:hAnsi="Calibri" w:cs="Calibri"/>
        <w:color w:val="002060"/>
        <w:szCs w:val="20"/>
      </w:rPr>
    </w:pPr>
    <w:r w:rsidRPr="003B2B50">
      <w:rPr>
        <w:rFonts w:ascii="Calibri" w:hAnsi="Calibri" w:cs="Times New Roman"/>
        <w:noProof/>
        <w:color w:val="002060"/>
        <w:szCs w:val="20"/>
        <w:rtl/>
      </w:rPr>
      <mc:AlternateContent>
        <mc:Choice Requires="wps">
          <w:drawing>
            <wp:anchor distT="45720" distB="45720" distL="114300" distR="114300" simplePos="0" relativeHeight="251670528" behindDoc="0" locked="0" layoutInCell="1" allowOverlap="1">
              <wp:simplePos x="0" y="0"/>
              <wp:positionH relativeFrom="column">
                <wp:posOffset>817880</wp:posOffset>
              </wp:positionH>
              <wp:positionV relativeFrom="paragraph">
                <wp:posOffset>-100965</wp:posOffset>
              </wp:positionV>
              <wp:extent cx="5202555" cy="285750"/>
              <wp:effectExtent l="0" t="0" r="0" b="0"/>
              <wp:wrapSquare wrapText="bothSides"/>
              <wp:docPr id="22"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5202555" cy="285750"/>
                      </a:xfrm>
                      <a:prstGeom prst="rect">
                        <a:avLst/>
                      </a:prstGeom>
                      <a:noFill/>
                      <a:ln w="9525">
                        <a:noFill/>
                        <a:miter lim="800000"/>
                        <a:headEnd/>
                        <a:tailEnd/>
                      </a:ln>
                    </wps:spPr>
                    <wps:txbx>
                      <w:txbxContent>
                        <w:p w:rsidR="00EF4539" w:rsidRPr="0062451B" w:rsidP="00EF4539">
                          <w:pPr>
                            <w:rPr>
                              <w:rFonts w:ascii="Calibri" w:hAnsi="Calibri" w:cs="Calibri"/>
                              <w:color w:val="002060"/>
                              <w:sz w:val="22"/>
                              <w:szCs w:val="22"/>
                              <w:rtl/>
                            </w:rPr>
                          </w:pPr>
                          <w:r w:rsidRPr="0010181C">
                            <w:rPr>
                              <w:rFonts w:ascii="Calibri" w:hAnsi="Calibri" w:cs="Calibri"/>
                              <w:color w:val="002060"/>
                              <w:sz w:val="22"/>
                              <w:szCs w:val="22"/>
                              <w:rtl/>
                            </w:rPr>
                            <w:t>מבקר המדינה | דוח מיוחד - התמודדות המדינה עם סיכונים סביבתיים, טכנולוגיים וחברתיים</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4" type="#_x0000_t202" style="width:409.65pt;height:22.5pt;margin-top:-7.95pt;margin-left:64.4pt;flip:x;mso-height-percent:0;mso-height-relative:margin;mso-width-percent:0;mso-width-relative:margin;mso-wrap-distance-bottom:3.6pt;mso-wrap-distance-left:9pt;mso-wrap-distance-right:9pt;mso-wrap-distance-top:3.6pt;mso-wrap-style:square;position:absolute;visibility:visible;v-text-anchor:top;z-index:251671552" filled="f" stroked="f">
              <v:textbox>
                <w:txbxContent>
                  <w:p w:rsidR="00EF4539" w:rsidRPr="0062451B" w:rsidP="00EF4539">
                    <w:pPr>
                      <w:rPr>
                        <w:rFonts w:ascii="Calibri" w:hAnsi="Calibri" w:cs="Calibri"/>
                        <w:color w:val="002060"/>
                        <w:sz w:val="22"/>
                        <w:szCs w:val="22"/>
                        <w:rtl/>
                      </w:rPr>
                    </w:pPr>
                    <w:r w:rsidRPr="0010181C">
                      <w:rPr>
                        <w:rFonts w:ascii="Calibri" w:hAnsi="Calibri" w:cs="Calibri"/>
                        <w:color w:val="002060"/>
                        <w:sz w:val="22"/>
                        <w:szCs w:val="22"/>
                        <w:rtl/>
                      </w:rPr>
                      <w:t>מבקר המדינה | דוח מיוחד - התמודדות המדינה עם סיכונים סביבתיים, טכנולוגיים וחברתיים</w:t>
                    </w:r>
                  </w:p>
                </w:txbxContent>
              </v:textbox>
              <w10:wrap type="square"/>
            </v:shape>
          </w:pict>
        </mc:Fallback>
      </mc:AlternateContent>
    </w:r>
    <w:r w:rsidRPr="003B2B50">
      <w:rPr>
        <w:rFonts w:ascii="Calibri" w:hAnsi="Calibri" w:cs="Calibri"/>
        <w:noProof/>
        <w:color w:val="002060"/>
        <w:szCs w:val="20"/>
        <w:rtl/>
        <w:lang w:val="he-IL"/>
      </w:rPr>
      <mc:AlternateContent>
        <mc:Choice Requires="wps">
          <w:drawing>
            <wp:anchor distT="0" distB="0" distL="114300" distR="114300" simplePos="0" relativeHeight="251668480" behindDoc="0" locked="0" layoutInCell="1" allowOverlap="1">
              <wp:simplePos x="0" y="0"/>
              <wp:positionH relativeFrom="column">
                <wp:posOffset>-485140</wp:posOffset>
              </wp:positionH>
              <wp:positionV relativeFrom="paragraph">
                <wp:posOffset>221720</wp:posOffset>
              </wp:positionV>
              <wp:extent cx="6434455" cy="0"/>
              <wp:effectExtent l="0" t="0" r="0" b="0"/>
              <wp:wrapNone/>
              <wp:docPr id="19" name="מחבר ישר 19"/>
              <wp:cNvGraphicFramePr/>
              <a:graphic xmlns:a="http://schemas.openxmlformats.org/drawingml/2006/main">
                <a:graphicData uri="http://schemas.microsoft.com/office/word/2010/wordprocessingShape">
                  <wps:wsp xmlns:wps="http://schemas.microsoft.com/office/word/2010/wordprocessingShape">
                    <wps:cNvCnPr/>
                    <wps:spPr>
                      <a:xfrm flipV="1">
                        <a:off x="0" y="0"/>
                        <a:ext cx="6434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19" o:spid="_x0000_s2065" style="flip:y;mso-height-percent:0;mso-height-relative:margin;mso-width-percent:0;mso-width-relative:margin;mso-wrap-distance-bottom:0;mso-wrap-distance-left:9pt;mso-wrap-distance-right:9pt;mso-wrap-distance-top:0;mso-wrap-style:square;position:absolute;visibility:visible;z-index:251669504" from="-38.2pt,17.45pt" to="468.45pt,17.45pt" strokecolor="#4579b8"/>
          </w:pict>
        </mc:Fallback>
      </mc:AlternateContent>
    </w:r>
    <w:r w:rsidRPr="003B2B50">
      <w:rPr>
        <w:rFonts w:ascii="Calibri" w:hAnsi="Calibri" w:cs="Times New Roman"/>
        <w:noProof/>
        <w:color w:val="002060"/>
        <w:szCs w:val="20"/>
        <w:rtl/>
      </w:rPr>
      <mc:AlternateContent>
        <mc:Choice Requires="wps">
          <w:drawing>
            <wp:anchor distT="45720" distB="45720" distL="114300" distR="114300" simplePos="0" relativeHeight="251672576" behindDoc="1" locked="0" layoutInCell="1" allowOverlap="1">
              <wp:simplePos x="0" y="0"/>
              <wp:positionH relativeFrom="page">
                <wp:posOffset>515515</wp:posOffset>
              </wp:positionH>
              <wp:positionV relativeFrom="paragraph">
                <wp:posOffset>235585</wp:posOffset>
              </wp:positionV>
              <wp:extent cx="3164205" cy="285750"/>
              <wp:effectExtent l="0" t="0" r="0" b="0"/>
              <wp:wrapTight wrapText="bothSides">
                <wp:wrapPolygon>
                  <wp:start x="390" y="0"/>
                  <wp:lineTo x="390" y="20160"/>
                  <wp:lineTo x="21197" y="20160"/>
                  <wp:lineTo x="21197" y="0"/>
                  <wp:lineTo x="390" y="0"/>
                </wp:wrapPolygon>
              </wp:wrapTight>
              <wp:docPr id="21"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EF4539" w:rsidRPr="0062451B" w:rsidP="00EF4539">
                          <w:pPr>
                            <w:jc w:val="right"/>
                            <w:rPr>
                              <w:rFonts w:ascii="Calibri" w:hAnsi="Calibri" w:cs="Calibri"/>
                              <w:color w:val="002060"/>
                              <w:szCs w:val="20"/>
                              <w:rtl/>
                            </w:rPr>
                          </w:pPr>
                          <w:r>
                            <w:rPr>
                              <w:rFonts w:ascii="Calibri" w:hAnsi="Calibri" w:cs="Calibri" w:hint="cs"/>
                              <w:color w:val="002060"/>
                              <w:szCs w:val="20"/>
                              <w:rtl/>
                            </w:rPr>
                            <w:t>תמוז</w:t>
                          </w:r>
                          <w:r w:rsidRPr="00D125D2">
                            <w:rPr>
                              <w:rFonts w:ascii="Calibri" w:hAnsi="Calibri" w:cs="Calibri" w:hint="cs"/>
                              <w:color w:val="002060"/>
                              <w:szCs w:val="20"/>
                              <w:rtl/>
                            </w:rPr>
                            <w:t xml:space="preserve"> התשפ"</w:t>
                          </w:r>
                          <w:r w:rsidRPr="00D125D2" w:rsidR="00D05C85">
                            <w:rPr>
                              <w:rFonts w:ascii="Calibri" w:hAnsi="Calibri" w:cs="Calibri" w:hint="cs"/>
                              <w:color w:val="002060"/>
                              <w:szCs w:val="20"/>
                              <w:rtl/>
                            </w:rPr>
                            <w:t>ו</w:t>
                          </w:r>
                          <w:r w:rsidRPr="00D125D2">
                            <w:rPr>
                              <w:rFonts w:ascii="Calibri" w:hAnsi="Calibri" w:cs="Calibri" w:hint="cs"/>
                              <w:color w:val="002060"/>
                              <w:szCs w:val="20"/>
                              <w:rtl/>
                            </w:rPr>
                            <w:t xml:space="preserve"> </w:t>
                          </w:r>
                          <w:r w:rsidRPr="003B2B50">
                            <w:rPr>
                              <w:rFonts w:ascii="Calibri" w:hAnsi="Calibri" w:cs="Calibri"/>
                              <w:color w:val="002060"/>
                              <w:spacing w:val="20"/>
                              <w:sz w:val="22"/>
                              <w:szCs w:val="22"/>
                            </w:rPr>
                            <w:t xml:space="preserve"> </w:t>
                          </w:r>
                          <w:r w:rsidRPr="003B2B50">
                            <w:rPr>
                              <w:rFonts w:ascii="Wingdings" w:hAnsi="Wingdings" w:cs="Calibri"/>
                              <w:color w:val="002060"/>
                              <w:spacing w:val="20"/>
                              <w:sz w:val="22"/>
                              <w:szCs w:val="22"/>
                            </w:rPr>
                            <w:sym w:font="Wingdings" w:char="F0A7"/>
                          </w:r>
                          <w:r w:rsidRPr="00D125D2" w:rsidR="00D125D2">
                            <w:rPr>
                              <w:rFonts w:ascii="Calibri" w:hAnsi="Calibri" w:cs="Calibri" w:hint="cs"/>
                              <w:color w:val="002060"/>
                              <w:szCs w:val="20"/>
                              <w:rtl/>
                            </w:rPr>
                            <w:t>יוני</w:t>
                          </w:r>
                          <w:r w:rsidRPr="00D125D2">
                            <w:rPr>
                              <w:rFonts w:ascii="Calibri" w:hAnsi="Calibri" w:cs="Calibri" w:hint="cs"/>
                              <w:color w:val="002060"/>
                              <w:szCs w:val="20"/>
                              <w:rtl/>
                            </w:rPr>
                            <w:t xml:space="preserve"> 202</w:t>
                          </w:r>
                          <w:r w:rsidRPr="00D125D2" w:rsidR="00D125D2">
                            <w:rPr>
                              <w:rFonts w:ascii="Calibri" w:hAnsi="Calibri" w:cs="Calibri" w:hint="cs"/>
                              <w:color w:val="002060"/>
                              <w:szCs w:val="20"/>
                              <w:rtl/>
                            </w:rPr>
                            <w:t>6</w:t>
                          </w:r>
                          <w:r w:rsidRPr="0062451B">
                            <w:rPr>
                              <w:rFonts w:ascii="Calibri" w:hAnsi="Calibri" w:cs="Calibri" w:hint="cs"/>
                              <w:color w:val="002060"/>
                              <w:szCs w:val="20"/>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66" type="#_x0000_t202" style="width:249.15pt;height:22.5pt;margin-top:18.55pt;margin-left:40.6pt;flip:x;mso-height-percent:0;mso-height-relative:margin;mso-position-horizontal-relative:page;mso-width-percent:0;mso-width-relative:margin;mso-wrap-distance-bottom:3.6pt;mso-wrap-distance-left:9pt;mso-wrap-distance-right:9pt;mso-wrap-distance-top:3.6pt;mso-wrap-style:square;position:absolute;visibility:visible;v-text-anchor:top;z-index:-251642880" filled="f" stroked="f">
              <v:textbox>
                <w:txbxContent>
                  <w:p w:rsidR="00EF4539" w:rsidRPr="0062451B" w:rsidP="00EF4539">
                    <w:pPr>
                      <w:jc w:val="right"/>
                      <w:rPr>
                        <w:rFonts w:ascii="Calibri" w:hAnsi="Calibri" w:cs="Calibri"/>
                        <w:color w:val="002060"/>
                        <w:szCs w:val="20"/>
                        <w:rtl/>
                      </w:rPr>
                    </w:pPr>
                    <w:r>
                      <w:rPr>
                        <w:rFonts w:ascii="Calibri" w:hAnsi="Calibri" w:cs="Calibri" w:hint="cs"/>
                        <w:color w:val="002060"/>
                        <w:szCs w:val="20"/>
                        <w:rtl/>
                      </w:rPr>
                      <w:t>תמוז</w:t>
                    </w:r>
                    <w:r w:rsidRPr="00D125D2">
                      <w:rPr>
                        <w:rFonts w:ascii="Calibri" w:hAnsi="Calibri" w:cs="Calibri" w:hint="cs"/>
                        <w:color w:val="002060"/>
                        <w:szCs w:val="20"/>
                        <w:rtl/>
                      </w:rPr>
                      <w:t xml:space="preserve"> התשפ"</w:t>
                    </w:r>
                    <w:r w:rsidRPr="00D125D2" w:rsidR="00D05C85">
                      <w:rPr>
                        <w:rFonts w:ascii="Calibri" w:hAnsi="Calibri" w:cs="Calibri" w:hint="cs"/>
                        <w:color w:val="002060"/>
                        <w:szCs w:val="20"/>
                        <w:rtl/>
                      </w:rPr>
                      <w:t>ו</w:t>
                    </w:r>
                    <w:r w:rsidRPr="00D125D2">
                      <w:rPr>
                        <w:rFonts w:ascii="Calibri" w:hAnsi="Calibri" w:cs="Calibri" w:hint="cs"/>
                        <w:color w:val="002060"/>
                        <w:szCs w:val="20"/>
                        <w:rtl/>
                      </w:rPr>
                      <w:t xml:space="preserve"> </w:t>
                    </w:r>
                    <w:r w:rsidRPr="003B2B50">
                      <w:rPr>
                        <w:rFonts w:ascii="Calibri" w:hAnsi="Calibri" w:cs="Calibri"/>
                        <w:color w:val="002060"/>
                        <w:spacing w:val="20"/>
                        <w:sz w:val="22"/>
                        <w:szCs w:val="22"/>
                      </w:rPr>
                      <w:t xml:space="preserve"> </w:t>
                    </w:r>
                    <w:r w:rsidRPr="003B2B50">
                      <w:rPr>
                        <w:rFonts w:ascii="Wingdings" w:hAnsi="Wingdings" w:cs="Calibri"/>
                        <w:color w:val="002060"/>
                        <w:spacing w:val="20"/>
                        <w:sz w:val="22"/>
                        <w:szCs w:val="22"/>
                      </w:rPr>
                      <w:sym w:font="Wingdings" w:char="F0A7"/>
                    </w:r>
                    <w:r w:rsidRPr="00D125D2" w:rsidR="00D125D2">
                      <w:rPr>
                        <w:rFonts w:ascii="Calibri" w:hAnsi="Calibri" w:cs="Calibri" w:hint="cs"/>
                        <w:color w:val="002060"/>
                        <w:szCs w:val="20"/>
                        <w:rtl/>
                      </w:rPr>
                      <w:t>יוני</w:t>
                    </w:r>
                    <w:r w:rsidRPr="00D125D2">
                      <w:rPr>
                        <w:rFonts w:ascii="Calibri" w:hAnsi="Calibri" w:cs="Calibri" w:hint="cs"/>
                        <w:color w:val="002060"/>
                        <w:szCs w:val="20"/>
                        <w:rtl/>
                      </w:rPr>
                      <w:t xml:space="preserve"> 202</w:t>
                    </w:r>
                    <w:r w:rsidRPr="00D125D2" w:rsidR="00D125D2">
                      <w:rPr>
                        <w:rFonts w:ascii="Calibri" w:hAnsi="Calibri" w:cs="Calibri" w:hint="cs"/>
                        <w:color w:val="002060"/>
                        <w:szCs w:val="20"/>
                        <w:rtl/>
                      </w:rPr>
                      <w:t>6</w:t>
                    </w:r>
                    <w:r w:rsidRPr="0062451B">
                      <w:rPr>
                        <w:rFonts w:ascii="Calibri" w:hAnsi="Calibri" w:cs="Calibri" w:hint="cs"/>
                        <w:color w:val="002060"/>
                        <w:szCs w:val="20"/>
                        <w:rtl/>
                      </w:rPr>
                      <w:t xml:space="preserve"> </w:t>
                    </w:r>
                  </w:p>
                </w:txbxContent>
              </v:textbox>
              <w10:wrap type="tight"/>
            </v:shape>
          </w:pict>
        </mc:Fallback>
      </mc:AlternateContent>
    </w:r>
    <w:r w:rsidRPr="003B2B50">
      <w:rPr>
        <w:rFonts w:ascii="Calibri" w:hAnsi="Calibri" w:cs="Calibri"/>
        <w:color w:val="002060"/>
        <w:szCs w:val="20"/>
        <w:rtl/>
      </w:rPr>
      <w:fldChar w:fldCharType="begin"/>
    </w:r>
    <w:r w:rsidRPr="003B2B50">
      <w:rPr>
        <w:rFonts w:ascii="Calibri" w:hAnsi="Calibri" w:cs="Calibri"/>
        <w:color w:val="002060"/>
        <w:szCs w:val="20"/>
        <w:rtl/>
      </w:rPr>
      <w:instrText xml:space="preserve"> </w:instrText>
    </w:r>
    <w:r w:rsidRPr="003B2B50">
      <w:rPr>
        <w:rFonts w:ascii="Calibri" w:hAnsi="Calibri" w:cs="Calibri"/>
        <w:color w:val="002060"/>
        <w:szCs w:val="20"/>
      </w:rPr>
      <w:instrText>PAGE</w:instrText>
    </w:r>
    <w:r w:rsidRPr="003B2B50">
      <w:rPr>
        <w:rFonts w:ascii="Calibri" w:hAnsi="Calibri" w:cs="Calibri"/>
        <w:color w:val="002060"/>
        <w:szCs w:val="20"/>
        <w:rtl/>
      </w:rPr>
      <w:instrText xml:space="preserve">  \* </w:instrText>
    </w:r>
    <w:r w:rsidRPr="003B2B50">
      <w:rPr>
        <w:rFonts w:ascii="Calibri" w:hAnsi="Calibri" w:cs="Calibri"/>
        <w:color w:val="002060"/>
        <w:szCs w:val="20"/>
      </w:rPr>
      <w:instrText>MERGEFORMAT</w:instrText>
    </w:r>
    <w:r w:rsidRPr="003B2B50">
      <w:rPr>
        <w:rFonts w:ascii="Calibri" w:hAnsi="Calibri" w:cs="Calibri"/>
        <w:color w:val="002060"/>
        <w:szCs w:val="20"/>
        <w:rtl/>
      </w:rPr>
      <w:instrText xml:space="preserve"> </w:instrText>
    </w:r>
    <w:r w:rsidRPr="003B2B50">
      <w:rPr>
        <w:rFonts w:ascii="Calibri" w:hAnsi="Calibri" w:cs="Calibri"/>
        <w:color w:val="002060"/>
        <w:szCs w:val="20"/>
        <w:rtl/>
      </w:rPr>
      <w:fldChar w:fldCharType="separate"/>
    </w:r>
    <w:r w:rsidRPr="003B2B50">
      <w:rPr>
        <w:rFonts w:ascii="Calibri" w:hAnsi="Calibri" w:cs="Calibri"/>
        <w:color w:val="002060"/>
        <w:szCs w:val="20"/>
        <w:rtl/>
      </w:rPr>
      <w:t>3</w:t>
    </w:r>
    <w:r w:rsidRPr="003B2B50">
      <w:rPr>
        <w:rFonts w:ascii="Calibri" w:hAnsi="Calibri" w:cs="Calibri"/>
        <w:color w:val="002060"/>
        <w:szCs w:val="20"/>
        <w:rtl/>
      </w:rPr>
      <w:fldChar w:fldCharType="end"/>
    </w:r>
    <w:r w:rsidRPr="003B2B50">
      <w:rPr>
        <w:rFonts w:ascii="Calibri" w:hAnsi="Calibri" w:cs="Calibri"/>
        <w:color w:val="002060"/>
        <w:szCs w:val="20"/>
        <w:rtl/>
      </w:rPr>
      <w:t xml:space="preserve"> </w:t>
    </w:r>
  </w:p>
  <w:p w:rsidR="00EF4539" w:rsidRPr="00EF4539" w:rsidP="00EF45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DC4758"/>
    <w:multiLevelType w:val="hybridMultilevel"/>
    <w:tmpl w:val="89945D14"/>
    <w:lvl w:ilvl="0">
      <w:start w:val="1"/>
      <w:numFmt w:val="decimal"/>
      <w:lvlText w:val="%1."/>
      <w:lvlJc w:val="left"/>
      <w:pPr>
        <w:ind w:left="360" w:hanging="360"/>
      </w:pPr>
      <w:rPr>
        <w:rFonts w:hint="default"/>
        <w:b/>
        <w:bCs w:val="0"/>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6EA5F43"/>
    <w:multiLevelType w:val="hybridMultilevel"/>
    <w:tmpl w:val="250C9E26"/>
    <w:lvl w:ilvl="0">
      <w:start w:val="1"/>
      <w:numFmt w:val="decimal"/>
      <w:lvlText w:val="%1."/>
      <w:lvlJc w:val="left"/>
      <w:pPr>
        <w:ind w:left="1080" w:hanging="360"/>
      </w:pPr>
      <w:rPr>
        <w:rFonts w:hint="default"/>
        <w:b/>
        <w:bCs/>
        <w:sz w:val="26"/>
        <w:lang w:bidi="he-IL"/>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88216AB"/>
    <w:multiLevelType w:val="hybridMultilevel"/>
    <w:tmpl w:val="BB7ADECA"/>
    <w:lvl w:ilvl="0">
      <w:start w:val="1"/>
      <w:numFmt w:val="hebrew1"/>
      <w:pStyle w:val="15"/>
      <w:lvlText w:val="%1."/>
      <w:lvlJc w:val="center"/>
      <w:pPr>
        <w:ind w:left="1915" w:hanging="360"/>
      </w:pPr>
    </w:lvl>
    <w:lvl w:ilvl="1" w:tentative="1">
      <w:start w:val="1"/>
      <w:numFmt w:val="lowerLetter"/>
      <w:lvlText w:val="%2."/>
      <w:lvlJc w:val="left"/>
      <w:pPr>
        <w:ind w:left="2635" w:hanging="360"/>
      </w:pPr>
    </w:lvl>
    <w:lvl w:ilvl="2" w:tentative="1">
      <w:start w:val="1"/>
      <w:numFmt w:val="lowerRoman"/>
      <w:lvlText w:val="%3."/>
      <w:lvlJc w:val="right"/>
      <w:pPr>
        <w:ind w:left="3355" w:hanging="180"/>
      </w:pPr>
    </w:lvl>
    <w:lvl w:ilvl="3" w:tentative="1">
      <w:start w:val="1"/>
      <w:numFmt w:val="decimal"/>
      <w:lvlText w:val="%4."/>
      <w:lvlJc w:val="left"/>
      <w:pPr>
        <w:ind w:left="4075" w:hanging="360"/>
      </w:pPr>
    </w:lvl>
    <w:lvl w:ilvl="4" w:tentative="1">
      <w:start w:val="1"/>
      <w:numFmt w:val="lowerLetter"/>
      <w:lvlText w:val="%5."/>
      <w:lvlJc w:val="left"/>
      <w:pPr>
        <w:ind w:left="4795" w:hanging="360"/>
      </w:pPr>
    </w:lvl>
    <w:lvl w:ilvl="5" w:tentative="1">
      <w:start w:val="1"/>
      <w:numFmt w:val="lowerRoman"/>
      <w:lvlText w:val="%6."/>
      <w:lvlJc w:val="right"/>
      <w:pPr>
        <w:ind w:left="5515" w:hanging="180"/>
      </w:pPr>
    </w:lvl>
    <w:lvl w:ilvl="6" w:tentative="1">
      <w:start w:val="1"/>
      <w:numFmt w:val="decimal"/>
      <w:lvlText w:val="%7."/>
      <w:lvlJc w:val="left"/>
      <w:pPr>
        <w:ind w:left="6235" w:hanging="360"/>
      </w:pPr>
    </w:lvl>
    <w:lvl w:ilvl="7" w:tentative="1">
      <w:start w:val="1"/>
      <w:numFmt w:val="lowerLetter"/>
      <w:lvlText w:val="%8."/>
      <w:lvlJc w:val="left"/>
      <w:pPr>
        <w:ind w:left="6955" w:hanging="360"/>
      </w:pPr>
    </w:lvl>
    <w:lvl w:ilvl="8" w:tentative="1">
      <w:start w:val="1"/>
      <w:numFmt w:val="lowerRoman"/>
      <w:lvlText w:val="%9."/>
      <w:lvlJc w:val="right"/>
      <w:pPr>
        <w:ind w:left="7675" w:hanging="180"/>
      </w:pPr>
    </w:lvl>
  </w:abstractNum>
  <w:abstractNum w:abstractNumId="3">
    <w:nsid w:val="09B2143F"/>
    <w:multiLevelType w:val="hybridMultilevel"/>
    <w:tmpl w:val="8ADC9608"/>
    <w:lvl w:ilvl="0">
      <w:start w:val="1"/>
      <w:numFmt w:val="hebrew1"/>
      <w:lvlText w:val="%1."/>
      <w:lvlJc w:val="left"/>
      <w:pPr>
        <w:ind w:left="672" w:hanging="360"/>
      </w:pPr>
      <w:rPr>
        <w:rFonts w:hint="default"/>
        <w:b w:val="0"/>
        <w:bCs w:val="0"/>
      </w:rPr>
    </w:lvl>
    <w:lvl w:ilvl="1" w:tentative="1">
      <w:start w:val="1"/>
      <w:numFmt w:val="lowerLetter"/>
      <w:lvlText w:val="%2."/>
      <w:lvlJc w:val="left"/>
      <w:pPr>
        <w:ind w:left="1392" w:hanging="360"/>
      </w:pPr>
    </w:lvl>
    <w:lvl w:ilvl="2" w:tentative="1">
      <w:start w:val="1"/>
      <w:numFmt w:val="lowerRoman"/>
      <w:lvlText w:val="%3."/>
      <w:lvlJc w:val="right"/>
      <w:pPr>
        <w:ind w:left="2112" w:hanging="180"/>
      </w:pPr>
    </w:lvl>
    <w:lvl w:ilvl="3" w:tentative="1">
      <w:start w:val="1"/>
      <w:numFmt w:val="decimal"/>
      <w:lvlText w:val="%4."/>
      <w:lvlJc w:val="left"/>
      <w:pPr>
        <w:ind w:left="2832" w:hanging="360"/>
      </w:pPr>
    </w:lvl>
    <w:lvl w:ilvl="4" w:tentative="1">
      <w:start w:val="1"/>
      <w:numFmt w:val="lowerLetter"/>
      <w:lvlText w:val="%5."/>
      <w:lvlJc w:val="left"/>
      <w:pPr>
        <w:ind w:left="3552" w:hanging="360"/>
      </w:pPr>
    </w:lvl>
    <w:lvl w:ilvl="5" w:tentative="1">
      <w:start w:val="1"/>
      <w:numFmt w:val="lowerRoman"/>
      <w:lvlText w:val="%6."/>
      <w:lvlJc w:val="right"/>
      <w:pPr>
        <w:ind w:left="4272" w:hanging="180"/>
      </w:pPr>
    </w:lvl>
    <w:lvl w:ilvl="6" w:tentative="1">
      <w:start w:val="1"/>
      <w:numFmt w:val="decimal"/>
      <w:lvlText w:val="%7."/>
      <w:lvlJc w:val="left"/>
      <w:pPr>
        <w:ind w:left="4992" w:hanging="360"/>
      </w:pPr>
    </w:lvl>
    <w:lvl w:ilvl="7" w:tentative="1">
      <w:start w:val="1"/>
      <w:numFmt w:val="lowerLetter"/>
      <w:lvlText w:val="%8."/>
      <w:lvlJc w:val="left"/>
      <w:pPr>
        <w:ind w:left="5712" w:hanging="360"/>
      </w:pPr>
    </w:lvl>
    <w:lvl w:ilvl="8" w:tentative="1">
      <w:start w:val="1"/>
      <w:numFmt w:val="lowerRoman"/>
      <w:lvlText w:val="%9."/>
      <w:lvlJc w:val="right"/>
      <w:pPr>
        <w:ind w:left="6432" w:hanging="180"/>
      </w:pPr>
    </w:lvl>
  </w:abstractNum>
  <w:abstractNum w:abstractNumId="4">
    <w:nsid w:val="1238325B"/>
    <w:multiLevelType w:val="hybridMultilevel"/>
    <w:tmpl w:val="3DFEBF72"/>
    <w:lvl w:ilvl="0">
      <w:start w:val="1"/>
      <w:numFmt w:val="hebrew1"/>
      <w:lvlText w:val="%1."/>
      <w:lvlJc w:val="left"/>
      <w:pPr>
        <w:ind w:left="672" w:hanging="360"/>
      </w:pPr>
      <w:rPr>
        <w:rFonts w:hint="default"/>
      </w:rPr>
    </w:lvl>
    <w:lvl w:ilvl="1" w:tentative="1">
      <w:start w:val="1"/>
      <w:numFmt w:val="lowerLetter"/>
      <w:lvlText w:val="%2."/>
      <w:lvlJc w:val="left"/>
      <w:pPr>
        <w:ind w:left="1392" w:hanging="360"/>
      </w:pPr>
    </w:lvl>
    <w:lvl w:ilvl="2" w:tentative="1">
      <w:start w:val="1"/>
      <w:numFmt w:val="lowerRoman"/>
      <w:lvlText w:val="%3."/>
      <w:lvlJc w:val="right"/>
      <w:pPr>
        <w:ind w:left="2112" w:hanging="180"/>
      </w:pPr>
    </w:lvl>
    <w:lvl w:ilvl="3" w:tentative="1">
      <w:start w:val="1"/>
      <w:numFmt w:val="decimal"/>
      <w:lvlText w:val="%4."/>
      <w:lvlJc w:val="left"/>
      <w:pPr>
        <w:ind w:left="2832" w:hanging="360"/>
      </w:pPr>
    </w:lvl>
    <w:lvl w:ilvl="4" w:tentative="1">
      <w:start w:val="1"/>
      <w:numFmt w:val="lowerLetter"/>
      <w:lvlText w:val="%5."/>
      <w:lvlJc w:val="left"/>
      <w:pPr>
        <w:ind w:left="3552" w:hanging="360"/>
      </w:pPr>
    </w:lvl>
    <w:lvl w:ilvl="5" w:tentative="1">
      <w:start w:val="1"/>
      <w:numFmt w:val="lowerRoman"/>
      <w:lvlText w:val="%6."/>
      <w:lvlJc w:val="right"/>
      <w:pPr>
        <w:ind w:left="4272" w:hanging="180"/>
      </w:pPr>
    </w:lvl>
    <w:lvl w:ilvl="6" w:tentative="1">
      <w:start w:val="1"/>
      <w:numFmt w:val="decimal"/>
      <w:lvlText w:val="%7."/>
      <w:lvlJc w:val="left"/>
      <w:pPr>
        <w:ind w:left="4992" w:hanging="360"/>
      </w:pPr>
    </w:lvl>
    <w:lvl w:ilvl="7" w:tentative="1">
      <w:start w:val="1"/>
      <w:numFmt w:val="lowerLetter"/>
      <w:lvlText w:val="%8."/>
      <w:lvlJc w:val="left"/>
      <w:pPr>
        <w:ind w:left="5712" w:hanging="360"/>
      </w:pPr>
    </w:lvl>
    <w:lvl w:ilvl="8" w:tentative="1">
      <w:start w:val="1"/>
      <w:numFmt w:val="lowerRoman"/>
      <w:lvlText w:val="%9."/>
      <w:lvlJc w:val="right"/>
      <w:pPr>
        <w:ind w:left="6432" w:hanging="180"/>
      </w:pPr>
    </w:lvl>
  </w:abstractNum>
  <w:abstractNum w:abstractNumId="5">
    <w:nsid w:val="1AA25FE5"/>
    <w:multiLevelType w:val="hybridMultilevel"/>
    <w:tmpl w:val="69CAE47C"/>
    <w:lvl w:ilvl="0">
      <w:start w:val="1"/>
      <w:numFmt w:val="decimal"/>
      <w:lvlText w:val="%1."/>
      <w:lvlJc w:val="left"/>
      <w:pPr>
        <w:ind w:left="360" w:hanging="360"/>
      </w:pPr>
      <w:rPr>
        <w:rFonts w:ascii="Tahoma" w:hAnsi="Tahoma" w:cs="Tahoma" w:hint="default"/>
        <w:b w:val="0"/>
        <w:bCs w:val="0"/>
        <w:sz w:val="19"/>
        <w:szCs w:val="19"/>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81B58F7"/>
    <w:multiLevelType w:val="hybridMultilevel"/>
    <w:tmpl w:val="9D44B6A4"/>
    <w:lvl w:ilvl="0">
      <w:start w:val="1"/>
      <w:numFmt w:val="decimal"/>
      <w:lvlText w:val="%1."/>
      <w:lvlJc w:val="left"/>
      <w:pPr>
        <w:ind w:left="217" w:hanging="360"/>
      </w:pPr>
      <w:rPr>
        <w:rFonts w:hint="default"/>
        <w:b/>
      </w:rPr>
    </w:lvl>
    <w:lvl w:ilvl="1" w:tentative="1">
      <w:start w:val="1"/>
      <w:numFmt w:val="lowerLetter"/>
      <w:lvlText w:val="%2."/>
      <w:lvlJc w:val="left"/>
      <w:pPr>
        <w:ind w:left="937" w:hanging="360"/>
      </w:pPr>
    </w:lvl>
    <w:lvl w:ilvl="2" w:tentative="1">
      <w:start w:val="1"/>
      <w:numFmt w:val="lowerRoman"/>
      <w:lvlText w:val="%3."/>
      <w:lvlJc w:val="right"/>
      <w:pPr>
        <w:ind w:left="1657" w:hanging="180"/>
      </w:pPr>
    </w:lvl>
    <w:lvl w:ilvl="3" w:tentative="1">
      <w:start w:val="1"/>
      <w:numFmt w:val="decimal"/>
      <w:lvlText w:val="%4."/>
      <w:lvlJc w:val="left"/>
      <w:pPr>
        <w:ind w:left="2377" w:hanging="360"/>
      </w:pPr>
    </w:lvl>
    <w:lvl w:ilvl="4" w:tentative="1">
      <w:start w:val="1"/>
      <w:numFmt w:val="lowerLetter"/>
      <w:lvlText w:val="%5."/>
      <w:lvlJc w:val="left"/>
      <w:pPr>
        <w:ind w:left="3097" w:hanging="360"/>
      </w:pPr>
    </w:lvl>
    <w:lvl w:ilvl="5" w:tentative="1">
      <w:start w:val="1"/>
      <w:numFmt w:val="lowerRoman"/>
      <w:lvlText w:val="%6."/>
      <w:lvlJc w:val="right"/>
      <w:pPr>
        <w:ind w:left="3817" w:hanging="180"/>
      </w:pPr>
    </w:lvl>
    <w:lvl w:ilvl="6" w:tentative="1">
      <w:start w:val="1"/>
      <w:numFmt w:val="decimal"/>
      <w:lvlText w:val="%7."/>
      <w:lvlJc w:val="left"/>
      <w:pPr>
        <w:ind w:left="4537" w:hanging="360"/>
      </w:pPr>
    </w:lvl>
    <w:lvl w:ilvl="7" w:tentative="1">
      <w:start w:val="1"/>
      <w:numFmt w:val="lowerLetter"/>
      <w:lvlText w:val="%8."/>
      <w:lvlJc w:val="left"/>
      <w:pPr>
        <w:ind w:left="5257" w:hanging="360"/>
      </w:pPr>
    </w:lvl>
    <w:lvl w:ilvl="8" w:tentative="1">
      <w:start w:val="1"/>
      <w:numFmt w:val="lowerRoman"/>
      <w:lvlText w:val="%9."/>
      <w:lvlJc w:val="right"/>
      <w:pPr>
        <w:ind w:left="5977" w:hanging="180"/>
      </w:pPr>
    </w:lvl>
  </w:abstractNum>
  <w:abstractNum w:abstractNumId="7">
    <w:nsid w:val="30D17255"/>
    <w:multiLevelType w:val="hybridMultilevel"/>
    <w:tmpl w:val="F1AE1FFC"/>
    <w:lvl w:ilvl="0">
      <w:start w:val="1"/>
      <w:numFmt w:val="decimal"/>
      <w:pStyle w:val="a39"/>
      <w:lvlText w:val="לוח %1:"/>
      <w:lvlJc w:val="left"/>
      <w:pPr>
        <w:ind w:left="185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8">
    <w:nsid w:val="316B14B9"/>
    <w:multiLevelType w:val="hybridMultilevel"/>
    <w:tmpl w:val="378E9214"/>
    <w:lvl w:ilvl="0">
      <w:start w:val="1"/>
      <w:numFmt w:val="decimal"/>
      <w:pStyle w:val="a37"/>
      <w:lvlText w:val="תמונה %1:"/>
      <w:lvlJc w:val="left"/>
      <w:pPr>
        <w:ind w:left="149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9">
    <w:nsid w:val="33A86F96"/>
    <w:multiLevelType w:val="hybridMultilevel"/>
    <w:tmpl w:val="220A2AB2"/>
    <w:lvl w:ilvl="0">
      <w:start w:val="1"/>
      <w:numFmt w:val="decimal"/>
      <w:pStyle w:val="a41"/>
      <w:lvlText w:val="מפה %1:"/>
      <w:lvlJc w:val="left"/>
      <w:pPr>
        <w:ind w:left="1858"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934" w:hanging="360"/>
      </w:pPr>
    </w:lvl>
    <w:lvl w:ilvl="2" w:tentative="1">
      <w:start w:val="1"/>
      <w:numFmt w:val="lowerRoman"/>
      <w:lvlText w:val="%3."/>
      <w:lvlJc w:val="right"/>
      <w:pPr>
        <w:ind w:left="3654" w:hanging="180"/>
      </w:pPr>
    </w:lvl>
    <w:lvl w:ilvl="3" w:tentative="1">
      <w:start w:val="1"/>
      <w:numFmt w:val="decimal"/>
      <w:lvlText w:val="%4."/>
      <w:lvlJc w:val="left"/>
      <w:pPr>
        <w:ind w:left="4374" w:hanging="360"/>
      </w:pPr>
    </w:lvl>
    <w:lvl w:ilvl="4" w:tentative="1">
      <w:start w:val="1"/>
      <w:numFmt w:val="lowerLetter"/>
      <w:lvlText w:val="%5."/>
      <w:lvlJc w:val="left"/>
      <w:pPr>
        <w:ind w:left="5094" w:hanging="360"/>
      </w:pPr>
    </w:lvl>
    <w:lvl w:ilvl="5" w:tentative="1">
      <w:start w:val="1"/>
      <w:numFmt w:val="lowerRoman"/>
      <w:lvlText w:val="%6."/>
      <w:lvlJc w:val="right"/>
      <w:pPr>
        <w:ind w:left="5814" w:hanging="180"/>
      </w:pPr>
    </w:lvl>
    <w:lvl w:ilvl="6" w:tentative="1">
      <w:start w:val="1"/>
      <w:numFmt w:val="decimal"/>
      <w:lvlText w:val="%7."/>
      <w:lvlJc w:val="left"/>
      <w:pPr>
        <w:ind w:left="6534" w:hanging="360"/>
      </w:pPr>
    </w:lvl>
    <w:lvl w:ilvl="7" w:tentative="1">
      <w:start w:val="1"/>
      <w:numFmt w:val="lowerLetter"/>
      <w:lvlText w:val="%8."/>
      <w:lvlJc w:val="left"/>
      <w:pPr>
        <w:ind w:left="7254" w:hanging="360"/>
      </w:pPr>
    </w:lvl>
    <w:lvl w:ilvl="8" w:tentative="1">
      <w:start w:val="1"/>
      <w:numFmt w:val="lowerRoman"/>
      <w:lvlText w:val="%9."/>
      <w:lvlJc w:val="right"/>
      <w:pPr>
        <w:ind w:left="7974" w:hanging="180"/>
      </w:pPr>
    </w:lvl>
  </w:abstractNum>
  <w:abstractNum w:abstractNumId="10">
    <w:nsid w:val="3A923526"/>
    <w:multiLevelType w:val="hybridMultilevel"/>
    <w:tmpl w:val="4E74417E"/>
    <w:lvl w:ilvl="0">
      <w:start w:val="1"/>
      <w:numFmt w:val="decimal"/>
      <w:pStyle w:val="a35"/>
      <w:lvlText w:val="תרשים %1:"/>
      <w:lvlJc w:val="left"/>
      <w:pPr>
        <w:ind w:left="149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11">
    <w:nsid w:val="40DC7E01"/>
    <w:multiLevelType w:val="hybridMultilevel"/>
    <w:tmpl w:val="5D24C320"/>
    <w:lvl w:ilvl="0">
      <w:start w:val="1"/>
      <w:numFmt w:val="decimal"/>
      <w:pStyle w:val="30"/>
      <w:lvlText w:val="%1.1.1"/>
      <w:lvlJc w:val="left"/>
      <w:pPr>
        <w:ind w:left="1854" w:hanging="360"/>
      </w:pPr>
      <w:rPr>
        <w:rFonts w:hint="default"/>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12">
    <w:nsid w:val="441A6670"/>
    <w:multiLevelType w:val="hybridMultilevel"/>
    <w:tmpl w:val="369C82D6"/>
    <w:lvl w:ilvl="0">
      <w:start w:val="1"/>
      <w:numFmt w:val="hebrew1"/>
      <w:pStyle w:val="32"/>
      <w:lvlText w:val="%1."/>
      <w:lvlJc w:val="center"/>
      <w:pPr>
        <w:ind w:left="2705" w:hanging="360"/>
      </w:pPr>
    </w:lvl>
    <w:lvl w:ilvl="1" w:tentative="1">
      <w:start w:val="1"/>
      <w:numFmt w:val="lowerLetter"/>
      <w:lvlText w:val="%2."/>
      <w:lvlJc w:val="left"/>
      <w:pPr>
        <w:ind w:left="3425" w:hanging="360"/>
      </w:pPr>
    </w:lvl>
    <w:lvl w:ilvl="2" w:tentative="1">
      <w:start w:val="1"/>
      <w:numFmt w:val="lowerRoman"/>
      <w:lvlText w:val="%3."/>
      <w:lvlJc w:val="right"/>
      <w:pPr>
        <w:ind w:left="4145" w:hanging="180"/>
      </w:pPr>
    </w:lvl>
    <w:lvl w:ilvl="3" w:tentative="1">
      <w:start w:val="1"/>
      <w:numFmt w:val="decimal"/>
      <w:lvlText w:val="%4."/>
      <w:lvlJc w:val="left"/>
      <w:pPr>
        <w:ind w:left="4865" w:hanging="360"/>
      </w:pPr>
    </w:lvl>
    <w:lvl w:ilvl="4" w:tentative="1">
      <w:start w:val="1"/>
      <w:numFmt w:val="lowerLetter"/>
      <w:lvlText w:val="%5."/>
      <w:lvlJc w:val="left"/>
      <w:pPr>
        <w:ind w:left="5585" w:hanging="360"/>
      </w:pPr>
    </w:lvl>
    <w:lvl w:ilvl="5" w:tentative="1">
      <w:start w:val="1"/>
      <w:numFmt w:val="lowerRoman"/>
      <w:lvlText w:val="%6."/>
      <w:lvlJc w:val="right"/>
      <w:pPr>
        <w:ind w:left="6305" w:hanging="180"/>
      </w:pPr>
    </w:lvl>
    <w:lvl w:ilvl="6" w:tentative="1">
      <w:start w:val="1"/>
      <w:numFmt w:val="decimal"/>
      <w:lvlText w:val="%7."/>
      <w:lvlJc w:val="left"/>
      <w:pPr>
        <w:ind w:left="7025" w:hanging="360"/>
      </w:pPr>
    </w:lvl>
    <w:lvl w:ilvl="7" w:tentative="1">
      <w:start w:val="1"/>
      <w:numFmt w:val="lowerLetter"/>
      <w:lvlText w:val="%8."/>
      <w:lvlJc w:val="left"/>
      <w:pPr>
        <w:ind w:left="7745" w:hanging="360"/>
      </w:pPr>
    </w:lvl>
    <w:lvl w:ilvl="8" w:tentative="1">
      <w:start w:val="1"/>
      <w:numFmt w:val="lowerRoman"/>
      <w:lvlText w:val="%9."/>
      <w:lvlJc w:val="right"/>
      <w:pPr>
        <w:ind w:left="8465" w:hanging="180"/>
      </w:pPr>
    </w:lvl>
  </w:abstractNum>
  <w:abstractNum w:abstractNumId="13">
    <w:nsid w:val="4741526A"/>
    <w:multiLevelType w:val="hybridMultilevel"/>
    <w:tmpl w:val="2F181056"/>
    <w:lvl w:ilvl="0">
      <w:start w:val="1"/>
      <w:numFmt w:val="hebrew1"/>
      <w:lvlText w:val="%1."/>
      <w:lvlJc w:val="left"/>
      <w:pPr>
        <w:ind w:left="672" w:hanging="360"/>
      </w:pPr>
      <w:rPr>
        <w:rFonts w:hint="default"/>
      </w:rPr>
    </w:lvl>
    <w:lvl w:ilvl="1" w:tentative="1">
      <w:start w:val="1"/>
      <w:numFmt w:val="lowerLetter"/>
      <w:lvlText w:val="%2."/>
      <w:lvlJc w:val="left"/>
      <w:pPr>
        <w:ind w:left="1392" w:hanging="360"/>
      </w:pPr>
    </w:lvl>
    <w:lvl w:ilvl="2" w:tentative="1">
      <w:start w:val="1"/>
      <w:numFmt w:val="lowerRoman"/>
      <w:lvlText w:val="%3."/>
      <w:lvlJc w:val="right"/>
      <w:pPr>
        <w:ind w:left="2112" w:hanging="180"/>
      </w:pPr>
    </w:lvl>
    <w:lvl w:ilvl="3" w:tentative="1">
      <w:start w:val="1"/>
      <w:numFmt w:val="decimal"/>
      <w:lvlText w:val="%4."/>
      <w:lvlJc w:val="left"/>
      <w:pPr>
        <w:ind w:left="2832" w:hanging="360"/>
      </w:pPr>
    </w:lvl>
    <w:lvl w:ilvl="4" w:tentative="1">
      <w:start w:val="1"/>
      <w:numFmt w:val="lowerLetter"/>
      <w:lvlText w:val="%5."/>
      <w:lvlJc w:val="left"/>
      <w:pPr>
        <w:ind w:left="3552" w:hanging="360"/>
      </w:pPr>
    </w:lvl>
    <w:lvl w:ilvl="5" w:tentative="1">
      <w:start w:val="1"/>
      <w:numFmt w:val="lowerRoman"/>
      <w:lvlText w:val="%6."/>
      <w:lvlJc w:val="right"/>
      <w:pPr>
        <w:ind w:left="4272" w:hanging="180"/>
      </w:pPr>
    </w:lvl>
    <w:lvl w:ilvl="6" w:tentative="1">
      <w:start w:val="1"/>
      <w:numFmt w:val="decimal"/>
      <w:lvlText w:val="%7."/>
      <w:lvlJc w:val="left"/>
      <w:pPr>
        <w:ind w:left="4992" w:hanging="360"/>
      </w:pPr>
    </w:lvl>
    <w:lvl w:ilvl="7" w:tentative="1">
      <w:start w:val="1"/>
      <w:numFmt w:val="lowerLetter"/>
      <w:lvlText w:val="%8."/>
      <w:lvlJc w:val="left"/>
      <w:pPr>
        <w:ind w:left="5712" w:hanging="360"/>
      </w:pPr>
    </w:lvl>
    <w:lvl w:ilvl="8" w:tentative="1">
      <w:start w:val="1"/>
      <w:numFmt w:val="lowerRoman"/>
      <w:lvlText w:val="%9."/>
      <w:lvlJc w:val="right"/>
      <w:pPr>
        <w:ind w:left="6432" w:hanging="180"/>
      </w:pPr>
    </w:lvl>
  </w:abstractNum>
  <w:abstractNum w:abstractNumId="14">
    <w:nsid w:val="4DD35436"/>
    <w:multiLevelType w:val="hybridMultilevel"/>
    <w:tmpl w:val="EC1EC164"/>
    <w:lvl w:ilvl="0">
      <w:start w:val="1"/>
      <w:numFmt w:val="decimal"/>
      <w:pStyle w:val="20"/>
      <w:lvlText w:val="%1.1"/>
      <w:lvlJc w:val="left"/>
      <w:pPr>
        <w:ind w:left="1860" w:hanging="360"/>
      </w:pPr>
      <w:rPr>
        <w:rFonts w:hint="default"/>
      </w:rPr>
    </w:lvl>
    <w:lvl w:ilvl="1" w:tentative="1">
      <w:start w:val="1"/>
      <w:numFmt w:val="lowerLetter"/>
      <w:lvlText w:val="%2."/>
      <w:lvlJc w:val="left"/>
      <w:pPr>
        <w:ind w:left="2580" w:hanging="360"/>
      </w:pPr>
    </w:lvl>
    <w:lvl w:ilvl="2" w:tentative="1">
      <w:start w:val="1"/>
      <w:numFmt w:val="lowerRoman"/>
      <w:lvlText w:val="%3."/>
      <w:lvlJc w:val="right"/>
      <w:pPr>
        <w:ind w:left="3300" w:hanging="180"/>
      </w:pPr>
    </w:lvl>
    <w:lvl w:ilvl="3" w:tentative="1">
      <w:start w:val="1"/>
      <w:numFmt w:val="decimal"/>
      <w:lvlText w:val="%4."/>
      <w:lvlJc w:val="left"/>
      <w:pPr>
        <w:ind w:left="4020" w:hanging="360"/>
      </w:pPr>
    </w:lvl>
    <w:lvl w:ilvl="4" w:tentative="1">
      <w:start w:val="1"/>
      <w:numFmt w:val="lowerLetter"/>
      <w:lvlText w:val="%5."/>
      <w:lvlJc w:val="left"/>
      <w:pPr>
        <w:ind w:left="4740" w:hanging="360"/>
      </w:pPr>
    </w:lvl>
    <w:lvl w:ilvl="5" w:tentative="1">
      <w:start w:val="1"/>
      <w:numFmt w:val="lowerRoman"/>
      <w:lvlText w:val="%6."/>
      <w:lvlJc w:val="right"/>
      <w:pPr>
        <w:ind w:left="5460" w:hanging="180"/>
      </w:pPr>
    </w:lvl>
    <w:lvl w:ilvl="6" w:tentative="1">
      <w:start w:val="1"/>
      <w:numFmt w:val="decimal"/>
      <w:lvlText w:val="%7."/>
      <w:lvlJc w:val="left"/>
      <w:pPr>
        <w:ind w:left="6180" w:hanging="360"/>
      </w:pPr>
    </w:lvl>
    <w:lvl w:ilvl="7" w:tentative="1">
      <w:start w:val="1"/>
      <w:numFmt w:val="lowerLetter"/>
      <w:lvlText w:val="%8."/>
      <w:lvlJc w:val="left"/>
      <w:pPr>
        <w:ind w:left="6900" w:hanging="360"/>
      </w:pPr>
    </w:lvl>
    <w:lvl w:ilvl="8" w:tentative="1">
      <w:start w:val="1"/>
      <w:numFmt w:val="lowerRoman"/>
      <w:lvlText w:val="%9."/>
      <w:lvlJc w:val="right"/>
      <w:pPr>
        <w:ind w:left="7620" w:hanging="180"/>
      </w:pPr>
    </w:lvl>
  </w:abstractNum>
  <w:abstractNum w:abstractNumId="15">
    <w:nsid w:val="6079445E"/>
    <w:multiLevelType w:val="hybridMultilevel"/>
    <w:tmpl w:val="01E0535A"/>
    <w:lvl w:ilvl="0">
      <w:start w:val="1"/>
      <w:numFmt w:val="bullet"/>
      <w:lvlText w:val=""/>
      <w:lvlJc w:val="left"/>
      <w:pPr>
        <w:ind w:left="360" w:hanging="360"/>
      </w:pPr>
      <w:rPr>
        <w:rFonts w:ascii="Segoe MDL2 Assets" w:hAnsi="Segoe MDL2 Assets" w:cs="Segoe MDL2 Assets" w:hint="default"/>
        <w:b/>
        <w:bCs/>
        <w:i w:val="0"/>
        <w:iCs w:val="0"/>
        <w:color w:val="FFC000"/>
        <w:position w:val="-6"/>
        <w:sz w:val="28"/>
        <w:szCs w:val="3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665B09CB"/>
    <w:multiLevelType w:val="hybridMultilevel"/>
    <w:tmpl w:val="F98283A0"/>
    <w:lvl w:ilvl="0">
      <w:start w:val="1"/>
      <w:numFmt w:val="bullet"/>
      <w:pStyle w:val="50"/>
      <w:lvlText w:val=""/>
      <w:lvlJc w:val="left"/>
      <w:pPr>
        <w:ind w:left="1854" w:hanging="360"/>
      </w:pPr>
      <w:rPr>
        <w:rFonts w:ascii="Wingdings" w:hAnsi="Wingdings" w:hint="default"/>
        <w:color w:val="FFF400"/>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17">
    <w:nsid w:val="6699458C"/>
    <w:multiLevelType w:val="hybridMultilevel"/>
    <w:tmpl w:val="B9E2BA98"/>
    <w:lvl w:ilvl="0">
      <w:start w:val="1"/>
      <w:numFmt w:val="bullet"/>
      <w:lvlText w:val=""/>
      <w:lvlJc w:val="left"/>
      <w:pPr>
        <w:ind w:left="360" w:hanging="360"/>
      </w:pPr>
      <w:rPr>
        <w:rFonts w:ascii="Wingdings" w:hAnsi="Wingdings" w:cs="Wingdings" w:hint="default"/>
        <w:b/>
        <w:i w:val="0"/>
        <w:caps w:val="0"/>
        <w:strike w:val="0"/>
        <w:dstrike w:val="0"/>
        <w:vanish w:val="0"/>
        <w:color w:val="FF0000"/>
        <w:sz w:val="40"/>
        <w:szCs w:val="25"/>
        <w:vertAlign w:val="baseline"/>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69B930D5"/>
    <w:multiLevelType w:val="hybridMultilevel"/>
    <w:tmpl w:val="7EB0961E"/>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E431D00"/>
    <w:multiLevelType w:val="hybridMultilevel"/>
    <w:tmpl w:val="7576C230"/>
    <w:lvl w:ilvl="0">
      <w:start w:val="1"/>
      <w:numFmt w:val="decimal"/>
      <w:pStyle w:val="13"/>
      <w:lvlText w:val="%1."/>
      <w:lvlJc w:val="left"/>
      <w:pPr>
        <w:ind w:left="1858" w:hanging="360"/>
      </w:pPr>
      <w:rPr>
        <w:rFonts w:ascii="Calibri" w:hAnsi="Calibri" w:cs="Calibri" w:hint="default"/>
        <w:b/>
        <w:bCs/>
        <w:i w:val="0"/>
        <w:iCs w:val="0"/>
        <w:color w:val="002060"/>
        <w:sz w:val="40"/>
        <w:szCs w:val="40"/>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20">
    <w:nsid w:val="7EAC6525"/>
    <w:multiLevelType w:val="hybridMultilevel"/>
    <w:tmpl w:val="2E443F5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19"/>
  </w:num>
  <w:num w:numId="2">
    <w:abstractNumId w:val="14"/>
  </w:num>
  <w:num w:numId="3">
    <w:abstractNumId w:val="11"/>
  </w:num>
  <w:num w:numId="4">
    <w:abstractNumId w:val="2"/>
  </w:num>
  <w:num w:numId="5">
    <w:abstractNumId w:val="12"/>
  </w:num>
  <w:num w:numId="6">
    <w:abstractNumId w:val="16"/>
  </w:num>
  <w:num w:numId="7">
    <w:abstractNumId w:val="10"/>
  </w:num>
  <w:num w:numId="8">
    <w:abstractNumId w:val="8"/>
  </w:num>
  <w:num w:numId="9">
    <w:abstractNumId w:val="7"/>
  </w:num>
  <w:num w:numId="10">
    <w:abstractNumId w:val="9"/>
  </w:num>
  <w:num w:numId="11">
    <w:abstractNumId w:val="20"/>
  </w:num>
  <w:num w:numId="12">
    <w:abstractNumId w:val="0"/>
  </w:num>
  <w:num w:numId="13">
    <w:abstractNumId w:val="1"/>
  </w:num>
  <w:num w:numId="14">
    <w:abstractNumId w:val="17"/>
  </w:num>
  <w:num w:numId="15">
    <w:abstractNumId w:val="15"/>
  </w:num>
  <w:num w:numId="16">
    <w:abstractNumId w:val="5"/>
  </w:num>
  <w:num w:numId="17">
    <w:abstractNumId w:val="18"/>
  </w:num>
  <w:num w:numId="18">
    <w:abstractNumId w:val="6"/>
  </w:num>
  <w:num w:numId="19">
    <w:abstractNumId w:val="13"/>
  </w:num>
  <w:num w:numId="20">
    <w:abstractNumId w:val="4"/>
  </w:num>
  <w:num w:numId="21">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SortMethod w:val="name"/>
  <w:defaultTabStop w:val="720"/>
  <w:drawingGridHorizontalSpacing w:val="100"/>
  <w:displayHorizontalDrawingGridEvery w:val="2"/>
  <w:displayVertic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51B"/>
    <w:rsid w:val="00003B77"/>
    <w:rsid w:val="00013880"/>
    <w:rsid w:val="0001735B"/>
    <w:rsid w:val="00042837"/>
    <w:rsid w:val="000501A4"/>
    <w:rsid w:val="000532AA"/>
    <w:rsid w:val="000876C1"/>
    <w:rsid w:val="000B1102"/>
    <w:rsid w:val="000C7459"/>
    <w:rsid w:val="000E013E"/>
    <w:rsid w:val="000E7EC1"/>
    <w:rsid w:val="000F7725"/>
    <w:rsid w:val="0010181C"/>
    <w:rsid w:val="00101D0F"/>
    <w:rsid w:val="00113E28"/>
    <w:rsid w:val="00114325"/>
    <w:rsid w:val="00166477"/>
    <w:rsid w:val="001730B0"/>
    <w:rsid w:val="001960B4"/>
    <w:rsid w:val="001A613C"/>
    <w:rsid w:val="001B2821"/>
    <w:rsid w:val="001C057E"/>
    <w:rsid w:val="001C6185"/>
    <w:rsid w:val="001D4CF3"/>
    <w:rsid w:val="001E204F"/>
    <w:rsid w:val="001F330E"/>
    <w:rsid w:val="001F4412"/>
    <w:rsid w:val="00203604"/>
    <w:rsid w:val="002064F7"/>
    <w:rsid w:val="00240887"/>
    <w:rsid w:val="00263521"/>
    <w:rsid w:val="00285266"/>
    <w:rsid w:val="002A7D21"/>
    <w:rsid w:val="002C0FD0"/>
    <w:rsid w:val="002C1EE0"/>
    <w:rsid w:val="002C4139"/>
    <w:rsid w:val="002C6C3A"/>
    <w:rsid w:val="002E2074"/>
    <w:rsid w:val="00301153"/>
    <w:rsid w:val="003079D5"/>
    <w:rsid w:val="00315B1D"/>
    <w:rsid w:val="00323027"/>
    <w:rsid w:val="003407AD"/>
    <w:rsid w:val="00354F9A"/>
    <w:rsid w:val="0037370B"/>
    <w:rsid w:val="0037752E"/>
    <w:rsid w:val="00380052"/>
    <w:rsid w:val="0039415D"/>
    <w:rsid w:val="003B2B50"/>
    <w:rsid w:val="003D18F4"/>
    <w:rsid w:val="003D61C6"/>
    <w:rsid w:val="003E58C2"/>
    <w:rsid w:val="003F7845"/>
    <w:rsid w:val="004162DC"/>
    <w:rsid w:val="00455119"/>
    <w:rsid w:val="004779AA"/>
    <w:rsid w:val="0049522B"/>
    <w:rsid w:val="00496F3E"/>
    <w:rsid w:val="004A0385"/>
    <w:rsid w:val="004A6792"/>
    <w:rsid w:val="004C7D9F"/>
    <w:rsid w:val="005006C5"/>
    <w:rsid w:val="00545E49"/>
    <w:rsid w:val="00551B42"/>
    <w:rsid w:val="00551FF7"/>
    <w:rsid w:val="00574579"/>
    <w:rsid w:val="00580C5C"/>
    <w:rsid w:val="005A021D"/>
    <w:rsid w:val="0062451B"/>
    <w:rsid w:val="00634DAD"/>
    <w:rsid w:val="00640B60"/>
    <w:rsid w:val="006457EB"/>
    <w:rsid w:val="006531CB"/>
    <w:rsid w:val="00680568"/>
    <w:rsid w:val="006C2C6D"/>
    <w:rsid w:val="006D4161"/>
    <w:rsid w:val="006D786C"/>
    <w:rsid w:val="006E08A5"/>
    <w:rsid w:val="006E1414"/>
    <w:rsid w:val="006F285F"/>
    <w:rsid w:val="0072219B"/>
    <w:rsid w:val="00734173"/>
    <w:rsid w:val="00735F4D"/>
    <w:rsid w:val="007474F0"/>
    <w:rsid w:val="00753ADE"/>
    <w:rsid w:val="00773F61"/>
    <w:rsid w:val="007A4EBD"/>
    <w:rsid w:val="007B112B"/>
    <w:rsid w:val="007B5B26"/>
    <w:rsid w:val="007B691A"/>
    <w:rsid w:val="007C1FF6"/>
    <w:rsid w:val="007D61B8"/>
    <w:rsid w:val="007F7FF2"/>
    <w:rsid w:val="00805B42"/>
    <w:rsid w:val="008102AD"/>
    <w:rsid w:val="008131AD"/>
    <w:rsid w:val="00837997"/>
    <w:rsid w:val="00852F57"/>
    <w:rsid w:val="00867FC5"/>
    <w:rsid w:val="00892F80"/>
    <w:rsid w:val="008B4F41"/>
    <w:rsid w:val="008C6F75"/>
    <w:rsid w:val="008E3D8A"/>
    <w:rsid w:val="008E7355"/>
    <w:rsid w:val="009015B2"/>
    <w:rsid w:val="00906E90"/>
    <w:rsid w:val="00906FB1"/>
    <w:rsid w:val="0091051D"/>
    <w:rsid w:val="00933E1C"/>
    <w:rsid w:val="00934B18"/>
    <w:rsid w:val="00936F84"/>
    <w:rsid w:val="00940851"/>
    <w:rsid w:val="009679D9"/>
    <w:rsid w:val="009802D2"/>
    <w:rsid w:val="00990092"/>
    <w:rsid w:val="009B757F"/>
    <w:rsid w:val="009C6066"/>
    <w:rsid w:val="009D73F5"/>
    <w:rsid w:val="009E1A3F"/>
    <w:rsid w:val="009E53CF"/>
    <w:rsid w:val="009F0BD3"/>
    <w:rsid w:val="00A222E2"/>
    <w:rsid w:val="00A61AD5"/>
    <w:rsid w:val="00A73038"/>
    <w:rsid w:val="00A76C99"/>
    <w:rsid w:val="00A81EBE"/>
    <w:rsid w:val="00AC6B95"/>
    <w:rsid w:val="00B00E5C"/>
    <w:rsid w:val="00B425ED"/>
    <w:rsid w:val="00B4321D"/>
    <w:rsid w:val="00B666B9"/>
    <w:rsid w:val="00B76DC1"/>
    <w:rsid w:val="00B862C0"/>
    <w:rsid w:val="00BB0B78"/>
    <w:rsid w:val="00BE2DD8"/>
    <w:rsid w:val="00C2305A"/>
    <w:rsid w:val="00C23CC9"/>
    <w:rsid w:val="00C30B3D"/>
    <w:rsid w:val="00C33AE2"/>
    <w:rsid w:val="00C8096C"/>
    <w:rsid w:val="00C8100B"/>
    <w:rsid w:val="00C85B62"/>
    <w:rsid w:val="00CA41D2"/>
    <w:rsid w:val="00CA4F20"/>
    <w:rsid w:val="00CC712C"/>
    <w:rsid w:val="00CD0511"/>
    <w:rsid w:val="00CD28D9"/>
    <w:rsid w:val="00D05C85"/>
    <w:rsid w:val="00D125D2"/>
    <w:rsid w:val="00D22748"/>
    <w:rsid w:val="00D26918"/>
    <w:rsid w:val="00D37121"/>
    <w:rsid w:val="00D779F7"/>
    <w:rsid w:val="00D87542"/>
    <w:rsid w:val="00D95C20"/>
    <w:rsid w:val="00D97C16"/>
    <w:rsid w:val="00DE1DAB"/>
    <w:rsid w:val="00DE20A2"/>
    <w:rsid w:val="00DF0B89"/>
    <w:rsid w:val="00E122EE"/>
    <w:rsid w:val="00E35682"/>
    <w:rsid w:val="00E46EA3"/>
    <w:rsid w:val="00E51C1B"/>
    <w:rsid w:val="00E53DA7"/>
    <w:rsid w:val="00EC6B44"/>
    <w:rsid w:val="00EE37A3"/>
    <w:rsid w:val="00EE57E1"/>
    <w:rsid w:val="00EF4539"/>
    <w:rsid w:val="00F36CB4"/>
    <w:rsid w:val="00F4385E"/>
    <w:rsid w:val="00F627EB"/>
    <w:rsid w:val="00F75A10"/>
    <w:rsid w:val="00F77276"/>
    <w:rsid w:val="00F954E4"/>
    <w:rsid w:val="00F95853"/>
    <w:rsid w:val="00FB3F26"/>
    <w:rsid w:val="00FC3213"/>
    <w:rsid w:val="00FC48C6"/>
    <w:rsid w:val="00FF5E54"/>
  </w:rsids>
  <w:docVars>
    <w:docVar w:name="sivug" w:val="1"/>
    <w:docVar w:name="space" w:val="True"/>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63D9D884"/>
  <w15:chartTrackingRefBased/>
  <w15:docId w15:val="{89CA0B52-15F1-4656-A946-83738ED0B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01A4"/>
    <w:pPr>
      <w:bidi/>
      <w:spacing w:after="0" w:line="312" w:lineRule="auto"/>
    </w:pPr>
  </w:style>
  <w:style w:type="paragraph" w:styleId="Heading1">
    <w:name w:val="heading 1"/>
    <w:basedOn w:val="Normal"/>
    <w:next w:val="Normal"/>
    <w:link w:val="1"/>
    <w:uiPriority w:val="1"/>
    <w:qFormat/>
    <w:rsid w:val="000501A4"/>
    <w:pPr>
      <w:keepNext/>
      <w:keepLines/>
      <w:jc w:val="center"/>
      <w:outlineLvl w:val="0"/>
    </w:pPr>
    <w:rPr>
      <w:rFonts w:eastAsiaTheme="majorEastAsia"/>
      <w:bCs/>
      <w:szCs w:val="36"/>
      <w:u w:val="single"/>
    </w:rPr>
  </w:style>
  <w:style w:type="paragraph" w:styleId="Heading2">
    <w:name w:val="heading 2"/>
    <w:basedOn w:val="Normal"/>
    <w:next w:val="Normal"/>
    <w:link w:val="2"/>
    <w:uiPriority w:val="1"/>
    <w:qFormat/>
    <w:rsid w:val="000501A4"/>
    <w:pPr>
      <w:keepNext/>
      <w:keepLines/>
      <w:spacing w:before="480"/>
      <w:jc w:val="center"/>
      <w:outlineLvl w:val="1"/>
    </w:pPr>
    <w:rPr>
      <w:rFonts w:eastAsiaTheme="majorEastAsia"/>
      <w:bCs/>
      <w:szCs w:val="32"/>
    </w:rPr>
  </w:style>
  <w:style w:type="paragraph" w:styleId="Heading3">
    <w:name w:val="heading 3"/>
    <w:basedOn w:val="Normal"/>
    <w:next w:val="Normal"/>
    <w:link w:val="3"/>
    <w:uiPriority w:val="1"/>
    <w:qFormat/>
    <w:rsid w:val="006D786C"/>
    <w:pPr>
      <w:keepNext/>
      <w:keepLines/>
      <w:spacing w:before="120"/>
      <w:outlineLvl w:val="2"/>
    </w:pPr>
    <w:rPr>
      <w:rFonts w:eastAsiaTheme="majorEastAsia"/>
      <w:bCs/>
      <w:szCs w:val="28"/>
      <w:u w:val="single"/>
    </w:rPr>
  </w:style>
  <w:style w:type="paragraph" w:styleId="Heading4">
    <w:name w:val="heading 4"/>
    <w:basedOn w:val="Normal"/>
    <w:next w:val="Normal"/>
    <w:link w:val="4"/>
    <w:uiPriority w:val="1"/>
    <w:qFormat/>
    <w:rsid w:val="006D786C"/>
    <w:pPr>
      <w:keepNext/>
      <w:keepLines/>
      <w:spacing w:before="120"/>
      <w:outlineLvl w:val="3"/>
    </w:pPr>
    <w:rPr>
      <w:rFonts w:eastAsiaTheme="majorEastAsia"/>
      <w:bCs/>
      <w:szCs w:val="26"/>
    </w:rPr>
  </w:style>
  <w:style w:type="paragraph" w:styleId="Heading5">
    <w:name w:val="heading 5"/>
    <w:basedOn w:val="Normal"/>
    <w:next w:val="Normal"/>
    <w:link w:val="5"/>
    <w:uiPriority w:val="1"/>
    <w:qFormat/>
    <w:rsid w:val="000501A4"/>
    <w:pPr>
      <w:keepNext/>
      <w:keepLines/>
      <w:outlineLvl w:val="4"/>
    </w:pPr>
    <w:rPr>
      <w:rFonts w:eastAsiaTheme="majorEastAsia"/>
      <w:bCs/>
      <w:spacing w:val="40"/>
    </w:rPr>
  </w:style>
  <w:style w:type="paragraph" w:styleId="Heading6">
    <w:name w:val="heading 6"/>
    <w:basedOn w:val="Normal"/>
    <w:next w:val="Normal"/>
    <w:link w:val="6"/>
    <w:uiPriority w:val="1"/>
    <w:qFormat/>
    <w:rsid w:val="000501A4"/>
    <w:pPr>
      <w:keepNext/>
      <w:keepLines/>
      <w:outlineLvl w:val="5"/>
    </w:pPr>
    <w:rPr>
      <w:rFonts w:eastAsiaTheme="majorEastAsia"/>
      <w:spacing w:val="40"/>
    </w:rPr>
  </w:style>
  <w:style w:type="paragraph" w:styleId="Heading7">
    <w:name w:val="heading 7"/>
    <w:basedOn w:val="Normal"/>
    <w:next w:val="Normal"/>
    <w:link w:val="7"/>
    <w:uiPriority w:val="1"/>
    <w:qFormat/>
    <w:rsid w:val="000501A4"/>
    <w:pPr>
      <w:keepNext/>
      <w:keepLines/>
      <w:outlineLvl w:val="6"/>
    </w:pPr>
    <w:rPr>
      <w:rFonts w:eastAsiaTheme="majorEastAsia"/>
      <w:bCs/>
      <w:spacing w:val="40"/>
    </w:rPr>
  </w:style>
  <w:style w:type="paragraph" w:styleId="Heading8">
    <w:name w:val="heading 8"/>
    <w:basedOn w:val="Normal"/>
    <w:next w:val="Normal"/>
    <w:link w:val="8"/>
    <w:uiPriority w:val="1"/>
    <w:qFormat/>
    <w:rsid w:val="000501A4"/>
    <w:pPr>
      <w:keepNext/>
      <w:keepLines/>
      <w:outlineLvl w:val="7"/>
    </w:pPr>
    <w:rPr>
      <w:rFonts w:eastAsiaTheme="majorEastAsia"/>
      <w:spacing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כותרת 1 תו"/>
    <w:basedOn w:val="DefaultParagraphFont"/>
    <w:link w:val="Heading1"/>
    <w:uiPriority w:val="1"/>
    <w:rsid w:val="000501A4"/>
    <w:rPr>
      <w:rFonts w:eastAsiaTheme="majorEastAsia"/>
      <w:bCs/>
      <w:szCs w:val="36"/>
      <w:u w:val="single"/>
    </w:rPr>
  </w:style>
  <w:style w:type="character" w:customStyle="1" w:styleId="2">
    <w:name w:val="כותרת 2 תו"/>
    <w:basedOn w:val="DefaultParagraphFont"/>
    <w:link w:val="Heading2"/>
    <w:uiPriority w:val="1"/>
    <w:rsid w:val="000501A4"/>
    <w:rPr>
      <w:rFonts w:eastAsiaTheme="majorEastAsia"/>
      <w:bCs/>
      <w:szCs w:val="32"/>
    </w:rPr>
  </w:style>
  <w:style w:type="character" w:customStyle="1" w:styleId="3">
    <w:name w:val="כותרת 3 תו"/>
    <w:basedOn w:val="DefaultParagraphFont"/>
    <w:link w:val="Heading3"/>
    <w:uiPriority w:val="1"/>
    <w:rsid w:val="006D786C"/>
    <w:rPr>
      <w:rFonts w:eastAsiaTheme="majorEastAsia"/>
      <w:bCs/>
      <w:szCs w:val="28"/>
      <w:u w:val="single"/>
    </w:rPr>
  </w:style>
  <w:style w:type="character" w:customStyle="1" w:styleId="4">
    <w:name w:val="כותרת 4 תו"/>
    <w:basedOn w:val="DefaultParagraphFont"/>
    <w:link w:val="Heading4"/>
    <w:uiPriority w:val="1"/>
    <w:rsid w:val="006D786C"/>
    <w:rPr>
      <w:rFonts w:eastAsiaTheme="majorEastAsia"/>
      <w:bCs/>
      <w:szCs w:val="26"/>
    </w:rPr>
  </w:style>
  <w:style w:type="character" w:customStyle="1" w:styleId="5">
    <w:name w:val="כותרת 5 תו"/>
    <w:basedOn w:val="DefaultParagraphFont"/>
    <w:link w:val="Heading5"/>
    <w:uiPriority w:val="1"/>
    <w:rsid w:val="000501A4"/>
    <w:rPr>
      <w:rFonts w:eastAsiaTheme="majorEastAsia"/>
      <w:bCs/>
      <w:spacing w:val="40"/>
    </w:rPr>
  </w:style>
  <w:style w:type="character" w:customStyle="1" w:styleId="6">
    <w:name w:val="כותרת 6 תו"/>
    <w:basedOn w:val="DefaultParagraphFont"/>
    <w:link w:val="Heading6"/>
    <w:uiPriority w:val="1"/>
    <w:rsid w:val="000501A4"/>
    <w:rPr>
      <w:rFonts w:eastAsiaTheme="majorEastAsia"/>
      <w:spacing w:val="40"/>
    </w:rPr>
  </w:style>
  <w:style w:type="character" w:customStyle="1" w:styleId="7">
    <w:name w:val="כותרת 7 תו"/>
    <w:basedOn w:val="DefaultParagraphFont"/>
    <w:link w:val="Heading7"/>
    <w:uiPriority w:val="1"/>
    <w:rsid w:val="000501A4"/>
    <w:rPr>
      <w:rFonts w:eastAsiaTheme="majorEastAsia"/>
      <w:bCs/>
      <w:spacing w:val="40"/>
    </w:rPr>
  </w:style>
  <w:style w:type="character" w:customStyle="1" w:styleId="8">
    <w:name w:val="כותרת 8 תו"/>
    <w:basedOn w:val="DefaultParagraphFont"/>
    <w:link w:val="Heading8"/>
    <w:uiPriority w:val="1"/>
    <w:rsid w:val="000501A4"/>
    <w:rPr>
      <w:rFonts w:eastAsiaTheme="majorEastAsia"/>
      <w:spacing w:val="40"/>
    </w:rPr>
  </w:style>
  <w:style w:type="paragraph" w:customStyle="1" w:styleId="a">
    <w:name w:val="נבנצאל"/>
    <w:basedOn w:val="Normal"/>
    <w:next w:val="Normal"/>
    <w:link w:val="a0"/>
    <w:uiPriority w:val="99"/>
    <w:rsid w:val="000501A4"/>
    <w:pPr>
      <w:ind w:left="-567"/>
    </w:pPr>
    <w:rPr>
      <w:szCs w:val="20"/>
    </w:rPr>
  </w:style>
  <w:style w:type="character" w:customStyle="1" w:styleId="a0">
    <w:name w:val="נבנצאל תו"/>
    <w:basedOn w:val="DefaultParagraphFont"/>
    <w:link w:val="a"/>
    <w:uiPriority w:val="99"/>
    <w:rsid w:val="000501A4"/>
    <w:rPr>
      <w:szCs w:val="20"/>
    </w:rPr>
  </w:style>
  <w:style w:type="paragraph" w:styleId="Header">
    <w:name w:val="header"/>
    <w:basedOn w:val="Normal"/>
    <w:link w:val="a1"/>
    <w:uiPriority w:val="99"/>
    <w:unhideWhenUsed/>
    <w:rsid w:val="000501A4"/>
    <w:pPr>
      <w:tabs>
        <w:tab w:val="center" w:pos="4153"/>
        <w:tab w:val="right" w:pos="8306"/>
      </w:tabs>
      <w:spacing w:line="240" w:lineRule="auto"/>
    </w:pPr>
  </w:style>
  <w:style w:type="character" w:customStyle="1" w:styleId="a1">
    <w:name w:val="כותרת עליונה תו"/>
    <w:basedOn w:val="DefaultParagraphFont"/>
    <w:link w:val="Header"/>
    <w:uiPriority w:val="99"/>
    <w:rsid w:val="000501A4"/>
  </w:style>
  <w:style w:type="paragraph" w:styleId="Footer">
    <w:name w:val="footer"/>
    <w:basedOn w:val="Normal"/>
    <w:link w:val="a2"/>
    <w:uiPriority w:val="99"/>
    <w:unhideWhenUsed/>
    <w:rsid w:val="000501A4"/>
    <w:pPr>
      <w:tabs>
        <w:tab w:val="center" w:pos="4153"/>
        <w:tab w:val="right" w:pos="8306"/>
      </w:tabs>
      <w:spacing w:line="240" w:lineRule="auto"/>
    </w:pPr>
  </w:style>
  <w:style w:type="character" w:customStyle="1" w:styleId="a2">
    <w:name w:val="כותרת תחתונה תו"/>
    <w:basedOn w:val="DefaultParagraphFont"/>
    <w:link w:val="Footer"/>
    <w:uiPriority w:val="99"/>
    <w:rsid w:val="000501A4"/>
  </w:style>
  <w:style w:type="paragraph" w:styleId="Date">
    <w:name w:val="Date"/>
    <w:basedOn w:val="Normal"/>
    <w:next w:val="Normal"/>
    <w:link w:val="a3"/>
    <w:uiPriority w:val="99"/>
    <w:unhideWhenUsed/>
    <w:rsid w:val="000501A4"/>
    <w:pPr>
      <w:spacing w:before="120" w:line="240" w:lineRule="auto"/>
    </w:pPr>
  </w:style>
  <w:style w:type="character" w:customStyle="1" w:styleId="a3">
    <w:name w:val="תאריך תו"/>
    <w:basedOn w:val="DefaultParagraphFont"/>
    <w:link w:val="Date"/>
    <w:uiPriority w:val="99"/>
    <w:rsid w:val="000501A4"/>
  </w:style>
  <w:style w:type="paragraph" w:styleId="FootnoteText">
    <w:name w:val="footnote text"/>
    <w:aliases w:val=" Char,Char,F1,FOOTNOTES,Footnote Text - Sharp,Footnote Text - Sharp Char,Footnote Text - Sharp Char Char,Footnote Text Char Char Char Char Char,Footnote reference,Sharp - Footnote Text,Sharp - Footnote Text1 Char,fn,footnote text"/>
    <w:basedOn w:val="Normal"/>
    <w:link w:val="a4"/>
    <w:uiPriority w:val="99"/>
    <w:rsid w:val="00574579"/>
    <w:pPr>
      <w:spacing w:line="240" w:lineRule="auto"/>
      <w:ind w:left="720" w:hanging="720"/>
    </w:pPr>
    <w:rPr>
      <w:szCs w:val="20"/>
    </w:rPr>
  </w:style>
  <w:style w:type="character" w:customStyle="1" w:styleId="a4">
    <w:name w:val="טקסט הערת שוליים תו"/>
    <w:aliases w:val=" Char תו,Char תו,FOOTNOTES תו,Footnote Text - Sharp Char Char תו,Footnote Text - Sharp Char תו,Footnote Text - Sharp תו,Footnote Text Char Char Char Char Char תו,Footnote reference תו,Sharp - Footnote Text תו,fn תו,footnote text תו"/>
    <w:basedOn w:val="DefaultParagraphFont"/>
    <w:link w:val="FootnoteText"/>
    <w:uiPriority w:val="99"/>
    <w:rsid w:val="00574579"/>
    <w:rPr>
      <w:szCs w:val="20"/>
    </w:rPr>
  </w:style>
  <w:style w:type="character" w:styleId="FootnoteReference1">
    <w:name w:val="footnote reference"/>
    <w:aliases w:val="Footnote Reference_0,Footnote Reference_0_0,Footnote Reference_0_0_0,Footnote Reference_0_0_0_0,Footnote Reference_1,Footnote Reference_2,Footnote Reference_3,Footnote Reference_3_0,Footnote Reference_4,Footnote text,fr,מ"/>
    <w:basedOn w:val="DefaultParagraphFont"/>
    <w:unhideWhenUsed/>
    <w:rsid w:val="000501A4"/>
    <w:rPr>
      <w:vertAlign w:val="superscript"/>
    </w:rPr>
  </w:style>
  <w:style w:type="paragraph" w:styleId="ListParagraph">
    <w:name w:val="List Paragraph"/>
    <w:aliases w:val="Bullet Number,Num Bullet 1,Use Case List Paragraph,style 2,פיסקת רשימה1"/>
    <w:basedOn w:val="Normal"/>
    <w:link w:val="a9"/>
    <w:uiPriority w:val="34"/>
    <w:qFormat/>
    <w:rsid w:val="00B4321D"/>
    <w:pPr>
      <w:ind w:left="720"/>
      <w:contextualSpacing/>
    </w:pPr>
  </w:style>
  <w:style w:type="table" w:styleId="TableGrid">
    <w:name w:val="Table Grid"/>
    <w:basedOn w:val="TableNormal"/>
    <w:uiPriority w:val="59"/>
    <w:rsid w:val="00B43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a5"/>
    <w:uiPriority w:val="99"/>
    <w:semiHidden/>
    <w:unhideWhenUsed/>
    <w:rsid w:val="00B4321D"/>
    <w:pPr>
      <w:spacing w:line="240" w:lineRule="auto"/>
    </w:pPr>
    <w:rPr>
      <w:rFonts w:ascii="Tahoma" w:hAnsi="Tahoma" w:cs="Tahoma"/>
      <w:sz w:val="18"/>
      <w:szCs w:val="18"/>
    </w:rPr>
  </w:style>
  <w:style w:type="character" w:customStyle="1" w:styleId="a5">
    <w:name w:val="טקסט בלונים תו"/>
    <w:basedOn w:val="DefaultParagraphFont"/>
    <w:link w:val="BalloonText"/>
    <w:uiPriority w:val="99"/>
    <w:semiHidden/>
    <w:rsid w:val="00B4321D"/>
    <w:rPr>
      <w:rFonts w:ascii="Tahoma" w:hAnsi="Tahoma" w:cs="Tahoma"/>
      <w:sz w:val="18"/>
      <w:szCs w:val="18"/>
    </w:rPr>
  </w:style>
  <w:style w:type="character" w:styleId="CommentReference">
    <w:name w:val="annotation reference"/>
    <w:basedOn w:val="DefaultParagraphFont"/>
    <w:uiPriority w:val="99"/>
    <w:semiHidden/>
    <w:unhideWhenUsed/>
    <w:rsid w:val="00B4321D"/>
    <w:rPr>
      <w:sz w:val="16"/>
      <w:szCs w:val="16"/>
    </w:rPr>
  </w:style>
  <w:style w:type="paragraph" w:styleId="CommentText">
    <w:name w:val="annotation text"/>
    <w:basedOn w:val="Normal"/>
    <w:link w:val="a6"/>
    <w:uiPriority w:val="99"/>
    <w:unhideWhenUsed/>
    <w:rsid w:val="00B4321D"/>
    <w:pPr>
      <w:spacing w:line="240" w:lineRule="auto"/>
    </w:pPr>
    <w:rPr>
      <w:szCs w:val="20"/>
    </w:rPr>
  </w:style>
  <w:style w:type="character" w:customStyle="1" w:styleId="a6">
    <w:name w:val="טקסט הערה תו"/>
    <w:basedOn w:val="DefaultParagraphFont"/>
    <w:link w:val="CommentText"/>
    <w:uiPriority w:val="99"/>
    <w:rsid w:val="00B4321D"/>
    <w:rPr>
      <w:szCs w:val="20"/>
    </w:rPr>
  </w:style>
  <w:style w:type="paragraph" w:styleId="CommentSubject">
    <w:name w:val="annotation subject"/>
    <w:basedOn w:val="CommentText"/>
    <w:next w:val="CommentText"/>
    <w:link w:val="a7"/>
    <w:uiPriority w:val="99"/>
    <w:semiHidden/>
    <w:unhideWhenUsed/>
    <w:rsid w:val="00B4321D"/>
    <w:rPr>
      <w:b/>
      <w:bCs/>
    </w:rPr>
  </w:style>
  <w:style w:type="character" w:customStyle="1" w:styleId="a7">
    <w:name w:val="נושא הערה תו"/>
    <w:basedOn w:val="a6"/>
    <w:link w:val="CommentSubject"/>
    <w:uiPriority w:val="99"/>
    <w:semiHidden/>
    <w:rsid w:val="00B4321D"/>
    <w:rPr>
      <w:b/>
      <w:bCs/>
      <w:szCs w:val="20"/>
    </w:rPr>
  </w:style>
  <w:style w:type="paragraph" w:styleId="Revision">
    <w:name w:val="Revision"/>
    <w:hidden/>
    <w:uiPriority w:val="99"/>
    <w:semiHidden/>
    <w:rsid w:val="00B4321D"/>
    <w:pPr>
      <w:spacing w:after="0" w:line="240" w:lineRule="auto"/>
      <w:jc w:val="left"/>
    </w:pPr>
  </w:style>
  <w:style w:type="paragraph" w:styleId="NoSpacing">
    <w:name w:val="No Spacing"/>
    <w:aliases w:val="מספורנוהל"/>
    <w:basedOn w:val="Normal"/>
    <w:link w:val="a8"/>
    <w:uiPriority w:val="1"/>
    <w:qFormat/>
    <w:rsid w:val="00B4321D"/>
    <w:pPr>
      <w:tabs>
        <w:tab w:val="left" w:pos="1701"/>
      </w:tabs>
      <w:spacing w:line="360" w:lineRule="auto"/>
      <w:contextualSpacing/>
    </w:pPr>
    <w:rPr>
      <w:rFonts w:ascii="David" w:eastAsia="Times New Roman" w:hAnsi="David"/>
      <w:b/>
      <w:sz w:val="24"/>
      <w:lang w:eastAsia="he-IL"/>
    </w:rPr>
  </w:style>
  <w:style w:type="character" w:customStyle="1" w:styleId="a8">
    <w:name w:val="ללא מרווח תו"/>
    <w:aliases w:val="מספורנוהל תו"/>
    <w:basedOn w:val="DefaultParagraphFont"/>
    <w:link w:val="NoSpacing"/>
    <w:uiPriority w:val="1"/>
    <w:rsid w:val="00B4321D"/>
    <w:rPr>
      <w:rFonts w:ascii="David" w:eastAsia="Times New Roman" w:hAnsi="David"/>
      <w:b/>
      <w:sz w:val="24"/>
      <w:lang w:eastAsia="he-IL"/>
    </w:rPr>
  </w:style>
  <w:style w:type="paragraph" w:styleId="NormalWeb">
    <w:name w:val="Normal (Web)"/>
    <w:basedOn w:val="Normal"/>
    <w:uiPriority w:val="99"/>
    <w:semiHidden/>
    <w:unhideWhenUsed/>
    <w:rsid w:val="00B4321D"/>
    <w:pPr>
      <w:bidi w:val="0"/>
      <w:spacing w:before="100" w:beforeAutospacing="1" w:after="100" w:afterAutospacing="1" w:line="240" w:lineRule="auto"/>
      <w:jc w:val="left"/>
    </w:pPr>
    <w:rPr>
      <w:rFonts w:eastAsiaTheme="minorEastAsia" w:cs="Times New Roman"/>
      <w:sz w:val="24"/>
    </w:rPr>
  </w:style>
  <w:style w:type="table" w:customStyle="1" w:styleId="11">
    <w:name w:val="רשת טבלה1"/>
    <w:basedOn w:val="TableNormal"/>
    <w:next w:val="TableGrid"/>
    <w:uiPriority w:val="39"/>
    <w:rsid w:val="00B4321D"/>
    <w:pPr>
      <w:spacing w:after="0"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פיסקת רשימה תו"/>
    <w:aliases w:val="Bullet Number תו,Num Bullet 1 תו,Use Case List Paragraph תו,style 2 תו,פיסקת רשימה1 תו"/>
    <w:link w:val="ListParagraph"/>
    <w:uiPriority w:val="34"/>
    <w:rsid w:val="00B4321D"/>
  </w:style>
  <w:style w:type="table" w:styleId="GridTable1LightAccent5">
    <w:name w:val="Grid Table 1 Light Accent 5"/>
    <w:basedOn w:val="TableNormal"/>
    <w:uiPriority w:val="46"/>
    <w:rsid w:val="00B4321D"/>
    <w:pPr>
      <w:spacing w:after="0" w:line="240" w:lineRule="auto"/>
      <w:jc w:val="left"/>
    </w:pPr>
    <w:rPr>
      <w:rFonts w:asciiTheme="minorHAnsi" w:hAnsiTheme="minorHAnsi" w:cstheme="minorBidi"/>
      <w:sz w:val="22"/>
      <w:szCs w:val="22"/>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B4321D"/>
    <w:rPr>
      <w:color w:val="0000FF" w:themeColor="hyperlink"/>
      <w:u w:val="single"/>
    </w:rPr>
  </w:style>
  <w:style w:type="paragraph" w:customStyle="1" w:styleId="75">
    <w:name w:val="75א מספור הערות שוליים"/>
    <w:basedOn w:val="Normal"/>
    <w:qFormat/>
    <w:rsid w:val="00B4321D"/>
    <w:pPr>
      <w:keepLines/>
      <w:spacing w:after="60" w:line="220" w:lineRule="exact"/>
      <w:ind w:left="397" w:hanging="397"/>
    </w:pPr>
    <w:rPr>
      <w:rFonts w:ascii="Tahoma" w:hAnsi="Tahoma" w:cs="Tahoma"/>
      <w:color w:val="0D0D0D" w:themeColor="text1" w:themeTint="F2"/>
      <w:sz w:val="14"/>
      <w:szCs w:val="14"/>
    </w:rPr>
  </w:style>
  <w:style w:type="character" w:styleId="FollowedHyperlink">
    <w:name w:val="FollowedHyperlink"/>
    <w:basedOn w:val="DefaultParagraphFont"/>
    <w:uiPriority w:val="99"/>
    <w:semiHidden/>
    <w:unhideWhenUsed/>
    <w:rsid w:val="00B4321D"/>
    <w:rPr>
      <w:color w:val="800080" w:themeColor="followedHyperlink"/>
      <w:u w:val="single"/>
    </w:rPr>
  </w:style>
  <w:style w:type="character" w:styleId="UnresolvedMention">
    <w:name w:val="Unresolved Mention"/>
    <w:basedOn w:val="DefaultParagraphFont"/>
    <w:uiPriority w:val="99"/>
    <w:semiHidden/>
    <w:unhideWhenUsed/>
    <w:rsid w:val="00B4321D"/>
    <w:rPr>
      <w:color w:val="605E5C"/>
      <w:shd w:val="clear" w:color="auto" w:fill="E1DFDD"/>
    </w:rPr>
  </w:style>
  <w:style w:type="paragraph" w:customStyle="1" w:styleId="a10">
    <w:name w:val="פרטי הדוח ממה"/>
    <w:basedOn w:val="Normal"/>
    <w:qFormat/>
    <w:rsid w:val="00B4321D"/>
    <w:pPr>
      <w:spacing w:before="600" w:line="240" w:lineRule="auto"/>
      <w:ind w:left="284"/>
      <w:jc w:val="left"/>
    </w:pPr>
    <w:rPr>
      <w:rFonts w:ascii="Calibri" w:eastAsia="Calibri" w:hAnsi="Calibri" w:cs="Calibri"/>
      <w:noProof/>
      <w:color w:val="FFFFFF" w:themeColor="background1"/>
      <w:sz w:val="24"/>
    </w:rPr>
  </w:style>
  <w:style w:type="paragraph" w:customStyle="1" w:styleId="a11">
    <w:name w:val="כותרת הדוח ממה"/>
    <w:basedOn w:val="Normal"/>
    <w:link w:val="a12"/>
    <w:qFormat/>
    <w:rsid w:val="00B4321D"/>
    <w:pPr>
      <w:widowControl w:val="0"/>
      <w:spacing w:before="600" w:line="240" w:lineRule="auto"/>
      <w:ind w:left="284"/>
      <w:jc w:val="left"/>
    </w:pPr>
    <w:rPr>
      <w:rFonts w:ascii="Calibri" w:hAnsi="Calibri" w:cs="Calibri"/>
      <w:b/>
      <w:bCs/>
      <w:color w:val="FFFFFF" w:themeColor="background1"/>
      <w:sz w:val="60"/>
      <w:szCs w:val="60"/>
    </w:rPr>
  </w:style>
  <w:style w:type="character" w:customStyle="1" w:styleId="a12">
    <w:name w:val="כותרת הדוח ממה תו"/>
    <w:basedOn w:val="DefaultParagraphFont"/>
    <w:link w:val="a11"/>
    <w:rsid w:val="00B4321D"/>
    <w:rPr>
      <w:rFonts w:ascii="Calibri" w:hAnsi="Calibri" w:cs="Calibri"/>
      <w:b/>
      <w:bCs/>
      <w:color w:val="FFFFFF" w:themeColor="background1"/>
      <w:sz w:val="60"/>
      <w:szCs w:val="60"/>
    </w:rPr>
  </w:style>
  <w:style w:type="paragraph" w:customStyle="1" w:styleId="a13">
    <w:name w:val="טקסט שם מונח ממה"/>
    <w:basedOn w:val="Normal"/>
    <w:qFormat/>
    <w:rsid w:val="00B4321D"/>
    <w:pPr>
      <w:suppressAutoHyphens/>
      <w:autoSpaceDE w:val="0"/>
      <w:autoSpaceDN w:val="0"/>
      <w:adjustRightInd w:val="0"/>
      <w:spacing w:before="60" w:after="60"/>
      <w:ind w:left="57" w:right="170"/>
      <w:jc w:val="left"/>
      <w:textAlignment w:val="center"/>
    </w:pPr>
    <w:rPr>
      <w:rFonts w:ascii="Calibri" w:eastAsia="DengXian" w:hAnsi="Calibri" w:cs="Calibri"/>
      <w:b/>
      <w:bCs/>
      <w:color w:val="002060"/>
      <w:sz w:val="24"/>
      <w:lang w:val="en-GB"/>
    </w:rPr>
  </w:style>
  <w:style w:type="paragraph" w:customStyle="1" w:styleId="a14">
    <w:name w:val="טקסט הגדרת מונח ממה"/>
    <w:link w:val="a15"/>
    <w:qFormat/>
    <w:rsid w:val="00B4321D"/>
    <w:pPr>
      <w:suppressAutoHyphens/>
      <w:autoSpaceDE w:val="0"/>
      <w:autoSpaceDN w:val="0"/>
      <w:bidi/>
      <w:adjustRightInd w:val="0"/>
      <w:spacing w:before="60" w:after="60" w:line="312" w:lineRule="auto"/>
      <w:ind w:left="57" w:right="170"/>
      <w:jc w:val="left"/>
      <w:textAlignment w:val="center"/>
    </w:pPr>
    <w:rPr>
      <w:rFonts w:ascii="Calibri" w:eastAsia="DengXian" w:hAnsi="Calibri" w:cs="Calibri"/>
      <w:color w:val="002060"/>
      <w:sz w:val="24"/>
      <w:lang w:val="en-GB"/>
    </w:rPr>
  </w:style>
  <w:style w:type="character" w:customStyle="1" w:styleId="a15">
    <w:name w:val="טקסט הגדרת מונח ממה תו"/>
    <w:basedOn w:val="DefaultParagraphFont"/>
    <w:link w:val="a14"/>
    <w:rsid w:val="00B4321D"/>
    <w:rPr>
      <w:rFonts w:ascii="Calibri" w:eastAsia="DengXian" w:hAnsi="Calibri" w:cs="Calibri"/>
      <w:color w:val="002060"/>
      <w:sz w:val="24"/>
      <w:lang w:val="en-GB"/>
    </w:rPr>
  </w:style>
  <w:style w:type="paragraph" w:customStyle="1" w:styleId="a16">
    <w:name w:val="מבוא ממה"/>
    <w:basedOn w:val="Normal"/>
    <w:next w:val="Normal"/>
    <w:link w:val="a17"/>
    <w:autoRedefine/>
    <w:qFormat/>
    <w:rsid w:val="00B4321D"/>
    <w:pPr>
      <w:pageBreakBefore/>
      <w:widowControl w:val="0"/>
      <w:shd w:val="clear" w:color="F3F7FF" w:fill="FFFFFF" w:themeFill="background1"/>
      <w:spacing w:before="120" w:line="276" w:lineRule="auto"/>
      <w:ind w:left="1134"/>
      <w:outlineLvl w:val="0"/>
    </w:pPr>
    <w:rPr>
      <w:rFonts w:ascii="Calibri" w:eastAsia="Calibri" w:hAnsi="Calibri" w:cs="Calibri"/>
      <w:color w:val="FFFFFF" w:themeColor="background1"/>
      <w:position w:val="6"/>
      <w:sz w:val="2"/>
      <w:szCs w:val="2"/>
      <w:u w:color="FFFFFF"/>
    </w:rPr>
  </w:style>
  <w:style w:type="character" w:customStyle="1" w:styleId="a17">
    <w:name w:val="מבוא ממה תו"/>
    <w:basedOn w:val="DefaultParagraphFont"/>
    <w:link w:val="a16"/>
    <w:rsid w:val="00B4321D"/>
    <w:rPr>
      <w:rFonts w:ascii="Calibri" w:eastAsia="Calibri" w:hAnsi="Calibri" w:cs="Calibri"/>
      <w:color w:val="FFFFFF" w:themeColor="background1"/>
      <w:position w:val="6"/>
      <w:sz w:val="2"/>
      <w:szCs w:val="2"/>
      <w:u w:color="FFFFFF"/>
      <w:shd w:val="clear" w:color="F3F7FF" w:fill="FFFFFF" w:themeFill="background1"/>
    </w:rPr>
  </w:style>
  <w:style w:type="paragraph" w:customStyle="1" w:styleId="a18">
    <w:name w:val="מראה מקום ממה"/>
    <w:basedOn w:val="Normal"/>
    <w:next w:val="Normal"/>
    <w:link w:val="a19"/>
    <w:qFormat/>
    <w:rsid w:val="00B4321D"/>
    <w:pPr>
      <w:widowControl w:val="0"/>
      <w:pBdr>
        <w:top w:val="single" w:sz="18" w:space="1" w:color="4F81BD" w:themeColor="accent1"/>
      </w:pBdr>
      <w:shd w:val="solid" w:color="F3F7FF" w:fill="auto"/>
      <w:spacing w:before="120" w:line="240" w:lineRule="auto"/>
      <w:ind w:left="1134"/>
    </w:pPr>
    <w:rPr>
      <w:rFonts w:ascii="Calibri" w:eastAsia="Calibri" w:hAnsi="Calibri" w:cs="Calibri"/>
      <w:b/>
      <w:bCs/>
      <w:color w:val="002060"/>
      <w:sz w:val="18"/>
      <w:szCs w:val="18"/>
    </w:rPr>
  </w:style>
  <w:style w:type="character" w:customStyle="1" w:styleId="a19">
    <w:name w:val="מראה מקום ממה תו"/>
    <w:basedOn w:val="DefaultParagraphFont"/>
    <w:link w:val="a18"/>
    <w:rsid w:val="00B4321D"/>
    <w:rPr>
      <w:rFonts w:ascii="Calibri" w:eastAsia="Calibri" w:hAnsi="Calibri" w:cs="Calibri"/>
      <w:b/>
      <w:bCs/>
      <w:color w:val="002060"/>
      <w:sz w:val="18"/>
      <w:szCs w:val="18"/>
      <w:shd w:val="solid" w:color="F3F7FF" w:fill="auto"/>
    </w:rPr>
  </w:style>
  <w:style w:type="paragraph" w:customStyle="1" w:styleId="a20">
    <w:name w:val="כותרת עליונה ממה"/>
    <w:basedOn w:val="Normal"/>
    <w:next w:val="Normal"/>
    <w:link w:val="a21"/>
    <w:qFormat/>
    <w:rsid w:val="00B4321D"/>
    <w:pPr>
      <w:spacing w:line="240" w:lineRule="auto"/>
      <w:ind w:left="737"/>
      <w:jc w:val="left"/>
    </w:pPr>
    <w:rPr>
      <w:rFonts w:ascii="Calibri" w:eastAsia="Calibri" w:hAnsi="Calibri" w:cs="Calibri"/>
      <w:color w:val="002060"/>
      <w:sz w:val="18"/>
      <w:szCs w:val="18"/>
    </w:rPr>
  </w:style>
  <w:style w:type="character" w:customStyle="1" w:styleId="a21">
    <w:name w:val="כותרת עליונה ממה תו"/>
    <w:basedOn w:val="DefaultParagraphFont"/>
    <w:link w:val="a20"/>
    <w:rsid w:val="00B4321D"/>
    <w:rPr>
      <w:rFonts w:ascii="Calibri" w:eastAsia="Calibri" w:hAnsi="Calibri" w:cs="Calibri"/>
      <w:color w:val="002060"/>
      <w:sz w:val="18"/>
      <w:szCs w:val="18"/>
    </w:rPr>
  </w:style>
  <w:style w:type="paragraph" w:customStyle="1" w:styleId="13">
    <w:name w:val="כותרת 1 ממה"/>
    <w:basedOn w:val="Normal"/>
    <w:next w:val="Normal"/>
    <w:link w:val="14"/>
    <w:qFormat/>
    <w:rsid w:val="00B4321D"/>
    <w:pPr>
      <w:keepNext/>
      <w:widowControl w:val="0"/>
      <w:numPr>
        <w:numId w:val="1"/>
      </w:numPr>
      <w:spacing w:before="240" w:after="120" w:line="440" w:lineRule="exact"/>
      <w:jc w:val="left"/>
      <w:outlineLvl w:val="0"/>
    </w:pPr>
    <w:rPr>
      <w:rFonts w:ascii="Calibri" w:eastAsia="Calibri" w:hAnsi="Calibri" w:cs="Calibri"/>
      <w:b/>
      <w:bCs/>
      <w:color w:val="002060"/>
      <w:sz w:val="40"/>
      <w:szCs w:val="40"/>
    </w:rPr>
  </w:style>
  <w:style w:type="character" w:customStyle="1" w:styleId="14">
    <w:name w:val="כותרת 1 ממה תו"/>
    <w:basedOn w:val="DefaultParagraphFont"/>
    <w:link w:val="13"/>
    <w:rsid w:val="00B4321D"/>
    <w:rPr>
      <w:rFonts w:ascii="Calibri" w:eastAsia="Calibri" w:hAnsi="Calibri" w:cs="Calibri"/>
      <w:b/>
      <w:bCs/>
      <w:color w:val="002060"/>
      <w:sz w:val="40"/>
      <w:szCs w:val="40"/>
    </w:rPr>
  </w:style>
  <w:style w:type="paragraph" w:customStyle="1" w:styleId="20">
    <w:name w:val="כותרת 2 ממה"/>
    <w:basedOn w:val="Normal"/>
    <w:next w:val="Normal"/>
    <w:link w:val="21"/>
    <w:qFormat/>
    <w:rsid w:val="00B4321D"/>
    <w:pPr>
      <w:keepNext/>
      <w:widowControl w:val="0"/>
      <w:numPr>
        <w:numId w:val="2"/>
      </w:numPr>
      <w:spacing w:before="240" w:line="280" w:lineRule="exact"/>
      <w:jc w:val="left"/>
      <w:outlineLvl w:val="1"/>
    </w:pPr>
    <w:rPr>
      <w:rFonts w:ascii="Calibri" w:eastAsia="Calibri" w:hAnsi="Calibri" w:cs="Calibri"/>
      <w:b/>
      <w:bCs/>
      <w:color w:val="002060"/>
      <w:sz w:val="36"/>
      <w:szCs w:val="36"/>
    </w:rPr>
  </w:style>
  <w:style w:type="character" w:customStyle="1" w:styleId="21">
    <w:name w:val="כותרת 2 ממה תו"/>
    <w:basedOn w:val="2"/>
    <w:link w:val="20"/>
    <w:rsid w:val="00B4321D"/>
    <w:rPr>
      <w:rFonts w:ascii="Calibri" w:eastAsia="Calibri" w:hAnsi="Calibri" w:cs="Calibri"/>
      <w:b/>
      <w:bCs/>
      <w:color w:val="002060"/>
      <w:sz w:val="36"/>
      <w:szCs w:val="36"/>
    </w:rPr>
  </w:style>
  <w:style w:type="paragraph" w:customStyle="1" w:styleId="30">
    <w:name w:val="כותרת 3 ממה"/>
    <w:basedOn w:val="Normal"/>
    <w:next w:val="Normal"/>
    <w:link w:val="31"/>
    <w:qFormat/>
    <w:rsid w:val="00B4321D"/>
    <w:pPr>
      <w:widowControl w:val="0"/>
      <w:numPr>
        <w:numId w:val="3"/>
      </w:numPr>
      <w:spacing w:before="240" w:line="280" w:lineRule="exact"/>
      <w:jc w:val="left"/>
    </w:pPr>
    <w:rPr>
      <w:rFonts w:ascii="Calibri" w:eastAsia="Calibri" w:hAnsi="Calibri" w:cs="Calibri"/>
      <w:b/>
      <w:bCs/>
      <w:color w:val="002060"/>
      <w:sz w:val="28"/>
      <w:szCs w:val="28"/>
      <w:u w:val="single"/>
    </w:rPr>
  </w:style>
  <w:style w:type="character" w:customStyle="1" w:styleId="31">
    <w:name w:val="כותרת 3 ממה תו"/>
    <w:basedOn w:val="3"/>
    <w:link w:val="30"/>
    <w:rsid w:val="00B4321D"/>
    <w:rPr>
      <w:rFonts w:ascii="Calibri" w:eastAsia="Calibri" w:hAnsi="Calibri" w:cs="Calibri"/>
      <w:b/>
      <w:bCs/>
      <w:color w:val="002060"/>
      <w:sz w:val="28"/>
      <w:szCs w:val="28"/>
      <w:u w:val="single"/>
    </w:rPr>
  </w:style>
  <w:style w:type="paragraph" w:customStyle="1" w:styleId="40">
    <w:name w:val="כותרת 4 ממה"/>
    <w:basedOn w:val="Normal"/>
    <w:next w:val="Normal"/>
    <w:link w:val="41"/>
    <w:qFormat/>
    <w:rsid w:val="00B4321D"/>
    <w:pPr>
      <w:keepNext/>
      <w:widowControl w:val="0"/>
      <w:spacing w:before="240" w:line="280" w:lineRule="exact"/>
      <w:ind w:left="1134"/>
      <w:jc w:val="left"/>
      <w:outlineLvl w:val="3"/>
    </w:pPr>
    <w:rPr>
      <w:rFonts w:ascii="Calibri" w:eastAsia="Calibri" w:hAnsi="Calibri" w:cs="Calibri"/>
      <w:color w:val="002060"/>
      <w:sz w:val="28"/>
      <w:szCs w:val="28"/>
    </w:rPr>
  </w:style>
  <w:style w:type="character" w:customStyle="1" w:styleId="41">
    <w:name w:val="כותרת 4 ממה תו"/>
    <w:basedOn w:val="DefaultParagraphFont"/>
    <w:link w:val="40"/>
    <w:rsid w:val="00B4321D"/>
    <w:rPr>
      <w:rFonts w:ascii="Calibri" w:eastAsia="Calibri" w:hAnsi="Calibri" w:cs="Calibri"/>
      <w:color w:val="002060"/>
      <w:sz w:val="28"/>
      <w:szCs w:val="28"/>
    </w:rPr>
  </w:style>
  <w:style w:type="paragraph" w:customStyle="1" w:styleId="15">
    <w:name w:val="רשימה1 ממה"/>
    <w:basedOn w:val="Normal"/>
    <w:link w:val="16"/>
    <w:qFormat/>
    <w:rsid w:val="00B4321D"/>
    <w:pPr>
      <w:widowControl w:val="0"/>
      <w:numPr>
        <w:numId w:val="4"/>
      </w:numPr>
      <w:spacing w:line="280" w:lineRule="exact"/>
    </w:pPr>
    <w:rPr>
      <w:rFonts w:ascii="Calibri" w:eastAsia="Calibri" w:hAnsi="Calibri" w:cs="Calibri"/>
      <w:color w:val="002060"/>
      <w:sz w:val="24"/>
    </w:rPr>
  </w:style>
  <w:style w:type="character" w:customStyle="1" w:styleId="16">
    <w:name w:val="רשימה1 ממה תו"/>
    <w:basedOn w:val="DefaultParagraphFont"/>
    <w:link w:val="15"/>
    <w:rsid w:val="00B4321D"/>
    <w:rPr>
      <w:rFonts w:ascii="Calibri" w:eastAsia="Calibri" w:hAnsi="Calibri" w:cs="Calibri"/>
      <w:color w:val="002060"/>
      <w:sz w:val="24"/>
    </w:rPr>
  </w:style>
  <w:style w:type="paragraph" w:customStyle="1" w:styleId="22">
    <w:name w:val="רשימה2 ממה"/>
    <w:basedOn w:val="Normal"/>
    <w:link w:val="23"/>
    <w:qFormat/>
    <w:rsid w:val="00B4321D"/>
    <w:pPr>
      <w:widowControl w:val="0"/>
      <w:spacing w:line="280" w:lineRule="exact"/>
      <w:ind w:left="1871"/>
    </w:pPr>
    <w:rPr>
      <w:rFonts w:ascii="Calibri" w:eastAsia="Calibri" w:hAnsi="Calibri" w:cs="Calibri"/>
      <w:color w:val="002060"/>
      <w:sz w:val="24"/>
    </w:rPr>
  </w:style>
  <w:style w:type="character" w:customStyle="1" w:styleId="23">
    <w:name w:val="רשימה2 ממה תו"/>
    <w:basedOn w:val="DefaultParagraphFont"/>
    <w:link w:val="22"/>
    <w:rsid w:val="00B4321D"/>
    <w:rPr>
      <w:rFonts w:ascii="Calibri" w:eastAsia="Calibri" w:hAnsi="Calibri" w:cs="Calibri"/>
      <w:color w:val="002060"/>
      <w:sz w:val="24"/>
    </w:rPr>
  </w:style>
  <w:style w:type="paragraph" w:customStyle="1" w:styleId="32">
    <w:name w:val="רשימה3 ממה"/>
    <w:basedOn w:val="Normal"/>
    <w:link w:val="33"/>
    <w:qFormat/>
    <w:rsid w:val="00B4321D"/>
    <w:pPr>
      <w:widowControl w:val="0"/>
      <w:numPr>
        <w:numId w:val="5"/>
      </w:numPr>
      <w:spacing w:line="280" w:lineRule="exact"/>
    </w:pPr>
    <w:rPr>
      <w:rFonts w:ascii="Calibri" w:eastAsia="Calibri" w:hAnsi="Calibri" w:cs="Calibri"/>
      <w:color w:val="002060"/>
      <w:sz w:val="24"/>
    </w:rPr>
  </w:style>
  <w:style w:type="character" w:customStyle="1" w:styleId="33">
    <w:name w:val="רשימה3 ממה תו"/>
    <w:basedOn w:val="DefaultParagraphFont"/>
    <w:link w:val="32"/>
    <w:rsid w:val="00B4321D"/>
    <w:rPr>
      <w:rFonts w:ascii="Calibri" w:eastAsia="Calibri" w:hAnsi="Calibri" w:cs="Calibri"/>
      <w:color w:val="002060"/>
      <w:sz w:val="24"/>
    </w:rPr>
  </w:style>
  <w:style w:type="paragraph" w:customStyle="1" w:styleId="42">
    <w:name w:val="רשימה4 ממה"/>
    <w:basedOn w:val="Normal"/>
    <w:link w:val="43"/>
    <w:qFormat/>
    <w:rsid w:val="00B4321D"/>
    <w:pPr>
      <w:widowControl w:val="0"/>
      <w:spacing w:line="280" w:lineRule="exact"/>
      <w:ind w:left="2552"/>
    </w:pPr>
    <w:rPr>
      <w:rFonts w:ascii="Calibri" w:eastAsia="Calibri" w:hAnsi="Calibri" w:cs="Calibri"/>
      <w:color w:val="002060"/>
      <w:sz w:val="24"/>
    </w:rPr>
  </w:style>
  <w:style w:type="character" w:customStyle="1" w:styleId="43">
    <w:name w:val="רשימה4 ממה תו"/>
    <w:basedOn w:val="DefaultParagraphFont"/>
    <w:link w:val="42"/>
    <w:rsid w:val="00B4321D"/>
    <w:rPr>
      <w:rFonts w:ascii="Calibri" w:eastAsia="Calibri" w:hAnsi="Calibri" w:cs="Calibri"/>
      <w:color w:val="002060"/>
      <w:sz w:val="24"/>
    </w:rPr>
  </w:style>
  <w:style w:type="paragraph" w:customStyle="1" w:styleId="50">
    <w:name w:val="רשימה5 ממה"/>
    <w:basedOn w:val="Normal"/>
    <w:link w:val="51"/>
    <w:qFormat/>
    <w:rsid w:val="00B4321D"/>
    <w:pPr>
      <w:widowControl w:val="0"/>
      <w:numPr>
        <w:numId w:val="6"/>
      </w:numPr>
      <w:spacing w:line="280" w:lineRule="exact"/>
    </w:pPr>
    <w:rPr>
      <w:rFonts w:ascii="Calibri" w:eastAsia="Calibri" w:hAnsi="Calibri" w:cs="Calibri"/>
      <w:color w:val="002060"/>
      <w:sz w:val="24"/>
    </w:rPr>
  </w:style>
  <w:style w:type="character" w:customStyle="1" w:styleId="51">
    <w:name w:val="רשימה5 ממה תו"/>
    <w:basedOn w:val="DefaultParagraphFont"/>
    <w:link w:val="50"/>
    <w:rsid w:val="00B4321D"/>
    <w:rPr>
      <w:rFonts w:ascii="Calibri" w:eastAsia="Calibri" w:hAnsi="Calibri" w:cs="Calibri"/>
      <w:color w:val="002060"/>
      <w:sz w:val="24"/>
    </w:rPr>
  </w:style>
  <w:style w:type="paragraph" w:customStyle="1" w:styleId="a22">
    <w:name w:val="הערת שוליים ממה"/>
    <w:basedOn w:val="Normal"/>
    <w:link w:val="a23"/>
    <w:qFormat/>
    <w:rsid w:val="00B4321D"/>
    <w:pPr>
      <w:widowControl w:val="0"/>
      <w:spacing w:line="280" w:lineRule="exact"/>
      <w:ind w:left="1985" w:hanging="851"/>
    </w:pPr>
    <w:rPr>
      <w:rFonts w:ascii="Calibri" w:eastAsia="Calibri" w:hAnsi="Calibri" w:cs="Calibri"/>
      <w:color w:val="002060"/>
      <w:sz w:val="24"/>
      <w:szCs w:val="20"/>
    </w:rPr>
  </w:style>
  <w:style w:type="character" w:customStyle="1" w:styleId="a23">
    <w:name w:val="הערת שוליים ממה תו"/>
    <w:basedOn w:val="DefaultParagraphFont"/>
    <w:link w:val="a22"/>
    <w:rsid w:val="00B4321D"/>
    <w:rPr>
      <w:rFonts w:ascii="Calibri" w:eastAsia="Calibri" w:hAnsi="Calibri" w:cs="Calibri"/>
      <w:color w:val="002060"/>
      <w:sz w:val="24"/>
      <w:szCs w:val="20"/>
    </w:rPr>
  </w:style>
  <w:style w:type="paragraph" w:customStyle="1" w:styleId="a24">
    <w:name w:val="הערת סיום ממה"/>
    <w:basedOn w:val="Normal"/>
    <w:link w:val="a25"/>
    <w:qFormat/>
    <w:rsid w:val="00B4321D"/>
    <w:pPr>
      <w:widowControl w:val="0"/>
      <w:spacing w:line="240" w:lineRule="auto"/>
      <w:ind w:left="1134"/>
    </w:pPr>
    <w:rPr>
      <w:rFonts w:ascii="Calibri" w:eastAsia="Calibri" w:hAnsi="Calibri" w:cs="Calibri"/>
      <w:color w:val="002060"/>
      <w:sz w:val="24"/>
      <w:szCs w:val="20"/>
    </w:rPr>
  </w:style>
  <w:style w:type="character" w:customStyle="1" w:styleId="a25">
    <w:name w:val="הערת סיום ממה תו"/>
    <w:basedOn w:val="DefaultParagraphFont"/>
    <w:link w:val="a24"/>
    <w:rsid w:val="00B4321D"/>
    <w:rPr>
      <w:rFonts w:ascii="Calibri" w:eastAsia="Calibri" w:hAnsi="Calibri" w:cs="Calibri"/>
      <w:color w:val="002060"/>
      <w:sz w:val="24"/>
      <w:szCs w:val="20"/>
    </w:rPr>
  </w:style>
  <w:style w:type="paragraph" w:customStyle="1" w:styleId="17">
    <w:name w:val="ליקוי/ממצא חיובי/המלצה1 ממה"/>
    <w:next w:val="Normal"/>
    <w:link w:val="18"/>
    <w:qFormat/>
    <w:rsid w:val="00B4321D"/>
    <w:pPr>
      <w:keepNext/>
      <w:keepLines/>
      <w:widowControl w:val="0"/>
      <w:pBdr>
        <w:bottom w:val="single" w:sz="2" w:space="1" w:color="002060"/>
      </w:pBdr>
      <w:bidi/>
      <w:spacing w:after="0" w:line="280" w:lineRule="exact"/>
      <w:ind w:left="1134"/>
      <w:outlineLvl w:val="8"/>
    </w:pPr>
    <w:rPr>
      <w:rFonts w:ascii="Calibri" w:eastAsia="Calibri" w:hAnsi="Calibri" w:cs="Calibri"/>
      <w:color w:val="002060"/>
      <w:sz w:val="24"/>
    </w:rPr>
  </w:style>
  <w:style w:type="character" w:customStyle="1" w:styleId="18">
    <w:name w:val="ליקוי/ממצא חיובי/המלצה1 ממה תו"/>
    <w:basedOn w:val="DefaultParagraphFont"/>
    <w:link w:val="17"/>
    <w:rsid w:val="00B4321D"/>
    <w:rPr>
      <w:rFonts w:ascii="Calibri" w:eastAsia="Calibri" w:hAnsi="Calibri" w:cs="Calibri"/>
      <w:color w:val="002060"/>
      <w:sz w:val="24"/>
    </w:rPr>
  </w:style>
  <w:style w:type="paragraph" w:customStyle="1" w:styleId="24">
    <w:name w:val="ליקוי/ממצא חיובי/המלצה2 ממה"/>
    <w:basedOn w:val="Normal"/>
    <w:next w:val="Normal"/>
    <w:link w:val="25"/>
    <w:qFormat/>
    <w:rsid w:val="00B4321D"/>
    <w:pPr>
      <w:keepNext/>
      <w:keepLines/>
      <w:widowControl w:val="0"/>
      <w:pBdr>
        <w:bottom w:val="single" w:sz="2" w:space="1" w:color="002060"/>
      </w:pBdr>
      <w:spacing w:line="280" w:lineRule="exact"/>
      <w:ind w:left="1871"/>
      <w:outlineLvl w:val="8"/>
    </w:pPr>
    <w:rPr>
      <w:rFonts w:ascii="Calibri" w:eastAsia="Calibri" w:hAnsi="Calibri" w:cs="Calibri"/>
      <w:color w:val="002060"/>
      <w:sz w:val="24"/>
    </w:rPr>
  </w:style>
  <w:style w:type="character" w:customStyle="1" w:styleId="25">
    <w:name w:val="ליקוי/ממצא חיובי/המלצה2 ממה תו"/>
    <w:basedOn w:val="18"/>
    <w:link w:val="24"/>
    <w:rsid w:val="00B4321D"/>
    <w:rPr>
      <w:rFonts w:ascii="Calibri" w:eastAsia="Calibri" w:hAnsi="Calibri" w:cs="Calibri"/>
      <w:color w:val="002060"/>
      <w:sz w:val="24"/>
    </w:rPr>
  </w:style>
  <w:style w:type="paragraph" w:customStyle="1" w:styleId="34">
    <w:name w:val="ליקוי/ממצא חיובי/המלצה3 ממה"/>
    <w:basedOn w:val="Normal"/>
    <w:link w:val="35"/>
    <w:qFormat/>
    <w:rsid w:val="00B4321D"/>
    <w:pPr>
      <w:keepNext/>
      <w:keepLines/>
      <w:widowControl w:val="0"/>
      <w:pBdr>
        <w:bottom w:val="single" w:sz="4" w:space="1" w:color="002060"/>
      </w:pBdr>
      <w:spacing w:line="280" w:lineRule="exact"/>
      <w:ind w:left="2552"/>
      <w:outlineLvl w:val="8"/>
    </w:pPr>
    <w:rPr>
      <w:rFonts w:ascii="Calibri" w:eastAsia="Calibri" w:hAnsi="Calibri" w:cs="Calibri"/>
      <w:color w:val="002060"/>
      <w:sz w:val="24"/>
    </w:rPr>
  </w:style>
  <w:style w:type="character" w:customStyle="1" w:styleId="35">
    <w:name w:val="ליקוי/ממצא חיובי/המלצה3 ממה תו"/>
    <w:basedOn w:val="DefaultParagraphFont"/>
    <w:link w:val="34"/>
    <w:rsid w:val="00B4321D"/>
    <w:rPr>
      <w:rFonts w:ascii="Calibri" w:eastAsia="Calibri" w:hAnsi="Calibri" w:cs="Calibri"/>
      <w:color w:val="002060"/>
      <w:sz w:val="24"/>
    </w:rPr>
  </w:style>
  <w:style w:type="paragraph" w:customStyle="1" w:styleId="a26">
    <w:name w:val="נבנצאל ממה"/>
    <w:basedOn w:val="Normal"/>
    <w:next w:val="Normal"/>
    <w:link w:val="a27"/>
    <w:uiPriority w:val="99"/>
    <w:qFormat/>
    <w:rsid w:val="00B4321D"/>
    <w:pPr>
      <w:keepNext/>
      <w:spacing w:line="280" w:lineRule="exact"/>
      <w:jc w:val="left"/>
    </w:pPr>
    <w:rPr>
      <w:rFonts w:ascii="Calibri" w:eastAsia="Calibri" w:hAnsi="Calibri" w:cs="Calibri"/>
      <w:color w:val="002060"/>
      <w:szCs w:val="20"/>
    </w:rPr>
  </w:style>
  <w:style w:type="character" w:customStyle="1" w:styleId="a27">
    <w:name w:val="נבנצאל ממה תו"/>
    <w:basedOn w:val="DefaultParagraphFont"/>
    <w:link w:val="a26"/>
    <w:uiPriority w:val="99"/>
    <w:rsid w:val="00B4321D"/>
    <w:rPr>
      <w:rFonts w:ascii="Calibri" w:eastAsia="Calibri" w:hAnsi="Calibri" w:cs="Calibri"/>
      <w:color w:val="002060"/>
      <w:szCs w:val="20"/>
    </w:rPr>
  </w:style>
  <w:style w:type="paragraph" w:customStyle="1" w:styleId="a28">
    <w:name w:val="רגיל ממה"/>
    <w:basedOn w:val="Normal"/>
    <w:link w:val="a29"/>
    <w:qFormat/>
    <w:rsid w:val="00B4321D"/>
    <w:pPr>
      <w:widowControl w:val="0"/>
      <w:spacing w:line="280" w:lineRule="exact"/>
      <w:ind w:left="1134"/>
    </w:pPr>
    <w:rPr>
      <w:rFonts w:ascii="Calibri" w:eastAsia="Calibri" w:hAnsi="Calibri" w:cs="Calibri"/>
      <w:color w:val="002060"/>
      <w:sz w:val="24"/>
    </w:rPr>
  </w:style>
  <w:style w:type="character" w:customStyle="1" w:styleId="a29">
    <w:name w:val="רגיל ממה תו"/>
    <w:basedOn w:val="DefaultParagraphFont"/>
    <w:link w:val="a28"/>
    <w:rsid w:val="00B4321D"/>
    <w:rPr>
      <w:rFonts w:ascii="Calibri" w:eastAsia="Calibri" w:hAnsi="Calibri" w:cs="Calibri"/>
      <w:color w:val="002060"/>
      <w:sz w:val="24"/>
    </w:rPr>
  </w:style>
  <w:style w:type="paragraph" w:customStyle="1" w:styleId="a30">
    <w:name w:val="סיכום ממה"/>
    <w:basedOn w:val="Normal"/>
    <w:next w:val="Normal"/>
    <w:link w:val="a31"/>
    <w:qFormat/>
    <w:rsid w:val="00B4321D"/>
    <w:pPr>
      <w:spacing w:line="276" w:lineRule="auto"/>
      <w:ind w:left="1140"/>
    </w:pPr>
    <w:rPr>
      <w:rFonts w:ascii="Calibri" w:eastAsia="Calibri" w:hAnsi="Calibri" w:cs="Calibri"/>
      <w:b/>
      <w:bCs/>
      <w:color w:val="FFFFFF" w:themeColor="background1"/>
      <w:sz w:val="2"/>
      <w:szCs w:val="2"/>
    </w:rPr>
  </w:style>
  <w:style w:type="character" w:customStyle="1" w:styleId="a31">
    <w:name w:val="סיכום ממה תו"/>
    <w:basedOn w:val="DefaultParagraphFont"/>
    <w:link w:val="a30"/>
    <w:rsid w:val="00B4321D"/>
    <w:rPr>
      <w:rFonts w:ascii="Calibri" w:eastAsia="Calibri" w:hAnsi="Calibri" w:cs="Calibri"/>
      <w:b/>
      <w:bCs/>
      <w:color w:val="FFFFFF" w:themeColor="background1"/>
      <w:sz w:val="2"/>
      <w:szCs w:val="2"/>
    </w:rPr>
  </w:style>
  <w:style w:type="paragraph" w:customStyle="1" w:styleId="a32">
    <w:name w:val="טקסט סיכום ממה"/>
    <w:basedOn w:val="Normal"/>
    <w:next w:val="Normal"/>
    <w:qFormat/>
    <w:rsid w:val="00B4321D"/>
    <w:pPr>
      <w:widowControl w:val="0"/>
      <w:spacing w:after="240" w:line="280" w:lineRule="exact"/>
      <w:ind w:left="1140"/>
    </w:pPr>
    <w:rPr>
      <w:rFonts w:ascii="Calibri" w:eastAsia="Calibri" w:hAnsi="Calibri" w:cs="Calibri"/>
      <w:bCs/>
      <w:color w:val="002060"/>
      <w:sz w:val="24"/>
    </w:rPr>
  </w:style>
  <w:style w:type="paragraph" w:customStyle="1" w:styleId="a33">
    <w:name w:val="סיכום ביניים ממה"/>
    <w:basedOn w:val="Normal"/>
    <w:next w:val="Normal"/>
    <w:qFormat/>
    <w:rsid w:val="00B4321D"/>
    <w:pPr>
      <w:widowControl w:val="0"/>
      <w:spacing w:before="240" w:after="240"/>
      <w:ind w:left="1134"/>
    </w:pPr>
    <w:rPr>
      <w:rFonts w:ascii="Calibri" w:eastAsia="Calibri" w:hAnsi="Calibri" w:cs="Calibri"/>
      <w:noProof/>
      <w:color w:val="002060"/>
      <w:sz w:val="24"/>
    </w:rPr>
  </w:style>
  <w:style w:type="paragraph" w:customStyle="1" w:styleId="a34">
    <w:name w:val="טקסט סיכום ביניים ממה"/>
    <w:basedOn w:val="Normal"/>
    <w:next w:val="Normal"/>
    <w:qFormat/>
    <w:rsid w:val="00B4321D"/>
    <w:pPr>
      <w:widowControl w:val="0"/>
      <w:spacing w:after="240" w:line="280" w:lineRule="exact"/>
      <w:ind w:left="1134"/>
    </w:pPr>
    <w:rPr>
      <w:rFonts w:ascii="Calibri" w:eastAsia="Calibri" w:hAnsi="Calibri" w:cs="Calibri"/>
      <w:bCs/>
      <w:color w:val="002060"/>
      <w:sz w:val="24"/>
    </w:rPr>
  </w:style>
  <w:style w:type="paragraph" w:customStyle="1" w:styleId="a35">
    <w:name w:val="תרשים ממה"/>
    <w:basedOn w:val="Normal"/>
    <w:next w:val="Normal"/>
    <w:link w:val="a36"/>
    <w:qFormat/>
    <w:rsid w:val="00B4321D"/>
    <w:pPr>
      <w:keepNext/>
      <w:keepLines/>
      <w:widowControl w:val="0"/>
      <w:numPr>
        <w:numId w:val="7"/>
      </w:numPr>
      <w:spacing w:line="280" w:lineRule="exact"/>
      <w:jc w:val="center"/>
      <w:outlineLvl w:val="6"/>
    </w:pPr>
    <w:rPr>
      <w:rFonts w:ascii="Calibri" w:eastAsia="Calibri" w:hAnsi="Calibri" w:cs="Calibri"/>
      <w:b/>
      <w:bCs/>
      <w:color w:val="002060"/>
      <w:sz w:val="24"/>
    </w:rPr>
  </w:style>
  <w:style w:type="character" w:customStyle="1" w:styleId="a36">
    <w:name w:val="תרשים ממה תו"/>
    <w:basedOn w:val="DefaultParagraphFont"/>
    <w:link w:val="a35"/>
    <w:rsid w:val="00B4321D"/>
    <w:rPr>
      <w:rFonts w:ascii="Calibri" w:eastAsia="Calibri" w:hAnsi="Calibri" w:cs="Calibri"/>
      <w:b/>
      <w:bCs/>
      <w:color w:val="002060"/>
      <w:sz w:val="24"/>
    </w:rPr>
  </w:style>
  <w:style w:type="paragraph" w:customStyle="1" w:styleId="a37">
    <w:name w:val="תמונה ממה"/>
    <w:basedOn w:val="Normal"/>
    <w:next w:val="Normal"/>
    <w:link w:val="a38"/>
    <w:qFormat/>
    <w:rsid w:val="00B4321D"/>
    <w:pPr>
      <w:keepNext/>
      <w:keepLines/>
      <w:widowControl w:val="0"/>
      <w:numPr>
        <w:numId w:val="8"/>
      </w:numPr>
      <w:spacing w:line="280" w:lineRule="exact"/>
      <w:jc w:val="center"/>
      <w:outlineLvl w:val="6"/>
    </w:pPr>
    <w:rPr>
      <w:rFonts w:ascii="Calibri" w:eastAsia="Calibri" w:hAnsi="Calibri" w:cs="Calibri"/>
      <w:b/>
      <w:bCs/>
      <w:color w:val="002060"/>
      <w:sz w:val="24"/>
    </w:rPr>
  </w:style>
  <w:style w:type="character" w:customStyle="1" w:styleId="a38">
    <w:name w:val="תמונה ממה תו"/>
    <w:basedOn w:val="DefaultParagraphFont"/>
    <w:link w:val="a37"/>
    <w:rsid w:val="00B4321D"/>
    <w:rPr>
      <w:rFonts w:ascii="Calibri" w:eastAsia="Calibri" w:hAnsi="Calibri" w:cs="Calibri"/>
      <w:b/>
      <w:bCs/>
      <w:color w:val="002060"/>
      <w:sz w:val="24"/>
    </w:rPr>
  </w:style>
  <w:style w:type="paragraph" w:customStyle="1" w:styleId="a39">
    <w:name w:val="לוח ממה"/>
    <w:basedOn w:val="Normal"/>
    <w:next w:val="Normal"/>
    <w:link w:val="a40"/>
    <w:qFormat/>
    <w:rsid w:val="00B4321D"/>
    <w:pPr>
      <w:keepNext/>
      <w:keepLines/>
      <w:widowControl w:val="0"/>
      <w:numPr>
        <w:numId w:val="9"/>
      </w:numPr>
      <w:spacing w:line="280" w:lineRule="exact"/>
      <w:jc w:val="center"/>
      <w:outlineLvl w:val="6"/>
    </w:pPr>
    <w:rPr>
      <w:rFonts w:ascii="Calibri" w:eastAsia="Calibri" w:hAnsi="Calibri" w:cs="Calibri"/>
      <w:b/>
      <w:bCs/>
      <w:color w:val="002060"/>
      <w:sz w:val="24"/>
    </w:rPr>
  </w:style>
  <w:style w:type="character" w:customStyle="1" w:styleId="a40">
    <w:name w:val="לוח ממה תו"/>
    <w:basedOn w:val="DefaultParagraphFont"/>
    <w:link w:val="a39"/>
    <w:rsid w:val="00B4321D"/>
    <w:rPr>
      <w:rFonts w:ascii="Calibri" w:eastAsia="Calibri" w:hAnsi="Calibri" w:cs="Calibri"/>
      <w:b/>
      <w:bCs/>
      <w:color w:val="002060"/>
      <w:sz w:val="24"/>
    </w:rPr>
  </w:style>
  <w:style w:type="paragraph" w:customStyle="1" w:styleId="a41">
    <w:name w:val="מפה ממה"/>
    <w:basedOn w:val="Normal"/>
    <w:next w:val="Normal"/>
    <w:link w:val="a42"/>
    <w:qFormat/>
    <w:rsid w:val="00B4321D"/>
    <w:pPr>
      <w:keepNext/>
      <w:keepLines/>
      <w:widowControl w:val="0"/>
      <w:numPr>
        <w:numId w:val="10"/>
      </w:numPr>
      <w:spacing w:line="280" w:lineRule="exact"/>
      <w:jc w:val="center"/>
      <w:outlineLvl w:val="6"/>
    </w:pPr>
    <w:rPr>
      <w:rFonts w:ascii="Calibri" w:eastAsia="Calibri" w:hAnsi="Calibri" w:cs="Calibri"/>
      <w:b/>
      <w:bCs/>
      <w:color w:val="002060"/>
      <w:sz w:val="24"/>
    </w:rPr>
  </w:style>
  <w:style w:type="character" w:customStyle="1" w:styleId="a42">
    <w:name w:val="מפה ממה תו"/>
    <w:basedOn w:val="DefaultParagraphFont"/>
    <w:link w:val="a41"/>
    <w:rsid w:val="00B4321D"/>
    <w:rPr>
      <w:rFonts w:ascii="Calibri" w:eastAsia="Calibri" w:hAnsi="Calibri" w:cs="Calibri"/>
      <w:b/>
      <w:bCs/>
      <w:color w:val="002060"/>
      <w:sz w:val="24"/>
    </w:rPr>
  </w:style>
  <w:style w:type="paragraph" w:customStyle="1" w:styleId="a43">
    <w:name w:val="מקור ממה"/>
    <w:basedOn w:val="Normal"/>
    <w:next w:val="Normal"/>
    <w:qFormat/>
    <w:rsid w:val="00B4321D"/>
    <w:pPr>
      <w:keepNext/>
      <w:keepLines/>
      <w:widowControl w:val="0"/>
      <w:ind w:left="1134"/>
    </w:pPr>
    <w:rPr>
      <w:rFonts w:ascii="Calibri" w:eastAsia="Calibri" w:hAnsi="Calibri" w:cs="Calibri"/>
      <w:color w:val="002060"/>
      <w:szCs w:val="20"/>
    </w:rPr>
  </w:style>
  <w:style w:type="paragraph" w:customStyle="1" w:styleId="a44">
    <w:name w:val="אובייקט ממה"/>
    <w:basedOn w:val="Normal"/>
    <w:next w:val="Normal"/>
    <w:qFormat/>
    <w:rsid w:val="00B4321D"/>
    <w:pPr>
      <w:keepNext/>
      <w:widowControl w:val="0"/>
      <w:spacing w:line="269" w:lineRule="auto"/>
      <w:ind w:left="1134"/>
    </w:pPr>
    <w:rPr>
      <w:rFonts w:ascii="Calibri" w:eastAsia="Calibri" w:hAnsi="Calibri" w:cs="Calibri"/>
      <w:noProof/>
      <w:color w:val="002060"/>
      <w:sz w:val="24"/>
    </w:rPr>
  </w:style>
  <w:style w:type="paragraph" w:customStyle="1" w:styleId="a45">
    <w:name w:val="רכיבי המבוא ממה"/>
    <w:basedOn w:val="Normal"/>
    <w:link w:val="a46"/>
    <w:qFormat/>
    <w:rsid w:val="00B4321D"/>
    <w:pPr>
      <w:pBdr>
        <w:bottom w:val="single" w:sz="8" w:space="1" w:color="F2F2F2"/>
      </w:pBdr>
      <w:spacing w:before="60" w:after="60" w:line="280" w:lineRule="exact"/>
      <w:ind w:left="170" w:right="57"/>
    </w:pPr>
    <w:rPr>
      <w:rFonts w:ascii="Calibri" w:eastAsia="Calibri" w:hAnsi="Calibri" w:cs="Calibri"/>
      <w:color w:val="002060"/>
      <w:szCs w:val="20"/>
    </w:rPr>
  </w:style>
  <w:style w:type="character" w:customStyle="1" w:styleId="a46">
    <w:name w:val="רכיבי המבוא ממה תו"/>
    <w:basedOn w:val="DefaultParagraphFont"/>
    <w:link w:val="a45"/>
    <w:rsid w:val="00B4321D"/>
    <w:rPr>
      <w:rFonts w:ascii="Calibri" w:eastAsia="Calibri" w:hAnsi="Calibri" w:cs="Calibri"/>
      <w:color w:val="002060"/>
      <w:szCs w:val="20"/>
    </w:rPr>
  </w:style>
  <w:style w:type="paragraph" w:customStyle="1" w:styleId="a47">
    <w:name w:val="אייקון במבוא ממה"/>
    <w:basedOn w:val="Normal"/>
    <w:link w:val="a48"/>
    <w:qFormat/>
    <w:rsid w:val="00B4321D"/>
    <w:pPr>
      <w:pBdr>
        <w:bottom w:val="single" w:sz="8" w:space="1" w:color="F2F2F2"/>
      </w:pBdr>
      <w:spacing w:line="240" w:lineRule="auto"/>
      <w:jc w:val="center"/>
    </w:pPr>
    <w:rPr>
      <w:rFonts w:ascii="Calibri" w:eastAsia="Calibri" w:hAnsi="Calibri" w:cs="Calibri"/>
      <w:bCs/>
      <w:color w:val="002060"/>
      <w:sz w:val="24"/>
      <w:szCs w:val="20"/>
    </w:rPr>
  </w:style>
  <w:style w:type="character" w:customStyle="1" w:styleId="a48">
    <w:name w:val="אייקון במבוא ממה תו"/>
    <w:basedOn w:val="DefaultParagraphFont"/>
    <w:link w:val="a47"/>
    <w:rsid w:val="00B4321D"/>
    <w:rPr>
      <w:rFonts w:ascii="Calibri" w:eastAsia="Calibri" w:hAnsi="Calibri" w:cs="Calibri"/>
      <w:bCs/>
      <w:color w:val="002060"/>
      <w:sz w:val="24"/>
      <w:szCs w:val="20"/>
    </w:rPr>
  </w:style>
  <w:style w:type="paragraph" w:customStyle="1" w:styleId="739">
    <w:name w:val="73א טקסט רץ 9"/>
    <w:basedOn w:val="Normal"/>
    <w:link w:val="7390"/>
    <w:qFormat/>
    <w:rsid w:val="00B4321D"/>
    <w:pPr>
      <w:spacing w:after="180" w:line="260" w:lineRule="exact"/>
    </w:pPr>
    <w:rPr>
      <w:rFonts w:ascii="Tahoma" w:hAnsi="Tahoma" w:cs="Tahoma"/>
      <w:color w:val="0D0D0D" w:themeColor="text1" w:themeTint="F2"/>
      <w:sz w:val="18"/>
      <w:szCs w:val="18"/>
    </w:rPr>
  </w:style>
  <w:style w:type="character" w:customStyle="1" w:styleId="7390">
    <w:name w:val="73א טקסט רץ 9 תו"/>
    <w:basedOn w:val="DefaultParagraphFont"/>
    <w:link w:val="739"/>
    <w:rsid w:val="00B4321D"/>
    <w:rPr>
      <w:rFonts w:ascii="Tahoma" w:hAnsi="Tahoma" w:cs="Tahoma"/>
      <w:color w:val="0D0D0D" w:themeColor="text1" w:themeTint="F2"/>
      <w:sz w:val="18"/>
      <w:szCs w:val="18"/>
    </w:rPr>
  </w:style>
  <w:style w:type="table" w:styleId="GridTable4Accent1">
    <w:name w:val="Grid Table 4 Accent 1"/>
    <w:basedOn w:val="TableNormal"/>
    <w:uiPriority w:val="49"/>
    <w:rsid w:val="00354F9A"/>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19">
    <w:name w:val="אזכור לא מזוהה1"/>
    <w:basedOn w:val="DefaultParagraphFont"/>
    <w:uiPriority w:val="99"/>
    <w:semiHidden/>
    <w:unhideWhenUsed/>
    <w:rsid w:val="00354F9A"/>
    <w:rPr>
      <w:color w:val="605E5C"/>
      <w:shd w:val="clear" w:color="auto" w:fill="E1DFDD"/>
    </w:rPr>
  </w:style>
  <w:style w:type="table" w:styleId="GridTable5DarkAccent1">
    <w:name w:val="Grid Table 5 Dark Accent 1"/>
    <w:basedOn w:val="TableNormal"/>
    <w:uiPriority w:val="50"/>
    <w:rsid w:val="00354F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354F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110">
    <w:name w:val="רשת טבלה11"/>
    <w:basedOn w:val="TableNormal"/>
    <w:next w:val="TableGrid"/>
    <w:uiPriority w:val="59"/>
    <w:rsid w:val="00734173"/>
    <w:pPr>
      <w:spacing w:after="0"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styles" Target="styles.xml"/><Relationship Id="rId8" Type="http://schemas.openxmlformats.org/officeDocument/2006/relationships/footer" Target="footer1.xml"/><Relationship Id="rId21" Type="http://schemas.openxmlformats.org/officeDocument/2006/relationships/image" Target="media/image15.png"/><Relationship Id="rId3" Type="http://schemas.openxmlformats.org/officeDocument/2006/relationships/webSettings" Target="webSettings.xml"/><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numbering" Target="numbering.xml"/><Relationship Id="rId7" Type="http://schemas.openxmlformats.org/officeDocument/2006/relationships/header" Target="header2.xml"/><Relationship Id="rId16" Type="http://schemas.openxmlformats.org/officeDocument/2006/relationships/image" Target="media/image10.jpeg"/><Relationship Id="rId2" Type="http://schemas.openxmlformats.org/officeDocument/2006/relationships/settings" Target="settings.xml"/><Relationship Id="rId20" Type="http://schemas.openxmlformats.org/officeDocument/2006/relationships/image" Target="media/image14.png"/><Relationship Id="rId29" Type="http://schemas.openxmlformats.org/officeDocument/2006/relationships/customXml" Target="../customXml/item4.xml"/><Relationship Id="rId1" Type="http://schemas.openxmlformats.org/officeDocument/2006/relationships/footnotes" Target="footnotes.xml"/><Relationship Id="rId11" Type="http://schemas.openxmlformats.org/officeDocument/2006/relationships/image" Target="media/image5.jpeg"/><Relationship Id="rId24" Type="http://schemas.openxmlformats.org/officeDocument/2006/relationships/theme" Target="theme/theme1.xml"/><Relationship Id="rId6" Type="http://schemas.openxmlformats.org/officeDocument/2006/relationships/header" Target="header1.xml"/><Relationship Id="rId15" Type="http://schemas.openxmlformats.org/officeDocument/2006/relationships/image" Target="media/image9.jpeg"/><Relationship Id="rId23" Type="http://schemas.openxmlformats.org/officeDocument/2006/relationships/header" Target="header4.xml"/><Relationship Id="rId5" Type="http://schemas.openxmlformats.org/officeDocument/2006/relationships/customXml" Target="../customXml/item1.xml"/><Relationship Id="rId28" Type="http://schemas.openxmlformats.org/officeDocument/2006/relationships/customXml" Target="../customXml/item3.xml"/><Relationship Id="rId10" Type="http://schemas.openxmlformats.org/officeDocument/2006/relationships/image" Target="media/image4.jpeg"/><Relationship Id="rId19" Type="http://schemas.openxmlformats.org/officeDocument/2006/relationships/image" Target="media/image13.png"/><Relationship Id="rId14" Type="http://schemas.openxmlformats.org/officeDocument/2006/relationships/image" Target="media/image8.jpeg"/><Relationship Id="rId22" Type="http://schemas.openxmlformats.org/officeDocument/2006/relationships/image" Target="media/image16.jpeg"/><Relationship Id="rId4" Type="http://schemas.openxmlformats.org/officeDocument/2006/relationships/fontTable" Target="fontTable.xml"/><Relationship Id="rId9" Type="http://schemas.openxmlformats.org/officeDocument/2006/relationships/header" Target="header3.xml"/><Relationship Id="rId27" Type="http://schemas.openxmlformats.org/officeDocument/2006/relationships/customXml" Target="../customXml/item2.xml"/></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svg" /><Relationship Id="rId3" Type="http://schemas.openxmlformats.org/officeDocument/2006/relationships/image" Target="media/image3.png"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התאמה אישית 2">
      <a:majorFont>
        <a:latin typeface="Calibri"/>
        <a:ea typeface=""/>
        <a:cs typeface="Calibri"/>
      </a:majorFont>
      <a:minorFont>
        <a:latin typeface="Calibri"/>
        <a:ea typeface=""/>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3b3d791f89300efca45be244c8ab8eee">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3f32651d6f91e9dea68c269a9733e2c2"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AACF28B-BACE-4BF0-9524-FA0CC7193F5A}">
  <ds:schemaRefs>
    <ds:schemaRef ds:uri="http://schemas.openxmlformats.org/officeDocument/2006/bibliography"/>
  </ds:schemaRefs>
</ds:datastoreItem>
</file>

<file path=customXml/itemProps2.xml><?xml version="1.0" encoding="utf-8"?>
<ds:datastoreItem xmlns:ds="http://schemas.openxmlformats.org/officeDocument/2006/customXml" ds:itemID="{4C7C9AD3-11D3-475B-9BEC-D994A6D3AC7F}"/>
</file>

<file path=customXml/itemProps3.xml><?xml version="1.0" encoding="utf-8"?>
<ds:datastoreItem xmlns:ds="http://schemas.openxmlformats.org/officeDocument/2006/customXml" ds:itemID="{E704C286-CAC2-455D-B2A5-F62CD023A25D}"/>
</file>

<file path=customXml/itemProps4.xml><?xml version="1.0" encoding="utf-8"?>
<ds:datastoreItem xmlns:ds="http://schemas.openxmlformats.org/officeDocument/2006/customXml" ds:itemID="{F0E2CD43-7C67-4068-8564-1279867219E1}"/>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