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2.8.0 -->
  <w:body>
    <w:p w:rsidR="00512A2D" w:rsidP="009E2768" w14:paraId="7198B49D" w14:textId="77777777">
      <w:pPr>
        <w:spacing w:line="269" w:lineRule="auto"/>
        <w:rPr>
          <w:rFonts w:ascii="Calibri" w:hAnsi="Calibri" w:cs="Calibri"/>
          <w:b/>
          <w:bCs/>
          <w:color w:val="002060"/>
          <w:sz w:val="80"/>
          <w:szCs w:val="80"/>
          <w:rtl/>
        </w:rPr>
      </w:pPr>
    </w:p>
    <w:p w:rsidR="00512A2D" w:rsidP="009E2768" w14:paraId="0A55F1AF" w14:textId="77777777">
      <w:pPr>
        <w:spacing w:line="269" w:lineRule="auto"/>
        <w:rPr>
          <w:rFonts w:ascii="Calibri" w:hAnsi="Calibri" w:cs="Calibri"/>
          <w:b/>
          <w:bCs/>
          <w:color w:val="002060"/>
          <w:sz w:val="80"/>
          <w:szCs w:val="80"/>
          <w:rtl/>
        </w:rPr>
      </w:pPr>
    </w:p>
    <w:p w:rsidR="00512A2D" w:rsidP="009E2768" w14:paraId="1E2589CA" w14:textId="77777777">
      <w:pPr>
        <w:spacing w:line="269" w:lineRule="auto"/>
        <w:rPr>
          <w:rFonts w:ascii="Calibri" w:hAnsi="Calibri" w:cs="Calibri"/>
          <w:b/>
          <w:bCs/>
          <w:color w:val="002060"/>
          <w:sz w:val="80"/>
          <w:szCs w:val="80"/>
          <w:rtl/>
        </w:rPr>
      </w:pPr>
    </w:p>
    <w:p w:rsidR="00512A2D" w:rsidP="009E2768" w14:paraId="2123BB3D" w14:textId="77777777">
      <w:pPr>
        <w:spacing w:line="269" w:lineRule="auto"/>
        <w:rPr>
          <w:rFonts w:ascii="Calibri" w:hAnsi="Calibri" w:cs="Calibri"/>
          <w:b/>
          <w:bCs/>
          <w:color w:val="002060"/>
          <w:sz w:val="80"/>
          <w:szCs w:val="80"/>
          <w:rtl/>
        </w:rPr>
      </w:pPr>
    </w:p>
    <w:p w:rsidR="006E1414" w:rsidP="009E2768" w14:paraId="72D2D71E" w14:textId="77777777">
      <w:pPr>
        <w:spacing w:line="269" w:lineRule="auto"/>
        <w:ind w:left="-285"/>
        <w:jc w:val="center"/>
        <w:rPr>
          <w:rFonts w:ascii="Calibri" w:hAnsi="Calibri" w:cs="Calibri"/>
          <w:b/>
          <w:bCs/>
          <w:color w:val="002060"/>
          <w:sz w:val="80"/>
          <w:szCs w:val="80"/>
          <w:rtl/>
        </w:rPr>
      </w:pPr>
      <w:r w:rsidRPr="001132E6">
        <w:rPr>
          <w:rFonts w:ascii="Calibri" w:hAnsi="Calibri" w:cs="Calibri"/>
          <w:b/>
          <w:bCs/>
          <w:color w:val="002060"/>
          <w:sz w:val="80"/>
          <w:szCs w:val="80"/>
          <w:rtl/>
        </w:rPr>
        <w:t>פערים בהכנסות העצמיות של רשויות מקומיות</w:t>
      </w:r>
    </w:p>
    <w:p w:rsidR="006E1414" w:rsidP="009E2768" w14:paraId="1D939070" w14:textId="77777777">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14:paraId="4118D9F3" w14:textId="77777777">
      <w:pPr>
        <w:tabs>
          <w:tab w:val="left" w:pos="1020"/>
        </w:tabs>
        <w:spacing w:line="269" w:lineRule="auto"/>
        <w:jc w:val="left"/>
        <w:rPr>
          <w:rFonts w:ascii="Calibri" w:hAnsi="Calibri" w:cs="Times New Roman"/>
          <w:color w:val="002060"/>
          <w:sz w:val="22"/>
          <w:szCs w:val="22"/>
          <w:rtl/>
        </w:rPr>
        <w:sectPr w:rsidSect="0099692E">
          <w:headerReference w:type="default" r:id="rId5"/>
          <w:headerReference w:type="first" r:id="rId6"/>
          <w:footerReference w:type="first" r:id="rId7"/>
          <w:pgSz w:w="11906" w:h="16838"/>
          <w:pgMar w:top="1701" w:right="1985" w:bottom="1588" w:left="1701" w:header="709" w:footer="709" w:gutter="0"/>
          <w:cols w:space="708"/>
          <w:titlePg/>
          <w:bidi/>
          <w:rtlGutter/>
          <w:docGrid w:linePitch="360"/>
        </w:sectPr>
      </w:pPr>
    </w:p>
    <w:p w:rsidR="00FA7500" w:rsidP="009E2768" w14:paraId="716E2122" w14:textId="77777777">
      <w:pPr>
        <w:tabs>
          <w:tab w:val="left" w:pos="6518"/>
          <w:tab w:val="left" w:pos="7568"/>
        </w:tabs>
        <w:spacing w:line="269" w:lineRule="auto"/>
        <w:jc w:val="left"/>
        <w:rPr>
          <w:rFonts w:ascii="Calibri" w:hAnsi="Calibri" w:cstheme="minorBidi"/>
          <w:color w:val="002060"/>
          <w:sz w:val="22"/>
          <w:szCs w:val="22"/>
        </w:rPr>
      </w:pPr>
    </w:p>
    <w:p w:rsidR="006A7477" w:rsidP="009E2768" w14:paraId="28F9F7BC" w14:textId="77777777">
      <w:pPr>
        <w:tabs>
          <w:tab w:val="left" w:pos="6518"/>
          <w:tab w:val="left" w:pos="7568"/>
        </w:tabs>
        <w:spacing w:line="269" w:lineRule="auto"/>
        <w:jc w:val="left"/>
        <w:rPr>
          <w:rFonts w:ascii="Calibri" w:hAnsi="Calibri" w:cs="Times New Roman"/>
          <w:color w:val="002060"/>
          <w:sz w:val="22"/>
          <w:szCs w:val="22"/>
          <w:rtl/>
        </w:rPr>
        <w:sectPr w:rsidSect="0099692E">
          <w:headerReference w:type="default" r:id="rId8"/>
          <w:headerReference w:type="first" r:id="rId9"/>
          <w:pgSz w:w="11906" w:h="16838"/>
          <w:pgMar w:top="1701" w:right="1985" w:bottom="1588" w:left="1701" w:header="709" w:footer="709" w:gutter="0"/>
          <w:cols w:space="708"/>
          <w:titlePg/>
          <w:bidi/>
          <w:rtlGutter/>
          <w:docGrid w:linePitch="360"/>
        </w:sectPr>
      </w:pPr>
    </w:p>
    <w:tbl>
      <w:tblPr>
        <w:tblStyle w:val="11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312984F9" w14:textId="77777777" w:rsidTr="0021064D">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2009E0" w:rsidRPr="002009E0" w:rsidP="004F432E" w14:paraId="18A1ADCF" w14:textId="4FA117CA">
            <w:pPr>
              <w:spacing w:after="120" w:line="288" w:lineRule="auto"/>
              <w:rPr>
                <w:rFonts w:ascii="Tahoma" w:eastAsia="Calibri" w:hAnsi="Tahoma" w:cs="Tahoma"/>
                <w:sz w:val="36"/>
                <w:szCs w:val="36"/>
                <w:rtl/>
              </w:rPr>
            </w:pPr>
            <w:r w:rsidRPr="004F432E">
              <w:rPr>
                <w:rFonts w:ascii="Tahoma" w:eastAsia="Calibri" w:hAnsi="Tahoma" w:cs="Tahoma"/>
                <w:b/>
                <w:bCs/>
                <w:sz w:val="40"/>
                <w:szCs w:val="40"/>
                <w:rtl/>
              </w:rPr>
              <w:t>פערים בהכנסות העצמיות של רשויות מקומיות</w:t>
            </w:r>
          </w:p>
          <w:p w:rsidR="002009E0" w:rsidRPr="002009E0" w:rsidP="002009E0" w14:paraId="0D958EC2" w14:textId="77777777">
            <w:pPr>
              <w:spacing w:line="288" w:lineRule="auto"/>
              <w:rPr>
                <w:rFonts w:ascii="Tahoma" w:eastAsia="Calibri" w:hAnsi="Tahoma" w:cs="Tahoma"/>
                <w:szCs w:val="24"/>
                <w:rtl/>
              </w:rPr>
            </w:pPr>
            <w:r w:rsidRPr="002009E0">
              <w:rPr>
                <w:rFonts w:ascii="Tahoma" w:eastAsia="Calibri" w:hAnsi="Tahoma" w:cs="Tahoma"/>
                <w:sz w:val="36"/>
                <w:szCs w:val="36"/>
                <w:rtl/>
              </w:rPr>
              <w:t>תקציר</w:t>
            </w:r>
          </w:p>
          <w:p w:rsidR="002009E0" w:rsidRPr="002009E0" w:rsidP="002009E0" w14:paraId="3D925090" w14:textId="77777777">
            <w:pPr>
              <w:spacing w:line="288" w:lineRule="auto"/>
              <w:ind w:left="-851"/>
              <w:rPr>
                <w:rFonts w:ascii="Tahoma" w:eastAsia="Calibri" w:hAnsi="Tahoma" w:cs="Tahoma"/>
                <w:szCs w:val="24"/>
                <w:rtl/>
              </w:rPr>
            </w:pPr>
          </w:p>
        </w:tc>
      </w:tr>
    </w:tbl>
    <w:p w:rsidR="002009E0" w:rsidRPr="002009E0" w:rsidP="002009E0" w14:paraId="20DF0413" w14:textId="77777777">
      <w:pPr>
        <w:spacing w:line="288" w:lineRule="auto"/>
        <w:ind w:left="-851"/>
        <w:rPr>
          <w:rFonts w:ascii="Tahoma" w:eastAsia="Calibri" w:hAnsi="Tahoma" w:cs="Tahoma"/>
          <w:rtl/>
        </w:rPr>
      </w:pPr>
    </w:p>
    <w:p w:rsidR="002009E0" w:rsidRPr="002009E0" w:rsidP="002009E0" w14:paraId="26AC088C" w14:textId="77777777">
      <w:pPr>
        <w:spacing w:line="288" w:lineRule="auto"/>
        <w:ind w:left="-851"/>
        <w:rPr>
          <w:rFonts w:ascii="Tahoma" w:eastAsia="Calibri" w:hAnsi="Tahoma" w:cs="Tahoma"/>
          <w:rtl/>
        </w:rPr>
      </w:pPr>
      <w:r w:rsidRPr="002009E0">
        <w:rPr>
          <w:rFonts w:ascii="Tahoma" w:eastAsia="Calibri" w:hAnsi="Tahoma" w:cs="Tahoma"/>
          <w:noProof/>
          <w:rtl/>
        </w:rPr>
        <w:drawing>
          <wp:inline distT="0" distB="0" distL="0" distR="0">
            <wp:extent cx="1638300" cy="411480"/>
            <wp:effectExtent l="0" t="0" r="0" b="762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2009E0" w:rsidRPr="002009E0" w:rsidP="00E61820" w14:paraId="30D0ACD1" w14:textId="77777777">
      <w:pPr>
        <w:spacing w:after="120" w:line="288" w:lineRule="auto"/>
        <w:ind w:left="-567" w:right="-709"/>
        <w:rPr>
          <w:rFonts w:ascii="Tahoma" w:eastAsia="Calibri" w:hAnsi="Tahoma" w:cs="Tahoma"/>
          <w:sz w:val="19"/>
          <w:szCs w:val="19"/>
          <w:rtl/>
        </w:rPr>
      </w:pPr>
      <w:r w:rsidRPr="002009E0">
        <w:rPr>
          <w:rFonts w:ascii="Tahoma" w:eastAsia="Calibri" w:hAnsi="Tahoma" w:cs="Tahoma"/>
          <w:sz w:val="19"/>
          <w:szCs w:val="19"/>
          <w:rtl/>
        </w:rPr>
        <w:t>באחריותן של הרשויות המקומיות לספק לתושביהן שירותים מוניציפליים, לרבות בתחומי הניקיון והתברואה, תחזוקת הדרכים, התאורה והתכנון העירוני, וכן שירותים ממלכתיים, בין היתר בתחומי החינוך והרווחה. המקורות העיקריים למימון התקציב השוטף של הרשויות המקומיות הם הכנסות עצמיות, קרי תקבולים שהרשויות גובות בעצמן; השתתפות של משרדי ממשלה ייעודיים במימון שירותים ממלכתיים; והשתתפות משרד הפנים במימון חלק מהתקציב באמצעות מענק כללי לאיזון. המקור העיקרי להכנסות העצמיות הוא מגביית מיסי הארנונה שהרשויות מטילות על המחזיקים בנכסים בתחום שיפוטן, לפי ייעוד השימוש בנכסים וסיווגם. מקור אחר להכנסות עצמיות הוא היטלים ותשלומי חובה אחרים הנגבים מכוח חוקי עזר שהן מתקינות.</w:t>
      </w:r>
    </w:p>
    <w:p w:rsidR="002009E0" w:rsidP="00E61820" w14:paraId="50828C1E" w14:textId="77777777">
      <w:pPr>
        <w:spacing w:line="288" w:lineRule="auto"/>
        <w:ind w:left="-568" w:right="-709"/>
        <w:rPr>
          <w:rFonts w:ascii="Tahoma" w:eastAsia="Calibri" w:hAnsi="Tahoma" w:cs="Tahoma"/>
          <w:sz w:val="19"/>
          <w:szCs w:val="19"/>
          <w:rtl/>
        </w:rPr>
      </w:pPr>
      <w:r w:rsidRPr="002009E0">
        <w:rPr>
          <w:rFonts w:ascii="Tahoma" w:eastAsia="Calibri" w:hAnsi="Tahoma" w:cs="Tahoma"/>
          <w:sz w:val="19"/>
          <w:szCs w:val="19"/>
          <w:rtl/>
        </w:rPr>
        <w:t>בשנים 202</w:t>
      </w:r>
      <w:r w:rsidRPr="002009E0">
        <w:rPr>
          <w:rFonts w:ascii="Tahoma" w:eastAsia="Calibri" w:hAnsi="Tahoma" w:cs="Tahoma" w:hint="cs"/>
          <w:sz w:val="19"/>
          <w:szCs w:val="19"/>
          <w:rtl/>
        </w:rPr>
        <w:t>3</w:t>
      </w:r>
      <w:r w:rsidRPr="002009E0">
        <w:rPr>
          <w:rFonts w:ascii="Tahoma" w:eastAsia="Calibri" w:hAnsi="Tahoma" w:cs="Tahoma"/>
          <w:sz w:val="19"/>
          <w:szCs w:val="19"/>
          <w:rtl/>
        </w:rPr>
        <w:t>-202</w:t>
      </w:r>
      <w:r w:rsidRPr="002009E0">
        <w:rPr>
          <w:rFonts w:ascii="Tahoma" w:eastAsia="Calibri" w:hAnsi="Tahoma" w:cs="Tahoma" w:hint="cs"/>
          <w:sz w:val="19"/>
          <w:szCs w:val="19"/>
          <w:rtl/>
        </w:rPr>
        <w:t>1</w:t>
      </w:r>
      <w:r w:rsidRPr="002009E0">
        <w:rPr>
          <w:rFonts w:ascii="Tahoma" w:eastAsia="Calibri" w:hAnsi="Tahoma" w:cs="Tahoma"/>
          <w:sz w:val="19"/>
          <w:szCs w:val="19"/>
          <w:rtl/>
        </w:rPr>
        <w:t xml:space="preserve"> ניכרת מגמת עלייה עקבית בהכנסות הכוללות של הרשויות המקומיות: מכ-76.9 מיליארד ש"ח בשנת 2021 לכ-83.6 מיליארד ש"ח בשנת 2022 (עלייה של כ-8.7%), ולכ-92.4 מיליארד ש"ח בשנת 2023 (עלייה נוספת של כ-10.6%). עיקר העלייה בהכנסות הכוללות של הרשויות בשנת 2022 נבעה מעלייה של כ-11% בהכנסות העצמיות, ואילו ההכנסות מהממשלה עלו בכ-6%. בשנת 2023 הסתמנה עלייה של כ-15% בהכנסות מהממשלה, לעומת עלייה מתונה יותר של כ-6% בהכנסות העצמיות.</w:t>
      </w:r>
      <w:r w:rsidRPr="002009E0">
        <w:rPr>
          <w:rFonts w:ascii="Tahoma" w:eastAsia="Calibri" w:hAnsi="Tahoma" w:cs="Tahoma" w:hint="cs"/>
          <w:sz w:val="19"/>
          <w:szCs w:val="19"/>
          <w:rtl/>
        </w:rPr>
        <w:t xml:space="preserve"> </w:t>
      </w:r>
      <w:r w:rsidRPr="002009E0">
        <w:rPr>
          <w:rFonts w:ascii="Tahoma" w:eastAsia="Calibri" w:hAnsi="Tahoma" w:cs="Tahoma"/>
          <w:sz w:val="19"/>
          <w:szCs w:val="19"/>
          <w:rtl/>
        </w:rPr>
        <w:t>אומנם במלוות חלה עלייה חדה, אך שיעורן נותר פחות מאחוז אחד מסך ההכנסות.</w:t>
      </w:r>
      <w:r w:rsidRPr="002009E0">
        <w:rPr>
          <w:rFonts w:ascii="Tahoma" w:eastAsia="Calibri" w:hAnsi="Tahoma" w:cs="Tahoma" w:hint="cs"/>
          <w:sz w:val="19"/>
          <w:szCs w:val="19"/>
          <w:rtl/>
        </w:rPr>
        <w:t xml:space="preserve"> </w:t>
      </w:r>
      <w:r w:rsidRPr="002009E0">
        <w:rPr>
          <w:rFonts w:ascii="Tahoma" w:eastAsia="Calibri" w:hAnsi="Tahoma" w:cs="Tahoma"/>
          <w:sz w:val="19"/>
          <w:szCs w:val="19"/>
          <w:rtl/>
        </w:rPr>
        <w:t>ההכנסות העצמיות ממשיכות להיות המרכיב המרכזי בהכנסות הכוללות של הרשויות, ואחריהן ההכנסות מהממשלה.</w:t>
      </w:r>
    </w:p>
    <w:p w:rsidR="00E61820" w:rsidP="00E61820" w14:paraId="3B462B99" w14:textId="77777777">
      <w:pPr>
        <w:spacing w:line="288" w:lineRule="auto"/>
        <w:ind w:left="-568" w:right="-709"/>
        <w:rPr>
          <w:rFonts w:ascii="Tahoma" w:eastAsia="Calibri" w:hAnsi="Tahoma" w:cs="Tahoma"/>
          <w:sz w:val="19"/>
          <w:szCs w:val="19"/>
          <w:rtl/>
        </w:rPr>
      </w:pPr>
    </w:p>
    <w:p w:rsidR="00E61820" w:rsidRPr="002009E0" w:rsidP="00E61820" w14:paraId="0E03581D" w14:textId="77777777">
      <w:pPr>
        <w:spacing w:line="288" w:lineRule="auto"/>
        <w:ind w:left="-568" w:right="-709"/>
        <w:rPr>
          <w:rFonts w:ascii="Tahoma" w:eastAsia="Calibri" w:hAnsi="Tahoma" w:cs="Tahoma"/>
          <w:sz w:val="19"/>
          <w:szCs w:val="19"/>
          <w:rtl/>
        </w:rPr>
      </w:pPr>
    </w:p>
    <w:p w:rsidR="002009E0" w:rsidRPr="002009E0" w:rsidP="002009E0" w14:paraId="3158079C" w14:textId="77777777">
      <w:pPr>
        <w:spacing w:line="288" w:lineRule="auto"/>
        <w:ind w:left="-710"/>
        <w:rPr>
          <w:rFonts w:ascii="Tahoma" w:eastAsia="Calibri" w:hAnsi="Tahoma" w:cs="Tahoma"/>
          <w:rtl/>
        </w:rPr>
      </w:pPr>
    </w:p>
    <w:p w:rsidR="002009E0" w:rsidRPr="002009E0" w:rsidP="002009E0" w14:paraId="1928B28F" w14:textId="77777777">
      <w:pPr>
        <w:spacing w:line="288" w:lineRule="auto"/>
        <w:ind w:left="-851"/>
        <w:rPr>
          <w:rFonts w:ascii="Tahoma" w:eastAsia="Calibri" w:hAnsi="Tahoma" w:cs="Tahoma"/>
          <w:rtl/>
        </w:rPr>
      </w:pPr>
      <w:r w:rsidRPr="002009E0">
        <w:rPr>
          <w:rFonts w:ascii="Tahoma" w:eastAsia="Calibri" w:hAnsi="Tahoma" w:cs="Tahoma"/>
          <w:noProof/>
          <w:rtl/>
        </w:rPr>
        <w:drawing>
          <wp:inline distT="0" distB="0" distL="0" distR="0">
            <wp:extent cx="1674111" cy="381000"/>
            <wp:effectExtent l="0" t="0" r="2540" b="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2009E0" w:rsidRPr="002009E0" w:rsidP="002009E0" w14:paraId="4956C4FB" w14:textId="77777777">
      <w:pPr>
        <w:spacing w:line="288" w:lineRule="auto"/>
        <w:ind w:left="-851"/>
        <w:rPr>
          <w:rFonts w:ascii="Tahoma" w:eastAsia="Calibri" w:hAnsi="Tahoma" w:cs="Tahoma"/>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3"/>
        <w:gridCol w:w="2268"/>
        <w:gridCol w:w="284"/>
        <w:gridCol w:w="2268"/>
        <w:gridCol w:w="283"/>
        <w:gridCol w:w="2124"/>
      </w:tblGrid>
      <w:tr w14:paraId="05F4795E" w14:textId="77777777" w:rsidTr="0021064D">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2009E0" w:rsidRPr="002009E0" w:rsidP="002009E0" w14:paraId="20CFB165" w14:textId="77777777">
            <w:pPr>
              <w:spacing w:after="60" w:line="240" w:lineRule="auto"/>
              <w:rPr>
                <w:rFonts w:ascii="Tahoma" w:eastAsia="Calibri" w:hAnsi="Tahoma" w:cs="Tahoma"/>
                <w:spacing w:val="-10"/>
                <w:sz w:val="36"/>
                <w:szCs w:val="36"/>
                <w:rtl/>
              </w:rPr>
            </w:pPr>
            <w:r w:rsidRPr="002009E0">
              <w:rPr>
                <w:rFonts w:ascii="Tahoma" w:eastAsia="Calibri" w:hAnsi="Tahoma" w:cs="Tahoma"/>
                <w:spacing w:val="-10"/>
                <w:sz w:val="36"/>
                <w:szCs w:val="36"/>
                <w:rtl/>
              </w:rPr>
              <w:t xml:space="preserve">31 </w:t>
            </w:r>
            <w:r w:rsidRPr="002009E0">
              <w:rPr>
                <w:rFonts w:ascii="Tahoma" w:eastAsia="Calibri" w:hAnsi="Tahoma" w:cs="Tahoma"/>
                <w:spacing w:val="-10"/>
                <w:sz w:val="26"/>
                <w:szCs w:val="26"/>
                <w:rtl/>
              </w:rPr>
              <w:t>מיליארד ש"ח</w:t>
            </w:r>
          </w:p>
        </w:tc>
        <w:tc>
          <w:tcPr>
            <w:tcW w:w="283" w:type="dxa"/>
          </w:tcPr>
          <w:p w:rsidR="002009E0" w:rsidRPr="002009E0" w:rsidP="002009E0" w14:paraId="5AD52BDC" w14:textId="77777777">
            <w:pPr>
              <w:spacing w:line="240" w:lineRule="auto"/>
              <w:rPr>
                <w:rFonts w:ascii="Tahoma" w:eastAsia="Calibri" w:hAnsi="Tahoma" w:cs="Tahoma"/>
                <w:spacing w:val="-10"/>
              </w:rPr>
            </w:pPr>
          </w:p>
        </w:tc>
        <w:tc>
          <w:tcPr>
            <w:tcW w:w="2268" w:type="dxa"/>
            <w:tcBorders>
              <w:bottom w:val="single" w:sz="12" w:space="0" w:color="auto"/>
            </w:tcBorders>
            <w:vAlign w:val="bottom"/>
          </w:tcPr>
          <w:p w:rsidR="002009E0" w:rsidRPr="002009E0" w:rsidP="002009E0" w14:paraId="3F006B4B" w14:textId="77777777">
            <w:pPr>
              <w:spacing w:after="60" w:line="240" w:lineRule="auto"/>
              <w:rPr>
                <w:rFonts w:ascii="Tahoma" w:eastAsia="Calibri" w:hAnsi="Tahoma" w:cs="Tahoma"/>
                <w:spacing w:val="-10"/>
                <w:sz w:val="36"/>
                <w:szCs w:val="36"/>
                <w:rtl/>
              </w:rPr>
            </w:pPr>
            <w:r w:rsidRPr="002009E0">
              <w:rPr>
                <w:rFonts w:ascii="Tahoma" w:eastAsia="Calibri" w:hAnsi="Tahoma" w:cs="Tahoma"/>
                <w:spacing w:val="-10"/>
                <w:sz w:val="36"/>
                <w:szCs w:val="36"/>
                <w:rtl/>
              </w:rPr>
              <w:t>45%, 55%</w:t>
            </w:r>
          </w:p>
        </w:tc>
        <w:tc>
          <w:tcPr>
            <w:tcW w:w="284" w:type="dxa"/>
          </w:tcPr>
          <w:p w:rsidR="002009E0" w:rsidRPr="002009E0" w:rsidP="002009E0" w14:paraId="0E20E3F5" w14:textId="77777777">
            <w:pPr>
              <w:spacing w:line="240" w:lineRule="auto"/>
              <w:rPr>
                <w:rFonts w:ascii="Tahoma" w:eastAsia="Calibri" w:hAnsi="Tahoma" w:cs="Tahoma"/>
                <w:spacing w:val="-10"/>
              </w:rPr>
            </w:pPr>
          </w:p>
        </w:tc>
        <w:tc>
          <w:tcPr>
            <w:tcW w:w="2268" w:type="dxa"/>
            <w:tcBorders>
              <w:bottom w:val="single" w:sz="12" w:space="0" w:color="auto"/>
            </w:tcBorders>
            <w:vAlign w:val="center"/>
          </w:tcPr>
          <w:p w:rsidR="002009E0" w:rsidRPr="002009E0" w:rsidP="002009E0" w14:paraId="1ED5DAF7" w14:textId="77777777">
            <w:pPr>
              <w:spacing w:line="240" w:lineRule="auto"/>
              <w:rPr>
                <w:rFonts w:ascii="Tahoma" w:eastAsia="Calibri" w:hAnsi="Tahoma" w:cs="Tahoma"/>
                <w:spacing w:val="-10"/>
                <w:sz w:val="36"/>
                <w:szCs w:val="36"/>
              </w:rPr>
            </w:pPr>
            <w:r w:rsidRPr="002009E0">
              <w:rPr>
                <w:rFonts w:ascii="Tahoma" w:eastAsia="Calibri" w:hAnsi="Tahoma" w:cs="Tahoma" w:hint="cs"/>
                <w:spacing w:val="-10"/>
                <w:sz w:val="36"/>
                <w:szCs w:val="36"/>
                <w:rtl/>
              </w:rPr>
              <w:t>0.09 - 1.95</w:t>
            </w:r>
          </w:p>
        </w:tc>
        <w:tc>
          <w:tcPr>
            <w:tcW w:w="283" w:type="dxa"/>
          </w:tcPr>
          <w:p w:rsidR="002009E0" w:rsidRPr="002009E0" w:rsidP="002009E0" w14:paraId="0D3DE89C" w14:textId="77777777">
            <w:pPr>
              <w:spacing w:line="240" w:lineRule="auto"/>
              <w:rPr>
                <w:rFonts w:ascii="Tahoma" w:eastAsia="Calibri" w:hAnsi="Tahoma" w:cs="Tahoma"/>
                <w:spacing w:val="-10"/>
              </w:rPr>
            </w:pPr>
          </w:p>
        </w:tc>
        <w:tc>
          <w:tcPr>
            <w:tcW w:w="2124" w:type="dxa"/>
            <w:tcBorders>
              <w:bottom w:val="single" w:sz="12" w:space="0" w:color="auto"/>
            </w:tcBorders>
            <w:vAlign w:val="center"/>
          </w:tcPr>
          <w:p w:rsidR="002009E0" w:rsidRPr="002009E0" w:rsidP="002009E0" w14:paraId="1B1168F7" w14:textId="77777777">
            <w:pPr>
              <w:spacing w:line="240" w:lineRule="auto"/>
              <w:rPr>
                <w:rFonts w:ascii="Tahoma" w:eastAsia="Calibri" w:hAnsi="Tahoma" w:cs="Tahoma"/>
                <w:spacing w:val="-10"/>
                <w:sz w:val="36"/>
                <w:szCs w:val="36"/>
                <w:rtl/>
              </w:rPr>
            </w:pPr>
            <w:r w:rsidRPr="002009E0">
              <w:rPr>
                <w:rFonts w:ascii="Tahoma" w:eastAsia="Calibri" w:hAnsi="Tahoma" w:cs="Tahoma" w:hint="cs"/>
                <w:spacing w:val="-10"/>
                <w:sz w:val="36"/>
                <w:szCs w:val="36"/>
                <w:rtl/>
              </w:rPr>
              <w:t>17% - 41%</w:t>
            </w:r>
          </w:p>
        </w:tc>
      </w:tr>
      <w:tr w14:paraId="5CCD4B04" w14:textId="77777777" w:rsidTr="0021064D">
        <w:tblPrEx>
          <w:tblW w:w="9642" w:type="dxa"/>
          <w:tblLook w:val="04A0"/>
        </w:tblPrEx>
        <w:trPr>
          <w:trHeight w:val="85"/>
        </w:trPr>
        <w:tc>
          <w:tcPr>
            <w:tcW w:w="9642" w:type="dxa"/>
            <w:gridSpan w:val="7"/>
            <w:shd w:val="clear" w:color="auto" w:fill="auto"/>
            <w:vAlign w:val="center"/>
          </w:tcPr>
          <w:p w:rsidR="002009E0" w:rsidRPr="002009E0" w:rsidP="002009E0" w14:paraId="0EE0B004" w14:textId="77777777">
            <w:pPr>
              <w:spacing w:line="288" w:lineRule="auto"/>
              <w:rPr>
                <w:rFonts w:ascii="Tahoma" w:eastAsia="Calibri" w:hAnsi="Tahoma" w:cs="Tahoma"/>
                <w:spacing w:val="-10"/>
                <w:sz w:val="6"/>
                <w:szCs w:val="6"/>
                <w:rtl/>
              </w:rPr>
            </w:pPr>
          </w:p>
        </w:tc>
      </w:tr>
      <w:tr w14:paraId="5B7DBF19" w14:textId="77777777" w:rsidTr="0021064D">
        <w:tblPrEx>
          <w:tblW w:w="9642" w:type="dxa"/>
          <w:tblLook w:val="04A0"/>
        </w:tblPrEx>
        <w:trPr>
          <w:trHeight w:val="1155"/>
        </w:trPr>
        <w:tc>
          <w:tcPr>
            <w:tcW w:w="2132" w:type="dxa"/>
          </w:tcPr>
          <w:p w:rsidR="002009E0" w:rsidRPr="002009E0" w:rsidP="002009E0" w14:paraId="4AC3AFD2"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סך ההכנסות מארנונה של כלל הרשויות המקומיות בישראל בשנת 2023</w:t>
            </w:r>
          </w:p>
        </w:tc>
        <w:tc>
          <w:tcPr>
            <w:tcW w:w="283" w:type="dxa"/>
          </w:tcPr>
          <w:p w:rsidR="002009E0" w:rsidRPr="002009E0" w:rsidP="002009E0" w14:paraId="503CDD2F" w14:textId="77777777">
            <w:pPr>
              <w:spacing w:line="240" w:lineRule="auto"/>
              <w:rPr>
                <w:rFonts w:ascii="Tahoma" w:eastAsia="Calibri" w:hAnsi="Tahoma" w:cs="Tahoma"/>
                <w:szCs w:val="24"/>
                <w:rtl/>
              </w:rPr>
            </w:pPr>
          </w:p>
        </w:tc>
        <w:tc>
          <w:tcPr>
            <w:tcW w:w="2268" w:type="dxa"/>
          </w:tcPr>
          <w:p w:rsidR="002009E0" w:rsidRPr="002009E0" w:rsidP="002009E0" w14:paraId="49FE425E"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בשנת 2023 היה הרכב ההכנסות מארנונה בכלל הרשויות המקומיות בישראל כ-45% ארנונה למגורים וכ-55% ארנונה לשימושים אחרים</w:t>
            </w:r>
          </w:p>
        </w:tc>
        <w:tc>
          <w:tcPr>
            <w:tcW w:w="284" w:type="dxa"/>
          </w:tcPr>
          <w:p w:rsidR="002009E0" w:rsidRPr="002009E0" w:rsidP="002009E0" w14:paraId="3A44F860" w14:textId="77777777">
            <w:pPr>
              <w:spacing w:line="240" w:lineRule="auto"/>
              <w:rPr>
                <w:rFonts w:ascii="Tahoma" w:eastAsia="Calibri" w:hAnsi="Tahoma" w:cs="Tahoma"/>
                <w:sz w:val="19"/>
                <w:szCs w:val="19"/>
                <w:rtl/>
              </w:rPr>
            </w:pPr>
          </w:p>
        </w:tc>
        <w:tc>
          <w:tcPr>
            <w:tcW w:w="2268" w:type="dxa"/>
          </w:tcPr>
          <w:p w:rsidR="002009E0" w:rsidRPr="002009E0" w:rsidP="002009E0" w14:paraId="02F947C1"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 xml:space="preserve">היחס בין החיוב הראשוני בארנונה לשימושים אחרים ובין החיוב הראשוני בארנונה למגורים בשנת 2023: </w:t>
            </w:r>
            <w:r w:rsidRPr="002009E0">
              <w:rPr>
                <w:rFonts w:ascii="Tahoma" w:eastAsia="Calibri" w:hAnsi="Tahoma" w:cs="Tahoma"/>
                <w:sz w:val="19"/>
                <w:szCs w:val="19"/>
                <w:rtl/>
              </w:rPr>
              <w:t>ב</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w:t>
            </w:r>
            <w:r w:rsidRPr="002009E0">
              <w:rPr>
                <w:rFonts w:ascii="Tahoma" w:eastAsia="Calibri" w:hAnsi="Tahoma" w:cs="Tahoma"/>
                <w:sz w:val="19"/>
                <w:szCs w:val="19"/>
                <w:rtl/>
              </w:rPr>
              <w:br/>
              <w:t>כ-0.09, ב</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w:t>
            </w:r>
            <w:r w:rsidRPr="002009E0">
              <w:rPr>
                <w:rFonts w:ascii="Tahoma" w:eastAsia="Calibri" w:hAnsi="Tahoma" w:cs="Tahoma"/>
                <w:sz w:val="19"/>
                <w:szCs w:val="19"/>
                <w:rtl/>
              </w:rPr>
              <w:t>ו</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כ-0.23, ב</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כ-0.38, ב</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כ-0.31,</w:t>
            </w:r>
            <w:r w:rsidRPr="002009E0">
              <w:rPr>
                <w:rFonts w:ascii="Tahoma" w:eastAsia="Calibri" w:hAnsi="Tahoma" w:cs="Tahoma"/>
                <w:szCs w:val="24"/>
                <w:rtl/>
              </w:rPr>
              <w:t xml:space="preserve"> </w:t>
            </w:r>
            <w:r w:rsidRPr="002009E0">
              <w:rPr>
                <w:rFonts w:ascii="Tahoma" w:eastAsia="Calibri" w:hAnsi="Tahoma" w:cs="Tahoma"/>
                <w:sz w:val="19"/>
                <w:szCs w:val="19"/>
                <w:rtl/>
              </w:rPr>
              <w:t>ב</w:t>
            </w:r>
            <w:r w:rsidRPr="002009E0">
              <w:rPr>
                <w:rFonts w:ascii="Tahoma" w:eastAsia="Calibri" w:hAnsi="Tahoma" w:cs="Tahoma"/>
                <w:b/>
                <w:bCs/>
                <w:sz w:val="19"/>
                <w:szCs w:val="19"/>
                <w:rtl/>
              </w:rPr>
              <w:t xml:space="preserve">נוף הגליל </w:t>
            </w:r>
            <w:r w:rsidRPr="002009E0">
              <w:rPr>
                <w:rFonts w:ascii="Tahoma" w:eastAsia="Calibri" w:hAnsi="Tahoma" w:cs="Tahoma"/>
                <w:sz w:val="19"/>
                <w:szCs w:val="19"/>
                <w:rtl/>
              </w:rPr>
              <w:t>כ-1.65, וב</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כ-1.95</w:t>
            </w:r>
          </w:p>
        </w:tc>
        <w:tc>
          <w:tcPr>
            <w:tcW w:w="283" w:type="dxa"/>
          </w:tcPr>
          <w:p w:rsidR="002009E0" w:rsidRPr="002009E0" w:rsidP="002009E0" w14:paraId="30427887" w14:textId="77777777">
            <w:pPr>
              <w:spacing w:line="240" w:lineRule="auto"/>
              <w:rPr>
                <w:rFonts w:ascii="Tahoma" w:eastAsia="Calibri" w:hAnsi="Tahoma" w:cs="Tahoma"/>
                <w:sz w:val="19"/>
                <w:szCs w:val="19"/>
                <w:rtl/>
              </w:rPr>
            </w:pPr>
          </w:p>
        </w:tc>
        <w:tc>
          <w:tcPr>
            <w:tcW w:w="2124" w:type="dxa"/>
          </w:tcPr>
          <w:p w:rsidR="002009E0" w:rsidRPr="002009E0" w:rsidP="002009E0" w14:paraId="01169C7B"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 xml:space="preserve">שיעור ההנחה בארנונה מסך כל החיוב השנתי בשנת 2023: </w:t>
            </w:r>
            <w:r w:rsidRPr="002009E0">
              <w:rPr>
                <w:rFonts w:ascii="Tahoma" w:eastAsia="Calibri" w:hAnsi="Tahoma" w:cs="Tahoma"/>
                <w:sz w:val="19"/>
                <w:szCs w:val="19"/>
                <w:rtl/>
              </w:rPr>
              <w:t>ב</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כ-41%, ב</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כ-17%, ב</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כ-30%, </w:t>
            </w:r>
            <w:r w:rsidRPr="002009E0">
              <w:rPr>
                <w:rFonts w:ascii="Tahoma" w:eastAsia="Calibri" w:hAnsi="Tahoma" w:cs="Tahoma"/>
                <w:sz w:val="19"/>
                <w:szCs w:val="19"/>
                <w:rtl/>
              </w:rPr>
              <w:t>ב</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כ-31%, ב</w:t>
            </w:r>
            <w:r w:rsidRPr="002009E0">
              <w:rPr>
                <w:rFonts w:ascii="Tahoma" w:eastAsia="Calibri" w:hAnsi="Tahoma" w:cs="Tahoma"/>
                <w:b/>
                <w:bCs/>
                <w:sz w:val="19"/>
                <w:szCs w:val="19"/>
                <w:rtl/>
              </w:rPr>
              <w:t xml:space="preserve">נוף הגליל </w:t>
            </w:r>
            <w:r w:rsidRPr="002009E0">
              <w:rPr>
                <w:rFonts w:ascii="Tahoma" w:eastAsia="Calibri" w:hAnsi="Tahoma" w:cs="Tahoma"/>
                <w:sz w:val="19"/>
                <w:szCs w:val="19"/>
                <w:rtl/>
              </w:rPr>
              <w:t>כ</w:t>
            </w:r>
            <w:r w:rsidRPr="002009E0">
              <w:rPr>
                <w:rFonts w:ascii="Tahoma" w:eastAsia="Calibri" w:hAnsi="Tahoma" w:cs="Tahoma"/>
                <w:b/>
                <w:bCs/>
                <w:sz w:val="19"/>
                <w:szCs w:val="19"/>
                <w:rtl/>
              </w:rPr>
              <w:t>-</w:t>
            </w:r>
            <w:r w:rsidRPr="002009E0">
              <w:rPr>
                <w:rFonts w:ascii="Tahoma" w:eastAsia="Calibri" w:hAnsi="Tahoma" w:cs="Tahoma"/>
                <w:sz w:val="19"/>
                <w:szCs w:val="19"/>
                <w:rtl/>
              </w:rPr>
              <w:t>33%</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ב</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כ-35%, וב</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כ-39%</w:t>
            </w:r>
            <w:r w:rsidRPr="002009E0">
              <w:rPr>
                <w:rFonts w:ascii="Tahoma" w:eastAsia="Calibri" w:hAnsi="Tahoma" w:cs="Tahoma"/>
                <w:szCs w:val="24"/>
                <w:rtl/>
              </w:rPr>
              <w:t xml:space="preserve"> </w:t>
            </w:r>
          </w:p>
        </w:tc>
      </w:tr>
    </w:tbl>
    <w:p w:rsidR="00743060" w14:paraId="02190691" w14:textId="77777777">
      <w:pPr>
        <w:rPr>
          <w:rtl/>
        </w:rPr>
      </w:pPr>
    </w:p>
    <w:p w:rsidR="00743060" w14:paraId="151D9782" w14:textId="77777777"/>
    <w:p w:rsidR="00E61820" w14:paraId="2B4A1DDD" w14:textId="77777777"/>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83"/>
        <w:gridCol w:w="2268"/>
        <w:gridCol w:w="284"/>
        <w:gridCol w:w="2268"/>
        <w:gridCol w:w="283"/>
        <w:gridCol w:w="2124"/>
      </w:tblGrid>
      <w:tr w14:paraId="68C895A2" w14:textId="77777777" w:rsidTr="0021064D">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2132" w:type="dxa"/>
            <w:tcBorders>
              <w:bottom w:val="single" w:sz="12" w:space="0" w:color="auto"/>
            </w:tcBorders>
            <w:vAlign w:val="center"/>
          </w:tcPr>
          <w:p w:rsidR="002009E0" w:rsidRPr="002009E0" w:rsidP="002009E0" w14:paraId="55686447" w14:textId="77777777">
            <w:pPr>
              <w:spacing w:after="60" w:line="240" w:lineRule="auto"/>
              <w:rPr>
                <w:rFonts w:ascii="Tahoma" w:eastAsia="Calibri" w:hAnsi="Tahoma" w:cs="Tahoma"/>
                <w:spacing w:val="-10"/>
                <w:sz w:val="36"/>
                <w:szCs w:val="36"/>
              </w:rPr>
            </w:pPr>
            <w:r w:rsidRPr="002009E0">
              <w:rPr>
                <w:rFonts w:ascii="Tahoma" w:eastAsia="Calibri" w:hAnsi="Tahoma" w:cs="Tahoma"/>
                <w:spacing w:val="-10"/>
                <w:sz w:val="36"/>
                <w:szCs w:val="36"/>
                <w:rtl/>
              </w:rPr>
              <w:t xml:space="preserve">861 </w:t>
            </w:r>
            <w:r w:rsidRPr="002009E0">
              <w:rPr>
                <w:rFonts w:ascii="Tahoma" w:eastAsia="Calibri" w:hAnsi="Tahoma" w:cs="Tahoma"/>
                <w:spacing w:val="-10"/>
                <w:sz w:val="26"/>
                <w:szCs w:val="26"/>
                <w:rtl/>
              </w:rPr>
              <w:t>ש"ח</w:t>
            </w:r>
            <w:r w:rsidRPr="002009E0">
              <w:rPr>
                <w:rFonts w:ascii="Tahoma" w:eastAsia="Calibri" w:hAnsi="Tahoma" w:cs="Tahoma"/>
                <w:spacing w:val="-10"/>
                <w:sz w:val="24"/>
                <w:szCs w:val="24"/>
                <w:rtl/>
              </w:rPr>
              <w:t xml:space="preserve"> </w:t>
            </w:r>
            <w:r w:rsidRPr="002009E0">
              <w:rPr>
                <w:rFonts w:ascii="Tahoma" w:eastAsia="Calibri" w:hAnsi="Tahoma" w:cs="Tahoma"/>
                <w:spacing w:val="-10"/>
                <w:sz w:val="26"/>
                <w:szCs w:val="26"/>
                <w:rtl/>
              </w:rPr>
              <w:t>-</w:t>
            </w:r>
            <w:r w:rsidRPr="002009E0">
              <w:rPr>
                <w:rFonts w:ascii="Tahoma" w:eastAsia="Calibri" w:hAnsi="Tahoma" w:cs="Tahoma"/>
                <w:spacing w:val="-10"/>
                <w:sz w:val="36"/>
                <w:szCs w:val="36"/>
                <w:rtl/>
              </w:rPr>
              <w:t xml:space="preserve">4,327 </w:t>
            </w:r>
            <w:r w:rsidRPr="002009E0">
              <w:rPr>
                <w:rFonts w:ascii="Tahoma" w:eastAsia="Calibri" w:hAnsi="Tahoma" w:cs="Tahoma"/>
                <w:spacing w:val="-10"/>
                <w:sz w:val="26"/>
                <w:szCs w:val="26"/>
                <w:rtl/>
              </w:rPr>
              <w:t>ש"ח</w:t>
            </w:r>
          </w:p>
        </w:tc>
        <w:tc>
          <w:tcPr>
            <w:tcW w:w="283" w:type="dxa"/>
          </w:tcPr>
          <w:p w:rsidR="002009E0" w:rsidRPr="002009E0" w:rsidP="002009E0" w14:paraId="20DBCC17" w14:textId="77777777">
            <w:pPr>
              <w:spacing w:line="240" w:lineRule="auto"/>
              <w:rPr>
                <w:rFonts w:ascii="Tahoma" w:eastAsia="Calibri" w:hAnsi="Tahoma" w:cs="Tahoma"/>
                <w:spacing w:val="-10"/>
              </w:rPr>
            </w:pPr>
          </w:p>
        </w:tc>
        <w:tc>
          <w:tcPr>
            <w:tcW w:w="2268" w:type="dxa"/>
            <w:tcBorders>
              <w:bottom w:val="single" w:sz="12" w:space="0" w:color="auto"/>
            </w:tcBorders>
            <w:vAlign w:val="bottom"/>
          </w:tcPr>
          <w:p w:rsidR="002009E0" w:rsidRPr="002009E0" w:rsidP="002009E0" w14:paraId="2B314F18" w14:textId="77777777">
            <w:pPr>
              <w:spacing w:after="60" w:line="240" w:lineRule="auto"/>
              <w:rPr>
                <w:rFonts w:ascii="Tahoma" w:eastAsia="Calibri" w:hAnsi="Tahoma" w:cs="Tahoma"/>
                <w:spacing w:val="-10"/>
                <w:sz w:val="36"/>
                <w:szCs w:val="36"/>
              </w:rPr>
            </w:pPr>
            <w:r w:rsidRPr="002009E0">
              <w:rPr>
                <w:rFonts w:ascii="Tahoma" w:eastAsia="Calibri" w:hAnsi="Tahoma" w:cs="Tahoma"/>
                <w:spacing w:val="-10"/>
                <w:sz w:val="26"/>
                <w:szCs w:val="26"/>
                <w:rtl/>
              </w:rPr>
              <w:t>כ</w:t>
            </w:r>
            <w:r w:rsidRPr="002009E0">
              <w:rPr>
                <w:rFonts w:ascii="Tahoma" w:eastAsia="Calibri" w:hAnsi="Tahoma" w:cs="Tahoma" w:hint="cs"/>
                <w:spacing w:val="-10"/>
                <w:sz w:val="26"/>
                <w:szCs w:val="26"/>
                <w:rtl/>
              </w:rPr>
              <w:t>-</w:t>
            </w:r>
            <w:r w:rsidRPr="002009E0">
              <w:rPr>
                <w:rFonts w:ascii="Tahoma" w:eastAsia="Calibri" w:hAnsi="Tahoma" w:cs="Tahoma"/>
                <w:spacing w:val="-10"/>
                <w:sz w:val="36"/>
                <w:szCs w:val="36"/>
                <w:rtl/>
              </w:rPr>
              <w:t>40</w:t>
            </w:r>
          </w:p>
        </w:tc>
        <w:tc>
          <w:tcPr>
            <w:tcW w:w="284" w:type="dxa"/>
          </w:tcPr>
          <w:p w:rsidR="002009E0" w:rsidRPr="002009E0" w:rsidP="002009E0" w14:paraId="1DB4232A" w14:textId="77777777">
            <w:pPr>
              <w:spacing w:line="240" w:lineRule="auto"/>
              <w:rPr>
                <w:rFonts w:ascii="Tahoma" w:eastAsia="Calibri" w:hAnsi="Tahoma" w:cs="Tahoma"/>
                <w:spacing w:val="-10"/>
              </w:rPr>
            </w:pPr>
          </w:p>
        </w:tc>
        <w:tc>
          <w:tcPr>
            <w:tcW w:w="2268" w:type="dxa"/>
            <w:tcBorders>
              <w:bottom w:val="single" w:sz="12" w:space="0" w:color="auto"/>
            </w:tcBorders>
            <w:vAlign w:val="bottom"/>
          </w:tcPr>
          <w:p w:rsidR="002009E0" w:rsidRPr="002009E0" w:rsidP="002009E0" w14:paraId="22B5B4C3" w14:textId="77777777">
            <w:pPr>
              <w:spacing w:after="60" w:line="240" w:lineRule="auto"/>
              <w:rPr>
                <w:rFonts w:ascii="Tahoma" w:eastAsia="Calibri" w:hAnsi="Tahoma" w:cs="Tahoma"/>
                <w:spacing w:val="-10"/>
                <w:sz w:val="36"/>
                <w:szCs w:val="36"/>
              </w:rPr>
            </w:pPr>
            <w:r w:rsidRPr="002009E0">
              <w:rPr>
                <w:rFonts w:ascii="Tahoma" w:eastAsia="Calibri" w:hAnsi="Tahoma" w:cs="Tahoma"/>
                <w:spacing w:val="-10"/>
                <w:sz w:val="36"/>
                <w:szCs w:val="36"/>
                <w:rtl/>
              </w:rPr>
              <w:t xml:space="preserve">4 </w:t>
            </w:r>
            <w:r w:rsidRPr="002009E0">
              <w:rPr>
                <w:rFonts w:ascii="Tahoma" w:eastAsia="Calibri" w:hAnsi="Tahoma" w:cs="Tahoma"/>
                <w:spacing w:val="-10"/>
                <w:sz w:val="26"/>
                <w:szCs w:val="26"/>
                <w:rtl/>
              </w:rPr>
              <w:t>מתוך</w:t>
            </w:r>
            <w:r w:rsidRPr="002009E0">
              <w:rPr>
                <w:rFonts w:ascii="Tahoma" w:eastAsia="Calibri" w:hAnsi="Tahoma" w:cs="Tahoma"/>
                <w:spacing w:val="-10"/>
                <w:sz w:val="36"/>
                <w:szCs w:val="36"/>
                <w:rtl/>
              </w:rPr>
              <w:t xml:space="preserve"> 7</w:t>
            </w:r>
          </w:p>
        </w:tc>
        <w:tc>
          <w:tcPr>
            <w:tcW w:w="283" w:type="dxa"/>
          </w:tcPr>
          <w:p w:rsidR="002009E0" w:rsidRPr="002009E0" w:rsidP="002009E0" w14:paraId="2FE460A7" w14:textId="77777777">
            <w:pPr>
              <w:spacing w:line="240" w:lineRule="auto"/>
              <w:rPr>
                <w:rFonts w:ascii="Tahoma" w:eastAsia="Calibri" w:hAnsi="Tahoma" w:cs="Tahoma"/>
                <w:spacing w:val="-10"/>
              </w:rPr>
            </w:pPr>
          </w:p>
        </w:tc>
        <w:tc>
          <w:tcPr>
            <w:tcW w:w="2124" w:type="dxa"/>
            <w:tcBorders>
              <w:bottom w:val="single" w:sz="12" w:space="0" w:color="auto"/>
            </w:tcBorders>
            <w:vAlign w:val="bottom"/>
          </w:tcPr>
          <w:p w:rsidR="002009E0" w:rsidRPr="002009E0" w:rsidP="002009E0" w14:paraId="675CA8E7" w14:textId="77777777">
            <w:pPr>
              <w:spacing w:after="60" w:line="240" w:lineRule="auto"/>
              <w:rPr>
                <w:rFonts w:ascii="Tahoma" w:eastAsia="Calibri" w:hAnsi="Tahoma" w:cs="Tahoma"/>
                <w:spacing w:val="-10"/>
                <w:sz w:val="36"/>
                <w:szCs w:val="36"/>
              </w:rPr>
            </w:pPr>
            <w:r w:rsidRPr="002009E0">
              <w:rPr>
                <w:rFonts w:ascii="Tahoma" w:eastAsia="Calibri" w:hAnsi="Tahoma" w:cs="Tahoma"/>
                <w:spacing w:val="-10"/>
                <w:sz w:val="26"/>
                <w:szCs w:val="26"/>
                <w:rtl/>
              </w:rPr>
              <w:t>כ-</w:t>
            </w:r>
            <w:r w:rsidRPr="002009E0">
              <w:rPr>
                <w:rFonts w:ascii="Tahoma" w:eastAsia="Calibri" w:hAnsi="Tahoma" w:cs="Tahoma"/>
                <w:spacing w:val="-10"/>
                <w:sz w:val="36"/>
                <w:szCs w:val="36"/>
                <w:rtl/>
              </w:rPr>
              <w:t>1</w:t>
            </w:r>
            <w:r w:rsidRPr="002009E0">
              <w:rPr>
                <w:rFonts w:ascii="Tahoma" w:eastAsia="Calibri" w:hAnsi="Tahoma" w:cs="Tahoma"/>
                <w:spacing w:val="-10"/>
                <w:sz w:val="26"/>
                <w:szCs w:val="26"/>
                <w:rtl/>
              </w:rPr>
              <w:t xml:space="preserve"> - </w:t>
            </w:r>
            <w:r w:rsidRPr="002009E0">
              <w:rPr>
                <w:rFonts w:ascii="Tahoma" w:eastAsia="Calibri" w:hAnsi="Tahoma" w:cs="Tahoma"/>
                <w:spacing w:val="-10"/>
                <w:sz w:val="36"/>
                <w:szCs w:val="36"/>
                <w:rtl/>
              </w:rPr>
              <w:t xml:space="preserve">109 </w:t>
            </w:r>
            <w:r w:rsidRPr="002009E0">
              <w:rPr>
                <w:rFonts w:ascii="Tahoma" w:eastAsia="Calibri" w:hAnsi="Tahoma" w:cs="Tahoma"/>
                <w:spacing w:val="-10"/>
                <w:sz w:val="26"/>
                <w:szCs w:val="26"/>
                <w:rtl/>
              </w:rPr>
              <w:t>מיליון ש"ח</w:t>
            </w:r>
          </w:p>
        </w:tc>
      </w:tr>
      <w:tr w14:paraId="05A1DE46" w14:textId="77777777" w:rsidTr="0021064D">
        <w:tblPrEx>
          <w:tblW w:w="9642" w:type="dxa"/>
          <w:tblLook w:val="04A0"/>
        </w:tblPrEx>
        <w:trPr>
          <w:trHeight w:val="70"/>
        </w:trPr>
        <w:tc>
          <w:tcPr>
            <w:tcW w:w="9642" w:type="dxa"/>
            <w:gridSpan w:val="7"/>
            <w:vAlign w:val="center"/>
          </w:tcPr>
          <w:p w:rsidR="002009E0" w:rsidRPr="002009E0" w:rsidP="002009E0" w14:paraId="72216162" w14:textId="77777777">
            <w:pPr>
              <w:spacing w:line="288" w:lineRule="auto"/>
              <w:rPr>
                <w:rFonts w:ascii="Tahoma" w:eastAsia="Calibri" w:hAnsi="Tahoma" w:cs="Tahoma"/>
                <w:spacing w:val="-10"/>
                <w:sz w:val="6"/>
                <w:szCs w:val="6"/>
                <w:rtl/>
              </w:rPr>
            </w:pPr>
          </w:p>
        </w:tc>
      </w:tr>
      <w:tr w14:paraId="6C5579BC" w14:textId="77777777" w:rsidTr="0021064D">
        <w:tblPrEx>
          <w:tblW w:w="9642" w:type="dxa"/>
          <w:tblLook w:val="04A0"/>
        </w:tblPrEx>
        <w:trPr>
          <w:trHeight w:val="1153"/>
        </w:trPr>
        <w:tc>
          <w:tcPr>
            <w:tcW w:w="2132" w:type="dxa"/>
          </w:tcPr>
          <w:p w:rsidR="002009E0" w:rsidRPr="002009E0" w:rsidP="002009E0" w14:paraId="2DD8C5AC"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פוטנציאל ההכנסה נטו מארנונה לנפש בשנת</w:t>
            </w:r>
            <w:r w:rsidRPr="002009E0">
              <w:rPr>
                <w:rFonts w:ascii="Tahoma" w:eastAsia="Calibri" w:hAnsi="Tahoma" w:cs="Tahoma" w:hint="cs"/>
                <w:sz w:val="19"/>
                <w:szCs w:val="19"/>
                <w:rtl/>
              </w:rPr>
              <w:t xml:space="preserve"> </w:t>
            </w:r>
            <w:r w:rsidRPr="002009E0">
              <w:rPr>
                <w:rFonts w:ascii="Tahoma" w:eastAsia="Calibri" w:hAnsi="Tahoma" w:cs="Tahoma"/>
                <w:sz w:val="19"/>
                <w:szCs w:val="19"/>
                <w:rtl/>
              </w:rPr>
              <w:t xml:space="preserve">2023: </w:t>
            </w:r>
            <w:r w:rsidRPr="002009E0">
              <w:rPr>
                <w:rFonts w:ascii="Tahoma" w:eastAsia="Calibri" w:hAnsi="Tahoma" w:cs="Tahoma"/>
                <w:sz w:val="19"/>
                <w:szCs w:val="19"/>
                <w:rtl/>
              </w:rPr>
              <w:t>ב</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861 ש"ח, ב</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944 ש"ח, ב</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1,124 ש"ח, </w:t>
            </w:r>
            <w:r w:rsidRPr="002009E0">
              <w:rPr>
                <w:rFonts w:ascii="Tahoma" w:eastAsia="Calibri" w:hAnsi="Tahoma" w:cs="Tahoma"/>
                <w:sz w:val="19"/>
                <w:szCs w:val="19"/>
                <w:rtl/>
              </w:rPr>
              <w:t>ב</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1,501 ש"ח, ב</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1,578 ש"ח, ב</w:t>
            </w:r>
            <w:r w:rsidRPr="002009E0">
              <w:rPr>
                <w:rFonts w:ascii="Tahoma" w:eastAsia="Calibri" w:hAnsi="Tahoma" w:cs="Tahoma"/>
                <w:b/>
                <w:bCs/>
                <w:sz w:val="19"/>
                <w:szCs w:val="19"/>
                <w:rtl/>
              </w:rPr>
              <w:t xml:space="preserve">נוף הגליל </w:t>
            </w:r>
            <w:r w:rsidRPr="002009E0">
              <w:rPr>
                <w:rFonts w:ascii="Tahoma" w:eastAsia="Calibri" w:hAnsi="Tahoma" w:cs="Tahoma"/>
                <w:sz w:val="19"/>
                <w:szCs w:val="19"/>
                <w:rtl/>
              </w:rPr>
              <w:t>2,618 ש"ח וב</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4,327 ש"ח </w:t>
            </w:r>
          </w:p>
        </w:tc>
        <w:tc>
          <w:tcPr>
            <w:tcW w:w="283" w:type="dxa"/>
          </w:tcPr>
          <w:p w:rsidR="002009E0" w:rsidRPr="002009E0" w:rsidP="002009E0" w14:paraId="702431B2" w14:textId="77777777">
            <w:pPr>
              <w:spacing w:line="240" w:lineRule="auto"/>
              <w:rPr>
                <w:rFonts w:ascii="Tahoma" w:eastAsia="Calibri" w:hAnsi="Tahoma" w:cs="Tahoma"/>
                <w:sz w:val="19"/>
                <w:szCs w:val="19"/>
                <w:rtl/>
              </w:rPr>
            </w:pPr>
          </w:p>
        </w:tc>
        <w:tc>
          <w:tcPr>
            <w:tcW w:w="2268" w:type="dxa"/>
          </w:tcPr>
          <w:p w:rsidR="002009E0" w:rsidRPr="002009E0" w:rsidP="002009E0" w14:paraId="37936E2E" w14:textId="77777777">
            <w:pPr>
              <w:spacing w:line="240" w:lineRule="auto"/>
              <w:rPr>
                <w:rFonts w:ascii="Tahoma" w:eastAsia="Calibri" w:hAnsi="Tahoma" w:cs="Tahoma"/>
                <w:sz w:val="19"/>
                <w:szCs w:val="19"/>
                <w:rtl/>
              </w:rPr>
            </w:pPr>
            <w:r w:rsidRPr="002009E0">
              <w:rPr>
                <w:rFonts w:ascii="Tahoma" w:eastAsia="Calibri" w:hAnsi="Tahoma" w:cs="Tahoma"/>
                <w:sz w:val="19"/>
                <w:szCs w:val="19"/>
                <w:rtl/>
              </w:rPr>
              <w:t xml:space="preserve">מס' השנים שבהן עיריית </w:t>
            </w:r>
            <w:r w:rsidRPr="002009E0">
              <w:rPr>
                <w:rFonts w:ascii="Tahoma" w:eastAsia="Calibri" w:hAnsi="Tahoma" w:cs="Tahoma"/>
                <w:b/>
                <w:bCs/>
                <w:sz w:val="19"/>
                <w:szCs w:val="19"/>
                <w:rtl/>
              </w:rPr>
              <w:t>נצרת</w:t>
            </w:r>
            <w:r w:rsidRPr="002009E0">
              <w:rPr>
                <w:rFonts w:ascii="Tahoma" w:eastAsia="Calibri" w:hAnsi="Tahoma" w:cs="Tahoma"/>
                <w:sz w:val="19"/>
                <w:szCs w:val="19"/>
                <w:rtl/>
              </w:rPr>
              <w:t xml:space="preserve"> אינה מצליחה להעביר לתחום שיפוטה את מתחם שפרינצק ששויך לתחום השיפוט של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זאת אף על פי שאין למתחם זיקה לתחום השיפוט של עיריית </w:t>
            </w:r>
            <w:r w:rsidRPr="002009E0">
              <w:rPr>
                <w:rFonts w:ascii="Tahoma" w:eastAsia="Calibri" w:hAnsi="Tahoma" w:cs="Tahoma"/>
                <w:b/>
                <w:bCs/>
                <w:sz w:val="19"/>
                <w:szCs w:val="19"/>
                <w:rtl/>
              </w:rPr>
              <w:t xml:space="preserve">נוף הגליל </w:t>
            </w:r>
            <w:r w:rsidRPr="002009E0">
              <w:rPr>
                <w:rFonts w:ascii="Tahoma" w:eastAsia="Calibri" w:hAnsi="Tahoma" w:cs="Tahoma"/>
                <w:sz w:val="19"/>
                <w:szCs w:val="19"/>
                <w:rtl/>
              </w:rPr>
              <w:t xml:space="preserve">ואף לא רצף טריטוריאלי עם תחום שיפוט זה, ואף ששתיים מתוך ארבע ועדות החקירה שמונו במהלך השנים המליצו על העברת חלק מהמתחם לעיריית </w:t>
            </w:r>
            <w:r w:rsidRPr="002009E0">
              <w:rPr>
                <w:rFonts w:ascii="Tahoma" w:eastAsia="Calibri" w:hAnsi="Tahoma" w:cs="Tahoma"/>
                <w:b/>
                <w:bCs/>
                <w:sz w:val="19"/>
                <w:szCs w:val="19"/>
                <w:rtl/>
              </w:rPr>
              <w:t>נצרת</w:t>
            </w:r>
            <w:r w:rsidRPr="002009E0">
              <w:rPr>
                <w:rFonts w:ascii="Tahoma" w:eastAsia="Calibri" w:hAnsi="Tahoma" w:cs="Tahoma"/>
                <w:sz w:val="19"/>
                <w:szCs w:val="19"/>
                <w:rtl/>
              </w:rPr>
              <w:t>. המלצות אלה לא אומצו, ובכלל זאת ההמלצות מנובמבר 2019 שהגישה הוועדה שמונתה בשנת 2018 במסגרת ההליך האחרון. משרד הפנים לא נימק את החלטתו שלא לאמץ את ההמלצות</w:t>
            </w:r>
          </w:p>
        </w:tc>
        <w:tc>
          <w:tcPr>
            <w:tcW w:w="284" w:type="dxa"/>
          </w:tcPr>
          <w:p w:rsidR="002009E0" w:rsidRPr="002009E0" w:rsidP="002009E0" w14:paraId="2DF69F92" w14:textId="77777777">
            <w:pPr>
              <w:spacing w:line="240" w:lineRule="auto"/>
              <w:rPr>
                <w:rFonts w:ascii="Tahoma" w:eastAsia="Calibri" w:hAnsi="Tahoma" w:cs="Tahoma"/>
                <w:sz w:val="19"/>
                <w:szCs w:val="19"/>
                <w:rtl/>
              </w:rPr>
            </w:pPr>
          </w:p>
        </w:tc>
        <w:tc>
          <w:tcPr>
            <w:tcW w:w="2268" w:type="dxa"/>
          </w:tcPr>
          <w:p w:rsidR="002009E0" w:rsidRPr="002009E0" w:rsidP="002009E0" w14:paraId="69547B1B"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 xml:space="preserve">הרשויות המקומיות שנבדקו לא ביצעו סקר נכסים זה יותר מחמש שנים מאז ביצוע הסקר האחרון. </w:t>
            </w:r>
            <w:r w:rsidRPr="002009E0">
              <w:rPr>
                <w:rFonts w:ascii="Tahoma" w:eastAsia="Calibri" w:hAnsi="Tahoma" w:cs="Tahoma"/>
                <w:b/>
                <w:bCs/>
                <w:sz w:val="19"/>
                <w:szCs w:val="19"/>
                <w:rtl/>
              </w:rPr>
              <w:t xml:space="preserve">אלעד </w:t>
            </w:r>
            <w:r w:rsidRPr="002009E0">
              <w:rPr>
                <w:rFonts w:ascii="Tahoma" w:eastAsia="Calibri" w:hAnsi="Tahoma" w:cs="Tahoma"/>
                <w:b/>
                <w:bCs/>
                <w:sz w:val="19"/>
                <w:szCs w:val="19"/>
                <w:rtl/>
              </w:rPr>
              <w:t>ועספייא</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לא ביצעו סקר נכסים משנת 2018,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משנת 2021 ו</w:t>
            </w:r>
            <w:r w:rsidRPr="002009E0">
              <w:rPr>
                <w:rFonts w:ascii="Tahoma" w:eastAsia="Calibri" w:hAnsi="Tahoma" w:cs="Tahoma"/>
                <w:b/>
                <w:bCs/>
                <w:sz w:val="19"/>
                <w:szCs w:val="19"/>
                <w:rtl/>
              </w:rPr>
              <w:t xml:space="preserve">כפר כנא </w:t>
            </w:r>
            <w:r w:rsidRPr="002009E0">
              <w:rPr>
                <w:rFonts w:ascii="Tahoma" w:eastAsia="Calibri" w:hAnsi="Tahoma" w:cs="Tahoma"/>
                <w:sz w:val="19"/>
                <w:szCs w:val="19"/>
                <w:rtl/>
              </w:rPr>
              <w:t>משנת 2020</w:t>
            </w:r>
          </w:p>
        </w:tc>
        <w:tc>
          <w:tcPr>
            <w:tcW w:w="283" w:type="dxa"/>
          </w:tcPr>
          <w:p w:rsidR="002009E0" w:rsidRPr="002009E0" w:rsidP="002009E0" w14:paraId="69039731" w14:textId="77777777">
            <w:pPr>
              <w:spacing w:line="240" w:lineRule="auto"/>
              <w:rPr>
                <w:rFonts w:ascii="Tahoma" w:eastAsia="Calibri" w:hAnsi="Tahoma" w:cs="Tahoma"/>
                <w:sz w:val="19"/>
                <w:szCs w:val="19"/>
                <w:rtl/>
              </w:rPr>
            </w:pPr>
          </w:p>
        </w:tc>
        <w:tc>
          <w:tcPr>
            <w:tcW w:w="2124" w:type="dxa"/>
          </w:tcPr>
          <w:p w:rsidR="002009E0" w:rsidRPr="002009E0" w:rsidP="002009E0" w14:paraId="49CC3194" w14:textId="77777777">
            <w:pPr>
              <w:spacing w:line="240" w:lineRule="auto"/>
              <w:ind w:right="23"/>
              <w:rPr>
                <w:rFonts w:ascii="Tahoma" w:eastAsia="Calibri" w:hAnsi="Tahoma" w:cs="Tahoma"/>
                <w:sz w:val="19"/>
                <w:szCs w:val="19"/>
                <w:rtl/>
              </w:rPr>
            </w:pPr>
            <w:r w:rsidRPr="002009E0">
              <w:rPr>
                <w:rFonts w:ascii="Tahoma" w:eastAsia="Calibri" w:hAnsi="Tahoma" w:cs="Tahoma"/>
                <w:sz w:val="19"/>
                <w:szCs w:val="19"/>
                <w:rtl/>
              </w:rPr>
              <w:t xml:space="preserve">סך ההכנסות מהפעלת חוקי העזר בשנים 2021 - 2024: </w:t>
            </w:r>
            <w:r w:rsidRPr="002009E0">
              <w:rPr>
                <w:rFonts w:ascii="Tahoma" w:eastAsia="Calibri" w:hAnsi="Tahoma" w:cs="Tahoma"/>
                <w:sz w:val="19"/>
                <w:szCs w:val="19"/>
                <w:rtl/>
              </w:rPr>
              <w:t>ב</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כמיליון ש"ח, ב</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כ-2 מיליון ש"ח, </w:t>
            </w:r>
            <w:r w:rsidRPr="002009E0">
              <w:rPr>
                <w:rFonts w:ascii="Tahoma" w:eastAsia="Calibri" w:hAnsi="Tahoma" w:cs="Tahoma"/>
                <w:sz w:val="19"/>
                <w:szCs w:val="19"/>
                <w:rtl/>
              </w:rPr>
              <w:t>ב</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כ-4 מיליון ש"ח, ב</w:t>
            </w:r>
            <w:r w:rsidRPr="002009E0">
              <w:rPr>
                <w:rFonts w:ascii="Tahoma" w:eastAsia="Calibri" w:hAnsi="Tahoma" w:cs="Tahoma"/>
                <w:b/>
                <w:bCs/>
                <w:sz w:val="19"/>
                <w:szCs w:val="19"/>
                <w:rtl/>
              </w:rPr>
              <w:t xml:space="preserve">מגידו </w:t>
            </w:r>
            <w:r w:rsidRPr="002009E0">
              <w:rPr>
                <w:rFonts w:ascii="Tahoma" w:eastAsia="Calibri" w:hAnsi="Tahoma" w:cs="Tahoma"/>
                <w:sz w:val="19"/>
                <w:szCs w:val="19"/>
                <w:rtl/>
              </w:rPr>
              <w:t>כ-8 מיליון ש"ח, ב</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כ-15 מיליון ש"ח, ב</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כ-16 מיליון ש"ח, ובעיריית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כ-109 מיליון ש"ח</w:t>
            </w:r>
          </w:p>
          <w:p w:rsidR="002009E0" w:rsidRPr="002009E0" w:rsidP="002009E0" w14:paraId="3996E17E" w14:textId="77777777">
            <w:pPr>
              <w:spacing w:line="240" w:lineRule="auto"/>
              <w:ind w:firstLine="720"/>
              <w:rPr>
                <w:rFonts w:ascii="Tahoma" w:eastAsia="Calibri" w:hAnsi="Tahoma" w:cs="Tahoma"/>
                <w:sz w:val="19"/>
                <w:szCs w:val="19"/>
                <w:rtl/>
              </w:rPr>
            </w:pPr>
          </w:p>
        </w:tc>
      </w:tr>
    </w:tbl>
    <w:p w:rsidR="002009E0" w:rsidP="002009E0" w14:paraId="262C0EC5" w14:textId="77777777">
      <w:pPr>
        <w:spacing w:line="288" w:lineRule="auto"/>
        <w:ind w:left="-710"/>
        <w:rPr>
          <w:rFonts w:ascii="Tahoma" w:eastAsia="Calibri" w:hAnsi="Tahoma" w:cs="Tahoma"/>
          <w:rtl/>
        </w:rPr>
      </w:pPr>
    </w:p>
    <w:p w:rsidR="00743060" w:rsidP="002009E0" w14:paraId="033F5D95" w14:textId="77777777">
      <w:pPr>
        <w:spacing w:line="288" w:lineRule="auto"/>
        <w:ind w:left="-710"/>
        <w:rPr>
          <w:rFonts w:ascii="Tahoma" w:eastAsia="Calibri" w:hAnsi="Tahoma" w:cs="Tahoma"/>
          <w:rtl/>
        </w:rPr>
      </w:pPr>
    </w:p>
    <w:p w:rsidR="00CE2218" w:rsidRPr="002009E0" w:rsidP="002009E0" w14:paraId="30F5D194" w14:textId="77777777">
      <w:pPr>
        <w:spacing w:line="288" w:lineRule="auto"/>
        <w:ind w:left="-710"/>
        <w:rPr>
          <w:rFonts w:ascii="Tahoma" w:eastAsia="Calibri" w:hAnsi="Tahoma" w:cs="Tahoma"/>
          <w:rtl/>
        </w:rPr>
      </w:pPr>
    </w:p>
    <w:tbl>
      <w:tblPr>
        <w:tblStyle w:val="110"/>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06103D29" w14:textId="77777777" w:rsidTr="0021064D">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2009E0" w:rsidRPr="002009E0" w:rsidP="00E61820" w14:paraId="6175FA4D" w14:textId="77777777">
            <w:pPr>
              <w:spacing w:line="480" w:lineRule="auto"/>
              <w:rPr>
                <w:rFonts w:ascii="Tahoma" w:eastAsia="Calibri" w:hAnsi="Tahoma" w:cs="Tahoma"/>
                <w:sz w:val="17"/>
                <w:szCs w:val="17"/>
                <w:rtl/>
              </w:rPr>
            </w:pPr>
            <w:r w:rsidRPr="002009E0">
              <w:rPr>
                <w:rFonts w:ascii="Tahoma" w:eastAsia="Calibri" w:hAnsi="Tahoma" w:cs="Tahoma"/>
                <w:noProof/>
              </w:rPr>
              <w:drawing>
                <wp:inline distT="0" distB="0" distL="0" distR="0">
                  <wp:extent cx="5969635" cy="498472"/>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7C2F7C88" w14:textId="77777777" w:rsidTr="0021064D">
        <w:tblPrEx>
          <w:tblW w:w="9617" w:type="dxa"/>
          <w:tblLook w:val="04A0"/>
        </w:tblPrEx>
        <w:trPr>
          <w:trHeight w:val="1019"/>
        </w:trPr>
        <w:tc>
          <w:tcPr>
            <w:tcW w:w="1237" w:type="dxa"/>
            <w:vAlign w:val="center"/>
          </w:tcPr>
          <w:p w:rsidR="002009E0" w:rsidRPr="002009E0" w:rsidP="002009E0" w14:paraId="3806F190" w14:textId="77777777">
            <w:pPr>
              <w:spacing w:line="288" w:lineRule="auto"/>
              <w:rPr>
                <w:rFonts w:ascii="Tahoma" w:eastAsia="Calibri" w:hAnsi="Tahoma" w:cs="Tahoma"/>
                <w:sz w:val="17"/>
                <w:szCs w:val="17"/>
                <w:rtl/>
              </w:rPr>
            </w:pPr>
            <w:r w:rsidRPr="002009E0">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114935</wp:posOffset>
                  </wp:positionH>
                  <wp:positionV relativeFrom="paragraph">
                    <wp:posOffset>-494030</wp:posOffset>
                  </wp:positionV>
                  <wp:extent cx="445135" cy="445135"/>
                  <wp:effectExtent l="0" t="0" r="0" b="0"/>
                  <wp:wrapNone/>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09E0">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2009E0" w:rsidRPr="002009E0" w:rsidP="00743060" w14:paraId="7D6DE678" w14:textId="77777777">
            <w:pPr>
              <w:spacing w:line="288" w:lineRule="auto"/>
              <w:jc w:val="both"/>
              <w:rPr>
                <w:rFonts w:ascii="Tahoma" w:eastAsia="Calibri" w:hAnsi="Tahoma" w:cs="Tahoma"/>
                <w:sz w:val="19"/>
                <w:szCs w:val="19"/>
                <w:rtl/>
              </w:rPr>
            </w:pPr>
            <w:r w:rsidRPr="002009E0">
              <w:rPr>
                <w:rFonts w:ascii="Tahoma" w:eastAsia="Calibri" w:hAnsi="Tahoma" w:cs="Tahoma"/>
                <w:sz w:val="19"/>
                <w:szCs w:val="19"/>
                <w:rtl/>
              </w:rPr>
              <w:t>בחודשים יוני עד נובמבר 2025 ביצע משרד מבקר המדינה ביקורת במשרד הפנים</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וברשויות מקומיות כדי לבחון פערים בהכנסות העצמיות של הרשויות, לרבות ארנונה לעסקים, ארנונה למגורים והכנסות נוספות. ביקורת מעמיקה בוצעה בשבע רשויות מקומיות: שתי העיריות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ו</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שתי המועצות האזוריות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ו</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ושלוש המועצות המקומיות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w:t>
            </w:r>
            <w:r w:rsidRPr="002009E0">
              <w:rPr>
                <w:rFonts w:ascii="Tahoma" w:eastAsia="Calibri" w:hAnsi="Tahoma" w:cs="Tahoma"/>
                <w:sz w:val="19"/>
                <w:szCs w:val="19"/>
                <w:rtl/>
              </w:rPr>
              <w:t>ו</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(הרשויות המקומיות שנבדקו). במשרד הפנים</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הבדיקה התבצעה במינהל הפיתוח הכלכלי. כמן כן נכללו שלוש רשויות מקומיות נוספות במסגרת בדיקת סוגיית חלוקת ההכנסות הנוגעות לרשויות שנבדקו: שתי העיריות </w:t>
            </w:r>
            <w:r w:rsidRPr="002009E0">
              <w:rPr>
                <w:rFonts w:ascii="Tahoma" w:eastAsia="Calibri" w:hAnsi="Tahoma" w:cs="Tahoma"/>
                <w:b/>
                <w:bCs/>
                <w:sz w:val="19"/>
                <w:szCs w:val="19"/>
                <w:rtl/>
              </w:rPr>
              <w:t xml:space="preserve">יוקנעם עילית </w:t>
            </w:r>
            <w:r w:rsidRPr="002009E0">
              <w:rPr>
                <w:rFonts w:ascii="Tahoma" w:eastAsia="Calibri" w:hAnsi="Tahoma" w:cs="Tahoma"/>
                <w:sz w:val="19"/>
                <w:szCs w:val="19"/>
                <w:rtl/>
              </w:rPr>
              <w:t>ו</w:t>
            </w:r>
            <w:r w:rsidRPr="002009E0">
              <w:rPr>
                <w:rFonts w:ascii="Tahoma" w:eastAsia="Calibri" w:hAnsi="Tahoma" w:cs="Tahoma"/>
                <w:b/>
                <w:bCs/>
                <w:sz w:val="19"/>
                <w:szCs w:val="19"/>
                <w:rtl/>
              </w:rPr>
              <w:t>נצרת</w:t>
            </w:r>
            <w:r w:rsidRPr="002009E0">
              <w:rPr>
                <w:rFonts w:ascii="Tahoma" w:eastAsia="Calibri" w:hAnsi="Tahoma" w:cs="Tahoma"/>
                <w:sz w:val="19"/>
                <w:szCs w:val="19"/>
                <w:rtl/>
              </w:rPr>
              <w:t xml:space="preserve"> והמועצה המקומית </w:t>
            </w:r>
            <w:r w:rsidRPr="002009E0">
              <w:rPr>
                <w:rFonts w:ascii="Tahoma" w:eastAsia="Calibri" w:hAnsi="Tahoma" w:cs="Tahoma"/>
                <w:b/>
                <w:bCs/>
                <w:sz w:val="19"/>
                <w:szCs w:val="19"/>
                <w:rtl/>
              </w:rPr>
              <w:t>ריינה</w:t>
            </w:r>
            <w:r w:rsidRPr="002009E0">
              <w:rPr>
                <w:rFonts w:ascii="Tahoma" w:eastAsia="Calibri" w:hAnsi="Tahoma" w:cs="Tahoma"/>
                <w:sz w:val="19"/>
                <w:szCs w:val="19"/>
                <w:rtl/>
              </w:rPr>
              <w:t>.</w:t>
            </w:r>
          </w:p>
        </w:tc>
      </w:tr>
    </w:tbl>
    <w:p w:rsidR="00743060" w:rsidP="002009E0" w14:paraId="44C95FD2" w14:textId="77777777">
      <w:pPr>
        <w:spacing w:line="288" w:lineRule="auto"/>
        <w:ind w:left="-710"/>
        <w:rPr>
          <w:rFonts w:ascii="Tahoma" w:eastAsia="Calibri" w:hAnsi="Tahoma" w:cs="Tahoma"/>
        </w:rPr>
      </w:pPr>
    </w:p>
    <w:p w:rsidR="00743060" w14:paraId="7C6DE336" w14:textId="77777777">
      <w:pPr>
        <w:bidi w:val="0"/>
        <w:spacing w:after="200" w:line="276" w:lineRule="auto"/>
        <w:rPr>
          <w:rFonts w:ascii="Tahoma" w:eastAsia="Calibri" w:hAnsi="Tahoma" w:cs="Tahoma"/>
        </w:rPr>
      </w:pPr>
      <w:r>
        <w:rPr>
          <w:rFonts w:ascii="Tahoma" w:eastAsia="Calibri" w:hAnsi="Tahoma" w:cs="Tahoma"/>
        </w:rPr>
        <w:br w:type="page"/>
      </w:r>
    </w:p>
    <w:p w:rsidR="002009E0" w:rsidRPr="002009E0" w:rsidP="002009E0" w14:paraId="1EB28C59" w14:textId="77777777">
      <w:pPr>
        <w:spacing w:line="288" w:lineRule="auto"/>
        <w:ind w:left="-710"/>
        <w:rPr>
          <w:rFonts w:ascii="Tahoma" w:eastAsia="Calibri" w:hAnsi="Tahoma" w:cs="Tahoma"/>
          <w:noProof/>
          <w:rtl/>
        </w:rPr>
      </w:pPr>
      <w:r w:rsidRPr="002009E0">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2009E0" w:rsidRPr="002009E0" w:rsidP="002009E0" w14:paraId="42BF0461" w14:textId="77777777">
      <w:pPr>
        <w:spacing w:before="240" w:after="160" w:line="288" w:lineRule="auto"/>
        <w:ind w:left="-709" w:right="-567"/>
        <w:rPr>
          <w:rFonts w:ascii="Tahoma" w:eastAsia="Calibri" w:hAnsi="Tahoma" w:cs="Tahoma"/>
          <w:rtl/>
        </w:rPr>
      </w:pPr>
      <w:r w:rsidRPr="002009E0">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2009E0" w:rsidRPr="002009E0" w:rsidP="00743060" w14:paraId="3517D31B" w14:textId="77777777">
      <w:pPr>
        <w:numPr>
          <w:ilvl w:val="0"/>
          <w:numId w:val="12"/>
        </w:numPr>
        <w:spacing w:after="240" w:line="288" w:lineRule="auto"/>
        <w:ind w:left="-142" w:right="-567" w:hanging="595"/>
        <w:rPr>
          <w:rFonts w:ascii="Tahoma" w:eastAsia="Calibri" w:hAnsi="Tahoma" w:cs="Tahoma"/>
          <w:sz w:val="19"/>
          <w:szCs w:val="19"/>
          <w:rtl/>
        </w:rPr>
      </w:pPr>
      <w:r w:rsidRPr="002009E0">
        <w:rPr>
          <w:rFonts w:ascii="Tahoma" w:eastAsia="Calibri" w:hAnsi="Tahoma" w:cs="Tahoma"/>
          <w:b/>
          <w:bCs/>
          <w:sz w:val="19"/>
          <w:szCs w:val="19"/>
          <w:rtl/>
        </w:rPr>
        <w:t>פילוח חיובי ארנונה לשנים</w:t>
      </w:r>
      <w:r w:rsidRPr="002009E0">
        <w:rPr>
          <w:rFonts w:ascii="Tahoma" w:eastAsia="Calibri" w:hAnsi="Tahoma" w:cs="Tahoma" w:hint="cs"/>
          <w:b/>
          <w:bCs/>
          <w:sz w:val="19"/>
          <w:szCs w:val="19"/>
          <w:rtl/>
        </w:rPr>
        <w:t xml:space="preserve"> 2021 - 2023</w:t>
      </w:r>
      <w:r w:rsidRPr="002009E0">
        <w:rPr>
          <w:rFonts w:ascii="Tahoma" w:eastAsia="Calibri" w:hAnsi="Tahoma" w:cs="Tahoma"/>
          <w:sz w:val="19"/>
          <w:szCs w:val="19"/>
          <w:rtl/>
        </w:rPr>
        <w:t xml:space="preserve"> - עלה כי בשנת 2021 היה הרכב ההכנסות מארנונה בכלל הרשויות המקומיות בישראל כ-46% ארנונה למגורים וכ-54% ארנונה לשימושים אחרים. בשנת 2022 נרשמה עלייה שנתית כוללת של 10.5% בהכנסות מארנונה, ובהן עלייה של כ-9.1% בארנונה למגורים וכ-11.7% בארנונה לשימושים אחרים, וההרכב השתנה במעט לכ-45.4% ארנונה למגורים וכ-54.6% ארנונה לשימושים אחרים. בשנת 2023 התמתנה העלייה לכ-1.3% בסך הכול, עם גידול של כ-1% בארנונה למגורים וכ-1.6% בארנונה לשימושים אחרים, וההרכב היה כ-45.3% ארנונה למגורים וכ-54.7% ארנונה לשימושים אחרים.</w:t>
      </w:r>
    </w:p>
    <w:p w:rsidR="002009E0" w:rsidRPr="002009E0" w:rsidP="00743060" w14:paraId="6E0A92CA" w14:textId="46F881B8">
      <w:pPr>
        <w:numPr>
          <w:ilvl w:val="0"/>
          <w:numId w:val="12"/>
        </w:numPr>
        <w:spacing w:after="240" w:line="288" w:lineRule="auto"/>
        <w:ind w:left="-142" w:right="-567" w:hanging="595"/>
        <w:rPr>
          <w:rFonts w:ascii="Tahoma" w:eastAsia="Calibri" w:hAnsi="Tahoma" w:cs="Tahoma"/>
          <w:sz w:val="19"/>
          <w:szCs w:val="19"/>
          <w:rtl/>
        </w:rPr>
      </w:pPr>
      <w:r w:rsidRPr="002009E0">
        <w:rPr>
          <w:rFonts w:ascii="Tahoma" w:eastAsia="Calibri" w:hAnsi="Tahoma" w:cs="Tahoma"/>
          <w:b/>
          <w:bCs/>
          <w:sz w:val="19"/>
          <w:szCs w:val="19"/>
          <w:rtl/>
        </w:rPr>
        <w:t xml:space="preserve">מיפוי הפערים בהכנסות עצמיות בין הרשויות המקומיות </w:t>
      </w:r>
      <w:r w:rsidRPr="002009E0">
        <w:rPr>
          <w:rFonts w:ascii="Tahoma" w:eastAsia="Calibri" w:hAnsi="Tahoma" w:cs="Tahoma"/>
          <w:sz w:val="19"/>
          <w:szCs w:val="19"/>
          <w:rtl/>
        </w:rPr>
        <w:t>-</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הממצאים מלמדים על קשר מובהק בין מקום </w:t>
      </w:r>
      <w:r w:rsidRPr="002009E0">
        <w:rPr>
          <w:rFonts w:ascii="Tahoma" w:eastAsia="Calibri" w:hAnsi="Tahoma" w:cs="Tahoma"/>
          <w:sz w:val="19"/>
          <w:szCs w:val="19"/>
          <w:rtl/>
        </w:rPr>
        <w:t>הימצאה</w:t>
      </w:r>
      <w:r w:rsidRPr="002009E0">
        <w:rPr>
          <w:rFonts w:ascii="Tahoma" w:eastAsia="Calibri" w:hAnsi="Tahoma" w:cs="Tahoma"/>
          <w:sz w:val="19"/>
          <w:szCs w:val="19"/>
          <w:rtl/>
        </w:rPr>
        <w:t xml:space="preserve"> של הרשות המקומית בפריפריה הגיאוגרפית ובפריפריה החברתית ורמת הפיתוח הכלכלי שלה ובין יכולתה לייצר הכנסות עצמיות. בקרב רשויות יהודיות במעמד חברתי-כלכלי גבוה במרכז הארץ יש טווח גבוה מאוד של הכנסות עצמיות (70% - 94%) מסך כל ההכנסות בתקציב הרגיל, בקרב רשויות חרדיות ורשויות ערביות במרכז יש טווח נמוך מאוד של הכנסות עצמיות (8.4% - 39.9%), ובקרב רשויות יהודיות בפריפריה יש טווח בינוני (</w:t>
      </w:r>
      <w:r w:rsidRPr="002009E0">
        <w:rPr>
          <w:rFonts w:ascii="Tahoma" w:eastAsia="Calibri" w:hAnsi="Tahoma" w:cs="Tahoma"/>
          <w:sz w:val="19"/>
          <w:szCs w:val="19"/>
          <w:rtl/>
        </w:rPr>
        <w:t xml:space="preserve">40%-59.9%). </w:t>
      </w:r>
    </w:p>
    <w:p w:rsidR="002009E0" w:rsidRPr="002009E0" w:rsidP="00743060" w14:paraId="26AE4360" w14:textId="77777777">
      <w:pPr>
        <w:numPr>
          <w:ilvl w:val="0"/>
          <w:numId w:val="12"/>
        </w:numPr>
        <w:spacing w:after="240" w:line="288" w:lineRule="auto"/>
        <w:ind w:left="-142" w:right="-567" w:hanging="595"/>
        <w:rPr>
          <w:rFonts w:ascii="Tahoma" w:eastAsia="Calibri" w:hAnsi="Tahoma" w:cs="Tahoma"/>
          <w:sz w:val="19"/>
          <w:szCs w:val="19"/>
        </w:rPr>
      </w:pPr>
      <w:r w:rsidRPr="002009E0">
        <w:rPr>
          <w:rFonts w:ascii="Tahoma" w:eastAsia="Calibri" w:hAnsi="Tahoma" w:cs="Tahoma"/>
          <w:b/>
          <w:bCs/>
          <w:sz w:val="19"/>
          <w:szCs w:val="19"/>
          <w:rtl/>
        </w:rPr>
        <w:t xml:space="preserve">פערים בהכנסות מארנונה למגורים ומארנונה לשימושים אחרים </w:t>
      </w:r>
      <w:r w:rsidRPr="002009E0">
        <w:rPr>
          <w:rFonts w:ascii="Tahoma" w:eastAsia="Calibri" w:hAnsi="Tahoma" w:cs="Tahoma"/>
          <w:sz w:val="19"/>
          <w:szCs w:val="19"/>
          <w:rtl/>
        </w:rPr>
        <w:t>-</w:t>
      </w:r>
      <w:r w:rsidRPr="002009E0">
        <w:rPr>
          <w:rFonts w:ascii="Tahoma" w:eastAsia="Calibri" w:hAnsi="Tahoma" w:cs="Tahoma"/>
          <w:b/>
          <w:bCs/>
          <w:rtl/>
          <w:lang w:eastAsia="he-IL"/>
        </w:rPr>
        <w:t xml:space="preserve"> </w:t>
      </w:r>
      <w:r w:rsidRPr="002009E0">
        <w:rPr>
          <w:rFonts w:ascii="Tahoma" w:eastAsia="Calibri" w:hAnsi="Tahoma" w:cs="Tahoma"/>
          <w:sz w:val="19"/>
          <w:szCs w:val="19"/>
          <w:rtl/>
        </w:rPr>
        <w:t xml:space="preserve">בעיריית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היחס בין החיוב הראשוני מארנונה שאינה למגורים ובין החיוב הראשוני מארנונה למגורים הוא כ-1.65, נתון המעיד על היקף הכנסות גבוה יחסית מארנונה לעסקים ולתעשייה לעומת ארנונה למגורים. פוטנציאל הגבייה המרבי הכולל בעיר לאחר הנחות, פטורים, זיכויים ומחיקת חובות, הן מארנונה למגורים והן מארנונה שאינה למגורים, הוא 143,227 אלף ש"ח. במועצה האזורית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היחס בין החיוב הראשוני מארנונה שאינה למגורים ובין הארנונה למגורים היה גבוה אף יותר, כ-1.95, ופוטנציאל הגבייה הוא כ-60,264 אלף ש"ח. לעומת זאת, במועצה המקומית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היחס בין החיוב הראשוני מארנונה לשימושים אחרים ובין החיוב הראשוני מארנונה למגורים נמוך במיוחד - כ-0.23 בלבד, ופוטנציאל הגבייה מסתכם ב-29,372 אלף ש"ח. גם במועצה המקומית </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נרשם יחס נמוך ודומה של כ-0.23, ופוטנציאל הגבייה מסתכם ב-19,680 אלף ש"ח. בעיריית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היחס בין החיוב הראשוני מארנונה שאינה למגורים לחיוב הראשוני מארנונה למגורים הוא כ-0.38, ופוטנציאל הגבייה מסתכם ב-47,538 אלף ש"ח. במועצה האזורית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נרשם יחס נמוך מאוד, כ-0.09 בלבד, ופוטנציאל הגבייה הוא 7,714 אלף ש"ח. במועצה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היחס הוא כ-0.31, ופוטנציאל הגבייה מסתכם ב-27,853 אלף ש"ח.</w:t>
      </w:r>
    </w:p>
    <w:p w:rsidR="002009E0" w:rsidRPr="002009E0" w:rsidP="00743060" w14:paraId="065B743F" w14:textId="77777777">
      <w:pPr>
        <w:numPr>
          <w:ilvl w:val="0"/>
          <w:numId w:val="12"/>
        </w:numPr>
        <w:spacing w:after="240" w:line="288" w:lineRule="auto"/>
        <w:ind w:left="-142" w:right="-567" w:hanging="595"/>
        <w:rPr>
          <w:rFonts w:ascii="Tahoma" w:eastAsia="Calibri" w:hAnsi="Tahoma" w:cs="Tahoma"/>
          <w:sz w:val="19"/>
          <w:szCs w:val="19"/>
          <w:rtl/>
        </w:rPr>
      </w:pPr>
      <w:r w:rsidRPr="002009E0">
        <w:rPr>
          <w:rFonts w:ascii="Tahoma" w:eastAsia="Calibri" w:hAnsi="Tahoma" w:cs="Tahoma"/>
          <w:sz w:val="19"/>
          <w:szCs w:val="19"/>
          <w:rtl/>
        </w:rPr>
        <w:t xml:space="preserve">מהנתונים עולה שהרשויות המקומיות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ו</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נהנו מבסיס הכנסות עצמיות מגוון יותר, המתבסס במידה רבה על ארנונה לשימושים אחרים (67%), נתון המעיד על פעילות רחבה של עסקים ותעשייה בתחומי השיפוט שלהן. לעומתן, ברשויות המקומיות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w:t>
      </w:r>
      <w:r w:rsidRPr="002009E0">
        <w:rPr>
          <w:rFonts w:ascii="Tahoma" w:eastAsia="Calibri" w:hAnsi="Tahoma" w:cs="Tahoma"/>
          <w:b/>
          <w:bCs/>
          <w:sz w:val="19"/>
          <w:szCs w:val="19"/>
          <w:rtl/>
        </w:rPr>
        <w:t xml:space="preserve"> </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ו</w:t>
      </w:r>
      <w:r w:rsidRPr="002009E0">
        <w:rPr>
          <w:rFonts w:ascii="Tahoma" w:eastAsia="Calibri" w:hAnsi="Tahoma" w:cs="Tahoma"/>
          <w:b/>
          <w:bCs/>
          <w:sz w:val="19"/>
          <w:szCs w:val="19"/>
          <w:rtl/>
        </w:rPr>
        <w:t xml:space="preserve">כפר כנא </w:t>
      </w:r>
      <w:r w:rsidRPr="002009E0">
        <w:rPr>
          <w:rFonts w:ascii="Tahoma" w:eastAsia="Calibri" w:hAnsi="Tahoma" w:cs="Tahoma"/>
          <w:sz w:val="19"/>
          <w:szCs w:val="19"/>
          <w:rtl/>
        </w:rPr>
        <w:t>עיקר ההכנסה מארנונה מקורו בארנונה למגורים (61% - 87%), דבר המעיד על היעדר מרכזי תעסוקה ומסחר בהיקף פעילות גדול. עולה שפוטנציאל גביית הארנונה משתנה בין הרשויות המקומיות ונשען במידה שונה על ארנונה לשימושים אחרים לעומת ארנונה למגורים.</w:t>
      </w:r>
    </w:p>
    <w:p w:rsidR="002009E0" w:rsidRPr="002009E0" w:rsidP="00743060" w14:paraId="7D875B77" w14:textId="77777777">
      <w:pPr>
        <w:numPr>
          <w:ilvl w:val="0"/>
          <w:numId w:val="12"/>
        </w:numPr>
        <w:spacing w:after="240" w:line="288" w:lineRule="auto"/>
        <w:ind w:left="-142" w:right="-567" w:hanging="595"/>
        <w:rPr>
          <w:rFonts w:ascii="Tahoma" w:eastAsia="Calibri" w:hAnsi="Tahoma" w:cs="Tahoma"/>
          <w:sz w:val="19"/>
          <w:szCs w:val="19"/>
        </w:rPr>
      </w:pPr>
      <w:r w:rsidRPr="002009E0">
        <w:rPr>
          <w:rFonts w:ascii="Tahoma" w:eastAsia="Calibri" w:hAnsi="Tahoma" w:cs="Tahoma"/>
          <w:b/>
          <w:bCs/>
          <w:sz w:val="19"/>
          <w:szCs w:val="19"/>
          <w:rtl/>
        </w:rPr>
        <w:t xml:space="preserve">הנחות בארנונה </w:t>
      </w:r>
      <w:r w:rsidRPr="002009E0">
        <w:rPr>
          <w:rFonts w:ascii="Tahoma" w:eastAsia="Calibri" w:hAnsi="Tahoma" w:cs="Tahoma"/>
          <w:sz w:val="19"/>
          <w:szCs w:val="19"/>
          <w:rtl/>
        </w:rPr>
        <w:t>-</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עולה שבין הרשויות המקומיות שנבדקו קיימים פערים ניכרים בשיעור ההנחות בארנונה מתוך החיוב הראשוני בארנונה למגורים. במועצה האזורית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שיעור ההנחה הוא 40.67%, ומכאן שהארנונה נטו שעמדה לגבייה בפועל הסתכמה ב-6,799 אלף ש"ח. במועצה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שיעור ההנחה הוא 39.34%, והארנונה נטו שעמדה לגבייה הסתכמה ב-25,364 אלף ש"ח. ב</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שיעור ההנחה הוא 35.2%, והארנונה נטו שעמדה לגבייה הסתכמה ב-32,545 אלף ש"ח. ב</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שיעור ההנחה הוא 32.97%, והארנונה נטו שעמדה לגבייה הסתכמה ב-47,110 אלף ש"ח. </w:t>
      </w:r>
      <w:r w:rsidRPr="002009E0">
        <w:rPr>
          <w:rFonts w:ascii="Tahoma" w:eastAsia="Calibri" w:hAnsi="Tahoma" w:cs="Tahoma"/>
          <w:sz w:val="19"/>
          <w:szCs w:val="19"/>
          <w:rtl/>
        </w:rPr>
        <w:t>ב</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שיעור ההנחה הוא 31.37%, </w:t>
      </w:r>
      <w:r w:rsidRPr="002009E0">
        <w:rPr>
          <w:rFonts w:ascii="Tahoma" w:eastAsia="Calibri" w:hAnsi="Tahoma" w:cs="Tahoma"/>
          <w:sz w:val="19"/>
          <w:szCs w:val="19"/>
          <w:rtl/>
        </w:rPr>
        <w:t>והארנונה נטו שעמדה לגבייה הסתכמה ב-14,298 אלף ש"ח. ב</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שיעור ההנחה הוא 29.75%, והארנונה נטו שעמדה לגבייה הסתכמה ב-22,053 אלף ש"ח, ובמועצה האזורית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נרשם שיעור ההנחה הנמוך ביותר (17.19%), והארנונה נטו שעמדה לגבייה הסתכמה ב-19,925 אלף ש"ח. </w:t>
      </w:r>
    </w:p>
    <w:p w:rsidR="002009E0" w:rsidRPr="002009E0" w:rsidP="00743060" w14:paraId="4CCCE87A" w14:textId="77777777">
      <w:pPr>
        <w:numPr>
          <w:ilvl w:val="0"/>
          <w:numId w:val="12"/>
        </w:numPr>
        <w:spacing w:after="240" w:line="288" w:lineRule="auto"/>
        <w:ind w:left="-142" w:right="-567" w:hanging="595"/>
        <w:rPr>
          <w:rFonts w:ascii="Tahoma" w:eastAsia="Calibri" w:hAnsi="Tahoma" w:cs="Tahoma"/>
          <w:sz w:val="19"/>
          <w:szCs w:val="19"/>
        </w:rPr>
      </w:pPr>
      <w:r w:rsidRPr="002009E0">
        <w:rPr>
          <w:rFonts w:ascii="Tahoma" w:eastAsia="Calibri" w:hAnsi="Tahoma" w:cs="Tahoma"/>
          <w:b/>
          <w:bCs/>
          <w:sz w:val="19"/>
          <w:szCs w:val="19"/>
          <w:rtl/>
        </w:rPr>
        <w:t>תעריפי החיוב בארנונה</w:t>
      </w:r>
      <w:r w:rsidRPr="002009E0">
        <w:rPr>
          <w:rFonts w:ascii="Tahoma" w:eastAsia="Calibri" w:hAnsi="Tahoma" w:cs="Tahoma"/>
          <w:sz w:val="19"/>
          <w:szCs w:val="19"/>
          <w:rtl/>
        </w:rPr>
        <w:t xml:space="preserve"> - בשלושת סיווגי הארנונה שנבחנו - מגורים, משרדים, שירותים ומסחר ותעשייה - ניכרת מגמת עלייה כללית בתעריפים בשנים 2022 - 2024, לצד שונות בין הרשויות המקומיות. בשנת 2024 בעיריית </w:t>
      </w:r>
      <w:r w:rsidRPr="002009E0">
        <w:rPr>
          <w:rFonts w:ascii="Tahoma" w:eastAsia="Calibri" w:hAnsi="Tahoma" w:cs="Tahoma"/>
          <w:b/>
          <w:bCs/>
          <w:sz w:val="19"/>
          <w:szCs w:val="19"/>
          <w:rtl/>
        </w:rPr>
        <w:t xml:space="preserve">אלעד </w:t>
      </w:r>
      <w:r w:rsidRPr="002009E0">
        <w:rPr>
          <w:rFonts w:ascii="Tahoma" w:eastAsia="Calibri" w:hAnsi="Tahoma" w:cs="Tahoma"/>
          <w:sz w:val="19"/>
          <w:szCs w:val="19"/>
          <w:rtl/>
        </w:rPr>
        <w:t xml:space="preserve">התבלטה בתעריפים גבוהים במיוחד בכל הסיווגים: מגורים, משרדים, שירותים ומסחר ותעשייה: 53.6 ש"ח למ"ר, 261.14 ש"ח למ"ר ו-150.75 ש"ח למ"ר, בהתאמה, ובפערים גדולים יחסית מתעריפי המינימום: 38.27 ש"ח למ"ר, 75.14 ש"ח למ"ר ו-27.39 ש"ח למ"ר, בהתאמה. עיריית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שומרת על תעריפים גבוהים יחסית: בסיווגים</w:t>
      </w:r>
      <w:r w:rsidRPr="002009E0">
        <w:rPr>
          <w:rFonts w:ascii="Tahoma" w:eastAsia="Calibri" w:hAnsi="Tahoma" w:cs="Tahoma"/>
          <w:rtl/>
        </w:rPr>
        <w:t xml:space="preserve"> </w:t>
      </w:r>
      <w:r w:rsidRPr="002009E0">
        <w:rPr>
          <w:rFonts w:ascii="Tahoma" w:eastAsia="Calibri" w:hAnsi="Tahoma" w:cs="Tahoma"/>
          <w:sz w:val="19"/>
          <w:szCs w:val="19"/>
          <w:rtl/>
        </w:rPr>
        <w:t xml:space="preserve">מגורים, משרדים, שירותים ומסחר ותעשייה: 42.7 ש"ח למ"ר, 154.81 ש"ח למ"ר ו-52.76 ש"ח למ"ר, בהתאמה; והמועצה האזורית </w:t>
      </w:r>
      <w:r w:rsidRPr="002009E0">
        <w:rPr>
          <w:rFonts w:ascii="Tahoma" w:eastAsia="Calibri" w:hAnsi="Tahoma" w:cs="Tahoma"/>
          <w:b/>
          <w:bCs/>
          <w:sz w:val="19"/>
          <w:szCs w:val="19"/>
          <w:rtl/>
        </w:rPr>
        <w:t xml:space="preserve">מגידו </w:t>
      </w:r>
      <w:r w:rsidRPr="002009E0">
        <w:rPr>
          <w:rFonts w:ascii="Tahoma" w:eastAsia="Calibri" w:hAnsi="Tahoma" w:cs="Tahoma"/>
          <w:sz w:val="19"/>
          <w:szCs w:val="19"/>
          <w:rtl/>
        </w:rPr>
        <w:t>התבלטה בעלייה החדה בתעריפי סיווג משרדים ושירותים בעקבות הכללת אזור התעשייה מבוא כרמל בתחום שיפוטה של המועצה בשנת 2023, אזור המשותף גם ל</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w:t>
      </w:r>
      <w:r w:rsidRPr="002009E0">
        <w:rPr>
          <w:rFonts w:ascii="Tahoma" w:eastAsia="Calibri" w:hAnsi="Tahoma" w:cs="Tahoma"/>
          <w:sz w:val="19"/>
          <w:szCs w:val="19"/>
          <w:rtl/>
        </w:rPr>
        <w:t>ול</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בעקבות כך התעריף במועצה המקומית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עלה מ-44.84 ש"ח למ"ר בשנת 2022 ל-95.42 ש"ח למ"ר בשנת 2023 ול-97.52 ש"ח למ"ר בשנת 2024. בסיווג התעשייה רוב הרשויות גובות תעריפים הקרובים לתעריף המינימום: 27.39 ש"ח למ"ר, וטווח התעריפים הוא בין 47.42 ש"ח ל-69.31 ש"ח, למעט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הגובה 150.75 ש"ח למ"ר שהוא קרוב לתעריף המרבי בסך 183.1 ש"ח, אך </w:t>
      </w:r>
      <w:r w:rsidRPr="002009E0">
        <w:rPr>
          <w:rFonts w:ascii="Tahoma" w:eastAsia="Calibri" w:hAnsi="Tahoma" w:cs="Tahoma"/>
          <w:b/>
          <w:bCs/>
          <w:sz w:val="19"/>
          <w:szCs w:val="19"/>
          <w:rtl/>
        </w:rPr>
        <w:t>במגידו</w:t>
      </w:r>
      <w:r w:rsidRPr="002009E0">
        <w:rPr>
          <w:rFonts w:ascii="Tahoma" w:eastAsia="Calibri" w:hAnsi="Tahoma" w:cs="Tahoma"/>
          <w:sz w:val="19"/>
          <w:szCs w:val="19"/>
          <w:rtl/>
        </w:rPr>
        <w:t xml:space="preserve"> נרשמה ירידה בתעריפים אלה</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מ-59.89 ש"ח בשנת 2022 ל-44.14 ש"ח בשנת 2023, ולאחריה עלייה מתונה ל-47.42 ש"ח בשנת 2024. </w:t>
      </w:r>
      <w:r w:rsidRPr="002009E0">
        <w:rPr>
          <w:rFonts w:ascii="Tahoma" w:eastAsia="Calibri" w:hAnsi="Tahoma" w:cs="Tahoma"/>
          <w:sz w:val="19"/>
          <w:szCs w:val="19"/>
          <w:rtl/>
        </w:rPr>
        <w:t>ב</w:t>
      </w:r>
      <w:r w:rsidRPr="002009E0">
        <w:rPr>
          <w:rFonts w:ascii="Tahoma" w:eastAsia="Calibri" w:hAnsi="Tahoma" w:cs="Tahoma"/>
          <w:b/>
          <w:bCs/>
          <w:sz w:val="19"/>
          <w:szCs w:val="19"/>
          <w:rtl/>
        </w:rPr>
        <w:t>עספייא</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חלה עלייה מתונה בתעריף מ-74.3 ש"ח בשנת 2022 ל-77.35 ש"ח בשנת 2024.</w:t>
      </w:r>
      <w:r w:rsidRPr="002009E0">
        <w:rPr>
          <w:rFonts w:ascii="Tahoma" w:eastAsia="Calibri" w:hAnsi="Tahoma" w:cs="Tahoma"/>
          <w:rtl/>
        </w:rPr>
        <w:t xml:space="preserve"> </w:t>
      </w:r>
    </w:p>
    <w:p w:rsidR="002009E0" w:rsidRPr="002009E0" w:rsidP="002009E0" w14:paraId="6BFF8116" w14:textId="77777777">
      <w:pPr>
        <w:numPr>
          <w:ilvl w:val="0"/>
          <w:numId w:val="12"/>
        </w:numPr>
        <w:spacing w:line="288" w:lineRule="auto"/>
        <w:ind w:left="-143" w:right="-540" w:hanging="595"/>
        <w:rPr>
          <w:rFonts w:ascii="Tahoma" w:eastAsia="Calibri" w:hAnsi="Tahoma" w:cs="Tahoma"/>
          <w:sz w:val="19"/>
          <w:szCs w:val="19"/>
        </w:rPr>
      </w:pPr>
      <w:r w:rsidRPr="002009E0">
        <w:rPr>
          <w:rFonts w:ascii="Tahoma" w:eastAsia="Calibri" w:hAnsi="Tahoma" w:cs="Tahoma"/>
          <w:b/>
          <w:bCs/>
          <w:sz w:val="19"/>
          <w:szCs w:val="19"/>
          <w:rtl/>
        </w:rPr>
        <w:t xml:space="preserve">השתהות משרד הפנים בהכרעה בבקשות לחלוקת ההכנסות </w:t>
      </w:r>
      <w:r w:rsidRPr="002009E0">
        <w:rPr>
          <w:rFonts w:ascii="Tahoma" w:eastAsia="Calibri" w:hAnsi="Tahoma" w:cs="Tahoma"/>
          <w:sz w:val="19"/>
          <w:szCs w:val="19"/>
          <w:rtl/>
        </w:rPr>
        <w:t>-</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משרד הפנים השתהה בהכרעה בבקשות לחלוקת הכנסות שהוגשו לטיפולו ברשויות המקומיות שנבדקו, להלן פירוט: המועצה האזורית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פעלה כבר משנת 2006 לקדם את נושא חלוקת ההכנסות מאזור התעשייה אלון תבור באמצעות שיחות שקיימה עם הרשויות השותפות באזור התעשייה - המועצה האזורית </w:t>
      </w:r>
      <w:r w:rsidRPr="002009E0">
        <w:rPr>
          <w:rFonts w:ascii="Tahoma" w:eastAsia="Calibri" w:hAnsi="Tahoma" w:cs="Tahoma"/>
          <w:b/>
          <w:bCs/>
          <w:sz w:val="19"/>
          <w:szCs w:val="19"/>
          <w:rtl/>
        </w:rPr>
        <w:t>עמק יזרעאל</w:t>
      </w:r>
      <w:r w:rsidRPr="002009E0">
        <w:rPr>
          <w:rFonts w:ascii="Tahoma" w:eastAsia="Calibri" w:hAnsi="Tahoma" w:cs="Tahoma"/>
          <w:sz w:val="19"/>
          <w:szCs w:val="19"/>
          <w:rtl/>
        </w:rPr>
        <w:t xml:space="preserve"> ועיריית </w:t>
      </w:r>
      <w:r w:rsidRPr="002009E0">
        <w:rPr>
          <w:rFonts w:ascii="Tahoma" w:eastAsia="Calibri" w:hAnsi="Tahoma" w:cs="Tahoma"/>
          <w:b/>
          <w:bCs/>
          <w:sz w:val="19"/>
          <w:szCs w:val="19"/>
          <w:rtl/>
        </w:rPr>
        <w:t>עפולה</w:t>
      </w:r>
      <w:r w:rsidRPr="002009E0">
        <w:rPr>
          <w:rFonts w:ascii="Tahoma" w:eastAsia="Calibri" w:hAnsi="Tahoma" w:cs="Tahoma"/>
          <w:sz w:val="19"/>
          <w:szCs w:val="19"/>
          <w:rtl/>
        </w:rPr>
        <w:t>, ובאמצעות בקשות לחלוקת הכנסות שהגישה למשרד הפנים</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בשנים 2014 ו-2017, וכן עתירה שהגישה לבג"ץ בשנת 2022. עוד נמצא כי החלטת משרד הפנים לתת למועצה אזורית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חלק מהכנסות מהארנונה שהוטלה על אזור התעשייה אלון תבור התקבלה בפברואר 2025</w:t>
      </w:r>
      <w:r w:rsidRPr="002009E0">
        <w:rPr>
          <w:rFonts w:ascii="Tahoma" w:eastAsia="Calibri" w:hAnsi="Tahoma" w:cs="Tahoma"/>
          <w:rtl/>
        </w:rPr>
        <w:t xml:space="preserve"> </w:t>
      </w:r>
      <w:r w:rsidRPr="002009E0">
        <w:rPr>
          <w:rFonts w:ascii="Tahoma" w:eastAsia="Calibri" w:hAnsi="Tahoma" w:cs="Tahoma"/>
          <w:sz w:val="19"/>
          <w:szCs w:val="19"/>
          <w:rtl/>
        </w:rPr>
        <w:t xml:space="preserve">מבלי שפורסמה ברשומות. בשש השנים שחלפו ממועד הגשת הדוח המסכם של הוועדה לשינוי הגבולות בין המועצה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לבין עיריית</w:t>
      </w:r>
      <w:r w:rsidRPr="002009E0">
        <w:rPr>
          <w:rFonts w:ascii="Tahoma" w:eastAsia="Calibri" w:hAnsi="Tahoma" w:cs="Tahoma"/>
          <w:b/>
          <w:bCs/>
          <w:sz w:val="19"/>
          <w:szCs w:val="19"/>
          <w:rtl/>
        </w:rPr>
        <w:t xml:space="preserve"> נוף הגליל</w:t>
      </w:r>
      <w:r w:rsidRPr="002009E0">
        <w:rPr>
          <w:rFonts w:ascii="Tahoma" w:eastAsia="Calibri" w:hAnsi="Tahoma" w:cs="Tahoma"/>
          <w:sz w:val="19"/>
          <w:szCs w:val="19"/>
          <w:rtl/>
        </w:rPr>
        <w:t xml:space="preserve"> בנובמבר 2019 ועד למועד סיום הביקורת בנובמבר 2025 עדיין לא התקבלה החלטה בעניין בקשת המועצה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עוד נמצא כי בשל אי-קבלת החלטה של משרד הפנים בעניין שינוי הגבולות ויתרה המועצה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על בקשתה לחלוקת הכנסות מאזור התעשייה </w:t>
      </w:r>
      <w:r w:rsidRPr="002009E0">
        <w:rPr>
          <w:rFonts w:ascii="Tahoma" w:eastAsia="Calibri" w:hAnsi="Tahoma" w:cs="Tahoma"/>
          <w:sz w:val="19"/>
          <w:szCs w:val="19"/>
          <w:rtl/>
        </w:rPr>
        <w:t>ציפורית</w:t>
      </w:r>
      <w:r w:rsidRPr="002009E0">
        <w:rPr>
          <w:rFonts w:ascii="Tahoma" w:eastAsia="Calibri" w:hAnsi="Tahoma" w:cs="Tahoma"/>
          <w:sz w:val="19"/>
          <w:szCs w:val="19"/>
          <w:rtl/>
        </w:rPr>
        <w:t xml:space="preserve">, בתקווה לקידום החלטה חיובית בנושא שינוי הגבולות מול עיריית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בבקשות הקשורות ל</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w:t>
      </w:r>
      <w:r w:rsidRPr="002009E0">
        <w:rPr>
          <w:rFonts w:ascii="Tahoma" w:eastAsia="Calibri" w:hAnsi="Tahoma" w:cs="Tahoma"/>
          <w:sz w:val="19"/>
          <w:szCs w:val="19"/>
          <w:rtl/>
        </w:rPr>
        <w:t>ול</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המתייחסות לחלוקת ההכנסות מבתי הזיקוק לנפט (</w:t>
      </w:r>
      <w:r w:rsidRPr="002009E0">
        <w:rPr>
          <w:rFonts w:ascii="Tahoma" w:eastAsia="Calibri" w:hAnsi="Tahoma" w:cs="Tahoma"/>
          <w:sz w:val="19"/>
          <w:szCs w:val="19"/>
          <w:rtl/>
        </w:rPr>
        <w:t>בז"ן</w:t>
      </w:r>
      <w:r w:rsidRPr="002009E0">
        <w:rPr>
          <w:rFonts w:ascii="Tahoma" w:eastAsia="Calibri" w:hAnsi="Tahoma" w:cs="Tahoma"/>
          <w:sz w:val="19"/>
          <w:szCs w:val="19"/>
          <w:rtl/>
        </w:rPr>
        <w:t xml:space="preserve">) המשויכים מהבחינה המוניציפלית לעיריית חיפה ובין מספר רשויות מקומיות, עלה כי דוח ועדת החקירה המסכם הראשון הוגש כבר בשנת 2020, הדוח השני הוגש בשנת 2022, ורק במרץ 2025 התקבלה החלטת השר בנושא. על אף הזמן הרב שחלף מתחילת ביצועם של ההליכים האמורים ולמרות העבודה המקצועית שהשקיעו שתי ועדות שטיפלו בנושא, הוחלט שלא לאמץ את המלצותיהן ולהקים ועדה נוספת. עיריית </w:t>
      </w:r>
      <w:r w:rsidRPr="002009E0">
        <w:rPr>
          <w:rFonts w:ascii="Tahoma" w:eastAsia="Calibri" w:hAnsi="Tahoma" w:cs="Tahoma"/>
          <w:b/>
          <w:bCs/>
          <w:sz w:val="19"/>
          <w:szCs w:val="19"/>
          <w:rtl/>
        </w:rPr>
        <w:t>נצרת</w:t>
      </w:r>
      <w:r w:rsidRPr="002009E0">
        <w:rPr>
          <w:rFonts w:ascii="Tahoma" w:eastAsia="Calibri" w:hAnsi="Tahoma" w:cs="Tahoma"/>
          <w:sz w:val="19"/>
          <w:szCs w:val="19"/>
          <w:rtl/>
        </w:rPr>
        <w:t xml:space="preserve"> פועלת כבר יותר מ-40 שנה להעביר לתחום שיפוטה את מתחם שפרינצק ששויך לתחום השיפוט של עיריית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אף על פי שאין למתחם זיקה לתחום השיפוט של </w:t>
      </w:r>
      <w:r w:rsidRPr="002009E0">
        <w:rPr>
          <w:rFonts w:ascii="Tahoma" w:eastAsia="Calibri" w:hAnsi="Tahoma" w:cs="Tahoma"/>
          <w:b/>
          <w:bCs/>
          <w:sz w:val="19"/>
          <w:szCs w:val="19"/>
          <w:rtl/>
        </w:rPr>
        <w:t xml:space="preserve">נוף הגליל </w:t>
      </w:r>
      <w:r w:rsidRPr="002009E0">
        <w:rPr>
          <w:rFonts w:ascii="Tahoma" w:eastAsia="Calibri" w:hAnsi="Tahoma" w:cs="Tahoma"/>
          <w:sz w:val="19"/>
          <w:szCs w:val="19"/>
          <w:rtl/>
        </w:rPr>
        <w:t xml:space="preserve">או רצף טריטוריאלי עם תחום שיפוטה. לשם כך הגישה עיריית </w:t>
      </w:r>
      <w:r w:rsidRPr="002009E0">
        <w:rPr>
          <w:rFonts w:ascii="Tahoma" w:eastAsia="Calibri" w:hAnsi="Tahoma" w:cs="Tahoma"/>
          <w:b/>
          <w:bCs/>
          <w:sz w:val="19"/>
          <w:szCs w:val="19"/>
          <w:rtl/>
        </w:rPr>
        <w:t>נצרת</w:t>
      </w:r>
      <w:r w:rsidRPr="002009E0">
        <w:rPr>
          <w:rFonts w:ascii="Tahoma" w:eastAsia="Calibri" w:hAnsi="Tahoma" w:cs="Tahoma"/>
          <w:sz w:val="19"/>
          <w:szCs w:val="19"/>
          <w:rtl/>
        </w:rPr>
        <w:t xml:space="preserve"> למשרד הפנים</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 xml:space="preserve">בקשות לשינוי גבולות עם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ובהתאם להן מונו ועדות חקירה בשנים 1982, 1992, 2004 ו-2018, אך פעולותיה לא נשאו פרי. עוד נמצא כי אף ששתיים מוועדות החקירה שמונו במהלך השנים האמורות המליצו על העברת חלק מהמתחם לעיריית </w:t>
      </w:r>
      <w:r w:rsidRPr="002009E0">
        <w:rPr>
          <w:rFonts w:ascii="Tahoma" w:eastAsia="Calibri" w:hAnsi="Tahoma" w:cs="Tahoma"/>
          <w:b/>
          <w:bCs/>
          <w:sz w:val="19"/>
          <w:szCs w:val="19"/>
          <w:rtl/>
        </w:rPr>
        <w:t>נצרת</w:t>
      </w:r>
      <w:r w:rsidRPr="002009E0">
        <w:rPr>
          <w:rFonts w:ascii="Tahoma" w:eastAsia="Calibri" w:hAnsi="Tahoma" w:cs="Tahoma"/>
          <w:sz w:val="19"/>
          <w:szCs w:val="19"/>
          <w:rtl/>
        </w:rPr>
        <w:t>, המלצות אלה לא אומצו, ובכלל זה ההמלצות מנובמבר 2019 שהגישה הוועדה שמונתה בשנת 2018 במסגרת ההליך האחרון ומשרד הפנים</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לא נימק את החלטתו שלא לאמץ את ההמלצות. משרד מבקר המדינה מעיר כי התנהלות זו של משרד הפנים יוצרת סחבת מיותרת, פוגעת כלכלית ברשויות מרקע חברתי-כלכלי נמוך ואינה עולה בקנה אחד עם כללי מינהל תקין.</w:t>
      </w:r>
    </w:p>
    <w:p w:rsidR="002009E0" w:rsidRPr="002009E0" w:rsidP="00743060" w14:paraId="440810FE" w14:textId="77777777">
      <w:pPr>
        <w:numPr>
          <w:ilvl w:val="0"/>
          <w:numId w:val="12"/>
        </w:numPr>
        <w:spacing w:after="240" w:line="288" w:lineRule="auto"/>
        <w:ind w:left="-142" w:right="-567" w:hanging="595"/>
        <w:rPr>
          <w:rFonts w:ascii="Tahoma" w:eastAsia="Calibri" w:hAnsi="Tahoma" w:cs="Tahoma"/>
          <w:sz w:val="19"/>
          <w:szCs w:val="19"/>
        </w:rPr>
      </w:pPr>
      <w:r w:rsidRPr="002009E0">
        <w:rPr>
          <w:rFonts w:ascii="Tahoma" w:eastAsia="Calibri" w:hAnsi="Tahoma" w:cs="Tahoma"/>
          <w:b/>
          <w:bCs/>
          <w:sz w:val="19"/>
          <w:szCs w:val="19"/>
          <w:rtl/>
        </w:rPr>
        <w:t>ועדת ערר לענייני חיובי ארנונה בפארק התעשייה מבוא כרמל שבמועצה האזורית מגידו</w:t>
      </w:r>
      <w:r w:rsidRPr="002009E0">
        <w:rPr>
          <w:rFonts w:ascii="Tahoma" w:eastAsia="Calibri" w:hAnsi="Tahoma" w:cs="Tahoma"/>
          <w:sz w:val="19"/>
          <w:szCs w:val="19"/>
          <w:rtl/>
        </w:rPr>
        <w:t xml:space="preserve"> - נמצא כי ועדת הערר האמורה לא התכנסה לדון בעררים שהוגשו החל מינואר 2023 ועד נובמבר 2025, תקופה חריגה באורכה.</w:t>
      </w:r>
    </w:p>
    <w:p w:rsidR="002009E0" w:rsidRPr="002009E0" w:rsidP="00743060" w14:paraId="0480BE9D" w14:textId="77777777">
      <w:pPr>
        <w:numPr>
          <w:ilvl w:val="0"/>
          <w:numId w:val="12"/>
        </w:numPr>
        <w:spacing w:after="240" w:line="288" w:lineRule="auto"/>
        <w:ind w:left="-142" w:right="-567" w:hanging="595"/>
        <w:rPr>
          <w:rFonts w:ascii="Tahoma" w:eastAsia="Calibri" w:hAnsi="Tahoma" w:cs="Tahoma"/>
          <w:sz w:val="19"/>
          <w:szCs w:val="19"/>
        </w:rPr>
      </w:pPr>
      <w:r w:rsidRPr="002009E0">
        <w:rPr>
          <w:rFonts w:ascii="Tahoma" w:eastAsia="Calibri" w:hAnsi="Tahoma" w:cs="Tahoma"/>
          <w:b/>
          <w:bCs/>
          <w:sz w:val="19"/>
          <w:szCs w:val="19"/>
          <w:rtl/>
        </w:rPr>
        <w:t>הכנת אומדנים של פוטנציאל ההכנסות במסגרת הליך גיבוש הסכמי חלוקת הכנסות בין רשויות מקומיות</w:t>
      </w:r>
      <w:r w:rsidRPr="002009E0">
        <w:rPr>
          <w:rFonts w:ascii="Tahoma" w:eastAsia="Calibri" w:hAnsi="Tahoma" w:cs="Tahoma"/>
          <w:sz w:val="19"/>
          <w:szCs w:val="19"/>
          <w:rtl/>
        </w:rPr>
        <w:t xml:space="preserve"> - נמצא כי במסגרת ההסכמים בין עיריית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לבין המועצה האזורית דרום השרון לגבי חלוקת הכנסות מאזורי התעשייה המצויים בהקמה, לא הוכנו אומדנים של פוטנציאל ההכנסות המבוססים על זכויות הבנייה המתוכננות. היעדר אומדנים ראשוניים אלו מקשה על הרשויות לבחון את כדאיות ההסכמים, להעריך את פוטנציאל ההכנסות העתידי ולקבל החלטות מושכלות בנוגע לחלוקת ההכנסות הראויה בין שתי הרשויות. כמו כן, מצב זה עלול ליצור פערים בין ההכנסות בפועל לבין אלו שהובאו בחשבון בעת ניסוח ההסכמים.</w:t>
      </w:r>
    </w:p>
    <w:p w:rsidR="002009E0" w:rsidRPr="002009E0" w:rsidP="00743060" w14:paraId="5A1D3472" w14:textId="77777777">
      <w:pPr>
        <w:numPr>
          <w:ilvl w:val="0"/>
          <w:numId w:val="12"/>
        </w:numPr>
        <w:spacing w:after="240" w:line="288" w:lineRule="auto"/>
        <w:ind w:left="-142" w:right="-567" w:hanging="595"/>
        <w:rPr>
          <w:rFonts w:ascii="Tahoma" w:eastAsia="Calibri" w:hAnsi="Tahoma" w:cs="Tahoma"/>
          <w:sz w:val="19"/>
          <w:szCs w:val="19"/>
          <w:rtl/>
        </w:rPr>
      </w:pPr>
      <w:r w:rsidRPr="002009E0">
        <w:rPr>
          <w:rFonts w:ascii="Tahoma" w:eastAsia="Calibri" w:hAnsi="Tahoma" w:cs="Tahoma"/>
          <w:b/>
          <w:bCs/>
          <w:sz w:val="19"/>
          <w:szCs w:val="19"/>
          <w:rtl/>
        </w:rPr>
        <w:t xml:space="preserve">ביצוע סקרי נכסים ברשויות המקומיות </w:t>
      </w:r>
      <w:r w:rsidRPr="002009E0">
        <w:rPr>
          <w:rFonts w:ascii="Tahoma" w:eastAsia="Calibri" w:hAnsi="Tahoma" w:cs="Tahoma"/>
          <w:sz w:val="19"/>
          <w:szCs w:val="19"/>
          <w:rtl/>
        </w:rPr>
        <w:t>-</w:t>
      </w:r>
      <w:r w:rsidRPr="002009E0">
        <w:rPr>
          <w:rFonts w:ascii="Tahoma" w:eastAsia="Calibri" w:hAnsi="Tahoma" w:cs="Tahoma"/>
          <w:b/>
          <w:bCs/>
          <w:sz w:val="19"/>
          <w:szCs w:val="19"/>
          <w:rtl/>
        </w:rPr>
        <w:t xml:space="preserve"> </w:t>
      </w:r>
      <w:r w:rsidRPr="002009E0">
        <w:rPr>
          <w:rFonts w:ascii="Tahoma" w:eastAsia="Calibri" w:hAnsi="Tahoma" w:cs="Tahoma"/>
          <w:sz w:val="19"/>
          <w:szCs w:val="19"/>
          <w:rtl/>
        </w:rPr>
        <w:t>נמצא כי ארבע מתוך שבע הרשויות המקומיות שנבדקו (</w:t>
      </w:r>
      <w:r w:rsidRPr="004F432E">
        <w:rPr>
          <w:rFonts w:ascii="Tahoma" w:eastAsia="Calibri" w:hAnsi="Tahoma" w:cs="Tahoma"/>
          <w:b/>
          <w:bCs/>
          <w:sz w:val="19"/>
          <w:szCs w:val="19"/>
          <w:rtl/>
        </w:rPr>
        <w:t>אלעד</w:t>
      </w:r>
      <w:r w:rsidRPr="002009E0">
        <w:rPr>
          <w:rFonts w:ascii="Tahoma" w:eastAsia="Calibri" w:hAnsi="Tahoma" w:cs="Tahoma"/>
          <w:sz w:val="19"/>
          <w:szCs w:val="19"/>
          <w:rtl/>
        </w:rPr>
        <w:t xml:space="preserve">, </w:t>
      </w:r>
      <w:r w:rsidRPr="004F432E">
        <w:rPr>
          <w:rFonts w:ascii="Tahoma" w:eastAsia="Calibri" w:hAnsi="Tahoma" w:cs="Tahoma"/>
          <w:b/>
          <w:bCs/>
          <w:sz w:val="19"/>
          <w:szCs w:val="19"/>
          <w:rtl/>
        </w:rPr>
        <w:t>בוסתאן</w:t>
      </w:r>
      <w:r w:rsidRPr="002009E0">
        <w:rPr>
          <w:rFonts w:ascii="Tahoma" w:eastAsia="Calibri" w:hAnsi="Tahoma" w:cs="Tahoma"/>
          <w:sz w:val="19"/>
          <w:szCs w:val="19"/>
          <w:rtl/>
        </w:rPr>
        <w:t xml:space="preserve"> </w:t>
      </w:r>
      <w:r w:rsidRPr="004F432E">
        <w:rPr>
          <w:rFonts w:ascii="Tahoma" w:eastAsia="Calibri" w:hAnsi="Tahoma" w:cs="Tahoma"/>
          <w:b/>
          <w:bCs/>
          <w:sz w:val="19"/>
          <w:szCs w:val="19"/>
          <w:rtl/>
        </w:rPr>
        <w:t>אל-</w:t>
      </w:r>
      <w:r w:rsidRPr="004F432E">
        <w:rPr>
          <w:rFonts w:ascii="Tahoma" w:eastAsia="Calibri" w:hAnsi="Tahoma" w:cs="Tahoma"/>
          <w:b/>
          <w:bCs/>
          <w:sz w:val="19"/>
          <w:szCs w:val="19"/>
          <w:rtl/>
        </w:rPr>
        <w:t>מרג</w:t>
      </w:r>
      <w:r w:rsidRPr="004F432E">
        <w:rPr>
          <w:rFonts w:ascii="Tahoma" w:eastAsia="Calibri" w:hAnsi="Tahoma" w:cs="Tahoma"/>
          <w:b/>
          <w:bCs/>
          <w:sz w:val="19"/>
          <w:szCs w:val="19"/>
          <w:rtl/>
        </w:rPr>
        <w:t>'</w:t>
      </w:r>
      <w:r w:rsidRPr="002009E0">
        <w:rPr>
          <w:rFonts w:ascii="Tahoma" w:eastAsia="Calibri" w:hAnsi="Tahoma" w:cs="Tahoma"/>
          <w:sz w:val="19"/>
          <w:szCs w:val="19"/>
          <w:rtl/>
        </w:rPr>
        <w:t xml:space="preserve">, </w:t>
      </w:r>
      <w:r w:rsidRPr="004F432E">
        <w:rPr>
          <w:rFonts w:ascii="Tahoma" w:eastAsia="Calibri" w:hAnsi="Tahoma" w:cs="Tahoma"/>
          <w:b/>
          <w:bCs/>
          <w:sz w:val="19"/>
          <w:szCs w:val="19"/>
          <w:rtl/>
        </w:rPr>
        <w:t>כפר כנא</w:t>
      </w:r>
      <w:r w:rsidRPr="002009E0">
        <w:rPr>
          <w:rFonts w:ascii="Tahoma" w:eastAsia="Calibri" w:hAnsi="Tahoma" w:cs="Tahoma"/>
          <w:sz w:val="19"/>
          <w:szCs w:val="19"/>
          <w:rtl/>
        </w:rPr>
        <w:t xml:space="preserve"> </w:t>
      </w:r>
      <w:r w:rsidRPr="002009E0">
        <w:rPr>
          <w:rFonts w:ascii="Tahoma" w:eastAsia="Calibri" w:hAnsi="Tahoma" w:cs="Tahoma"/>
          <w:sz w:val="19"/>
          <w:szCs w:val="19"/>
          <w:rtl/>
        </w:rPr>
        <w:t>ו</w:t>
      </w:r>
      <w:r w:rsidRPr="004F432E">
        <w:rPr>
          <w:rFonts w:ascii="Tahoma" w:eastAsia="Calibri" w:hAnsi="Tahoma" w:cs="Tahoma"/>
          <w:b/>
          <w:bCs/>
          <w:sz w:val="19"/>
          <w:szCs w:val="19"/>
          <w:rtl/>
        </w:rPr>
        <w:t>עספייא</w:t>
      </w:r>
      <w:r w:rsidRPr="002009E0">
        <w:rPr>
          <w:rFonts w:ascii="Tahoma" w:eastAsia="Calibri" w:hAnsi="Tahoma" w:cs="Tahoma"/>
          <w:sz w:val="19"/>
          <w:szCs w:val="19"/>
          <w:rtl/>
        </w:rPr>
        <w:t xml:space="preserve">) לא ביצעו סקר נכסים זה יותר מחמש שנים. המועדים שבהם ביצעו הרשויות שנבדקו את סקרי הנכסים האחרונים: עיריית </w:t>
      </w:r>
      <w:r w:rsidRPr="004F432E">
        <w:rPr>
          <w:rFonts w:ascii="Tahoma" w:eastAsia="Calibri" w:hAnsi="Tahoma" w:cs="Tahoma"/>
          <w:b/>
          <w:bCs/>
          <w:sz w:val="19"/>
          <w:szCs w:val="19"/>
          <w:rtl/>
        </w:rPr>
        <w:t>אלעד</w:t>
      </w:r>
      <w:r w:rsidRPr="002009E0">
        <w:rPr>
          <w:rFonts w:ascii="Tahoma" w:eastAsia="Calibri" w:hAnsi="Tahoma" w:cs="Tahoma"/>
          <w:sz w:val="19"/>
          <w:szCs w:val="19"/>
          <w:rtl/>
        </w:rPr>
        <w:t xml:space="preserve"> והמועצה המקומית </w:t>
      </w:r>
      <w:r w:rsidRPr="004F432E">
        <w:rPr>
          <w:rFonts w:ascii="Tahoma" w:eastAsia="Calibri" w:hAnsi="Tahoma" w:cs="Tahoma"/>
          <w:b/>
          <w:bCs/>
          <w:sz w:val="19"/>
          <w:szCs w:val="19"/>
          <w:rtl/>
        </w:rPr>
        <w:t>עספייא</w:t>
      </w:r>
      <w:r w:rsidRPr="002009E0">
        <w:rPr>
          <w:rFonts w:ascii="Tahoma" w:eastAsia="Calibri" w:hAnsi="Tahoma" w:cs="Tahoma"/>
          <w:sz w:val="19"/>
          <w:szCs w:val="19"/>
          <w:rtl/>
        </w:rPr>
        <w:t xml:space="preserve"> בשנת 2018, המועצה האזורית </w:t>
      </w:r>
      <w:r w:rsidRPr="004F432E">
        <w:rPr>
          <w:rFonts w:ascii="Tahoma" w:eastAsia="Calibri" w:hAnsi="Tahoma" w:cs="Tahoma"/>
          <w:b/>
          <w:bCs/>
          <w:sz w:val="19"/>
          <w:szCs w:val="19"/>
          <w:rtl/>
        </w:rPr>
        <w:t>בוסתאן</w:t>
      </w:r>
      <w:r w:rsidRPr="004F432E">
        <w:rPr>
          <w:rFonts w:ascii="Tahoma" w:eastAsia="Calibri" w:hAnsi="Tahoma" w:cs="Tahoma"/>
          <w:b/>
          <w:bCs/>
          <w:sz w:val="19"/>
          <w:szCs w:val="19"/>
          <w:rtl/>
        </w:rPr>
        <w:t xml:space="preserve"> אל-</w:t>
      </w:r>
      <w:r w:rsidRPr="004F432E">
        <w:rPr>
          <w:rFonts w:ascii="Tahoma" w:eastAsia="Calibri" w:hAnsi="Tahoma" w:cs="Tahoma"/>
          <w:b/>
          <w:bCs/>
          <w:sz w:val="19"/>
          <w:szCs w:val="19"/>
          <w:rtl/>
        </w:rPr>
        <w:t>מרג</w:t>
      </w:r>
      <w:r w:rsidRPr="004F432E">
        <w:rPr>
          <w:rFonts w:ascii="Tahoma" w:eastAsia="Calibri" w:hAnsi="Tahoma" w:cs="Tahoma"/>
          <w:b/>
          <w:bCs/>
          <w:sz w:val="19"/>
          <w:szCs w:val="19"/>
          <w:rtl/>
        </w:rPr>
        <w:t>'</w:t>
      </w:r>
      <w:r w:rsidRPr="002009E0">
        <w:rPr>
          <w:rFonts w:ascii="Tahoma" w:eastAsia="Calibri" w:hAnsi="Tahoma" w:cs="Tahoma"/>
          <w:sz w:val="19"/>
          <w:szCs w:val="19"/>
          <w:rtl/>
        </w:rPr>
        <w:t xml:space="preserve"> בשנת 2021, המועצה המקומית </w:t>
      </w:r>
      <w:r w:rsidRPr="004F432E">
        <w:rPr>
          <w:rFonts w:ascii="Tahoma" w:eastAsia="Calibri" w:hAnsi="Tahoma" w:cs="Tahoma"/>
          <w:b/>
          <w:bCs/>
          <w:sz w:val="19"/>
          <w:szCs w:val="19"/>
          <w:rtl/>
        </w:rPr>
        <w:t>כפר כנא</w:t>
      </w:r>
      <w:r w:rsidRPr="002009E0">
        <w:rPr>
          <w:rFonts w:ascii="Tahoma" w:eastAsia="Calibri" w:hAnsi="Tahoma" w:cs="Tahoma"/>
          <w:sz w:val="19"/>
          <w:szCs w:val="19"/>
          <w:rtl/>
        </w:rPr>
        <w:t xml:space="preserve"> בשנת 2020, עיריית </w:t>
      </w:r>
      <w:r w:rsidRPr="004F432E">
        <w:rPr>
          <w:rFonts w:ascii="Tahoma" w:eastAsia="Calibri" w:hAnsi="Tahoma" w:cs="Tahoma"/>
          <w:b/>
          <w:bCs/>
          <w:sz w:val="19"/>
          <w:szCs w:val="19"/>
          <w:rtl/>
        </w:rPr>
        <w:t>נוף הגליל</w:t>
      </w:r>
      <w:r w:rsidRPr="002009E0">
        <w:rPr>
          <w:rFonts w:ascii="Tahoma" w:eastAsia="Calibri" w:hAnsi="Tahoma" w:cs="Tahoma"/>
          <w:sz w:val="19"/>
          <w:szCs w:val="19"/>
          <w:rtl/>
        </w:rPr>
        <w:t xml:space="preserve"> בשנת 2024, המועצה המקומית </w:t>
      </w:r>
      <w:r w:rsidRPr="004F432E">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בשנת 2019, המועצה האזורית </w:t>
      </w:r>
      <w:r w:rsidRPr="004F432E">
        <w:rPr>
          <w:rFonts w:ascii="Tahoma" w:eastAsia="Calibri" w:hAnsi="Tahoma" w:cs="Tahoma"/>
          <w:b/>
          <w:bCs/>
          <w:sz w:val="19"/>
          <w:szCs w:val="19"/>
          <w:rtl/>
        </w:rPr>
        <w:t>מגידו</w:t>
      </w:r>
      <w:r w:rsidRPr="002009E0">
        <w:rPr>
          <w:rFonts w:ascii="Tahoma" w:eastAsia="Calibri" w:hAnsi="Tahoma" w:cs="Tahoma"/>
          <w:sz w:val="19"/>
          <w:szCs w:val="19"/>
          <w:rtl/>
        </w:rPr>
        <w:t xml:space="preserve"> בשנת 2025. יצוין כי במועד סיום הביקורת החלה המועצה המקומית </w:t>
      </w:r>
      <w:r w:rsidRPr="004F432E">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לבצע סקר חדש.</w:t>
      </w:r>
    </w:p>
    <w:p w:rsidR="002009E0" w:rsidP="00E61820" w14:paraId="2D71E816" w14:textId="77777777">
      <w:pPr>
        <w:numPr>
          <w:ilvl w:val="0"/>
          <w:numId w:val="12"/>
        </w:numPr>
        <w:spacing w:after="120" w:line="288" w:lineRule="auto"/>
        <w:ind w:left="-143" w:right="-567" w:hanging="567"/>
        <w:contextualSpacing/>
        <w:rPr>
          <w:rFonts w:ascii="Tahoma" w:eastAsia="Calibri" w:hAnsi="Tahoma" w:cs="Tahoma"/>
          <w:sz w:val="19"/>
          <w:szCs w:val="19"/>
        </w:rPr>
      </w:pPr>
      <w:r w:rsidRPr="002009E0">
        <w:rPr>
          <w:rFonts w:ascii="Tahoma" w:eastAsia="Calibri" w:hAnsi="Tahoma" w:cs="Tahoma"/>
          <w:b/>
          <w:bCs/>
          <w:sz w:val="19"/>
          <w:szCs w:val="19"/>
          <w:rtl/>
        </w:rPr>
        <w:t xml:space="preserve">אכיפת חוקי עזר </w:t>
      </w:r>
      <w:r w:rsidRPr="002009E0">
        <w:rPr>
          <w:rFonts w:ascii="Tahoma" w:eastAsia="Calibri" w:hAnsi="Tahoma" w:cs="Tahoma"/>
          <w:sz w:val="19"/>
          <w:szCs w:val="19"/>
          <w:rtl/>
        </w:rPr>
        <w:t xml:space="preserve">- נמצא כי עיריית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אינה אוכפת את הוראות חוק העזר להעמדת רכב וחנייתו. עקב כך ההכנסות מאכיפת חוק זה בשנים</w:t>
      </w:r>
      <w:r w:rsidRPr="002009E0">
        <w:rPr>
          <w:rFonts w:ascii="Tahoma" w:eastAsia="Calibri" w:hAnsi="Tahoma" w:cs="Tahoma" w:hint="cs"/>
          <w:sz w:val="19"/>
          <w:szCs w:val="19"/>
          <w:rtl/>
        </w:rPr>
        <w:t xml:space="preserve"> 2024-2021</w:t>
      </w:r>
      <w:r w:rsidRPr="002009E0">
        <w:rPr>
          <w:rFonts w:ascii="Tahoma" w:eastAsia="Calibri" w:hAnsi="Tahoma" w:cs="Tahoma"/>
          <w:sz w:val="19"/>
          <w:szCs w:val="19"/>
          <w:rtl/>
        </w:rPr>
        <w:t xml:space="preserve"> הסתכמו בכ-39,250 ש"ח בלבד, סכום קטן ביותר שאינו משקף את הפוטנציאל הכלכלי הגלום באכיפה סדורה, ואף אינו נותן מענה הולם על הצורך בשמירה על הסדר הציבורי.</w:t>
      </w:r>
      <w:r w:rsidRPr="002009E0">
        <w:rPr>
          <w:rFonts w:ascii="Tahoma" w:eastAsia="Calibri" w:hAnsi="Tahoma" w:cs="Tahoma"/>
          <w:rtl/>
        </w:rPr>
        <w:t xml:space="preserve"> </w:t>
      </w:r>
      <w:r w:rsidRPr="002009E0">
        <w:rPr>
          <w:rFonts w:ascii="Tahoma" w:eastAsia="Calibri" w:hAnsi="Tahoma" w:cs="Tahoma"/>
          <w:sz w:val="19"/>
          <w:szCs w:val="19"/>
          <w:rtl/>
        </w:rPr>
        <w:t xml:space="preserve">למועצה המקומית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חוקי עזר, ובהם חוק עזר משנת 1954 בנושא סלילת רחובות, אשר עודכן בשנת 2019, וכן חוק עזר בנושא תיעול וניקוז משנת 2015. המועצה אינה מפעילה את חוקי העזר האמורים וממילא אינה גובה היטלים</w:t>
      </w:r>
      <w:r w:rsidRPr="002009E0">
        <w:rPr>
          <w:rFonts w:ascii="Tahoma" w:eastAsia="Calibri" w:hAnsi="Tahoma" w:cs="Tahoma"/>
          <w:sz w:val="19"/>
          <w:szCs w:val="19"/>
        </w:rPr>
        <w:t xml:space="preserve"> </w:t>
      </w:r>
      <w:r w:rsidRPr="002009E0">
        <w:rPr>
          <w:rFonts w:ascii="Tahoma" w:eastAsia="Calibri" w:hAnsi="Tahoma" w:cs="Tahoma"/>
          <w:sz w:val="19"/>
          <w:szCs w:val="19"/>
          <w:rtl/>
        </w:rPr>
        <w:t xml:space="preserve">בגין הפעלתם. למועצה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יש חוק עזר משנת 2010 להעמדת רכב ולחנייתו, אך היא אינה מחילה בפועל את הוראות חוק העזר ואינה גובה דמי חנייה עבור העמדת רכבים בתחום שיפוטה. המועצה האזורית </w:t>
      </w:r>
      <w:r w:rsidRPr="002009E0">
        <w:rPr>
          <w:rFonts w:ascii="Tahoma" w:eastAsia="Calibri" w:hAnsi="Tahoma" w:cs="Tahoma"/>
          <w:b/>
          <w:bCs/>
          <w:sz w:val="19"/>
          <w:szCs w:val="19"/>
          <w:rtl/>
        </w:rPr>
        <w:t xml:space="preserve">מגידו </w:t>
      </w:r>
      <w:r w:rsidRPr="002009E0">
        <w:rPr>
          <w:rFonts w:ascii="Tahoma" w:eastAsia="Calibri" w:hAnsi="Tahoma" w:cs="Tahoma"/>
          <w:sz w:val="19"/>
          <w:szCs w:val="19"/>
          <w:rtl/>
        </w:rPr>
        <w:t xml:space="preserve">אינה מפעילה את חוק העזר בנושא מודעות ושלטים, וממילא אינה גובה סכומים כלשהם בגינו. המועצה המקומית </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אינה מפעילה את חוק העזר בנושא תיעול וניקוז, וכלל לא היו לה הכנסות כלל בגין הפעלתו. משרד מבקר המדינה העיר לרשויות המקומיות כי אי-אכיפת חוקי העזר גורמת להפסדי הכנסות לרשויות ועלולה להשפיע לרעה על טיב השירות שהן מספקות לתושביהן.</w:t>
      </w:r>
    </w:p>
    <w:p w:rsidR="00CE2218" w:rsidRPr="002009E0" w:rsidP="00CE2218" w14:paraId="05E15256" w14:textId="77777777">
      <w:pPr>
        <w:spacing w:line="288" w:lineRule="auto"/>
        <w:ind w:left="-143" w:right="-567"/>
        <w:contextualSpacing/>
        <w:rPr>
          <w:rFonts w:ascii="Tahoma" w:eastAsia="Calibri" w:hAnsi="Tahoma" w:cs="Tahoma"/>
          <w:sz w:val="19"/>
          <w:szCs w:val="19"/>
        </w:rPr>
      </w:pPr>
    </w:p>
    <w:p w:rsidR="002009E0" w:rsidRPr="002009E0" w:rsidP="00E61820" w14:paraId="30206584" w14:textId="77777777">
      <w:pPr>
        <w:spacing w:before="360" w:after="160" w:line="480" w:lineRule="auto"/>
        <w:ind w:left="-283" w:right="-567" w:hanging="454"/>
        <w:rPr>
          <w:rFonts w:ascii="Tahoma" w:eastAsia="Calibri" w:hAnsi="Tahoma" w:cs="Tahoma"/>
          <w:sz w:val="19"/>
          <w:szCs w:val="19"/>
          <w:rtl/>
        </w:rPr>
      </w:pPr>
      <w:r w:rsidRPr="002009E0">
        <w:rPr>
          <w:rFonts w:ascii="Tahoma" w:eastAsia="Calibri" w:hAnsi="Tahoma" w:cs="Tahoma"/>
          <w:noProof/>
          <w:sz w:val="19"/>
          <w:szCs w:val="19"/>
          <w:rtl/>
        </w:rPr>
        <w:drawing>
          <wp:inline distT="0" distB="0" distL="0" distR="0">
            <wp:extent cx="2710450" cy="207831"/>
            <wp:effectExtent l="0" t="0" r="0" b="1905"/>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2009E0" w:rsidRPr="002009E0" w:rsidP="002009E0" w14:paraId="65E33C3D" w14:textId="77777777">
      <w:pPr>
        <w:spacing w:line="288" w:lineRule="auto"/>
        <w:ind w:left="-150" w:right="-567"/>
        <w:rPr>
          <w:rFonts w:ascii="Tahoma" w:eastAsia="Calibri" w:hAnsi="Tahoma" w:cs="Tahoma"/>
          <w:sz w:val="19"/>
          <w:szCs w:val="19"/>
          <w:rtl/>
        </w:rPr>
      </w:pPr>
      <w:r w:rsidRPr="002009E0">
        <w:rPr>
          <w:rFonts w:ascii="Tahoma" w:eastAsia="Calibri" w:hAnsi="Tahoma" w:cs="Tahoma"/>
          <w:b/>
          <w:bCs/>
          <w:sz w:val="19"/>
          <w:szCs w:val="19"/>
          <w:rtl/>
        </w:rPr>
        <w:t>הסכמים לחלוקת הכנסות בין רשויות מקומיות</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 עירית אלעד</w:t>
      </w:r>
      <w:r w:rsidRPr="002009E0">
        <w:rPr>
          <w:rFonts w:ascii="Tahoma" w:eastAsia="Calibri" w:hAnsi="Tahoma" w:cs="Tahoma"/>
          <w:sz w:val="19"/>
          <w:szCs w:val="19"/>
          <w:rtl/>
        </w:rPr>
        <w:t xml:space="preserve"> - משרד מבקר המדינה מציין לחיוב כי ההסכמים לחלוקת הכנסות שהכינה עיריית </w:t>
      </w:r>
      <w:r w:rsidRPr="002009E0">
        <w:rPr>
          <w:rFonts w:ascii="Tahoma" w:eastAsia="Calibri" w:hAnsi="Tahoma" w:cs="Tahoma"/>
          <w:b/>
          <w:bCs/>
          <w:sz w:val="19"/>
          <w:szCs w:val="19"/>
          <w:rtl/>
        </w:rPr>
        <w:t>אלעד</w:t>
      </w:r>
      <w:r w:rsidRPr="002009E0">
        <w:rPr>
          <w:rFonts w:ascii="Tahoma" w:eastAsia="Calibri" w:hAnsi="Tahoma" w:cs="Tahoma"/>
          <w:sz w:val="19"/>
          <w:szCs w:val="19"/>
          <w:rtl/>
        </w:rPr>
        <w:t>, בסיוע משרד הפנים, ושיתופי הפעולה בינה ובין הרשויות המקומיות הסמוכות עשויים לשמש מנוף חשוב לחיזוק איתנותה הכלכלית של העיר. זאת ועוד, מהלכים אלה עשויים לתרום לצמצום פערים תקציביים, לקידום פיתוח העיר ולטיוב רמת השירותים הניתנים לתושבים.</w:t>
      </w:r>
    </w:p>
    <w:p w:rsidR="00743060" w:rsidP="002009E0" w14:paraId="598ACE58" w14:textId="77777777">
      <w:pPr>
        <w:spacing w:before="200" w:line="288" w:lineRule="auto"/>
        <w:ind w:left="-851"/>
        <w:rPr>
          <w:rFonts w:ascii="Tahoma" w:eastAsia="Calibri" w:hAnsi="Tahoma" w:cs="Tahoma"/>
          <w:b/>
          <w:bCs/>
          <w:noProof/>
          <w:color w:val="FFFFFF"/>
          <w:sz w:val="22"/>
          <w:szCs w:val="22"/>
          <w:rtl/>
        </w:rPr>
      </w:pPr>
      <w:r w:rsidRPr="002009E0">
        <w:rPr>
          <w:rFonts w:ascii="Tahoma" w:eastAsia="Calibri" w:hAnsi="Tahoma" w:cs="Tahoma"/>
          <w:b/>
          <w:bCs/>
          <w:noProof/>
          <w:color w:val="FFFFFF"/>
          <w:sz w:val="22"/>
          <w:szCs w:val="22"/>
          <w:rtl/>
        </w:rPr>
        <w:t>חל</w:t>
      </w:r>
    </w:p>
    <w:p w:rsidR="002009E0" w:rsidRPr="002009E0" w:rsidP="00743060" w14:paraId="3D1AEC2C" w14:textId="77777777">
      <w:pPr>
        <w:bidi w:val="0"/>
        <w:spacing w:after="200" w:line="276" w:lineRule="auto"/>
        <w:rPr>
          <w:rFonts w:ascii="Tahoma" w:eastAsia="Calibri" w:hAnsi="Tahoma" w:cs="Tahoma"/>
          <w:b/>
          <w:bCs/>
          <w:noProof/>
          <w:color w:val="FFFFFF"/>
          <w:sz w:val="22"/>
          <w:szCs w:val="22"/>
          <w:rtl/>
        </w:rPr>
      </w:pPr>
      <w:r>
        <w:rPr>
          <w:rFonts w:ascii="Tahoma" w:eastAsia="Calibri" w:hAnsi="Tahoma" w:cs="Tahoma"/>
          <w:b/>
          <w:bCs/>
          <w:noProof/>
          <w:color w:val="FFFFFF"/>
          <w:sz w:val="22"/>
          <w:szCs w:val="22"/>
          <w:rtl/>
        </w:rPr>
        <w:br w:type="page"/>
      </w:r>
    </w:p>
    <w:tbl>
      <w:tblPr>
        <w:tblStyle w:val="110"/>
        <w:tblpPr w:leftFromText="180" w:rightFromText="180" w:vertAnchor="text" w:tblpXSpec="center" w:tblpY="1"/>
        <w:tblOverlap w:val="never"/>
        <w:bidiVisual/>
        <w:tblW w:w="9783" w:type="dxa"/>
        <w:tblLayout w:type="fixed"/>
        <w:tblLook w:val="04A0"/>
      </w:tblPr>
      <w:tblGrid>
        <w:gridCol w:w="9783"/>
      </w:tblGrid>
      <w:tr w14:paraId="40FD595C" w14:textId="77777777" w:rsidTr="0021064D">
        <w:tblPrEx>
          <w:tblW w:w="9783" w:type="dxa"/>
          <w:tblLayout w:type="fixed"/>
          <w:tblLook w:val="04A0"/>
        </w:tblPrEx>
        <w:trPr>
          <w:trHeight w:val="851"/>
        </w:trPr>
        <w:tc>
          <w:tcPr>
            <w:tcW w:w="9783" w:type="dxa"/>
            <w:tcBorders>
              <w:top w:val="nil"/>
              <w:left w:val="nil"/>
              <w:bottom w:val="nil"/>
              <w:right w:val="nil"/>
            </w:tcBorders>
          </w:tcPr>
          <w:p w:rsidR="002009E0" w:rsidRPr="002009E0" w:rsidP="002009E0" w14:paraId="4CE32488" w14:textId="77777777">
            <w:pPr>
              <w:spacing w:line="288" w:lineRule="auto"/>
              <w:rPr>
                <w:rFonts w:ascii="Tahoma" w:eastAsia="Calibri" w:hAnsi="Tahoma" w:cs="Tahoma"/>
                <w:szCs w:val="24"/>
                <w:rtl/>
              </w:rPr>
            </w:pPr>
            <w:r w:rsidRPr="002009E0">
              <w:rPr>
                <w:rFonts w:ascii="Tahoma" w:eastAsia="Calibri" w:hAnsi="Tahoma" w:cs="Tahoma"/>
                <w:noProof/>
                <w:rtl/>
              </w:rPr>
              <w:drawing>
                <wp:inline distT="0" distB="0" distL="0" distR="0">
                  <wp:extent cx="6091555" cy="439381"/>
                  <wp:effectExtent l="0" t="0" r="0" b="0"/>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1BB53DEE" w14:textId="77777777" w:rsidTr="0021064D">
        <w:tblPrEx>
          <w:tblW w:w="9783" w:type="dxa"/>
          <w:tblLayout w:type="fixed"/>
          <w:tblLook w:val="04A0"/>
        </w:tblPrEx>
        <w:trPr>
          <w:trHeight w:val="993"/>
        </w:trPr>
        <w:tc>
          <w:tcPr>
            <w:tcW w:w="9783" w:type="dxa"/>
            <w:tcBorders>
              <w:top w:val="nil"/>
              <w:left w:val="nil"/>
              <w:bottom w:val="nil"/>
              <w:right w:val="nil"/>
            </w:tcBorders>
            <w:shd w:val="clear" w:color="auto" w:fill="F1F5F9"/>
          </w:tcPr>
          <w:p w:rsidR="002009E0" w:rsidRPr="002009E0" w:rsidP="002009E0" w14:paraId="525A0419" w14:textId="77777777">
            <w:pPr>
              <w:spacing w:line="288" w:lineRule="auto"/>
              <w:ind w:left="598" w:right="173" w:hanging="598"/>
              <w:contextualSpacing/>
              <w:rPr>
                <w:rFonts w:ascii="Tahoma" w:eastAsia="Calibri" w:hAnsi="Tahoma" w:cs="Tahoma"/>
                <w:sz w:val="13"/>
                <w:szCs w:val="13"/>
              </w:rPr>
            </w:pPr>
          </w:p>
          <w:p w:rsidR="002009E0" w:rsidRPr="002009E0" w:rsidP="00743060" w14:paraId="625C1F94"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מומלץ שמשרד הפנים, בשיתוף משרד האוצר ומשרד הכלכלה והתעשייה, ייבחנו צעדים לחיזוק הרשויות המקומיות ממעמד חברתי-כלכלי נמוך, כל משרד בתחום אחריותו וסמכותו, ובכלל זה הגדלת מקורות ההכנסה של הרשויות, הגברת פוטנציאל הגבייה שלהן, הטמעת מנגנוני גבייה יעילים ברשויות וקידומם של מנגנוני איזון וחלוקת הכנסות בין רשויות מרמה חברתית-כלכלית גבוהה לרשויות ממעמד חברתי-כלכלי נמוך. צעדים אלה יכולים לכלול בין היתר</w:t>
            </w:r>
            <w:bookmarkStart w:id="0" w:name="_GoBack"/>
            <w:bookmarkEnd w:id="0"/>
            <w:r w:rsidRPr="002009E0">
              <w:rPr>
                <w:rFonts w:ascii="Tahoma" w:eastAsia="Calibri" w:hAnsi="Tahoma" w:cs="Tahoma"/>
                <w:sz w:val="19"/>
                <w:szCs w:val="19"/>
                <w:rtl/>
              </w:rPr>
              <w:t xml:space="preserve"> קביעת מודל לחלוקת הכנסות מארנונה אזורית (בעיקר באזורי תעשייה משותפים) ומתן תמריצים לרשויות המקדמות פיתוח כלכלי.</w:t>
            </w:r>
          </w:p>
          <w:p w:rsidR="002009E0" w:rsidRPr="002009E0" w:rsidP="00743060" w14:paraId="03344B35"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 xml:space="preserve">מומלץ שהרשויות המקומיות: המועצות האזוריות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ו</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והמועצות המקומיות </w:t>
            </w:r>
            <w:r w:rsidRPr="002009E0">
              <w:rPr>
                <w:rFonts w:ascii="Tahoma" w:eastAsia="Calibri" w:hAnsi="Tahoma" w:cs="Tahoma"/>
                <w:b/>
                <w:bCs/>
                <w:sz w:val="19"/>
                <w:szCs w:val="19"/>
                <w:rtl/>
              </w:rPr>
              <w:t>דאליית אל-כרמל, כפר כנא</w:t>
            </w:r>
            <w:r w:rsidRPr="002009E0">
              <w:rPr>
                <w:rFonts w:ascii="Tahoma" w:eastAsia="Calibri" w:hAnsi="Tahoma" w:cs="Tahoma"/>
                <w:sz w:val="19"/>
                <w:szCs w:val="19"/>
                <w:rtl/>
              </w:rPr>
              <w:t xml:space="preserve"> </w:t>
            </w:r>
            <w:r w:rsidRPr="002009E0">
              <w:rPr>
                <w:rFonts w:ascii="Tahoma" w:eastAsia="Calibri" w:hAnsi="Tahoma" w:cs="Tahoma"/>
                <w:sz w:val="19"/>
                <w:szCs w:val="19"/>
                <w:rtl/>
              </w:rPr>
              <w:t>ו</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יפעלו לאיתור מקורות הכנסה נוספים להגדלת הכנסותיהן, יבחנו בשיטתיות את שיעורי הגבייה בתחום שיפוטן ויפעלו להגדלתם באמצעות תהליכים ממוקדים, ובהם הטמעת מערכות מידע לניהול גבייה והגברת נגישותם של שירותים דיגיטליים לתושבים.</w:t>
            </w:r>
          </w:p>
          <w:p w:rsidR="002009E0" w:rsidRPr="002009E0" w:rsidP="00743060" w14:paraId="0835ECF3"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על משרד הפנים לפעול ללא דיחוי נוסף לפרסום ההחלטה בנוגע לחלוקת ההכנסות באזור התעש</w:t>
            </w:r>
            <w:r w:rsidR="00854DE9">
              <w:rPr>
                <w:rFonts w:ascii="Tahoma" w:eastAsia="Calibri" w:hAnsi="Tahoma" w:cs="Tahoma" w:hint="cs"/>
                <w:sz w:val="19"/>
                <w:szCs w:val="19"/>
                <w:rtl/>
              </w:rPr>
              <w:t>י</w:t>
            </w:r>
            <w:r w:rsidRPr="002009E0">
              <w:rPr>
                <w:rFonts w:ascii="Tahoma" w:eastAsia="Calibri" w:hAnsi="Tahoma" w:cs="Tahoma"/>
                <w:sz w:val="19"/>
                <w:szCs w:val="19"/>
                <w:rtl/>
              </w:rPr>
              <w:t>יה אלון תבור ברשומות כדי שיהיה ניתן לבצע את חלוקת ההכנסות בהתאם לה.</w:t>
            </w:r>
          </w:p>
          <w:p w:rsidR="002009E0" w:rsidRPr="002009E0" w:rsidP="00743060" w14:paraId="17CFDEB4"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על משרד הפנים לדון בבקשות לחלוקת הכנסות ולהכריע בהן בפרקי זמן סבירים כנדרש לפי כללי מינהל תקין. היעדר הכרעה וסחבת בקבלת החלטות גורמים לאובדן הכנסות לרשויות המקומיות ולפעולה שלא בהתאם לכללי מינהל תקין. נוסף על כך, על משרד הפנים להפיק לקחים מהמקרים שעלו בדוח ולקבוע לוחות זמנים ריאליים ומוגדרים מראש לטיפול בבקשות לחלוקת הכנסות ולשינויי גבולות, בהתאם לשלבי הטיפול בבקשות אלה, כדי להבטיח כי יינתן לרשויות המעורבות בכך מענה הולם בנושא</w:t>
            </w:r>
            <w:r w:rsidRPr="002009E0">
              <w:rPr>
                <w:rFonts w:ascii="Tahoma" w:eastAsia="Calibri" w:hAnsi="Tahoma" w:cs="Tahoma" w:hint="cs"/>
                <w:sz w:val="19"/>
                <w:szCs w:val="19"/>
                <w:rtl/>
              </w:rPr>
              <w:t>.</w:t>
            </w:r>
          </w:p>
          <w:p w:rsidR="002009E0" w:rsidRPr="002009E0" w:rsidP="00743060" w14:paraId="1C9F613F"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 xml:space="preserve">משעדכנה את הרכב ועדת הערר, על המועצה האזורית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לפעול בדחיפות לכינוס הוועדה, לצורך דיון בהשגות ובעררים שהוגשו לה מטעם בעלי עסקים בפארק התעשייה מבוא כרמל וכן לצורך הסדרת הטיפול בהם, כדי להבטיח גבייה של מלוא הכספים המגיעים לה מהעסקים בפארק התעשייה, וכדי למנוע פגיעה נוספת באמון בין המועצה לרשויות המקומיות השותפות בהכנסות הפארק.</w:t>
            </w:r>
          </w:p>
          <w:p w:rsidR="002009E0" w:rsidRPr="002009E0" w:rsidP="00743060" w14:paraId="29626B84"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 xml:space="preserve">ראוי היה כי משרד הפנים, עיריית </w:t>
            </w:r>
            <w:r w:rsidRPr="002009E0">
              <w:rPr>
                <w:rFonts w:ascii="Tahoma" w:eastAsia="Calibri" w:hAnsi="Tahoma" w:cs="Tahoma"/>
                <w:b/>
                <w:bCs/>
                <w:sz w:val="19"/>
                <w:szCs w:val="19"/>
                <w:rtl/>
              </w:rPr>
              <w:t xml:space="preserve">אלעד </w:t>
            </w:r>
            <w:r w:rsidRPr="002009E0">
              <w:rPr>
                <w:rFonts w:ascii="Tahoma" w:eastAsia="Calibri" w:hAnsi="Tahoma" w:cs="Tahoma"/>
                <w:sz w:val="19"/>
                <w:szCs w:val="19"/>
                <w:rtl/>
              </w:rPr>
              <w:t xml:space="preserve">והמועצה האזורית דרום השרון יכינו אומדנים כספיים המבוססים על נתונים תכנוניים לגבי היקף הבנייה באזורי התעשייה שבהם נבחנת חלוקת הכנסות בין שתי הרשויות, וכי הם יציגו את החלופות הכספיות השונות כמצע לדיון. </w:t>
            </w:r>
          </w:p>
          <w:p w:rsidR="002009E0" w:rsidRPr="002009E0" w:rsidP="00743060" w14:paraId="3FC37CEF" w14:textId="77777777">
            <w:pPr>
              <w:numPr>
                <w:ilvl w:val="0"/>
                <w:numId w:val="13"/>
              </w:numPr>
              <w:spacing w:after="240" w:line="288" w:lineRule="auto"/>
              <w:ind w:left="516" w:right="176" w:hanging="516"/>
              <w:jc w:val="both"/>
              <w:rPr>
                <w:rFonts w:ascii="Tahoma" w:eastAsia="Calibri" w:hAnsi="Tahoma" w:cs="Tahoma"/>
                <w:sz w:val="19"/>
                <w:szCs w:val="19"/>
              </w:rPr>
            </w:pPr>
            <w:r w:rsidRPr="002009E0">
              <w:rPr>
                <w:rFonts w:ascii="Tahoma" w:eastAsia="Calibri" w:hAnsi="Tahoma" w:cs="Tahoma"/>
                <w:sz w:val="19"/>
                <w:szCs w:val="19"/>
                <w:rtl/>
              </w:rPr>
              <w:t xml:space="preserve">על הרשויות המקומיות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w:t>
            </w:r>
            <w:r w:rsidRPr="002009E0">
              <w:rPr>
                <w:rFonts w:ascii="Tahoma" w:eastAsia="Calibri" w:hAnsi="Tahoma" w:cs="Tahoma"/>
                <w:sz w:val="19"/>
                <w:szCs w:val="19"/>
                <w:rtl/>
              </w:rPr>
              <w:t>ו</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לבצע סקר נכסים בתחום שיפוטן מדי חמש שנים בהתאם לחוזר מנכ"ל משרד הפנים 2/2008,</w:t>
            </w:r>
            <w:r w:rsidRPr="002009E0">
              <w:rPr>
                <w:rFonts w:ascii="Tahoma" w:eastAsia="Calibri" w:hAnsi="Tahoma" w:cs="Tahoma"/>
                <w:szCs w:val="24"/>
                <w:rtl/>
              </w:rPr>
              <w:t xml:space="preserve"> </w:t>
            </w:r>
            <w:r w:rsidRPr="002009E0">
              <w:rPr>
                <w:rFonts w:ascii="Tahoma" w:eastAsia="Calibri" w:hAnsi="Tahoma" w:cs="Tahoma"/>
                <w:sz w:val="19"/>
                <w:szCs w:val="19"/>
                <w:rtl/>
              </w:rPr>
              <w:t xml:space="preserve">לנוכח החשיבות שיש בעריכתו. כמו כן, על המועצה המקומית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להשלים את סקר הנכסים שהחלה בעריכתו ולהטמיע אותו במערכותיה.</w:t>
            </w:r>
            <w:r w:rsidRPr="002009E0">
              <w:rPr>
                <w:rFonts w:ascii="Tahoma" w:eastAsia="Calibri" w:hAnsi="Tahoma" w:cs="Tahoma"/>
                <w:szCs w:val="24"/>
                <w:rtl/>
              </w:rPr>
              <w:t xml:space="preserve"> </w:t>
            </w:r>
          </w:p>
          <w:p w:rsidR="002009E0" w:rsidRPr="002009E0" w:rsidP="00E61820" w14:paraId="499CB414" w14:textId="77777777">
            <w:pPr>
              <w:numPr>
                <w:ilvl w:val="0"/>
                <w:numId w:val="13"/>
              </w:numPr>
              <w:spacing w:after="120" w:line="288" w:lineRule="auto"/>
              <w:ind w:left="515" w:right="173" w:hanging="515"/>
              <w:jc w:val="both"/>
              <w:rPr>
                <w:rFonts w:ascii="Tahoma" w:eastAsia="Calibri" w:hAnsi="Tahoma" w:cs="Tahoma"/>
                <w:sz w:val="19"/>
                <w:szCs w:val="19"/>
                <w:rtl/>
              </w:rPr>
            </w:pPr>
            <w:r w:rsidRPr="002009E0">
              <w:rPr>
                <w:rFonts w:ascii="Tahoma" w:eastAsia="Calibri" w:hAnsi="Tahoma" w:cs="Tahoma"/>
                <w:sz w:val="19"/>
                <w:szCs w:val="19"/>
                <w:rtl/>
              </w:rPr>
              <w:t xml:space="preserve">על עיריית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להפעיל באופן מוגבר את מנגנוני האכיפה העומדים לרשותה בעניין הוראות חוק העזר לחנייה, להגביר את הפיקוח בנושא ולהבטיח יישום מלא של הוראות חוק זה. מומלץ למועצה המקומית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להפעיל את חוק העזר לחנייה, הן לצורך הסדרת החנייה והסדר הציבורי שבתחום שיפוטה והן לשם מיצוי פוטנציאל ההכנסות העצמיות העומד לרשותה. כמו כן, על המועצה המקומית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והמועצה האזורית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לפעול ביתר שאת לאכיפת חוקי העזר לחנייה ולהגביר את הפיקוח והאכיפה בתחום זה, כדי לשמור על הסדר הציבורי, לצמצם את המפגעים במרחב הציבורי ולמצות את פוטנציאל ההכנסות העירוניות. על המועצה המקומית </w:t>
            </w:r>
            <w:r w:rsidRPr="002009E0">
              <w:rPr>
                <w:rFonts w:ascii="Tahoma" w:eastAsia="Calibri" w:hAnsi="Tahoma" w:cs="Tahoma"/>
                <w:b/>
                <w:bCs/>
                <w:sz w:val="19"/>
                <w:szCs w:val="19"/>
                <w:rtl/>
              </w:rPr>
              <w:t xml:space="preserve">דאליית אל-כרמל </w:t>
            </w:r>
            <w:r w:rsidRPr="002009E0">
              <w:rPr>
                <w:rFonts w:ascii="Tahoma" w:eastAsia="Calibri" w:hAnsi="Tahoma" w:cs="Tahoma"/>
                <w:sz w:val="19"/>
                <w:szCs w:val="19"/>
                <w:rtl/>
              </w:rPr>
              <w:t xml:space="preserve">להחיל את חוק העזר לסלילת כבישים ואת חוק העזר לתיעול וניקוז, וכן עליה לגבות את ההכנסות המגיעות לה בגין אי-גביית חוקים אלה. על המועצה האזורית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לאכוף את חוק העזר למודעות ושילוט, כדי להגדיל את הכנסותיה העצמיות. על המועצה המקומית </w:t>
            </w:r>
            <w:r w:rsidRPr="002009E0">
              <w:rPr>
                <w:rFonts w:ascii="Tahoma" w:eastAsia="Calibri" w:hAnsi="Tahoma" w:cs="Tahoma"/>
                <w:b/>
                <w:bCs/>
                <w:sz w:val="19"/>
                <w:szCs w:val="19"/>
                <w:rtl/>
              </w:rPr>
              <w:t>עספייא</w:t>
            </w:r>
            <w:r w:rsidRPr="002009E0">
              <w:rPr>
                <w:rFonts w:ascii="Tahoma" w:eastAsia="Calibri" w:hAnsi="Tahoma" w:cs="Tahoma"/>
                <w:sz w:val="19"/>
                <w:szCs w:val="19"/>
                <w:rtl/>
              </w:rPr>
              <w:t xml:space="preserve"> להפעיל את חוק העזר לתיעול וניקוז ולגבות את הסכומים המגיעים לה בגין אי-הפעלתו.</w:t>
            </w:r>
          </w:p>
        </w:tc>
      </w:tr>
    </w:tbl>
    <w:p w:rsidR="002009E0" w:rsidRPr="002009E0" w:rsidP="00854DE9" w14:paraId="1315A510" w14:textId="77777777">
      <w:pPr>
        <w:rPr>
          <w:rFonts w:ascii="Tahoma" w:eastAsia="Calibri" w:hAnsi="Tahoma" w:cs="Tahoma"/>
          <w:noProof/>
          <w:sz w:val="16"/>
          <w:szCs w:val="16"/>
          <w:rtl/>
        </w:rPr>
      </w:pPr>
      <w:r w:rsidRPr="002009E0">
        <w:rPr>
          <w:rFonts w:eastAsia="Calibri"/>
          <w:noProof/>
          <w:rtl/>
        </w:rPr>
        <w:drawing>
          <wp:anchor distT="0" distB="0" distL="114300" distR="114300" simplePos="0" relativeHeight="251660288" behindDoc="1" locked="0" layoutInCell="1" allowOverlap="1">
            <wp:simplePos x="0" y="0"/>
            <wp:positionH relativeFrom="column">
              <wp:posOffset>-540385</wp:posOffset>
            </wp:positionH>
            <wp:positionV relativeFrom="paragraph">
              <wp:posOffset>-88265</wp:posOffset>
            </wp:positionV>
            <wp:extent cx="6083300" cy="819150"/>
            <wp:effectExtent l="0" t="0" r="0" b="0"/>
            <wp:wrapNone/>
            <wp:docPr id="41" name="תמונה 41"/>
            <wp:cNvGraphicFramePr/>
            <a:graphic xmlns:a="http://schemas.openxmlformats.org/drawingml/2006/main">
              <a:graphicData uri="http://schemas.openxmlformats.org/drawingml/2006/picture">
                <pic:pic xmlns:pic="http://schemas.openxmlformats.org/drawingml/2006/picture">
                  <pic:nvPicPr>
                    <pic:cNvPr id="41"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3300" cy="819150"/>
                    </a:xfrm>
                    <a:prstGeom prst="rect">
                      <a:avLst/>
                    </a:prstGeom>
                  </pic:spPr>
                </pic:pic>
              </a:graphicData>
            </a:graphic>
            <wp14:sizeRelH relativeFrom="page">
              <wp14:pctWidth>0</wp14:pctWidth>
            </wp14:sizeRelH>
            <wp14:sizeRelV relativeFrom="page">
              <wp14:pctHeight>0</wp14:pctHeight>
            </wp14:sizeRelV>
          </wp:anchor>
        </w:drawing>
      </w:r>
      <w:r w:rsidRPr="002009E0">
        <w:rPr>
          <w:rFonts w:ascii="Tahoma" w:eastAsia="Calibri" w:hAnsi="Tahoma" w:cs="Tahoma"/>
          <w:b/>
          <w:bCs/>
          <w:noProof/>
          <w:color w:val="FFFFFF"/>
          <w:sz w:val="22"/>
          <w:szCs w:val="22"/>
          <w:rtl/>
        </w:rPr>
        <w:t>חלוקת מקורות המימון בתקציב הרגיל של הרשויות המקומיות בישראל,</w:t>
      </w:r>
      <w:r w:rsidRPr="002009E0">
        <w:rPr>
          <w:rFonts w:ascii="Tahoma" w:eastAsia="Calibri" w:hAnsi="Tahoma" w:cs="Tahoma" w:hint="cs"/>
          <w:b/>
          <w:bCs/>
          <w:noProof/>
          <w:color w:val="FFFFFF"/>
          <w:sz w:val="22"/>
          <w:szCs w:val="22"/>
          <w:rtl/>
        </w:rPr>
        <w:t xml:space="preserve"> 202</w:t>
      </w:r>
      <w:r>
        <w:rPr>
          <w:rFonts w:ascii="Tahoma" w:eastAsia="Calibri" w:hAnsi="Tahoma" w:cs="Tahoma" w:hint="cs"/>
          <w:b/>
          <w:bCs/>
          <w:noProof/>
          <w:color w:val="FFFFFF"/>
          <w:sz w:val="22"/>
          <w:szCs w:val="22"/>
          <w:rtl/>
        </w:rPr>
        <w:t xml:space="preserve">1 </w:t>
      </w:r>
      <w:r w:rsidRPr="002009E0">
        <w:rPr>
          <w:rFonts w:ascii="Tahoma" w:eastAsia="Calibri" w:hAnsi="Tahoma" w:cs="Tahoma" w:hint="cs"/>
          <w:b/>
          <w:bCs/>
          <w:noProof/>
          <w:color w:val="FFFFFF"/>
          <w:sz w:val="22"/>
          <w:szCs w:val="22"/>
          <w:rtl/>
        </w:rPr>
        <w:t>-</w:t>
      </w:r>
      <w:r>
        <w:rPr>
          <w:rFonts w:ascii="Tahoma" w:eastAsia="Calibri" w:hAnsi="Tahoma" w:cs="Tahoma" w:hint="cs"/>
          <w:b/>
          <w:bCs/>
          <w:noProof/>
          <w:color w:val="FFFFFF"/>
          <w:sz w:val="22"/>
          <w:szCs w:val="22"/>
          <w:rtl/>
        </w:rPr>
        <w:t xml:space="preserve"> </w:t>
      </w:r>
      <w:r w:rsidRPr="002009E0">
        <w:rPr>
          <w:rFonts w:ascii="Tahoma" w:eastAsia="Calibri" w:hAnsi="Tahoma" w:cs="Tahoma" w:hint="cs"/>
          <w:b/>
          <w:bCs/>
          <w:noProof/>
          <w:color w:val="FFFFFF"/>
          <w:sz w:val="22"/>
          <w:szCs w:val="22"/>
          <w:rtl/>
        </w:rPr>
        <w:t>202</w:t>
      </w:r>
      <w:r>
        <w:rPr>
          <w:rFonts w:ascii="Tahoma" w:eastAsia="Calibri" w:hAnsi="Tahoma" w:cs="Tahoma" w:hint="cs"/>
          <w:b/>
          <w:bCs/>
          <w:noProof/>
          <w:color w:val="FFFFFF"/>
          <w:sz w:val="22"/>
          <w:szCs w:val="22"/>
          <w:rtl/>
        </w:rPr>
        <w:t>3</w:t>
      </w:r>
      <w:r w:rsidRPr="002009E0">
        <w:rPr>
          <w:rFonts w:ascii="Tahoma" w:eastAsia="Calibri" w:hAnsi="Tahoma" w:cs="Tahoma"/>
          <w:b/>
          <w:bCs/>
          <w:noProof/>
          <w:color w:val="FFFFFF"/>
          <w:sz w:val="22"/>
          <w:szCs w:val="22"/>
          <w:rtl/>
        </w:rPr>
        <w:t xml:space="preserve"> (באלפי ש"ח)</w:t>
      </w:r>
    </w:p>
    <w:p w:rsidR="002009E0" w:rsidRPr="002009E0" w:rsidP="002009E0" w14:paraId="406A02DF" w14:textId="77777777">
      <w:pPr>
        <w:spacing w:line="288" w:lineRule="auto"/>
        <w:rPr>
          <w:rFonts w:ascii="Tahoma" w:eastAsia="Calibri" w:hAnsi="Tahoma" w:cs="Tahoma"/>
          <w:noProof/>
          <w:sz w:val="16"/>
          <w:szCs w:val="16"/>
          <w:rtl/>
        </w:rPr>
      </w:pPr>
    </w:p>
    <w:p w:rsidR="002009E0" w:rsidRPr="002009E0" w:rsidP="002009E0" w14:paraId="3DFCF75C" w14:textId="77777777">
      <w:pPr>
        <w:spacing w:line="288" w:lineRule="auto"/>
        <w:rPr>
          <w:rFonts w:ascii="Tahoma" w:eastAsia="Calibri" w:hAnsi="Tahoma" w:cs="Tahoma"/>
          <w:noProof/>
          <w:sz w:val="16"/>
          <w:szCs w:val="16"/>
          <w:rtl/>
        </w:rPr>
      </w:pPr>
    </w:p>
    <w:p w:rsidR="002009E0" w:rsidRPr="002009E0" w:rsidP="002009E0" w14:paraId="2CAA4FCD" w14:textId="77777777">
      <w:pPr>
        <w:spacing w:line="288" w:lineRule="auto"/>
        <w:rPr>
          <w:rFonts w:ascii="Tahoma" w:eastAsia="Calibri" w:hAnsi="Tahoma" w:cs="Tahoma"/>
          <w:noProof/>
          <w:sz w:val="16"/>
          <w:szCs w:val="16"/>
          <w:rtl/>
        </w:rPr>
      </w:pPr>
      <w:r w:rsidRPr="002009E0">
        <w:rPr>
          <w:rFonts w:ascii="Tahoma" w:eastAsia="Calibri" w:hAnsi="Tahoma" w:cs="Tahoma"/>
          <w:noProof/>
          <w:szCs w:val="20"/>
          <w:rtl/>
          <w:lang w:val="he-IL"/>
        </w:rPr>
        <w:drawing>
          <wp:inline distT="0" distB="0" distL="0" distR="0">
            <wp:extent cx="5022215" cy="2893060"/>
            <wp:effectExtent l="0" t="0" r="6985" b="2540"/>
            <wp:docPr id="25" name="תמונה 25" descr="סך הכול הכנסות בתקציב הרגיל לשנים 2023-2021 מחולקות לפי סוג ההכנסה:  הכנסות עצמיות, הכנסות מהממשלה ומלו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מונה 1" descr="סך הכול הכנסות בתקציב הרגיל לשנים 2023-2021 מחולקות לפי סוג ההכנסה:  הכנסות עצמיות, הכנסות מהממשלה ומלוות."/>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022215" cy="2893060"/>
                    </a:xfrm>
                    <a:prstGeom prst="rect">
                      <a:avLst/>
                    </a:prstGeom>
                  </pic:spPr>
                </pic:pic>
              </a:graphicData>
            </a:graphic>
          </wp:inline>
        </w:drawing>
      </w:r>
    </w:p>
    <w:p w:rsidR="002009E0" w:rsidRPr="002009E0" w:rsidP="002009E0" w14:paraId="1CC43AF9" w14:textId="77777777">
      <w:pPr>
        <w:spacing w:line="288" w:lineRule="auto"/>
        <w:rPr>
          <w:rFonts w:ascii="Tahoma" w:eastAsia="Calibri" w:hAnsi="Tahoma" w:cs="Tahoma"/>
          <w:noProof/>
          <w:sz w:val="16"/>
          <w:szCs w:val="16"/>
          <w:rtl/>
        </w:rPr>
      </w:pPr>
    </w:p>
    <w:p w:rsidR="002009E0" w:rsidP="00743060" w14:paraId="2F173195" w14:textId="77777777">
      <w:pPr>
        <w:spacing w:line="288" w:lineRule="auto"/>
        <w:ind w:left="-852"/>
        <w:rPr>
          <w:rFonts w:ascii="Tahoma" w:eastAsia="Calibri" w:hAnsi="Tahoma" w:cs="Tahoma"/>
          <w:sz w:val="22"/>
          <w:szCs w:val="22"/>
          <w:rtl/>
        </w:rPr>
      </w:pPr>
      <w:r w:rsidRPr="002009E0">
        <w:rPr>
          <w:rFonts w:ascii="Tahoma" w:eastAsia="Calibri" w:hAnsi="Tahoma" w:cs="Tahoma"/>
          <w:noProof/>
          <w:sz w:val="16"/>
          <w:szCs w:val="16"/>
          <w:rtl/>
        </w:rPr>
        <w:t xml:space="preserve">על פי </w:t>
      </w:r>
      <w:r w:rsidR="00E61820">
        <w:rPr>
          <w:rFonts w:ascii="Tahoma" w:eastAsia="Calibri" w:hAnsi="Tahoma" w:cs="Tahoma" w:hint="cs"/>
          <w:noProof/>
          <w:sz w:val="16"/>
          <w:szCs w:val="16"/>
          <w:rtl/>
        </w:rPr>
        <w:t xml:space="preserve">נתוני </w:t>
      </w:r>
      <w:r w:rsidRPr="002009E0">
        <w:rPr>
          <w:rFonts w:ascii="Tahoma" w:eastAsia="Calibri" w:hAnsi="Tahoma" w:cs="Tahoma"/>
          <w:noProof/>
          <w:sz w:val="16"/>
          <w:szCs w:val="16"/>
          <w:rtl/>
        </w:rPr>
        <w:t xml:space="preserve">משרד הפנים והדוחות הכספיים המבוקרים של הרשויות המקומיות לשנת 2023, בעיבוד משרד מבקר המדינה. </w:t>
      </w:r>
      <w:r w:rsidRPr="002009E0">
        <w:rPr>
          <w:rFonts w:ascii="Tahoma" w:eastAsia="Calibri" w:hAnsi="Tahoma" w:cs="Tahoma"/>
          <w:szCs w:val="20"/>
          <w:rtl/>
        </w:rPr>
        <w:t>*</w:t>
      </w:r>
      <w:r w:rsidRPr="002009E0">
        <w:rPr>
          <w:rFonts w:ascii="Tahoma" w:eastAsia="Calibri" w:hAnsi="Tahoma" w:cs="Tahoma" w:hint="cs"/>
          <w:sz w:val="16"/>
          <w:szCs w:val="16"/>
          <w:rtl/>
        </w:rPr>
        <w:t xml:space="preserve"> </w:t>
      </w:r>
      <w:r w:rsidRPr="002009E0">
        <w:rPr>
          <w:rFonts w:ascii="Tahoma" w:eastAsia="Calibri" w:hAnsi="Tahoma" w:cs="Tahoma"/>
          <w:sz w:val="16"/>
          <w:szCs w:val="16"/>
          <w:rtl/>
        </w:rPr>
        <w:t>סך הכול ההכנסות בתקציב הרגיל אינ</w:t>
      </w:r>
      <w:r w:rsidR="00854DE9">
        <w:rPr>
          <w:rFonts w:ascii="Tahoma" w:eastAsia="Calibri" w:hAnsi="Tahoma" w:cs="Tahoma" w:hint="cs"/>
          <w:sz w:val="16"/>
          <w:szCs w:val="16"/>
          <w:rtl/>
        </w:rPr>
        <w:t>ן</w:t>
      </w:r>
      <w:r w:rsidRPr="002009E0">
        <w:rPr>
          <w:rFonts w:ascii="Tahoma" w:eastAsia="Calibri" w:hAnsi="Tahoma" w:cs="Tahoma"/>
          <w:sz w:val="16"/>
          <w:szCs w:val="16"/>
          <w:rtl/>
        </w:rPr>
        <w:t xml:space="preserve"> מסתכמ</w:t>
      </w:r>
      <w:r w:rsidR="00854DE9">
        <w:rPr>
          <w:rFonts w:ascii="Tahoma" w:eastAsia="Calibri" w:hAnsi="Tahoma" w:cs="Tahoma" w:hint="cs"/>
          <w:sz w:val="16"/>
          <w:szCs w:val="16"/>
          <w:rtl/>
        </w:rPr>
        <w:t>ות</w:t>
      </w:r>
      <w:r w:rsidRPr="002009E0">
        <w:rPr>
          <w:rFonts w:ascii="Tahoma" w:eastAsia="Calibri" w:hAnsi="Tahoma" w:cs="Tahoma"/>
          <w:sz w:val="16"/>
          <w:szCs w:val="16"/>
          <w:rtl/>
        </w:rPr>
        <w:t xml:space="preserve"> במדויק עקב עיגול מספרים.</w:t>
      </w:r>
    </w:p>
    <w:p w:rsidR="00854DE9" w:rsidP="00743060" w14:paraId="27D5F3C7" w14:textId="77777777">
      <w:pPr>
        <w:spacing w:line="288" w:lineRule="auto"/>
        <w:ind w:left="-852"/>
        <w:rPr>
          <w:rFonts w:ascii="Tahoma" w:eastAsia="Calibri" w:hAnsi="Tahoma" w:cs="Tahoma"/>
          <w:sz w:val="22"/>
          <w:szCs w:val="22"/>
          <w:rtl/>
        </w:rPr>
      </w:pPr>
    </w:p>
    <w:p w:rsidR="00854DE9" w:rsidRPr="002009E0" w:rsidP="00743060" w14:paraId="55F5DA2E" w14:textId="77777777">
      <w:pPr>
        <w:spacing w:line="288" w:lineRule="auto"/>
        <w:ind w:left="-852"/>
        <w:rPr>
          <w:rFonts w:ascii="Tahoma" w:eastAsia="Calibri" w:hAnsi="Tahoma" w:cs="Tahoma"/>
          <w:sz w:val="22"/>
          <w:szCs w:val="22"/>
          <w:rtl/>
        </w:rPr>
      </w:pPr>
    </w:p>
    <w:p w:rsidR="002009E0" w:rsidRPr="002009E0" w:rsidP="002009E0" w14:paraId="53BFFC17" w14:textId="77777777">
      <w:pPr>
        <w:spacing w:line="288" w:lineRule="auto"/>
        <w:rPr>
          <w:rFonts w:ascii="Tahoma" w:eastAsia="Calibri" w:hAnsi="Tahoma" w:cs="Tahoma"/>
          <w:sz w:val="22"/>
          <w:szCs w:val="22"/>
          <w:rtl/>
        </w:rPr>
      </w:pPr>
    </w:p>
    <w:p w:rsidR="002009E0" w:rsidRPr="002009E0" w:rsidP="002009E0" w14:paraId="0736CEFB" w14:textId="77777777">
      <w:pPr>
        <w:spacing w:after="160" w:line="288" w:lineRule="auto"/>
        <w:ind w:left="-851"/>
        <w:rPr>
          <w:rFonts w:ascii="Tahoma" w:eastAsia="Calibri" w:hAnsi="Tahoma" w:cs="Tahoma"/>
          <w:rtl/>
        </w:rPr>
      </w:pPr>
      <w:r w:rsidRPr="002009E0">
        <w:rPr>
          <w:rFonts w:ascii="Tahoma" w:eastAsia="Calibri" w:hAnsi="Tahoma" w:cs="Tahoma"/>
          <w:noProof/>
        </w:rPr>
        <w:drawing>
          <wp:inline distT="0" distB="0" distL="0" distR="0">
            <wp:extent cx="6128084" cy="304165"/>
            <wp:effectExtent l="0" t="0" r="6350" b="635"/>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2009E0" w:rsidRPr="002009E0" w:rsidP="002009E0" w14:paraId="5CAF37BE" w14:textId="77777777">
      <w:pPr>
        <w:spacing w:after="120" w:line="288" w:lineRule="auto"/>
        <w:ind w:left="-851" w:right="-567"/>
        <w:rPr>
          <w:rFonts w:ascii="Tahoma" w:eastAsia="Calibri" w:hAnsi="Tahoma" w:cs="Tahoma"/>
          <w:sz w:val="19"/>
          <w:szCs w:val="19"/>
          <w:rtl/>
        </w:rPr>
      </w:pPr>
      <w:r w:rsidRPr="002009E0">
        <w:rPr>
          <w:rFonts w:ascii="Tahoma" w:eastAsia="Calibri" w:hAnsi="Tahoma" w:cs="Tahoma"/>
          <w:sz w:val="19"/>
          <w:szCs w:val="19"/>
          <w:rtl/>
        </w:rPr>
        <w:t xml:space="preserve">למבנה ההכנסות של הרשות המקומית השפעה ישירה על היקף השירותים הניתנים לתושבים ועל איכותם, על רמת הפיתוח העירוני ועל יכולתה של הרשות המקומית לצמצם פערים חברתיים-כלכליים. בדוח נבדקו הפערים בהכנסות העצמיות בין רשויות מקומיות בישראל, תוך בחינה של מקורות ההכנסה העיקריים של הרשויות: ארנונה למגורים, ארנונה לעסקים והסדרי חלוקת הכנסות מאזורי תעשייה. </w:t>
      </w:r>
    </w:p>
    <w:p w:rsidR="002009E0" w:rsidRPr="002009E0" w:rsidP="002009E0" w14:paraId="48FA5594" w14:textId="77777777">
      <w:pPr>
        <w:spacing w:after="120" w:line="288" w:lineRule="auto"/>
        <w:ind w:left="-851" w:right="-567"/>
        <w:rPr>
          <w:rFonts w:ascii="Tahoma" w:eastAsia="Calibri" w:hAnsi="Tahoma" w:cs="Tahoma"/>
          <w:sz w:val="19"/>
          <w:szCs w:val="19"/>
          <w:rtl/>
        </w:rPr>
      </w:pPr>
      <w:r w:rsidRPr="002009E0">
        <w:rPr>
          <w:rFonts w:ascii="Tahoma" w:eastAsia="Calibri" w:hAnsi="Tahoma" w:cs="Tahoma"/>
          <w:sz w:val="19"/>
          <w:szCs w:val="19"/>
          <w:rtl/>
        </w:rPr>
        <w:t xml:space="preserve">מהביקורת עלה כי קיימים פערים גדולים בין רשויות מקומיות, הנהנות מהכנסות גבוהות מארנונה לעסקים ומאזורי תעשייה (עיריית </w:t>
      </w:r>
      <w:r w:rsidRPr="002009E0">
        <w:rPr>
          <w:rFonts w:ascii="Tahoma" w:eastAsia="Calibri" w:hAnsi="Tahoma" w:cs="Tahoma"/>
          <w:b/>
          <w:bCs/>
          <w:sz w:val="19"/>
          <w:szCs w:val="19"/>
          <w:rtl/>
        </w:rPr>
        <w:t>נוף הגליל</w:t>
      </w:r>
      <w:r w:rsidRPr="002009E0">
        <w:rPr>
          <w:rFonts w:ascii="Tahoma" w:eastAsia="Calibri" w:hAnsi="Tahoma" w:cs="Tahoma"/>
          <w:sz w:val="19"/>
          <w:szCs w:val="19"/>
          <w:rtl/>
        </w:rPr>
        <w:t xml:space="preserve"> והמועצה האזורית </w:t>
      </w:r>
      <w:r w:rsidRPr="002009E0">
        <w:rPr>
          <w:rFonts w:ascii="Tahoma" w:eastAsia="Calibri" w:hAnsi="Tahoma" w:cs="Tahoma"/>
          <w:b/>
          <w:bCs/>
          <w:sz w:val="19"/>
          <w:szCs w:val="19"/>
          <w:rtl/>
        </w:rPr>
        <w:t>מגידו</w:t>
      </w:r>
      <w:r w:rsidRPr="002009E0">
        <w:rPr>
          <w:rFonts w:ascii="Tahoma" w:eastAsia="Calibri" w:hAnsi="Tahoma" w:cs="Tahoma"/>
          <w:sz w:val="19"/>
          <w:szCs w:val="19"/>
          <w:rtl/>
        </w:rPr>
        <w:t xml:space="preserve">) ובין רשויות שהכנסותיהן מתבססות בעיקר על ארנונה למגורים (עיריית </w:t>
      </w:r>
      <w:r w:rsidRPr="002009E0">
        <w:rPr>
          <w:rFonts w:ascii="Tahoma" w:eastAsia="Calibri" w:hAnsi="Tahoma" w:cs="Tahoma"/>
          <w:b/>
          <w:bCs/>
          <w:sz w:val="19"/>
          <w:szCs w:val="19"/>
          <w:rtl/>
        </w:rPr>
        <w:t>אלעד</w:t>
      </w:r>
      <w:r w:rsidRPr="002009E0">
        <w:rPr>
          <w:rFonts w:ascii="Tahoma" w:eastAsia="Calibri" w:hAnsi="Tahoma" w:cs="Tahoma"/>
          <w:sz w:val="19"/>
          <w:szCs w:val="19"/>
          <w:rtl/>
        </w:rPr>
        <w:t xml:space="preserve">, המועצה האזורית </w:t>
      </w:r>
      <w:r w:rsidRPr="002009E0">
        <w:rPr>
          <w:rFonts w:ascii="Tahoma" w:eastAsia="Calibri" w:hAnsi="Tahoma" w:cs="Tahoma"/>
          <w:b/>
          <w:bCs/>
          <w:sz w:val="19"/>
          <w:szCs w:val="19"/>
          <w:rtl/>
        </w:rPr>
        <w:t>בוסתאן</w:t>
      </w:r>
      <w:r w:rsidRPr="002009E0">
        <w:rPr>
          <w:rFonts w:ascii="Tahoma" w:eastAsia="Calibri" w:hAnsi="Tahoma" w:cs="Tahoma"/>
          <w:b/>
          <w:bCs/>
          <w:sz w:val="19"/>
          <w:szCs w:val="19"/>
          <w:rtl/>
        </w:rPr>
        <w:t xml:space="preserve"> אל-</w:t>
      </w:r>
      <w:r w:rsidRPr="002009E0">
        <w:rPr>
          <w:rFonts w:ascii="Tahoma" w:eastAsia="Calibri" w:hAnsi="Tahoma" w:cs="Tahoma"/>
          <w:b/>
          <w:bCs/>
          <w:sz w:val="19"/>
          <w:szCs w:val="19"/>
          <w:rtl/>
        </w:rPr>
        <w:t>מרג</w:t>
      </w:r>
      <w:r w:rsidRPr="002009E0">
        <w:rPr>
          <w:rFonts w:ascii="Tahoma" w:eastAsia="Calibri" w:hAnsi="Tahoma" w:cs="Tahoma"/>
          <w:b/>
          <w:bCs/>
          <w:sz w:val="19"/>
          <w:szCs w:val="19"/>
          <w:rtl/>
        </w:rPr>
        <w:t>'</w:t>
      </w:r>
      <w:r w:rsidRPr="002009E0">
        <w:rPr>
          <w:rFonts w:ascii="Tahoma" w:eastAsia="Calibri" w:hAnsi="Tahoma" w:cs="Tahoma"/>
          <w:sz w:val="19"/>
          <w:szCs w:val="19"/>
          <w:rtl/>
        </w:rPr>
        <w:t xml:space="preserve"> והמועצות המקומיות </w:t>
      </w:r>
      <w:r w:rsidRPr="002009E0">
        <w:rPr>
          <w:rFonts w:ascii="Tahoma" w:eastAsia="Calibri" w:hAnsi="Tahoma" w:cs="Tahoma"/>
          <w:b/>
          <w:bCs/>
          <w:sz w:val="19"/>
          <w:szCs w:val="19"/>
          <w:rtl/>
        </w:rPr>
        <w:t>דאליית אל-כרמל</w:t>
      </w:r>
      <w:r w:rsidRPr="002009E0">
        <w:rPr>
          <w:rFonts w:ascii="Tahoma" w:eastAsia="Calibri" w:hAnsi="Tahoma" w:cs="Tahoma"/>
          <w:sz w:val="19"/>
          <w:szCs w:val="19"/>
          <w:rtl/>
        </w:rPr>
        <w:t xml:space="preserve">, </w:t>
      </w:r>
      <w:r w:rsidRPr="002009E0">
        <w:rPr>
          <w:rFonts w:ascii="Tahoma" w:eastAsia="Calibri" w:hAnsi="Tahoma" w:cs="Tahoma"/>
          <w:b/>
          <w:bCs/>
          <w:sz w:val="19"/>
          <w:szCs w:val="19"/>
          <w:rtl/>
        </w:rPr>
        <w:t>כפר כנא</w:t>
      </w:r>
      <w:r w:rsidRPr="002009E0">
        <w:rPr>
          <w:rFonts w:ascii="Tahoma" w:eastAsia="Calibri" w:hAnsi="Tahoma" w:cs="Tahoma"/>
          <w:sz w:val="19"/>
          <w:szCs w:val="19"/>
          <w:rtl/>
        </w:rPr>
        <w:t xml:space="preserve"> </w:t>
      </w:r>
      <w:r w:rsidRPr="002009E0">
        <w:rPr>
          <w:rFonts w:ascii="Tahoma" w:eastAsia="Calibri" w:hAnsi="Tahoma" w:cs="Tahoma"/>
          <w:sz w:val="19"/>
          <w:szCs w:val="19"/>
          <w:rtl/>
        </w:rPr>
        <w:t>ו</w:t>
      </w:r>
      <w:r w:rsidRPr="002009E0">
        <w:rPr>
          <w:rFonts w:ascii="Tahoma" w:eastAsia="Calibri" w:hAnsi="Tahoma" w:cs="Tahoma"/>
          <w:b/>
          <w:bCs/>
          <w:sz w:val="19"/>
          <w:szCs w:val="19"/>
          <w:rtl/>
        </w:rPr>
        <w:t>עספייא</w:t>
      </w:r>
      <w:r w:rsidRPr="002009E0">
        <w:rPr>
          <w:rFonts w:ascii="Tahoma" w:eastAsia="Calibri" w:hAnsi="Tahoma" w:cs="Tahoma"/>
          <w:sz w:val="19"/>
          <w:szCs w:val="19"/>
          <w:rtl/>
        </w:rPr>
        <w:t>). פערים אלה יוצרים אי-שוויון בולט בין רשויות מבוססות, המחזיקות שטחי מסחר ואזורי תעשייה נרחבים, ובין רשויות שמבנה הכנסותיהן העצמיות מוגבל להכנסות מארנונה למגורים. עוד עלה כי מנגנוני חלוקת ההכנסות מאזורי מסחר ותעשייה, שנועדו לצמצם פערים אלו באמצעות הוועדות הגיאוגרפיות, מספקים מענה חלקי בלבד ואינם מביאים לאיזון מלא של אי-השוויון. לעיתים הם אף מעוררים מחלוקות בין רשויות מרקע חברתי-כלכלי גבוהה לרשויות מרמה חברתית-כלכלית נמוכה.</w:t>
      </w:r>
    </w:p>
    <w:p w:rsidR="002009E0" w:rsidRPr="002009E0" w:rsidP="002009E0" w14:paraId="46B1FBA3" w14:textId="77777777">
      <w:pPr>
        <w:spacing w:after="120" w:line="288" w:lineRule="auto"/>
        <w:ind w:left="-851" w:right="-567"/>
        <w:rPr>
          <w:rFonts w:ascii="Tahoma" w:eastAsia="Calibri" w:hAnsi="Tahoma" w:cs="Tahoma"/>
          <w:sz w:val="19"/>
          <w:szCs w:val="19"/>
          <w:rtl/>
        </w:rPr>
      </w:pPr>
      <w:r w:rsidRPr="002009E0">
        <w:rPr>
          <w:rFonts w:ascii="Tahoma" w:eastAsia="Calibri" w:hAnsi="Tahoma" w:cs="Tahoma"/>
          <w:sz w:val="19"/>
          <w:szCs w:val="19"/>
          <w:rtl/>
        </w:rPr>
        <w:t>עוד נמצא שקיימים פערי זמן גדולים בין מועד פרסום המלצות הוועדות הגיאוגרפיות בנוגע לחלוקת ההכנסות למועד ששר הפנים מקבל החלטות בנושא. ההחלטות בעניין בקשות רבות לחלוקת הכנסות התקבלו שנים ארוכות לאחר פרסום המלצות הוועדות, ולעיתים לא התקבלו כלל</w:t>
      </w:r>
      <w:r w:rsidRPr="002009E0">
        <w:rPr>
          <w:rFonts w:ascii="Tahoma" w:eastAsia="Calibri" w:hAnsi="Tahoma" w:cs="Tahoma" w:hint="cs"/>
          <w:rtl/>
        </w:rPr>
        <w:t>.</w:t>
      </w:r>
      <w:r w:rsidRPr="002009E0">
        <w:rPr>
          <w:rFonts w:ascii="Tahoma" w:eastAsia="Calibri" w:hAnsi="Tahoma" w:cs="Tahoma"/>
          <w:rtl/>
        </w:rPr>
        <w:t xml:space="preserve"> </w:t>
      </w:r>
      <w:r w:rsidRPr="002009E0">
        <w:rPr>
          <w:rFonts w:ascii="Tahoma" w:eastAsia="Calibri" w:hAnsi="Tahoma" w:cs="Tahoma"/>
          <w:sz w:val="19"/>
          <w:szCs w:val="19"/>
          <w:rtl/>
        </w:rPr>
        <w:t>השיהוי בין שלב פרסום ההמלצות לקבלת ההחלטה על ידי השר עלול להביא לשלילת תוספת הכנסות מרשויות ממעמד חברתי-כלכלי הנמוך שאין להן מקורות הכנסה עצמיים ובכך לפגוע בהן מהבחינה הכלכלית ולהביא להורדת רמת השירותים שהן מספקות לתושביהן.</w:t>
      </w:r>
    </w:p>
    <w:p w:rsidR="002009E0" w:rsidRPr="002009E0" w:rsidP="002009E0" w14:paraId="350F7322" w14:textId="77777777">
      <w:pPr>
        <w:spacing w:after="120" w:line="288" w:lineRule="auto"/>
        <w:ind w:left="-851" w:right="-567"/>
        <w:rPr>
          <w:rFonts w:ascii="Tahoma" w:eastAsia="Calibri" w:hAnsi="Tahoma" w:cs="Tahoma"/>
          <w:sz w:val="19"/>
          <w:szCs w:val="19"/>
          <w:rtl/>
        </w:rPr>
      </w:pPr>
      <w:r w:rsidRPr="002009E0">
        <w:rPr>
          <w:rFonts w:ascii="Tahoma" w:eastAsia="Calibri" w:hAnsi="Tahoma" w:cs="Tahoma"/>
          <w:sz w:val="19"/>
          <w:szCs w:val="19"/>
          <w:rtl/>
        </w:rPr>
        <w:t xml:space="preserve">חלק מהרשויות שנבדקו לא התקינו חוקי עזר, ובחלק מהרשויות לא הופעלו חוקי עזר למיצוי פוטנציאל הגבייה שלהן מהתושבים. </w:t>
      </w:r>
    </w:p>
    <w:p w:rsidR="002009E0" w:rsidRPr="002009E0" w:rsidP="002009E0" w14:paraId="2CC0ADCE" w14:textId="77777777">
      <w:pPr>
        <w:spacing w:after="120" w:line="288" w:lineRule="auto"/>
        <w:ind w:left="-851" w:right="-567"/>
        <w:rPr>
          <w:rFonts w:ascii="Tahoma" w:eastAsia="Calibri" w:hAnsi="Tahoma" w:cs="Tahoma"/>
          <w:sz w:val="19"/>
          <w:szCs w:val="19"/>
          <w:rtl/>
        </w:rPr>
      </w:pPr>
      <w:r w:rsidRPr="002009E0">
        <w:rPr>
          <w:rFonts w:ascii="Tahoma" w:eastAsia="Calibri" w:hAnsi="Tahoma" w:cs="Tahoma"/>
          <w:sz w:val="19"/>
          <w:szCs w:val="19"/>
          <w:rtl/>
        </w:rPr>
        <w:t xml:space="preserve">על הרשויות המקומיות בסיוע משרד הפנים להשלים התקנת חוקי עזר בנושאים השונים להגדלת הכנסותיהן העצמיות ולפעול לאכיפתם. על הרשויות המקומיות לבצע סקר נכסים בתחומן מדי חמש שנים, לנוכח חשיבותו הרבה. </w:t>
      </w:r>
    </w:p>
    <w:p w:rsidR="002009E0" w:rsidRPr="002009E0" w:rsidP="002009E0" w14:paraId="76D87221" w14:textId="77777777">
      <w:pPr>
        <w:spacing w:line="288" w:lineRule="auto"/>
        <w:ind w:left="-851" w:right="-567"/>
        <w:rPr>
          <w:rFonts w:ascii="Tahoma" w:eastAsia="Calibri" w:hAnsi="Tahoma" w:cs="Tahoma"/>
          <w:sz w:val="19"/>
          <w:szCs w:val="19"/>
          <w:rtl/>
        </w:rPr>
      </w:pPr>
      <w:r w:rsidRPr="002009E0">
        <w:rPr>
          <w:rFonts w:ascii="Tahoma" w:eastAsia="Calibri" w:hAnsi="Tahoma" w:cs="Tahoma"/>
          <w:sz w:val="19"/>
          <w:szCs w:val="19"/>
          <w:rtl/>
        </w:rPr>
        <w:t>על משרד הפנים לייעל את הליכי קבלת ההחלטות, ובכלל זה לאמץ מנגנון הכולל לוחות זמנים קבועים ומחייבים לטיפול בבקשות לחלוקת הכנסות, כדי למנוע עיכובים ממושכים בין מועד פרסום המלצות הוועדות הגיאוגרפיות למועד קבלתן של החלטות השר. כמו כן, יש לקבוע מנגנוני חלוקת הכנסות מאזורי תעשייה באופן שוויוני ושקוף, תוך מתן משקל מיוחד לרשויות ממעמד חברתי-כלכלי נמוך הזקוקות לתוספת הכנסה</w:t>
      </w:r>
      <w:r w:rsidRPr="002009E0">
        <w:rPr>
          <w:rFonts w:ascii="Tahoma" w:eastAsia="Calibri" w:hAnsi="Tahoma" w:cs="Tahoma"/>
          <w:rtl/>
          <w:lang w:eastAsia="he-IL"/>
        </w:rPr>
        <w:t>.</w:t>
      </w:r>
    </w:p>
    <w:p w:rsidR="002009E0" w:rsidRPr="002009E0" w:rsidP="002009E0" w14:paraId="689F41F7" w14:textId="77777777">
      <w:pPr>
        <w:spacing w:before="120" w:line="288" w:lineRule="auto"/>
        <w:ind w:left="-851" w:right="-567"/>
        <w:rPr>
          <w:rFonts w:ascii="Tahoma" w:eastAsia="Calibri" w:hAnsi="Tahoma" w:cs="Tahoma"/>
          <w:sz w:val="19"/>
          <w:szCs w:val="19"/>
          <w:rtl/>
        </w:rPr>
      </w:pPr>
    </w:p>
    <w:sectPr w:rsidSect="0099692E">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611" w14:paraId="6B590701"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14:paraId="2713A3EC"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611" w:rsidRPr="0062451B" w:rsidP="00512A2D" w14:paraId="6659F29C"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14:paraId="409F2C74" w14:textId="77777777">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14:paraId="041B043E"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14:paraId="5C588223" w14:textId="77777777">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611" w14:paraId="2E6FF640" w14:textId="77777777">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1788160</wp:posOffset>
              </wp:positionH>
              <wp:positionV relativeFrom="paragraph">
                <wp:posOffset>2143125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14:paraId="79CDCB75" w14:textId="77777777">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8.75pt;margin-left:140.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14:paraId="052A6DC3"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14:paraId="47C18265"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14:paraId="4BE7E4BC" w14:textId="77777777">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14:paraId="7A14ED6F"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14:paraId="0FE5ABA5"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503B" w:rsidRPr="0062451B" w:rsidP="00512A2D" w14:paraId="1DB603FA"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14:paraId="6BD56EA1" w14:textId="77777777">
                          <w:pPr>
                            <w:ind w:left="460"/>
                            <w:rPr>
                              <w:rFonts w:ascii="Calibri" w:hAnsi="Calibri" w:cs="Calibri"/>
                              <w:color w:val="002060"/>
                              <w:szCs w:val="20"/>
                              <w:rtl/>
                            </w:rPr>
                          </w:pPr>
                          <w:r w:rsidRPr="00743060">
                            <w:rPr>
                              <w:rFonts w:ascii="Calibri" w:hAnsi="Calibri" w:cs="Calibri"/>
                              <w:color w:val="002060"/>
                              <w:szCs w:val="20"/>
                              <w:rtl/>
                            </w:rPr>
                            <w:t>פערים בהכנסות העצמיות של רשויות מקומיות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743060">
                      <w:rPr>
                        <w:rFonts w:ascii="Calibri" w:hAnsi="Calibri" w:cs="Calibri"/>
                        <w:color w:val="002060"/>
                        <w:szCs w:val="20"/>
                        <w:rtl/>
                      </w:rPr>
                      <w:t>פערים בהכנסות העצמיות של רשויות מקומיות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14:paraId="4492CB12"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14:paraId="6BE5CBAF"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611" w:rsidRPr="006A7477" w:rsidP="006A7477" w14:paraId="5FFA6EC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7477" w:rsidRPr="0062451B" w:rsidP="006A7477" w14:paraId="31B1578F"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14:textId="777777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14:paraId="1968F2E0" w14:textId="77777777">
                    <w:pPr>
                      <w:ind w:left="460"/>
                      <w:rPr>
                        <w:rFonts w:ascii="Calibri" w:hAnsi="Calibri" w:cs="Calibri"/>
                        <w:color w:val="002060"/>
                        <w:szCs w:val="20"/>
                        <w:rtl/>
                      </w:rPr>
                    </w:pP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14:paraId="59432367"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14:paraId="6DFF7045" w14:textId="777777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4</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6A7477" w:rsidRPr="006A7477" w:rsidP="006A7477" w14:paraId="7B78E8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501"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221" w:hanging="360"/>
      </w:pPr>
      <w:rPr>
        <w:rFonts w:ascii="Courier New" w:hAnsi="Courier New" w:cs="Courier New" w:hint="default"/>
      </w:rPr>
    </w:lvl>
    <w:lvl w:ilvl="2" w:tentative="1">
      <w:start w:val="1"/>
      <w:numFmt w:val="bullet"/>
      <w:lvlText w:val=""/>
      <w:lvlJc w:val="left"/>
      <w:pPr>
        <w:ind w:left="1941" w:hanging="360"/>
      </w:pPr>
      <w:rPr>
        <w:rFonts w:ascii="Wingdings" w:hAnsi="Wingdings" w:hint="default"/>
      </w:rPr>
    </w:lvl>
    <w:lvl w:ilvl="3" w:tentative="1">
      <w:start w:val="1"/>
      <w:numFmt w:val="bullet"/>
      <w:lvlText w:val=""/>
      <w:lvlJc w:val="left"/>
      <w:pPr>
        <w:ind w:left="2661" w:hanging="360"/>
      </w:pPr>
      <w:rPr>
        <w:rFonts w:ascii="Symbol" w:hAnsi="Symbol" w:hint="default"/>
      </w:rPr>
    </w:lvl>
    <w:lvl w:ilvl="4" w:tentative="1">
      <w:start w:val="1"/>
      <w:numFmt w:val="bullet"/>
      <w:lvlText w:val="o"/>
      <w:lvlJc w:val="left"/>
      <w:pPr>
        <w:ind w:left="3381" w:hanging="360"/>
      </w:pPr>
      <w:rPr>
        <w:rFonts w:ascii="Courier New" w:hAnsi="Courier New" w:cs="Courier New" w:hint="default"/>
      </w:rPr>
    </w:lvl>
    <w:lvl w:ilvl="5" w:tentative="1">
      <w:start w:val="1"/>
      <w:numFmt w:val="bullet"/>
      <w:lvlText w:val=""/>
      <w:lvlJc w:val="left"/>
      <w:pPr>
        <w:ind w:left="4101" w:hanging="360"/>
      </w:pPr>
      <w:rPr>
        <w:rFonts w:ascii="Wingdings" w:hAnsi="Wingdings" w:hint="default"/>
      </w:rPr>
    </w:lvl>
    <w:lvl w:ilvl="6" w:tentative="1">
      <w:start w:val="1"/>
      <w:numFmt w:val="bullet"/>
      <w:lvlText w:val=""/>
      <w:lvlJc w:val="left"/>
      <w:pPr>
        <w:ind w:left="4821" w:hanging="360"/>
      </w:pPr>
      <w:rPr>
        <w:rFonts w:ascii="Symbol" w:hAnsi="Symbol" w:hint="default"/>
      </w:rPr>
    </w:lvl>
    <w:lvl w:ilvl="7" w:tentative="1">
      <w:start w:val="1"/>
      <w:numFmt w:val="bullet"/>
      <w:lvlText w:val="o"/>
      <w:lvlJc w:val="left"/>
      <w:pPr>
        <w:ind w:left="5541" w:hanging="360"/>
      </w:pPr>
      <w:rPr>
        <w:rFonts w:ascii="Courier New" w:hAnsi="Courier New" w:cs="Courier New" w:hint="default"/>
      </w:rPr>
    </w:lvl>
    <w:lvl w:ilvl="8" w:tentative="1">
      <w:start w:val="1"/>
      <w:numFmt w:val="bullet"/>
      <w:lvlText w:val=""/>
      <w:lvlJc w:val="left"/>
      <w:pPr>
        <w:ind w:left="6261"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stylePaneSortMethod w:val="name"/>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B1102"/>
    <w:rsid w:val="000C7459"/>
    <w:rsid w:val="000E013E"/>
    <w:rsid w:val="000F7725"/>
    <w:rsid w:val="00101D0F"/>
    <w:rsid w:val="001132D6"/>
    <w:rsid w:val="001132E6"/>
    <w:rsid w:val="00113E28"/>
    <w:rsid w:val="00114325"/>
    <w:rsid w:val="00166477"/>
    <w:rsid w:val="001730B0"/>
    <w:rsid w:val="001960B4"/>
    <w:rsid w:val="001A613C"/>
    <w:rsid w:val="001B2821"/>
    <w:rsid w:val="001C057E"/>
    <w:rsid w:val="001C6185"/>
    <w:rsid w:val="001E204F"/>
    <w:rsid w:val="001E31FA"/>
    <w:rsid w:val="002009E0"/>
    <w:rsid w:val="00203604"/>
    <w:rsid w:val="002064F7"/>
    <w:rsid w:val="00240887"/>
    <w:rsid w:val="00256611"/>
    <w:rsid w:val="00263521"/>
    <w:rsid w:val="002873F3"/>
    <w:rsid w:val="002A7D21"/>
    <w:rsid w:val="002C0FD0"/>
    <w:rsid w:val="002C1EE0"/>
    <w:rsid w:val="002C4139"/>
    <w:rsid w:val="00301153"/>
    <w:rsid w:val="00313DEA"/>
    <w:rsid w:val="00323027"/>
    <w:rsid w:val="0037370B"/>
    <w:rsid w:val="0037752E"/>
    <w:rsid w:val="00380052"/>
    <w:rsid w:val="00386E9B"/>
    <w:rsid w:val="0039415D"/>
    <w:rsid w:val="003D61C6"/>
    <w:rsid w:val="003E58C2"/>
    <w:rsid w:val="004779AA"/>
    <w:rsid w:val="004A0385"/>
    <w:rsid w:val="004C63BE"/>
    <w:rsid w:val="004C7D9F"/>
    <w:rsid w:val="004E7DEC"/>
    <w:rsid w:val="004F432E"/>
    <w:rsid w:val="005006C5"/>
    <w:rsid w:val="00512A2D"/>
    <w:rsid w:val="00551B42"/>
    <w:rsid w:val="00551FF7"/>
    <w:rsid w:val="00564095"/>
    <w:rsid w:val="00574579"/>
    <w:rsid w:val="00576D73"/>
    <w:rsid w:val="00580C5C"/>
    <w:rsid w:val="005A021D"/>
    <w:rsid w:val="005A5E03"/>
    <w:rsid w:val="0062451B"/>
    <w:rsid w:val="00634DAD"/>
    <w:rsid w:val="00640B60"/>
    <w:rsid w:val="006457EB"/>
    <w:rsid w:val="006531CB"/>
    <w:rsid w:val="006A7477"/>
    <w:rsid w:val="006D4161"/>
    <w:rsid w:val="006D786C"/>
    <w:rsid w:val="006E1414"/>
    <w:rsid w:val="006F285F"/>
    <w:rsid w:val="0072219B"/>
    <w:rsid w:val="007414C4"/>
    <w:rsid w:val="00743060"/>
    <w:rsid w:val="007474F0"/>
    <w:rsid w:val="00753ADE"/>
    <w:rsid w:val="00773F61"/>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4DE9"/>
    <w:rsid w:val="008567AB"/>
    <w:rsid w:val="00867FC5"/>
    <w:rsid w:val="00892F80"/>
    <w:rsid w:val="008B4F41"/>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7D15"/>
    <w:rsid w:val="00A61AD5"/>
    <w:rsid w:val="00A73038"/>
    <w:rsid w:val="00A76C99"/>
    <w:rsid w:val="00A81EBE"/>
    <w:rsid w:val="00A92970"/>
    <w:rsid w:val="00AC6B95"/>
    <w:rsid w:val="00AF39DD"/>
    <w:rsid w:val="00B00E5C"/>
    <w:rsid w:val="00B4321D"/>
    <w:rsid w:val="00B64C80"/>
    <w:rsid w:val="00B66434"/>
    <w:rsid w:val="00B666B9"/>
    <w:rsid w:val="00B76DC1"/>
    <w:rsid w:val="00B862C0"/>
    <w:rsid w:val="00B96230"/>
    <w:rsid w:val="00BE2DD8"/>
    <w:rsid w:val="00BE68F2"/>
    <w:rsid w:val="00C2305A"/>
    <w:rsid w:val="00C23CC9"/>
    <w:rsid w:val="00C30B3D"/>
    <w:rsid w:val="00C33AE2"/>
    <w:rsid w:val="00C8096C"/>
    <w:rsid w:val="00C8100B"/>
    <w:rsid w:val="00C91050"/>
    <w:rsid w:val="00CA41D2"/>
    <w:rsid w:val="00CA4F20"/>
    <w:rsid w:val="00CE2218"/>
    <w:rsid w:val="00CE3828"/>
    <w:rsid w:val="00D22748"/>
    <w:rsid w:val="00D26918"/>
    <w:rsid w:val="00D37121"/>
    <w:rsid w:val="00D415AE"/>
    <w:rsid w:val="00D779F7"/>
    <w:rsid w:val="00D87542"/>
    <w:rsid w:val="00D95C20"/>
    <w:rsid w:val="00D97C16"/>
    <w:rsid w:val="00DE1DAB"/>
    <w:rsid w:val="00DE20A2"/>
    <w:rsid w:val="00DF0B89"/>
    <w:rsid w:val="00E35682"/>
    <w:rsid w:val="00E46EA3"/>
    <w:rsid w:val="00E51C1B"/>
    <w:rsid w:val="00E53DA7"/>
    <w:rsid w:val="00E57780"/>
    <w:rsid w:val="00E61820"/>
    <w:rsid w:val="00EC6B44"/>
    <w:rsid w:val="00EE37A3"/>
    <w:rsid w:val="00F4385E"/>
    <w:rsid w:val="00F627E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6EA683D"/>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2009E0"/>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TableNormal"/>
    <w:next w:val="TableGrid"/>
    <w:uiPriority w:val="59"/>
    <w:rsid w:val="002009E0"/>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header" Target="header3.xml"/><Relationship Id="rId26" Type="http://schemas.openxmlformats.org/officeDocument/2006/relationships/customXml" Target="../customXml/item3.xml"/><Relationship Id="rId21" Type="http://schemas.openxmlformats.org/officeDocument/2006/relationships/header" Target="header5.xml"/><Relationship Id="rId3" Type="http://schemas.openxmlformats.org/officeDocument/2006/relationships/fontTable" Target="fontTable.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webSettings" Target="webSettings.xml"/><Relationship Id="rId20" Type="http://schemas.openxmlformats.org/officeDocument/2006/relationships/image" Target="media/image14.jpeg"/><Relationship Id="rId1" Type="http://schemas.openxmlformats.org/officeDocument/2006/relationships/settings" Target="setting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2.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4.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507DF7-CA55-4878-93FD-5911BB0CC1B1}">
  <ds:schemaRefs>
    <ds:schemaRef ds:uri="http://schemas.openxmlformats.org/officeDocument/2006/bibliography"/>
  </ds:schemaRefs>
</ds:datastoreItem>
</file>

<file path=customXml/itemProps2.xml><?xml version="1.0" encoding="utf-8"?>
<ds:datastoreItem xmlns:ds="http://schemas.openxmlformats.org/officeDocument/2006/customXml" ds:itemID="{CAD90580-791F-4736-B588-BD600C0DED19}"/>
</file>

<file path=customXml/itemProps3.xml><?xml version="1.0" encoding="utf-8"?>
<ds:datastoreItem xmlns:ds="http://schemas.openxmlformats.org/officeDocument/2006/customXml" ds:itemID="{7840DE21-A6DB-493B-A575-2A55169949E8}"/>
</file>

<file path=customXml/itemProps4.xml><?xml version="1.0" encoding="utf-8"?>
<ds:datastoreItem xmlns:ds="http://schemas.openxmlformats.org/officeDocument/2006/customXml" ds:itemID="{D4EF9075-F0BA-422D-AD84-E7DFAB48507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