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12A2D" w:rsidP="00C34B23">
      <w:pPr>
        <w:spacing w:line="269" w:lineRule="auto"/>
        <w:rPr>
          <w:rFonts w:ascii="Calibri" w:hAnsi="Calibri" w:cs="Calibri" w:hint="cs"/>
          <w:b/>
          <w:bCs/>
          <w:color w:val="002060"/>
          <w:sz w:val="80"/>
          <w:szCs w:val="80"/>
          <w:rtl/>
        </w:rPr>
      </w:pPr>
    </w:p>
    <w:p w:rsidR="00512A2D" w:rsidP="00C34B23">
      <w:pPr>
        <w:spacing w:line="269" w:lineRule="auto"/>
        <w:rPr>
          <w:rFonts w:ascii="Calibri" w:hAnsi="Calibri" w:cs="Calibri"/>
          <w:b/>
          <w:bCs/>
          <w:color w:val="002060"/>
          <w:sz w:val="80"/>
          <w:szCs w:val="80"/>
          <w:rtl/>
        </w:rPr>
      </w:pPr>
    </w:p>
    <w:p w:rsidR="00512A2D" w:rsidP="00C34B23">
      <w:pPr>
        <w:spacing w:line="269" w:lineRule="auto"/>
        <w:rPr>
          <w:rFonts w:ascii="Calibri" w:hAnsi="Calibri" w:cs="Calibri"/>
          <w:b/>
          <w:bCs/>
          <w:color w:val="002060"/>
          <w:sz w:val="80"/>
          <w:szCs w:val="80"/>
          <w:rtl/>
        </w:rPr>
      </w:pPr>
    </w:p>
    <w:p w:rsidR="00512A2D" w:rsidP="00C34B23">
      <w:pPr>
        <w:spacing w:line="269" w:lineRule="auto"/>
        <w:rPr>
          <w:rFonts w:ascii="Calibri" w:hAnsi="Calibri" w:cs="Calibri"/>
          <w:b/>
          <w:bCs/>
          <w:color w:val="002060"/>
          <w:sz w:val="80"/>
          <w:szCs w:val="80"/>
          <w:rtl/>
        </w:rPr>
      </w:pPr>
    </w:p>
    <w:p w:rsidR="006E1414" w:rsidP="00C34B23">
      <w:pPr>
        <w:spacing w:line="269" w:lineRule="auto"/>
        <w:ind w:left="-285"/>
        <w:jc w:val="center"/>
        <w:rPr>
          <w:rFonts w:ascii="Calibri" w:hAnsi="Calibri" w:cs="Calibri"/>
          <w:b/>
          <w:bCs/>
          <w:color w:val="002060"/>
          <w:sz w:val="80"/>
          <w:szCs w:val="80"/>
          <w:rtl/>
        </w:rPr>
      </w:pPr>
      <w:r w:rsidRPr="00DC5B13">
        <w:rPr>
          <w:rFonts w:ascii="Calibri" w:hAnsi="Calibri" w:cs="Calibri"/>
          <w:b/>
          <w:bCs/>
          <w:color w:val="002060"/>
          <w:sz w:val="80"/>
          <w:szCs w:val="80"/>
          <w:rtl/>
        </w:rPr>
        <w:t>תכנון וקידום של התחדשות עירונית ברשויות המקומיות</w:t>
      </w:r>
    </w:p>
    <w:p w:rsidR="006E1414" w:rsidP="00C34B23">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RPr="00151194" w:rsidP="00C34B23">
      <w:pPr>
        <w:tabs>
          <w:tab w:val="left" w:pos="1020"/>
        </w:tabs>
        <w:spacing w:line="269" w:lineRule="auto"/>
        <w:jc w:val="left"/>
        <w:rPr>
          <w:rFonts w:ascii="Calibri" w:hAnsi="Calibri" w:cs="Times New Roman"/>
          <w:color w:val="002060"/>
          <w:sz w:val="22"/>
          <w:szCs w:val="22"/>
          <w:rtl/>
        </w:rPr>
        <w:sectPr w:rsidSect="0099692E">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DC5B13" w:rsidRPr="00DC5B13" w:rsidP="00C34B23">
      <w:pPr>
        <w:keepNext/>
        <w:keepLines/>
        <w:spacing w:line="269" w:lineRule="auto"/>
        <w:jc w:val="center"/>
        <w:outlineLvl w:val="0"/>
        <w:rPr>
          <w:rFonts w:eastAsia="Times New Roman"/>
          <w:bCs/>
          <w:szCs w:val="36"/>
          <w:u w:val="single"/>
          <w:rtl/>
        </w:rPr>
      </w:pPr>
      <w:r w:rsidRPr="00DC5B13">
        <w:rPr>
          <w:rFonts w:eastAsia="Times New Roman" w:hint="cs"/>
          <w:bCs/>
          <w:szCs w:val="36"/>
          <w:u w:val="single"/>
          <w:rtl/>
        </w:rPr>
        <w:t xml:space="preserve">תכנון וקידום </w:t>
      </w:r>
      <w:r w:rsidRPr="00DC5B13">
        <w:rPr>
          <w:rFonts w:eastAsia="Times New Roman" w:hint="eastAsia"/>
          <w:bCs/>
          <w:szCs w:val="36"/>
          <w:u w:val="single"/>
          <w:rtl/>
        </w:rPr>
        <w:t>של</w:t>
      </w:r>
      <w:r w:rsidRPr="00DC5B13">
        <w:rPr>
          <w:rFonts w:eastAsia="Times New Roman" w:hint="cs"/>
          <w:bCs/>
          <w:szCs w:val="36"/>
          <w:u w:val="single"/>
          <w:rtl/>
        </w:rPr>
        <w:t xml:space="preserve"> התחדשות עירונית ברשויות המקומיות</w:t>
      </w:r>
    </w:p>
    <w:p w:rsidR="00151194" w:rsidRPr="00151194" w:rsidP="00151194">
      <w:pPr>
        <w:spacing w:line="269" w:lineRule="auto"/>
        <w:rPr>
          <w:rFonts w:eastAsia="Calibri"/>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bCs/>
          <w:szCs w:val="28"/>
          <w:u w:val="single"/>
          <w:rtl/>
        </w:rPr>
        <w:t xml:space="preserve">מבוא </w:t>
      </w:r>
    </w:p>
    <w:p w:rsidR="00DC5B13" w:rsidRPr="00DC5B13" w:rsidP="00C34B23">
      <w:pPr>
        <w:keepNext/>
        <w:keepLines/>
        <w:spacing w:line="269" w:lineRule="auto"/>
        <w:ind w:left="-567"/>
        <w:rPr>
          <w:rFonts w:eastAsia="Calibri"/>
          <w:szCs w:val="20"/>
        </w:rPr>
      </w:pPr>
    </w:p>
    <w:p w:rsidR="00DC5B13" w:rsidRPr="00DC5B13" w:rsidP="00C34B23">
      <w:pPr>
        <w:spacing w:line="269" w:lineRule="auto"/>
        <w:rPr>
          <w:rFonts w:eastAsia="Calibri"/>
          <w:rtl/>
        </w:rPr>
      </w:pPr>
      <w:bookmarkStart w:id="0" w:name="_Hlk213837165"/>
      <w:r w:rsidRPr="00DC5B13">
        <w:rPr>
          <w:rFonts w:eastAsia="Calibri"/>
          <w:rtl/>
        </w:rPr>
        <w:t>התחדשות עירונית נתפסת ככלי מדיניות רב-עוצמה הטומן בחובו אפשרות להשגת מטרות בתחומים שונים - המרחב, הכלכלה והחברה - ובראשן תוספת של יחידות דיור במרקמים העירוניים הקיימים, שנבנו בעבר בצפיפות נמוכה יחסית, ובתוך כך מתאפשר ייעול השימוש בקרקע</w:t>
      </w:r>
      <w:r>
        <w:rPr>
          <w:rFonts w:eastAsia="Calibri"/>
          <w:vertAlign w:val="superscript"/>
          <w:rtl/>
        </w:rPr>
        <w:footnoteReference w:id="2"/>
      </w:r>
      <w:r w:rsidRPr="00DC5B13">
        <w:rPr>
          <w:rFonts w:eastAsia="Calibri"/>
          <w:rtl/>
        </w:rPr>
        <w:t xml:space="preserve">. ההתחדשות העירונית בישראל היא כלי אסטרטגי מרכזי בתחום התכנון והבנייה, בייחוד לנוכח הגידול המהיר של האוכלוסייה ולנוכח הצורך הגובר בפתרונות דיור איכותיים וממוגנים. </w:t>
      </w:r>
    </w:p>
    <w:p w:rsidR="00DC5B13" w:rsidRPr="00DC5B13" w:rsidP="00C34B23">
      <w:pPr>
        <w:keepNext/>
        <w:keepLines/>
        <w:spacing w:line="269" w:lineRule="auto"/>
        <w:ind w:left="-567"/>
        <w:rPr>
          <w:rFonts w:eastAsia="Calibri"/>
          <w:szCs w:val="20"/>
          <w:rtl/>
        </w:rPr>
      </w:pPr>
    </w:p>
    <w:p w:rsidR="00DC5B13" w:rsidRPr="00DC5B13" w:rsidP="00C34B23">
      <w:pPr>
        <w:spacing w:line="269" w:lineRule="auto"/>
        <w:rPr>
          <w:rFonts w:eastAsia="Calibri"/>
          <w:szCs w:val="20"/>
          <w:rtl/>
        </w:rPr>
      </w:pPr>
      <w:r w:rsidRPr="00DC5B13">
        <w:rPr>
          <w:rFonts w:eastAsia="Calibri"/>
          <w:rtl/>
        </w:rPr>
        <w:t>במסגרת המיזמים</w:t>
      </w:r>
      <w:r>
        <w:rPr>
          <w:rFonts w:eastAsia="Calibri"/>
          <w:vertAlign w:val="superscript"/>
          <w:rtl/>
        </w:rPr>
        <w:footnoteReference w:id="3"/>
      </w:r>
      <w:r w:rsidRPr="00DC5B13">
        <w:rPr>
          <w:rFonts w:eastAsia="Calibri"/>
          <w:rtl/>
        </w:rPr>
        <w:t xml:space="preserve"> להתחדשות עירונית מתווספות יחידות דיור (יח"ד) חדשות ליחידות הקיימות. התוספת מושגת לעיתים באמצעות חיזוק ועיבוי של מבנים קיימים או באמצעות פינוי של מבנים קיימים, הריסתם ובניית מבנים חדשים במקומם, וזאת מבלי להטיל את עלויות השיפוץ והבנייה על בעלי הדירות</w:t>
      </w:r>
      <w:r w:rsidRPr="00DC5B13">
        <w:rPr>
          <w:rFonts w:eastAsia="Calibri" w:hint="cs"/>
          <w:rtl/>
        </w:rPr>
        <w:t xml:space="preserve"> - וזאת על ידי </w:t>
      </w:r>
      <w:r w:rsidRPr="00DC5B13">
        <w:rPr>
          <w:rFonts w:eastAsia="Calibri"/>
          <w:rtl/>
        </w:rPr>
        <w:t>יצירת כדאיות כלכלית לקידום המיזם</w:t>
      </w:r>
      <w:r w:rsidRPr="00DC5B13">
        <w:rPr>
          <w:rFonts w:eastAsia="Calibri" w:hint="cs"/>
          <w:rtl/>
        </w:rPr>
        <w:t xml:space="preserve"> באמצעות</w:t>
      </w:r>
      <w:r w:rsidRPr="00DC5B13">
        <w:rPr>
          <w:rFonts w:eastAsia="Calibri"/>
          <w:rtl/>
        </w:rPr>
        <w:t xml:space="preserve"> תוספת יחידות דיור. התחדשות עירונית עשויה להתבצע במבנה יחיד</w:t>
      </w:r>
      <w:r>
        <w:rPr>
          <w:rFonts w:eastAsia="Calibri"/>
          <w:vertAlign w:val="superscript"/>
          <w:rtl/>
        </w:rPr>
        <w:footnoteReference w:id="4"/>
      </w:r>
      <w:r w:rsidRPr="00DC5B13">
        <w:rPr>
          <w:rFonts w:eastAsia="Calibri"/>
          <w:rtl/>
        </w:rPr>
        <w:t xml:space="preserve"> או במתחם הכולל כמה מבנים</w:t>
      </w:r>
      <w:r w:rsidRPr="00DC5B13">
        <w:rPr>
          <w:rFonts w:eastAsia="Calibri" w:hint="cs"/>
          <w:rtl/>
        </w:rPr>
        <w:t>.</w:t>
      </w:r>
      <w:r w:rsidRPr="00DC5B13">
        <w:rPr>
          <w:rFonts w:eastAsia="Calibri"/>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rtl/>
        </w:rPr>
        <w:t xml:space="preserve">בשל מאפייניה הגיאו-פיזיים והגיאו-פוליטיים המיוחדים של מדינת ישראל, לתהליכי ההתחדשות העירונית נועדו תפקידים לאומיים נוספים על </w:t>
      </w:r>
      <w:r w:rsidRPr="00DC5B13">
        <w:rPr>
          <w:rFonts w:eastAsia="Calibri" w:hint="cs"/>
          <w:rtl/>
        </w:rPr>
        <w:t>ה</w:t>
      </w:r>
      <w:r w:rsidRPr="00DC5B13">
        <w:rPr>
          <w:rFonts w:eastAsia="Calibri"/>
          <w:rtl/>
        </w:rPr>
        <w:t>חידוש ו</w:t>
      </w:r>
      <w:r w:rsidRPr="00DC5B13">
        <w:rPr>
          <w:rFonts w:eastAsia="Calibri" w:hint="cs"/>
          <w:rtl/>
        </w:rPr>
        <w:t>ה</w:t>
      </w:r>
      <w:r w:rsidRPr="00DC5B13">
        <w:rPr>
          <w:rFonts w:eastAsia="Calibri"/>
          <w:rtl/>
        </w:rPr>
        <w:t xml:space="preserve">פיתוח </w:t>
      </w:r>
      <w:r w:rsidRPr="00DC5B13">
        <w:rPr>
          <w:rFonts w:eastAsia="Calibri" w:hint="cs"/>
          <w:rtl/>
        </w:rPr>
        <w:t xml:space="preserve">של </w:t>
      </w:r>
      <w:r w:rsidRPr="00DC5B13">
        <w:rPr>
          <w:rFonts w:eastAsia="Calibri"/>
          <w:rtl/>
        </w:rPr>
        <w:t>המרחב העירוני והגדלת היצע הדיור כגון הגברת מוכנותם ועמידותם של מבני מגורים ותשתיות עירוניות מול אסונות טבע כמו רעידות אדמה, ומול איומי מלחמה שיש להגן על העורף מפניהם, למשל ירי טילים</w:t>
      </w:r>
      <w:r>
        <w:rPr>
          <w:rFonts w:eastAsia="Calibri"/>
          <w:vertAlign w:val="superscript"/>
          <w:rtl/>
        </w:rPr>
        <w:footnoteReference w:id="5"/>
      </w:r>
      <w:r w:rsidRPr="00DC5B13">
        <w:rPr>
          <w:rFonts w:eastAsia="Calibri"/>
          <w:rtl/>
        </w:rPr>
        <w:t>.</w:t>
      </w:r>
      <w:r w:rsidRPr="00DC5B13">
        <w:rPr>
          <w:rFonts w:eastAsia="Calibri" w:hint="cs"/>
          <w:rtl/>
        </w:rPr>
        <w:t xml:space="preserve">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eastAsia"/>
          <w:rtl/>
        </w:rPr>
        <w:t>מבצע</w:t>
      </w:r>
      <w:r w:rsidRPr="00DC5B13">
        <w:rPr>
          <w:rFonts w:eastAsia="Calibri"/>
          <w:rtl/>
        </w:rPr>
        <w:t xml:space="preserve"> "עם כלביא"</w:t>
      </w:r>
      <w:r w:rsidRPr="00DC5B13">
        <w:rPr>
          <w:rFonts w:eastAsia="Calibri" w:hint="cs"/>
          <w:rtl/>
        </w:rPr>
        <w:t>, שהיה ביוני 2025</w:t>
      </w:r>
      <w:r w:rsidRPr="00DC5B13">
        <w:rPr>
          <w:rFonts w:eastAsia="Calibri"/>
          <w:rtl/>
        </w:rPr>
        <w:t xml:space="preserve">, העלה על סדר היום את סוגיית ההתחדשות של </w:t>
      </w:r>
      <w:r w:rsidRPr="00DC5B13">
        <w:rPr>
          <w:rFonts w:eastAsia="Calibri" w:hint="cs"/>
          <w:rtl/>
        </w:rPr>
        <w:t>ה</w:t>
      </w:r>
      <w:r w:rsidRPr="00DC5B13">
        <w:rPr>
          <w:rFonts w:eastAsia="Calibri"/>
          <w:rtl/>
        </w:rPr>
        <w:t xml:space="preserve">אזורים שנפגעו </w:t>
      </w:r>
      <w:r w:rsidRPr="00DC5B13">
        <w:rPr>
          <w:rFonts w:eastAsia="Calibri" w:hint="cs"/>
          <w:rtl/>
        </w:rPr>
        <w:t xml:space="preserve">במהלכו </w:t>
      </w:r>
      <w:r w:rsidRPr="00DC5B13">
        <w:rPr>
          <w:rFonts w:eastAsia="Calibri"/>
          <w:rtl/>
        </w:rPr>
        <w:t>מירי טילים</w:t>
      </w:r>
      <w:r w:rsidRPr="00DC5B13">
        <w:rPr>
          <w:rFonts w:eastAsia="Calibri" w:hint="cs"/>
          <w:rtl/>
        </w:rPr>
        <w:t>.</w:t>
      </w:r>
      <w:r w:rsidRPr="00DC5B13">
        <w:rPr>
          <w:rFonts w:eastAsia="Calibri"/>
          <w:rtl/>
        </w:rPr>
        <w:t xml:space="preserve"> </w:t>
      </w:r>
      <w:r w:rsidRPr="00DC5B13">
        <w:rPr>
          <w:rFonts w:eastAsia="Calibri" w:hint="cs"/>
          <w:rtl/>
        </w:rPr>
        <w:t xml:space="preserve">במועד סיום הביקורת מקודמת </w:t>
      </w:r>
      <w:r w:rsidRPr="00DC5B13">
        <w:rPr>
          <w:rFonts w:eastAsia="Calibri" w:hint="eastAsia"/>
          <w:rtl/>
        </w:rPr>
        <w:t>הצעת</w:t>
      </w:r>
      <w:r w:rsidRPr="00DC5B13">
        <w:rPr>
          <w:rFonts w:eastAsia="Calibri"/>
          <w:rtl/>
        </w:rPr>
        <w:t xml:space="preserve"> </w:t>
      </w:r>
      <w:r w:rsidRPr="00DC5B13">
        <w:rPr>
          <w:rFonts w:eastAsia="Calibri" w:hint="eastAsia"/>
          <w:rtl/>
        </w:rPr>
        <w:t>חוק</w:t>
      </w:r>
      <w:r w:rsidRPr="00DC5B13">
        <w:rPr>
          <w:rFonts w:eastAsia="Calibri"/>
          <w:rtl/>
        </w:rPr>
        <w:t xml:space="preserve"> </w:t>
      </w:r>
      <w:r w:rsidRPr="00DC5B13">
        <w:rPr>
          <w:rFonts w:eastAsia="Calibri" w:hint="cs"/>
          <w:rtl/>
        </w:rPr>
        <w:t xml:space="preserve">לייסוד הליך יעיל לשיקום המבנים, </w:t>
      </w:r>
      <w:r w:rsidRPr="00DC5B13">
        <w:rPr>
          <w:rFonts w:eastAsia="Calibri"/>
          <w:rtl/>
        </w:rPr>
        <w:t xml:space="preserve">מתוך הבנה כי הדרך האפקטיבית והישימה לשיקומם </w:t>
      </w:r>
      <w:r w:rsidRPr="00DC5B13">
        <w:rPr>
          <w:rFonts w:eastAsia="Calibri" w:hint="cs"/>
          <w:rtl/>
        </w:rPr>
        <w:t xml:space="preserve">של המבנים שנפגעו </w:t>
      </w:r>
      <w:r w:rsidRPr="00DC5B13">
        <w:rPr>
          <w:rFonts w:eastAsia="Calibri"/>
          <w:rtl/>
        </w:rPr>
        <w:t xml:space="preserve">היא באמצעות התחדשות עירונית, שתאפשר לתושבים לשוב </w:t>
      </w:r>
      <w:r w:rsidRPr="00DC5B13">
        <w:rPr>
          <w:rFonts w:eastAsia="Calibri" w:hint="cs"/>
          <w:rtl/>
        </w:rPr>
        <w:t>ו</w:t>
      </w:r>
      <w:r w:rsidRPr="00DC5B13">
        <w:rPr>
          <w:rFonts w:eastAsia="Calibri"/>
          <w:rtl/>
        </w:rPr>
        <w:t>להתגורר בסביבתם, בבניינים בטוחים מחודשים ומחוזקים וב</w:t>
      </w:r>
      <w:r w:rsidRPr="00DC5B13">
        <w:rPr>
          <w:rFonts w:eastAsia="Calibri" w:hint="cs"/>
          <w:rtl/>
        </w:rPr>
        <w:t xml:space="preserve">ה בעת </w:t>
      </w:r>
      <w:r w:rsidRPr="00DC5B13">
        <w:rPr>
          <w:rFonts w:eastAsia="Calibri"/>
          <w:rtl/>
        </w:rPr>
        <w:t xml:space="preserve">לתרום </w:t>
      </w:r>
      <w:r w:rsidRPr="00DC5B13">
        <w:rPr>
          <w:rFonts w:eastAsia="Calibri" w:hint="cs"/>
          <w:rtl/>
        </w:rPr>
        <w:t>רבות</w:t>
      </w:r>
      <w:r w:rsidRPr="00DC5B13">
        <w:rPr>
          <w:rFonts w:eastAsia="Calibri"/>
          <w:rtl/>
        </w:rPr>
        <w:t xml:space="preserve"> להתחדשות המרחב העירוני, תוך מתן מענה טוב יותר לצ</w:t>
      </w:r>
      <w:r w:rsidRPr="00DC5B13">
        <w:rPr>
          <w:rFonts w:eastAsia="Calibri" w:hint="cs"/>
          <w:rtl/>
        </w:rPr>
        <w:t>ו</w:t>
      </w:r>
      <w:r w:rsidRPr="00DC5B13">
        <w:rPr>
          <w:rFonts w:eastAsia="Calibri"/>
          <w:rtl/>
        </w:rPr>
        <w:t xml:space="preserve">רכי </w:t>
      </w:r>
      <w:r w:rsidRPr="00DC5B13">
        <w:rPr>
          <w:rFonts w:eastAsia="Calibri" w:hint="cs"/>
          <w:rtl/>
        </w:rPr>
        <w:t>ה</w:t>
      </w:r>
      <w:r w:rsidRPr="00DC5B13">
        <w:rPr>
          <w:rFonts w:eastAsia="Calibri"/>
          <w:rtl/>
        </w:rPr>
        <w:t>ציבור וחיזוק הפעילות הכלכלית במרכזי הערים שנפגעו</w:t>
      </w:r>
      <w:r>
        <w:rPr>
          <w:rFonts w:eastAsia="Calibri"/>
          <w:vertAlign w:val="superscript"/>
          <w:rtl/>
        </w:rPr>
        <w:footnoteReference w:id="6"/>
      </w:r>
      <w:r w:rsidRPr="00DC5B13">
        <w:rPr>
          <w:rFonts w:eastAsia="Calibri"/>
          <w:rtl/>
        </w:rPr>
        <w:t xml:space="preserve">. </w:t>
      </w:r>
    </w:p>
    <w:p w:rsidR="00DC5B13" w:rsidRPr="00DC5B13" w:rsidP="00C34B23">
      <w:pPr>
        <w:keepNext/>
        <w:keepLines/>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rtl/>
        </w:rPr>
        <w:t>להתחדשות העירונית יתרונות רבים: תוספת יחידות דיור במקומות שבהם עתודת הקרקעות נמוכה; ייעול השימוש בקרקע; שמירה על השטחים הפתוחים; חידוש פני העיר ושיפור תנאי המחיה של הדיירים, כמפורט בתרשים שלהלן.</w:t>
      </w:r>
    </w:p>
    <w:p w:rsidR="00DC5B13" w:rsidRPr="00DC5B13" w:rsidP="00C34B23">
      <w:pPr>
        <w:spacing w:line="269" w:lineRule="auto"/>
        <w:jc w:val="center"/>
        <w:rPr>
          <w:rFonts w:eastAsia="Calibri"/>
          <w:rtl/>
        </w:rPr>
      </w:pPr>
      <w:r w:rsidRPr="00DC5B13">
        <w:rPr>
          <w:rFonts w:eastAsia="Calibri"/>
          <w:rtl/>
        </w:rPr>
        <w:t xml:space="preserve">תרשים 1: </w:t>
      </w:r>
      <w:r w:rsidRPr="00DC5B13">
        <w:rPr>
          <w:rFonts w:eastAsia="Calibri"/>
          <w:b/>
          <w:bCs/>
          <w:rtl/>
        </w:rPr>
        <w:t>היתרונות של תהליכי ההתחדשות העירונית</w:t>
      </w:r>
      <w:r>
        <w:rPr>
          <w:rFonts w:eastAsia="Calibri"/>
          <w:vertAlign w:val="superscript"/>
          <w:rtl/>
        </w:rPr>
        <w:footnoteReference w:id="7"/>
      </w:r>
      <w:r w:rsidRPr="00DC5B13">
        <w:rPr>
          <w:rFonts w:eastAsia="Calibri"/>
          <w:noProof/>
        </w:rPr>
        <w:drawing>
          <wp:anchor distT="0" distB="0" distL="114300" distR="114300" simplePos="0" relativeHeight="251680768" behindDoc="0" locked="0" layoutInCell="1" allowOverlap="1">
            <wp:simplePos x="0" y="0"/>
            <wp:positionH relativeFrom="column">
              <wp:align>center</wp:align>
            </wp:positionH>
            <wp:positionV relativeFrom="paragraph">
              <wp:posOffset>191770</wp:posOffset>
            </wp:positionV>
            <wp:extent cx="5220000" cy="3754800"/>
            <wp:effectExtent l="0" t="0" r="0" b="0"/>
            <wp:wrapTopAndBottom/>
            <wp:docPr id="18" name="תמונה 18" descr="תרשים &quot;שמש&quot; המפרט את היתרונות של תהליכי ההתחדשות העירונית, מעבר למתואר בפסקה הקודמת לו. &#10;1. צפיפות אוכלוסין: מענה לבעיות של צפיפות אוכלוסין ומצוקות דיור.&#10;2. צמצום פערים חברתיים: צמצום הפערים החברתיים באמצעות השבחת נכסים.&#10;3. שיפור חזותי: שיפור ואיכות המרחב הציבורי חזות פני העיר. &#10;4. חוסן לאומי: הגברת ביטחון התושבים במצבי חירום.&#10;5. חיזוק מבנים: חיזוק מבנים ישנים ומבנים מסוכנים לשיפור הבטיחות.&#10;6. שיפור תשתיות: שדרוג תשתיות ישנות לשיפור תפקוד מערך השירותים העירוני.&#10;7. ייעול השימוש במשאב הקרקע: ניצול מיטבי של משאב הקרקע להפחתת הפגיעה בשטחים פתו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754800"/>
                    </a:xfrm>
                    <a:prstGeom prst="rect">
                      <a:avLst/>
                    </a:prstGeom>
                    <a:noFill/>
                  </pic:spPr>
                </pic:pic>
              </a:graphicData>
            </a:graphic>
            <wp14:sizeRelH relativeFrom="margin">
              <wp14:pctWidth>0</wp14:pctWidth>
            </wp14:sizeRelH>
            <wp14:sizeRelV relativeFrom="margin">
              <wp14:pctHeight>0</wp14:pctHeight>
            </wp14:sizeRelV>
          </wp:anchor>
        </w:drawing>
      </w:r>
    </w:p>
    <w:p w:rsidR="00DC5B13" w:rsidRPr="00DC5B13" w:rsidP="00C34B23">
      <w:pPr>
        <w:keepNext/>
        <w:keepLines/>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rtl/>
        </w:rPr>
        <w:t xml:space="preserve">בהתחדשות העירונית בישראל היו כמה שלבים מרכזיים לאורך השנים הן במדיניות והן באסדרה. לאחר קום המדינה נקטה הממשלה מדיניות של שיקום אזורים מתיישנים דרך פעולות מדינתיות כפויות, שהקנו למדינה סמכויות לפנות דיירים משכונות שהוגדרו כ"משכנות עוני" או כשכונות המסכנות את דייריהן. בשנות השבעים והשמונים של המאה העשרים אומץ המודל של "שיקום שכונות", שבו הוזרמו תקציבים ציבוריים לשיקום פיזי וחברתי, ללא מעורבות של יזמים פרטיים. </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לקראת סוף שנות השמונים השתנתה הגישה והוחל המודל של "התחדשות עירונית" המוכר כיום והמתבסס על עסקאות בין בעלי דירות לבין יזמים, תוך הענקת זכויות בנייה נוספות לבעלי הדירות, שהעבירו את דירותיהם הישנות ליזמים בתמורה לדירות חדשות. אסדרה זו צמצמה את המעורבות הישירה של המדינה בתהליך</w:t>
      </w:r>
      <w:r>
        <w:rPr>
          <w:rFonts w:eastAsia="Calibri"/>
          <w:sz w:val="16"/>
          <w:vertAlign w:val="superscript"/>
          <w:rtl/>
        </w:rPr>
        <w:footnoteReference w:id="8"/>
      </w:r>
      <w:r w:rsidRPr="00DC5B13">
        <w:rPr>
          <w:rFonts w:eastAsia="Calibri"/>
          <w:rtl/>
        </w:rPr>
        <w:t>.</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תהליכי התחדשות עירונית עשויים להתממש רק אם מושגת הסכמה של בעלי הדירות הקיימות בבניינים המתחדשים, שהם בעלי זכויות קנייניות בקרקע</w:t>
      </w:r>
      <w:r>
        <w:rPr>
          <w:rFonts w:eastAsia="Calibri"/>
          <w:vertAlign w:val="superscript"/>
          <w:rtl/>
        </w:rPr>
        <w:footnoteReference w:id="9"/>
      </w:r>
      <w:r w:rsidRPr="00DC5B13">
        <w:rPr>
          <w:rFonts w:eastAsia="Calibri"/>
          <w:rtl/>
        </w:rPr>
        <w:t>. כמו כן יש צורך בשיתוף פעולה ובהסכמות של גורמים נוספים ובהם הרשויות המקומיות שבתחומן תתבצע ההתחדשות העירונית ויזמים פרטיים - שהם הגורם המוציא לפועל את תוכניות ההתחדשות, וכאמור בעלי הדירות, שההתחדשות תספק להם נכס באיכות גבוהה מזו שהייתה לו ואשר תשביח את ערכו.</w:t>
      </w:r>
      <w:r w:rsidRPr="00DC5B13">
        <w:rPr>
          <w:rFonts w:eastAsia="Calibri" w:hint="cs"/>
        </w:rPr>
        <w:t xml:space="preserve"> </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לרשויות המקומיות תפקיד מקיף ומרכזי בקידום ובניהול של תהליכי ההתחדשות העירונית בתחומן. בין היתר באפשרותן ליזום</w:t>
      </w:r>
      <w:r w:rsidRPr="00DC5B13">
        <w:rPr>
          <w:rFonts w:eastAsia="Calibri" w:hint="cs"/>
          <w:rtl/>
        </w:rPr>
        <w:t xml:space="preserve"> </w:t>
      </w:r>
      <w:r w:rsidRPr="00DC5B13">
        <w:rPr>
          <w:rFonts w:eastAsia="Calibri"/>
          <w:rtl/>
        </w:rPr>
        <w:t>מיזמים של התחדשות עירונית במסלול רשויות מקומיות</w:t>
      </w:r>
      <w:r>
        <w:rPr>
          <w:rFonts w:eastAsia="Calibri"/>
          <w:vertAlign w:val="superscript"/>
          <w:rtl/>
        </w:rPr>
        <w:footnoteReference w:id="10"/>
      </w:r>
      <w:r w:rsidRPr="00DC5B13">
        <w:rPr>
          <w:rFonts w:eastAsia="Calibri"/>
          <w:rtl/>
        </w:rPr>
        <w:t xml:space="preserve"> (ראו להלן); באפשרותן להכין מסמכי מדיניות הנוגעים להתחדשות עירונית (ראו להלן - תת-הפרק </w:t>
      </w:r>
      <w:r w:rsidRPr="00DC5B13">
        <w:rPr>
          <w:rFonts w:eastAsia="Calibri" w:hint="cs"/>
          <w:rtl/>
        </w:rPr>
        <w:t>"</w:t>
      </w:r>
      <w:r w:rsidRPr="00DC5B13">
        <w:rPr>
          <w:rFonts w:eastAsia="Calibri"/>
          <w:rtl/>
        </w:rPr>
        <w:t>מסמכי מדיניות</w:t>
      </w:r>
      <w:r w:rsidRPr="00DC5B13">
        <w:rPr>
          <w:rFonts w:eastAsia="Calibri" w:hint="cs"/>
          <w:rtl/>
        </w:rPr>
        <w:t xml:space="preserve"> להתחדשות עירונית"</w:t>
      </w:r>
      <w:r w:rsidRPr="00DC5B13">
        <w:rPr>
          <w:rFonts w:eastAsia="Calibri"/>
          <w:rtl/>
        </w:rPr>
        <w:t xml:space="preserve">), והן הגורם שיספק תשתיות ושירותים כגון חינוך, </w:t>
      </w:r>
      <w:r w:rsidRPr="00DC5B13">
        <w:rPr>
          <w:rFonts w:eastAsia="Calibri"/>
          <w:rtl/>
        </w:rPr>
        <w:t>תחבורה ופינוי אשפה לדיירים החדשים שיתגוררו בבניינים שהוקמו במיזמים של ההתחדשות העירונית.</w:t>
      </w:r>
      <w:r w:rsidRPr="00DC5B13">
        <w:rPr>
          <w:rFonts w:eastAsia="Calibri" w:hint="cs"/>
          <w:rtl/>
        </w:rPr>
        <w:t xml:space="preserve"> הוועדות המקומיות לתכנון ולבנייה שלצד הרשויות המקומיות מוסמכות בחלקן לקדם ולאשר תוכניות מפורטות לפינוי בינוי, ומתפקידן להכין תוכניות כוללות להתחדשות עירונית בתחום מרחבי התכנון שלהן.</w:t>
      </w:r>
    </w:p>
    <w:p w:rsidR="00DC5B13" w:rsidRPr="00DC5B13" w:rsidP="00C34B23">
      <w:pPr>
        <w:spacing w:line="269" w:lineRule="auto"/>
        <w:rPr>
          <w:rFonts w:eastAsia="Calibri"/>
          <w:rtl/>
        </w:rPr>
      </w:pPr>
    </w:p>
    <w:p w:rsidR="00DC5B13" w:rsidP="00C34B23">
      <w:pPr>
        <w:spacing w:line="269" w:lineRule="auto"/>
        <w:rPr>
          <w:rFonts w:eastAsia="Calibri"/>
          <w:rtl/>
        </w:rPr>
      </w:pPr>
      <w:r w:rsidRPr="00DC5B13">
        <w:rPr>
          <w:rFonts w:eastAsia="Calibri"/>
          <w:rtl/>
        </w:rPr>
        <w:t>בשנת 2016 נחקק חוק הרשות הממשלתית להתחדשות עירונית, התשע"ו-2016 (להלן - חוק הרשות להתחדשות) שנועד לקדם פעילות להתחדשות עירונית בכל רחבי הארץ. מכוחו הוקמה הרשות הממשלתית להתחדשות עירונית (להלן - הרשות להתחדשות) הכפופה למשרד הבינוי והשיכון (להלן - משרד השיכון), ותפקידה לרכז את תחום ההתחדשות העירונית בישראל (ראו להלן בפרק "הגורמים המעורבים</w:t>
      </w:r>
      <w:r w:rsidRPr="00DC5B13">
        <w:rPr>
          <w:rFonts w:eastAsia="Calibri" w:hint="cs"/>
          <w:rtl/>
        </w:rPr>
        <w:t xml:space="preserve"> בתכנון</w:t>
      </w:r>
      <w:r w:rsidRPr="00DC5B13">
        <w:rPr>
          <w:rFonts w:eastAsia="Calibri"/>
          <w:rtl/>
        </w:rPr>
        <w:t xml:space="preserve"> </w:t>
      </w:r>
      <w:r w:rsidRPr="00DC5B13">
        <w:rPr>
          <w:rFonts w:eastAsia="Calibri" w:hint="cs"/>
          <w:rtl/>
        </w:rPr>
        <w:t>ה</w:t>
      </w:r>
      <w:r w:rsidRPr="00DC5B13">
        <w:rPr>
          <w:rFonts w:eastAsia="Calibri"/>
          <w:rtl/>
        </w:rPr>
        <w:t>התחדשות עירונית בישראל</w:t>
      </w:r>
      <w:r w:rsidRPr="00DC5B13">
        <w:rPr>
          <w:rFonts w:eastAsia="Calibri" w:hint="cs"/>
          <w:rtl/>
        </w:rPr>
        <w:t xml:space="preserve"> ובקידומה</w:t>
      </w:r>
      <w:r w:rsidRPr="00DC5B13">
        <w:rPr>
          <w:rFonts w:eastAsia="Calibri"/>
          <w:rtl/>
        </w:rPr>
        <w:t>").</w:t>
      </w:r>
      <w:bookmarkEnd w:id="0"/>
    </w:p>
    <w:p w:rsidR="00037943" w:rsidRPr="00DC5B13" w:rsidP="00C34B23">
      <w:pPr>
        <w:spacing w:line="269" w:lineRule="auto"/>
        <w:rPr>
          <w:rFonts w:eastAsia="Calibri"/>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bCs/>
          <w:szCs w:val="28"/>
          <w:u w:val="single"/>
          <w:rtl/>
        </w:rPr>
        <w:t>פעולות הביקורת</w:t>
      </w:r>
    </w:p>
    <w:p w:rsidR="00DC5B13" w:rsidRPr="00DC5B13" w:rsidP="00C34B23">
      <w:pPr>
        <w:spacing w:line="269" w:lineRule="auto"/>
        <w:rPr>
          <w:rFonts w:eastAsia="Calibri"/>
          <w:szCs w:val="20"/>
          <w:rtl/>
        </w:rPr>
      </w:pPr>
    </w:p>
    <w:p w:rsidR="00DC5B13" w:rsidRPr="00DC5B13" w:rsidP="00C34B23">
      <w:pPr>
        <w:spacing w:line="269" w:lineRule="auto"/>
        <w:rPr>
          <w:rFonts w:eastAsia="Calibri"/>
        </w:rPr>
      </w:pPr>
      <w:r w:rsidRPr="00DC5B13">
        <w:rPr>
          <w:rFonts w:eastAsia="Calibri"/>
          <w:rtl/>
        </w:rPr>
        <w:t>משרד מבקר המדינה בדק בחודשים יוני עד אוקטובר 2025 (להלן - תקופת הביקורת) היבטים שונים הנוגעים לפעולות לקידום ההתחדשות העירונית ברשויות מקומיות באמצעות תוכניות פינוי-בינוי</w:t>
      </w:r>
      <w:r>
        <w:rPr>
          <w:rFonts w:eastAsia="Calibri"/>
          <w:vertAlign w:val="superscript"/>
          <w:rtl/>
        </w:rPr>
        <w:footnoteReference w:id="11"/>
      </w:r>
      <w:r w:rsidRPr="00DC5B13">
        <w:rPr>
          <w:rFonts w:eastAsia="Calibri"/>
          <w:rtl/>
        </w:rPr>
        <w:t xml:space="preserve"> בשנים 2021 - 2024. הבדיקה נעשתה בחמש עיריות - </w:t>
      </w:r>
      <w:r w:rsidRPr="00DC5B13">
        <w:rPr>
          <w:rFonts w:eastAsia="Calibri"/>
          <w:b/>
          <w:bCs/>
          <w:rtl/>
        </w:rPr>
        <w:t>לוד, נתניה, קריית ים</w:t>
      </w:r>
      <w:r w:rsidRPr="00DC5B13">
        <w:rPr>
          <w:rFonts w:eastAsia="Calibri"/>
          <w:rtl/>
        </w:rPr>
        <w:t xml:space="preserve">, </w:t>
      </w:r>
      <w:r w:rsidRPr="00DC5B13">
        <w:rPr>
          <w:rFonts w:eastAsia="Calibri"/>
          <w:b/>
          <w:bCs/>
          <w:rtl/>
        </w:rPr>
        <w:t>קריית שמונה</w:t>
      </w:r>
      <w:r w:rsidRPr="00DC5B13">
        <w:rPr>
          <w:rFonts w:eastAsia="Calibri"/>
          <w:rtl/>
        </w:rPr>
        <w:t xml:space="preserve"> ו</w:t>
      </w:r>
      <w:r w:rsidRPr="00DC5B13">
        <w:rPr>
          <w:rFonts w:eastAsia="Calibri"/>
          <w:b/>
          <w:bCs/>
          <w:rtl/>
        </w:rPr>
        <w:t>רעננה</w:t>
      </w:r>
      <w:r w:rsidRPr="00DC5B13">
        <w:rPr>
          <w:rFonts w:eastAsia="Calibri"/>
          <w:rtl/>
        </w:rPr>
        <w:t xml:space="preserve"> (להלן - הרשויות שנבדקו). בדיקות השלמה נעשו ברשות הממשלתית להתחדשות עירונית (להלן - הרשות להתחדשות), ברשות מקרקעי ישראל (להלן - רמ"י) במשרד השיכון ובמינהל התכנון במשרד הפנים (להלן - מינהל התכנון).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rtl/>
        </w:rPr>
        <w:t xml:space="preserve">בין היתר נבדקו הנושאים האלה: </w:t>
      </w:r>
      <w:r w:rsidRPr="00DC5B13">
        <w:rPr>
          <w:rFonts w:eastAsia="Calibri" w:hint="cs"/>
          <w:rtl/>
        </w:rPr>
        <w:t>הג</w:t>
      </w:r>
      <w:r w:rsidRPr="00DC5B13">
        <w:rPr>
          <w:rFonts w:eastAsia="Calibri"/>
          <w:rtl/>
        </w:rPr>
        <w:t>ורמים המעורבים בתכנון ההתחדשות העירונית בישראל ובקידומה; הקמת מינהלות מקומיות להתחדשות עירונית ותפקידן (להלן - מינהלות עירוניות); מסמכי מדיניות ותוכניות אב להתחדשות עירונית ברשויות הנבדקות; המינהלות העירוניות ברשויות שנבדקו; ניתוח מיזמים להתחדשות עירונית ברשויות שנבדקו והחסמים שעלו בהם.</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ניתוח מידע במערכת מידע גיאוגרפי (</w:t>
      </w:r>
      <w:r w:rsidRPr="00DC5B13">
        <w:rPr>
          <w:rFonts w:eastAsia="Times New Roman"/>
          <w:b/>
          <w:spacing w:val="40"/>
        </w:rPr>
        <w:t>GIS</w:t>
      </w:r>
      <w:r w:rsidRPr="00DC5B13">
        <w:rPr>
          <w:rFonts w:eastAsia="Times New Roman"/>
          <w:bCs/>
          <w:spacing w:val="40"/>
          <w:rtl/>
        </w:rPr>
        <w:t>)</w:t>
      </w:r>
      <w:r>
        <w:rPr>
          <w:rFonts w:eastAsia="Times New Roman"/>
          <w:bCs/>
          <w:spacing w:val="40"/>
          <w:vertAlign w:val="superscript"/>
          <w:rtl/>
        </w:rPr>
        <w:footnoteReference w:id="12"/>
      </w:r>
      <w:r w:rsidRPr="00DC5B13">
        <w:rPr>
          <w:rFonts w:eastAsia="Times New Roman"/>
          <w:bCs/>
          <w:spacing w:val="40"/>
          <w:rtl/>
        </w:rPr>
        <w:t>:</w:t>
      </w:r>
      <w:r w:rsidRPr="00DC5B13">
        <w:rPr>
          <w:rFonts w:eastAsia="Calibri"/>
          <w:rtl/>
        </w:rPr>
        <w:t xml:space="preserve"> </w:t>
      </w:r>
      <w:r w:rsidRPr="00DC5B13">
        <w:rPr>
          <w:rFonts w:eastAsia="Calibri" w:hint="cs"/>
          <w:rtl/>
        </w:rPr>
        <w:t>במסגרת הביקורת משרד מבקר המדינה עשה שימוש במערכת מידע גיאוגרפית לצורך הצגת ה</w:t>
      </w:r>
      <w:r w:rsidRPr="00DC5B13">
        <w:rPr>
          <w:rFonts w:eastAsia="Calibri"/>
          <w:rtl/>
        </w:rPr>
        <w:t xml:space="preserve">פריסה </w:t>
      </w:r>
      <w:r w:rsidRPr="00DC5B13">
        <w:rPr>
          <w:rFonts w:eastAsia="Calibri" w:hint="cs"/>
          <w:rtl/>
        </w:rPr>
        <w:t>ה</w:t>
      </w:r>
      <w:r w:rsidRPr="00DC5B13">
        <w:rPr>
          <w:rFonts w:eastAsia="Calibri"/>
          <w:rtl/>
        </w:rPr>
        <w:t>גיאוגרפית של המיזמים להתחדשות עירונית</w:t>
      </w:r>
      <w:r w:rsidRPr="00DC5B13">
        <w:rPr>
          <w:rFonts w:eastAsia="Calibri" w:hint="cs"/>
          <w:rtl/>
        </w:rPr>
        <w:t xml:space="preserve"> וניתוחם,</w:t>
      </w:r>
      <w:r w:rsidRPr="00DC5B13">
        <w:rPr>
          <w:rFonts w:eastAsia="Calibri"/>
          <w:rtl/>
        </w:rPr>
        <w:t xml:space="preserve"> </w:t>
      </w:r>
      <w:r w:rsidRPr="00DC5B13">
        <w:rPr>
          <w:rFonts w:eastAsia="Calibri" w:hint="cs"/>
          <w:rtl/>
        </w:rPr>
        <w:t>זאת על</w:t>
      </w:r>
      <w:r w:rsidRPr="00DC5B13">
        <w:rPr>
          <w:rFonts w:eastAsia="Calibri"/>
          <w:rtl/>
        </w:rPr>
        <w:t xml:space="preserve"> בסיס מידע שהתקבל מהרשות להתחדשות </w:t>
      </w:r>
      <w:r w:rsidRPr="00DC5B13">
        <w:rPr>
          <w:rFonts w:eastAsia="Calibri" w:hint="cs"/>
          <w:rtl/>
        </w:rPr>
        <w:t>ו</w:t>
      </w:r>
      <w:r w:rsidRPr="00DC5B13">
        <w:rPr>
          <w:rFonts w:eastAsia="Calibri"/>
          <w:rtl/>
        </w:rPr>
        <w:t>מהמכון הגיאופיסי לישראל</w:t>
      </w:r>
      <w:r w:rsidRPr="00DC5B13">
        <w:rPr>
          <w:rFonts w:eastAsia="Calibri" w:hint="cs"/>
          <w:rtl/>
        </w:rPr>
        <w:t>.</w:t>
      </w:r>
    </w:p>
    <w:p w:rsidR="00DC5B13" w:rsidRPr="00DC5B13" w:rsidP="00C34B23">
      <w:pPr>
        <w:spacing w:line="269" w:lineRule="auto"/>
        <w:rPr>
          <w:rFonts w:eastAsia="Calibri"/>
          <w:rtl/>
        </w:rPr>
      </w:pPr>
    </w:p>
    <w:p w:rsidR="005941B0" w:rsidRPr="005941B0">
      <w:pPr>
        <w:bidi w:val="0"/>
        <w:spacing w:after="200" w:line="276" w:lineRule="auto"/>
        <w:rPr>
          <w:rFonts w:eastAsia="Times New Roman"/>
          <w:b/>
          <w:szCs w:val="28"/>
          <w:rtl/>
        </w:rPr>
      </w:pPr>
      <w:r w:rsidRPr="005941B0">
        <w:rPr>
          <w:rFonts w:eastAsia="Times New Roman"/>
          <w:b/>
          <w:szCs w:val="28"/>
          <w:rtl/>
        </w:rPr>
        <w:br w:type="page"/>
      </w:r>
    </w:p>
    <w:p w:rsidR="00DC5B13" w:rsidRPr="00DC5B13" w:rsidP="00C34B23">
      <w:pPr>
        <w:keepNext/>
        <w:keepLines/>
        <w:spacing w:line="269" w:lineRule="auto"/>
        <w:outlineLvl w:val="2"/>
        <w:rPr>
          <w:rFonts w:eastAsia="Times New Roman"/>
          <w:bCs/>
          <w:szCs w:val="28"/>
          <w:u w:val="single"/>
          <w:rtl/>
        </w:rPr>
      </w:pPr>
      <w:r w:rsidRPr="00DC5B13">
        <w:rPr>
          <w:rFonts w:eastAsia="Times New Roman"/>
          <w:bCs/>
          <w:szCs w:val="28"/>
          <w:u w:val="single"/>
          <w:rtl/>
        </w:rPr>
        <w:t>הרשויות שנבדקו - סקירה כללית</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sz w:val="24"/>
          <w:rtl/>
        </w:rPr>
        <w:t>להלן נתונים כלליים על הרשויות המקומיות שנבדקו</w:t>
      </w:r>
      <w:r w:rsidRPr="00DC5B13">
        <w:rPr>
          <w:rFonts w:eastAsia="Calibri"/>
          <w:rtl/>
        </w:rPr>
        <w:t>:</w:t>
      </w:r>
    </w:p>
    <w:p w:rsidR="00DC5B13" w:rsidRPr="00DC5B13" w:rsidP="00C34B23">
      <w:pPr>
        <w:spacing w:line="269" w:lineRule="auto"/>
        <w:ind w:left="-567"/>
        <w:rPr>
          <w:rFonts w:eastAsia="Calibri"/>
          <w:szCs w:val="20"/>
          <w:rtl/>
        </w:rPr>
      </w:pPr>
    </w:p>
    <w:p w:rsidR="00DC5B13" w:rsidRPr="00DC5B13" w:rsidP="00C34B23">
      <w:pPr>
        <w:spacing w:line="269" w:lineRule="auto"/>
        <w:jc w:val="center"/>
        <w:rPr>
          <w:rFonts w:eastAsia="Calibri"/>
          <w:b/>
          <w:bCs/>
          <w:rtl/>
        </w:rPr>
      </w:pPr>
      <w:bookmarkStart w:id="1" w:name="_Hlk156460657"/>
      <w:r w:rsidRPr="00DC5B13">
        <w:rPr>
          <w:rFonts w:eastAsia="Calibri"/>
          <w:rtl/>
        </w:rPr>
        <w:t>לוח 1:</w:t>
      </w:r>
      <w:r w:rsidRPr="00DC5B13">
        <w:rPr>
          <w:rFonts w:eastAsia="Calibri"/>
          <w:b/>
          <w:bCs/>
          <w:rtl/>
        </w:rPr>
        <w:t xml:space="preserve"> הרשויות המקומיות שנבדקו - נתונים כלליים </w:t>
      </w:r>
    </w:p>
    <w:tbl>
      <w:tblPr>
        <w:bidiVisual/>
        <w:tblW w:w="5000" w:type="pct"/>
        <w:tblBorders>
          <w:insideH w:val="single" w:sz="12" w:space="0" w:color="F8F8F8"/>
        </w:tblBorders>
        <w:shd w:val="clear" w:color="auto" w:fill="FFFFFF"/>
        <w:tblCellMar>
          <w:left w:w="0" w:type="dxa"/>
          <w:right w:w="0" w:type="dxa"/>
        </w:tblCellMar>
        <w:tblLook w:val="04A0"/>
      </w:tblPr>
      <w:tblGrid>
        <w:gridCol w:w="534"/>
        <w:gridCol w:w="1713"/>
        <w:gridCol w:w="1194"/>
        <w:gridCol w:w="1195"/>
        <w:gridCol w:w="1195"/>
        <w:gridCol w:w="1195"/>
        <w:gridCol w:w="1194"/>
      </w:tblGrid>
      <w:tr w:rsidTr="00C34B23">
        <w:tblPrEx>
          <w:tblW w:w="5000" w:type="pct"/>
          <w:tblBorders>
            <w:insideH w:val="single" w:sz="12" w:space="0" w:color="F8F8F8"/>
          </w:tblBorders>
          <w:shd w:val="clear" w:color="auto" w:fill="FFFFFF"/>
          <w:tblCellMar>
            <w:left w:w="0" w:type="dxa"/>
            <w:right w:w="0" w:type="dxa"/>
          </w:tblCellMar>
          <w:tblLook w:val="04A0"/>
        </w:tblPrEx>
        <w:trPr>
          <w:trHeight w:hRule="exact" w:val="680"/>
          <w:tblHeader/>
        </w:trPr>
        <w:tc>
          <w:tcPr>
            <w:tcW w:w="325" w:type="pct"/>
            <w:tcBorders>
              <w:top w:val="nil"/>
              <w:left w:val="nil"/>
              <w:bottom w:val="single" w:sz="12" w:space="0" w:color="EEECE1"/>
              <w:right w:val="nil"/>
            </w:tcBorders>
            <w:shd w:val="clear" w:color="auto" w:fill="FFFFFF"/>
          </w:tcPr>
          <w:p w:rsidR="00DC5B13" w:rsidRPr="00DC5B13" w:rsidP="00C34B23">
            <w:pPr>
              <w:spacing w:line="269" w:lineRule="auto"/>
              <w:jc w:val="center"/>
              <w:rPr>
                <w:rFonts w:ascii="Tahoma" w:eastAsia="Times New Roman" w:hAnsi="Tahoma" w:cs="Tahoma"/>
                <w:color w:val="222222"/>
                <w:sz w:val="16"/>
                <w:szCs w:val="16"/>
                <w:rtl/>
              </w:rPr>
            </w:pPr>
          </w:p>
        </w:tc>
        <w:tc>
          <w:tcPr>
            <w:tcW w:w="1042" w:type="pct"/>
            <w:tcBorders>
              <w:top w:val="nil"/>
              <w:left w:val="nil"/>
              <w:bottom w:val="single" w:sz="12" w:space="0" w:color="EEECE1"/>
              <w:right w:val="nil"/>
            </w:tcBorders>
            <w:shd w:val="clear" w:color="auto" w:fill="FFFFFF"/>
            <w:tcMar>
              <w:top w:w="0" w:type="dxa"/>
              <w:left w:w="108" w:type="dxa"/>
              <w:bottom w:w="0" w:type="dxa"/>
              <w:right w:w="108" w:type="dxa"/>
            </w:tcMar>
            <w:vAlign w:val="center"/>
            <w:hideMark/>
          </w:tcPr>
          <w:p w:rsidR="00DC5B13" w:rsidRPr="00DC5B13" w:rsidP="00C34B23">
            <w:pPr>
              <w:spacing w:line="269" w:lineRule="auto"/>
              <w:rPr>
                <w:rFonts w:ascii="Tahoma" w:eastAsia="Times New Roman" w:hAnsi="Tahoma" w:cs="Tahoma"/>
                <w:color w:val="222222"/>
                <w:sz w:val="16"/>
                <w:szCs w:val="16"/>
              </w:rPr>
            </w:pPr>
          </w:p>
        </w:tc>
        <w:tc>
          <w:tcPr>
            <w:tcW w:w="726" w:type="pct"/>
            <w:tcBorders>
              <w:top w:val="nil"/>
              <w:left w:val="nil"/>
              <w:bottom w:val="single" w:sz="12" w:space="0" w:color="EEECE1"/>
              <w:right w:val="nil"/>
            </w:tcBorders>
            <w:shd w:val="clear" w:color="auto" w:fill="FFFFFF"/>
            <w:tcMar>
              <w:top w:w="0" w:type="dxa"/>
              <w:left w:w="108" w:type="dxa"/>
              <w:bottom w:w="0" w:type="dxa"/>
              <w:right w:w="108" w:type="dxa"/>
            </w:tcMar>
            <w:vAlign w:val="center"/>
            <w:hideMark/>
          </w:tcPr>
          <w:p w:rsidR="00DC5B13" w:rsidRPr="00DC5B13" w:rsidP="00C34B23">
            <w:pPr>
              <w:spacing w:line="269" w:lineRule="auto"/>
              <w:jc w:val="center"/>
              <w:rPr>
                <w:rFonts w:ascii="David" w:eastAsia="Times New Roman" w:hAnsi="David"/>
                <w:b/>
                <w:bCs/>
                <w:color w:val="4F81BD"/>
                <w:sz w:val="22"/>
                <w:szCs w:val="22"/>
              </w:rPr>
            </w:pPr>
            <w:r w:rsidRPr="00DC5B13">
              <w:rPr>
                <w:rFonts w:ascii="David" w:eastAsia="Times New Roman" w:hAnsi="David"/>
                <w:b/>
                <w:bCs/>
                <w:color w:val="4F81BD"/>
                <w:sz w:val="22"/>
                <w:szCs w:val="22"/>
                <w:rtl/>
              </w:rPr>
              <w:t>לוד</w:t>
            </w:r>
          </w:p>
        </w:tc>
        <w:tc>
          <w:tcPr>
            <w:tcW w:w="727" w:type="pct"/>
            <w:tcBorders>
              <w:top w:val="nil"/>
              <w:left w:val="nil"/>
              <w:bottom w:val="single" w:sz="12" w:space="0" w:color="EEECE1"/>
              <w:right w:val="nil"/>
            </w:tcBorders>
            <w:shd w:val="clear" w:color="auto" w:fill="FFFFFF"/>
            <w:tcMar>
              <w:top w:w="0" w:type="dxa"/>
              <w:left w:w="108" w:type="dxa"/>
              <w:bottom w:w="0" w:type="dxa"/>
              <w:right w:w="108" w:type="dxa"/>
            </w:tcMar>
            <w:vAlign w:val="center"/>
            <w:hideMark/>
          </w:tcPr>
          <w:p w:rsidR="00DC5B13" w:rsidRPr="00DC5B13" w:rsidP="00C34B23">
            <w:pPr>
              <w:spacing w:line="269" w:lineRule="auto"/>
              <w:jc w:val="center"/>
              <w:rPr>
                <w:rFonts w:ascii="David" w:eastAsia="Times New Roman" w:hAnsi="David"/>
                <w:b/>
                <w:bCs/>
                <w:color w:val="4F81BD"/>
                <w:sz w:val="22"/>
                <w:szCs w:val="22"/>
                <w:rtl/>
              </w:rPr>
            </w:pPr>
            <w:r w:rsidRPr="00DC5B13">
              <w:rPr>
                <w:rFonts w:ascii="David" w:eastAsia="Times New Roman" w:hAnsi="David"/>
                <w:b/>
                <w:bCs/>
                <w:color w:val="4F81BD"/>
                <w:sz w:val="22"/>
                <w:szCs w:val="22"/>
                <w:rtl/>
              </w:rPr>
              <w:t>נתניה</w:t>
            </w:r>
          </w:p>
        </w:tc>
        <w:tc>
          <w:tcPr>
            <w:tcW w:w="727" w:type="pct"/>
            <w:tcBorders>
              <w:top w:val="nil"/>
              <w:left w:val="nil"/>
              <w:bottom w:val="single" w:sz="12" w:space="0" w:color="EEECE1"/>
              <w:right w:val="nil"/>
            </w:tcBorders>
            <w:shd w:val="clear" w:color="auto" w:fill="FFFFFF"/>
            <w:tcMar>
              <w:top w:w="0" w:type="dxa"/>
              <w:left w:w="108" w:type="dxa"/>
              <w:bottom w:w="0" w:type="dxa"/>
              <w:right w:w="108" w:type="dxa"/>
            </w:tcMar>
            <w:vAlign w:val="center"/>
            <w:hideMark/>
          </w:tcPr>
          <w:p w:rsidR="00DC5B13" w:rsidRPr="00DC5B13" w:rsidP="00C34B23">
            <w:pPr>
              <w:spacing w:line="269" w:lineRule="auto"/>
              <w:jc w:val="center"/>
              <w:rPr>
                <w:rFonts w:ascii="David" w:eastAsia="Times New Roman" w:hAnsi="David"/>
                <w:b/>
                <w:bCs/>
                <w:color w:val="4F81BD"/>
                <w:sz w:val="22"/>
                <w:szCs w:val="22"/>
              </w:rPr>
            </w:pPr>
            <w:r w:rsidRPr="00DC5B13">
              <w:rPr>
                <w:rFonts w:ascii="David" w:eastAsia="Times New Roman" w:hAnsi="David"/>
                <w:b/>
                <w:bCs/>
                <w:color w:val="4F81BD"/>
                <w:sz w:val="22"/>
                <w:szCs w:val="22"/>
                <w:rtl/>
              </w:rPr>
              <w:t>קריית ים</w:t>
            </w:r>
          </w:p>
        </w:tc>
        <w:tc>
          <w:tcPr>
            <w:tcW w:w="727" w:type="pct"/>
            <w:tcBorders>
              <w:top w:val="nil"/>
              <w:left w:val="nil"/>
              <w:bottom w:val="single" w:sz="12" w:space="0" w:color="EEECE1"/>
              <w:right w:val="nil"/>
            </w:tcBorders>
            <w:shd w:val="clear" w:color="auto" w:fill="FFFFFF"/>
            <w:tcMar>
              <w:top w:w="0" w:type="dxa"/>
              <w:left w:w="108" w:type="dxa"/>
              <w:bottom w:w="0" w:type="dxa"/>
              <w:right w:w="108" w:type="dxa"/>
            </w:tcMar>
            <w:vAlign w:val="center"/>
            <w:hideMark/>
          </w:tcPr>
          <w:p w:rsidR="00DC5B13" w:rsidRPr="00DC5B13" w:rsidP="00C34B23">
            <w:pPr>
              <w:spacing w:line="269" w:lineRule="auto"/>
              <w:jc w:val="center"/>
              <w:rPr>
                <w:rFonts w:ascii="David" w:eastAsia="Times New Roman" w:hAnsi="David"/>
                <w:b/>
                <w:bCs/>
                <w:color w:val="4F81BD"/>
                <w:sz w:val="22"/>
                <w:szCs w:val="22"/>
              </w:rPr>
            </w:pPr>
            <w:r w:rsidRPr="00DC5B13">
              <w:rPr>
                <w:rFonts w:ascii="David" w:eastAsia="Times New Roman" w:hAnsi="David"/>
                <w:b/>
                <w:bCs/>
                <w:color w:val="4F81BD"/>
                <w:sz w:val="22"/>
                <w:szCs w:val="22"/>
                <w:rtl/>
              </w:rPr>
              <w:t>קריית שמונה</w:t>
            </w:r>
          </w:p>
        </w:tc>
        <w:tc>
          <w:tcPr>
            <w:tcW w:w="727" w:type="pct"/>
            <w:tcBorders>
              <w:top w:val="nil"/>
              <w:left w:val="nil"/>
              <w:bottom w:val="single" w:sz="12" w:space="0" w:color="EEECE1"/>
              <w:right w:val="nil"/>
            </w:tcBorders>
            <w:shd w:val="clear" w:color="auto" w:fill="FFFFFF"/>
          </w:tcPr>
          <w:p w:rsidR="00DC5B13" w:rsidRPr="00DC5B13" w:rsidP="00C34B23">
            <w:pPr>
              <w:spacing w:line="269" w:lineRule="auto"/>
              <w:jc w:val="center"/>
              <w:rPr>
                <w:rFonts w:ascii="David" w:eastAsia="Times New Roman" w:hAnsi="David"/>
                <w:b/>
                <w:bCs/>
                <w:color w:val="4F81BD"/>
                <w:sz w:val="22"/>
                <w:szCs w:val="22"/>
              </w:rPr>
            </w:pPr>
          </w:p>
          <w:p w:rsidR="00DC5B13" w:rsidRPr="00DC5B13" w:rsidP="00C34B23">
            <w:pPr>
              <w:spacing w:line="269" w:lineRule="auto"/>
              <w:jc w:val="center"/>
              <w:rPr>
                <w:rFonts w:ascii="David" w:eastAsia="Times New Roman" w:hAnsi="David"/>
                <w:b/>
                <w:bCs/>
                <w:color w:val="4F81BD"/>
                <w:sz w:val="22"/>
                <w:szCs w:val="22"/>
                <w:rtl/>
              </w:rPr>
            </w:pPr>
            <w:r w:rsidRPr="00DC5B13">
              <w:rPr>
                <w:rFonts w:ascii="David" w:eastAsia="Times New Roman" w:hAnsi="David"/>
                <w:b/>
                <w:bCs/>
                <w:color w:val="4F81BD"/>
                <w:sz w:val="22"/>
                <w:szCs w:val="22"/>
                <w:rtl/>
              </w:rPr>
              <w:t>רעננה</w:t>
            </w:r>
          </w:p>
        </w:tc>
      </w:tr>
      <w:tr w:rsidTr="00DC5B13">
        <w:tblPrEx>
          <w:tblW w:w="5000" w:type="pct"/>
          <w:shd w:val="clear" w:color="auto" w:fill="FFFFFF"/>
          <w:tblCellMar>
            <w:left w:w="0" w:type="dxa"/>
            <w:right w:w="0" w:type="dxa"/>
          </w:tblCellMar>
          <w:tblLook w:val="04A0"/>
        </w:tblPrEx>
        <w:trPr>
          <w:trHeight w:hRule="exact" w:val="680"/>
        </w:trPr>
        <w:tc>
          <w:tcPr>
            <w:tcW w:w="325" w:type="pct"/>
            <w:tcBorders>
              <w:top w:val="single" w:sz="12" w:space="0" w:color="EEECE1"/>
              <w:left w:val="nil"/>
              <w:bottom w:val="single" w:sz="12" w:space="0" w:color="EEECE1"/>
              <w:right w:val="nil"/>
            </w:tcBorders>
            <w:shd w:val="clear" w:color="auto" w:fill="F0F6FE"/>
            <w:hideMark/>
          </w:tcPr>
          <w:p w:rsidR="00DC5B13" w:rsidRPr="00DC5B13" w:rsidP="00C34B23">
            <w:pPr>
              <w:spacing w:line="269" w:lineRule="auto"/>
              <w:rPr>
                <w:rFonts w:ascii="Tahoma" w:eastAsia="Times New Roman" w:hAnsi="Tahoma" w:cs="Tahoma"/>
                <w:color w:val="A6A6A6"/>
                <w:sz w:val="16"/>
                <w:szCs w:val="16"/>
                <w:rtl/>
              </w:rPr>
            </w:pPr>
            <w:r w:rsidRPr="00DC5B13">
              <w:rPr>
                <w:rFonts w:eastAsia="Calibri"/>
                <w:noProof/>
                <w:rtl/>
              </w:rPr>
              <w:drawing>
                <wp:anchor distT="0" distB="0" distL="114300" distR="114300" simplePos="0" relativeHeight="251664384" behindDoc="0" locked="0" layoutInCell="1" allowOverlap="1">
                  <wp:simplePos x="0" y="0"/>
                  <wp:positionH relativeFrom="column">
                    <wp:posOffset>40640</wp:posOffset>
                  </wp:positionH>
                  <wp:positionV relativeFrom="paragraph">
                    <wp:posOffset>80010</wp:posOffset>
                  </wp:positionV>
                  <wp:extent cx="259080" cy="259080"/>
                  <wp:effectExtent l="0" t="0" r="7620" b="762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98"/>
                          <pic:cNvPicPr>
                            <a:picLocks noChangeAspect="1" noChangeArrowheads="1"/>
                          </pic:cNvPicPr>
                        </pic:nvPicPr>
                        <pic:blipFill>
                          <a:blip xmlns:r="http://schemas.openxmlformats.org/officeDocument/2006/relationships" r:embed="rId10">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p>
        </w:tc>
        <w:tc>
          <w:tcPr>
            <w:tcW w:w="1042" w:type="pct"/>
            <w:tcBorders>
              <w:top w:val="single" w:sz="12" w:space="0" w:color="EEECE1"/>
              <w:left w:val="nil"/>
              <w:bottom w:val="single" w:sz="12" w:space="0" w:color="EEECE1"/>
              <w:right w:val="nil"/>
            </w:tcBorders>
            <w:shd w:val="clear" w:color="auto" w:fill="F0F6FE"/>
            <w:tcMar>
              <w:top w:w="0" w:type="dxa"/>
              <w:left w:w="108" w:type="dxa"/>
              <w:bottom w:w="0" w:type="dxa"/>
              <w:right w:w="108" w:type="dxa"/>
            </w:tcMar>
            <w:vAlign w:val="center"/>
            <w:hideMark/>
          </w:tcPr>
          <w:p w:rsidR="00DC5B13" w:rsidRPr="00DC5B13" w:rsidP="00C34B23">
            <w:pPr>
              <w:spacing w:line="269" w:lineRule="auto"/>
              <w:jc w:val="left"/>
              <w:rPr>
                <w:rFonts w:ascii="David" w:eastAsia="Times New Roman" w:hAnsi="David"/>
                <w:b/>
                <w:bCs/>
                <w:color w:val="808080"/>
                <w:sz w:val="22"/>
                <w:szCs w:val="22"/>
                <w:rtl/>
              </w:rPr>
            </w:pPr>
            <w:r w:rsidRPr="00DC5B13">
              <w:rPr>
                <w:rFonts w:ascii="David" w:eastAsia="Times New Roman" w:hAnsi="David"/>
                <w:b/>
                <w:bCs/>
                <w:color w:val="808080"/>
                <w:sz w:val="22"/>
                <w:szCs w:val="22"/>
                <w:rtl/>
              </w:rPr>
              <w:t xml:space="preserve">מספר </w:t>
            </w:r>
            <w:r w:rsidRPr="00DC5B13">
              <w:rPr>
                <w:rFonts w:ascii="David" w:eastAsia="Times New Roman" w:hAnsi="David"/>
                <w:b/>
                <w:bCs/>
                <w:color w:val="808080"/>
                <w:sz w:val="22"/>
                <w:szCs w:val="22"/>
                <w:rtl/>
              </w:rPr>
              <w:br/>
              <w:t>התושבים</w:t>
            </w:r>
          </w:p>
        </w:tc>
        <w:tc>
          <w:tcPr>
            <w:tcW w:w="726"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Pr>
              <w:t>94,189</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hint="cs"/>
                <w:color w:val="000000"/>
                <w:sz w:val="22"/>
                <w:szCs w:val="22"/>
                <w:rtl/>
              </w:rPr>
              <w:t>234</w:t>
            </w:r>
            <w:r w:rsidRPr="00DC5B13">
              <w:rPr>
                <w:rFonts w:ascii="David" w:eastAsia="Calibri" w:hAnsi="David"/>
                <w:color w:val="000000"/>
                <w:sz w:val="22"/>
                <w:szCs w:val="22"/>
                <w:rtl/>
              </w:rPr>
              <w:t>,</w:t>
            </w:r>
            <w:r w:rsidRPr="00DC5B13">
              <w:rPr>
                <w:rFonts w:ascii="David" w:eastAsia="Calibri" w:hAnsi="David" w:hint="cs"/>
                <w:color w:val="000000"/>
                <w:sz w:val="22"/>
                <w:szCs w:val="22"/>
                <w:rtl/>
              </w:rPr>
              <w:t>813</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hint="cs"/>
                <w:color w:val="000000"/>
                <w:sz w:val="22"/>
                <w:szCs w:val="22"/>
                <w:rtl/>
              </w:rPr>
              <w:t>41</w:t>
            </w:r>
            <w:r w:rsidRPr="00DC5B13">
              <w:rPr>
                <w:rFonts w:ascii="David" w:eastAsia="Calibri" w:hAnsi="David"/>
                <w:color w:val="000000"/>
                <w:sz w:val="22"/>
                <w:szCs w:val="22"/>
                <w:rtl/>
              </w:rPr>
              <w:t>,</w:t>
            </w:r>
            <w:r w:rsidRPr="00DC5B13">
              <w:rPr>
                <w:rFonts w:ascii="David" w:eastAsia="Calibri" w:hAnsi="David" w:hint="cs"/>
                <w:color w:val="000000"/>
                <w:sz w:val="22"/>
                <w:szCs w:val="22"/>
                <w:rtl/>
              </w:rPr>
              <w:t>957</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24,</w:t>
            </w:r>
            <w:r w:rsidRPr="00DC5B13">
              <w:rPr>
                <w:rFonts w:ascii="David" w:eastAsia="Calibri" w:hAnsi="David" w:hint="cs"/>
                <w:color w:val="000000"/>
                <w:sz w:val="22"/>
                <w:szCs w:val="22"/>
                <w:rtl/>
              </w:rPr>
              <w:t>437</w:t>
            </w:r>
          </w:p>
        </w:tc>
        <w:tc>
          <w:tcPr>
            <w:tcW w:w="727" w:type="pct"/>
            <w:tcBorders>
              <w:top w:val="single" w:sz="12" w:space="0" w:color="EEECE1"/>
              <w:left w:val="nil"/>
              <w:bottom w:val="single" w:sz="12" w:space="0" w:color="EEECE1"/>
              <w:right w:val="nil"/>
            </w:tcBorders>
            <w:shd w:val="clear" w:color="auto" w:fill="FFFFFF"/>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hint="cs"/>
                <w:color w:val="000000"/>
                <w:sz w:val="22"/>
                <w:szCs w:val="22"/>
                <w:rtl/>
              </w:rPr>
              <w:t>82</w:t>
            </w:r>
            <w:r w:rsidRPr="00DC5B13">
              <w:rPr>
                <w:rFonts w:ascii="David" w:eastAsia="Calibri" w:hAnsi="David"/>
                <w:color w:val="000000"/>
                <w:sz w:val="22"/>
                <w:szCs w:val="22"/>
                <w:rtl/>
              </w:rPr>
              <w:t>,</w:t>
            </w:r>
            <w:r w:rsidRPr="00DC5B13">
              <w:rPr>
                <w:rFonts w:ascii="David" w:eastAsia="Calibri" w:hAnsi="David" w:hint="cs"/>
                <w:color w:val="000000"/>
                <w:sz w:val="22"/>
                <w:szCs w:val="22"/>
                <w:rtl/>
              </w:rPr>
              <w:t>964</w:t>
            </w:r>
          </w:p>
        </w:tc>
      </w:tr>
      <w:tr w:rsidTr="00DC5B13">
        <w:tblPrEx>
          <w:tblW w:w="5000" w:type="pct"/>
          <w:shd w:val="clear" w:color="auto" w:fill="FFFFFF"/>
          <w:tblCellMar>
            <w:left w:w="0" w:type="dxa"/>
            <w:right w:w="0" w:type="dxa"/>
          </w:tblCellMar>
          <w:tblLook w:val="04A0"/>
        </w:tblPrEx>
        <w:trPr>
          <w:trHeight w:hRule="exact" w:val="680"/>
        </w:trPr>
        <w:tc>
          <w:tcPr>
            <w:tcW w:w="325" w:type="pct"/>
            <w:tcBorders>
              <w:top w:val="single" w:sz="12" w:space="0" w:color="EEECE1"/>
              <w:left w:val="nil"/>
              <w:bottom w:val="single" w:sz="12" w:space="0" w:color="EEECE1"/>
              <w:right w:val="nil"/>
            </w:tcBorders>
            <w:shd w:val="clear" w:color="auto" w:fill="F0F6FE"/>
            <w:hideMark/>
          </w:tcPr>
          <w:p w:rsidR="00DC5B13" w:rsidRPr="00DC5B13" w:rsidP="00C34B23">
            <w:pPr>
              <w:spacing w:line="269" w:lineRule="auto"/>
              <w:rPr>
                <w:rFonts w:ascii="Tahoma" w:eastAsia="Times New Roman" w:hAnsi="Tahoma" w:cs="Tahoma"/>
                <w:color w:val="A6A6A6"/>
                <w:sz w:val="16"/>
                <w:szCs w:val="16"/>
                <w:rtl/>
              </w:rPr>
            </w:pPr>
            <w:r w:rsidRPr="00DC5B13">
              <w:rPr>
                <w:rFonts w:eastAsia="Calibri"/>
                <w:noProof/>
                <w:rtl/>
              </w:rPr>
              <w:drawing>
                <wp:anchor distT="0" distB="0" distL="114300" distR="114300" simplePos="0" relativeHeight="251665408" behindDoc="0" locked="0" layoutInCell="1" allowOverlap="1">
                  <wp:simplePos x="0" y="0"/>
                  <wp:positionH relativeFrom="column">
                    <wp:posOffset>41910</wp:posOffset>
                  </wp:positionH>
                  <wp:positionV relativeFrom="paragraph">
                    <wp:posOffset>81280</wp:posOffset>
                  </wp:positionV>
                  <wp:extent cx="259080" cy="259080"/>
                  <wp:effectExtent l="0" t="0" r="7620" b="762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94"/>
                          <pic:cNvPicPr>
                            <a:picLocks noChangeAspect="1" noChangeArrowheads="1"/>
                          </pic:cNvPicPr>
                        </pic:nvPicPr>
                        <pic:blipFill>
                          <a:blip xmlns:r="http://schemas.openxmlformats.org/officeDocument/2006/relationships" r:embed="rId11">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42" w:type="pct"/>
            <w:tcBorders>
              <w:top w:val="single" w:sz="12" w:space="0" w:color="EEECE1"/>
              <w:left w:val="nil"/>
              <w:bottom w:val="single" w:sz="12" w:space="0" w:color="EEECE1"/>
              <w:right w:val="nil"/>
            </w:tcBorders>
            <w:shd w:val="clear" w:color="auto" w:fill="F0F6FE"/>
            <w:tcMar>
              <w:top w:w="0" w:type="dxa"/>
              <w:left w:w="108" w:type="dxa"/>
              <w:bottom w:w="0" w:type="dxa"/>
              <w:right w:w="108" w:type="dxa"/>
            </w:tcMar>
            <w:vAlign w:val="center"/>
            <w:hideMark/>
          </w:tcPr>
          <w:p w:rsidR="00DC5B13" w:rsidRPr="00DC5B13" w:rsidP="00C34B23">
            <w:pPr>
              <w:spacing w:line="269" w:lineRule="auto"/>
              <w:jc w:val="left"/>
              <w:rPr>
                <w:rFonts w:ascii="David" w:eastAsia="Times New Roman" w:hAnsi="David"/>
                <w:b/>
                <w:bCs/>
                <w:color w:val="808080"/>
                <w:sz w:val="22"/>
                <w:szCs w:val="22"/>
                <w:rtl/>
              </w:rPr>
            </w:pPr>
            <w:r w:rsidRPr="00DC5B13">
              <w:rPr>
                <w:rFonts w:ascii="David" w:eastAsia="Times New Roman" w:hAnsi="David"/>
                <w:b/>
                <w:bCs/>
                <w:color w:val="808080"/>
                <w:sz w:val="22"/>
                <w:szCs w:val="22"/>
                <w:rtl/>
              </w:rPr>
              <w:t xml:space="preserve">האשכול </w:t>
            </w:r>
            <w:r w:rsidRPr="00DC5B13">
              <w:rPr>
                <w:rFonts w:ascii="David" w:eastAsia="Times New Roman" w:hAnsi="David"/>
                <w:b/>
                <w:bCs/>
                <w:color w:val="808080"/>
                <w:sz w:val="22"/>
                <w:szCs w:val="22"/>
                <w:rtl/>
              </w:rPr>
              <w:br/>
              <w:t>החברתי-כלכלי</w:t>
            </w:r>
          </w:p>
        </w:tc>
        <w:tc>
          <w:tcPr>
            <w:tcW w:w="726"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3 </w:t>
            </w:r>
            <w:r w:rsidRPr="00DC5B13">
              <w:rPr>
                <w:rFonts w:ascii="David" w:eastAsia="Calibri" w:hAnsi="David"/>
                <w:color w:val="000000"/>
                <w:sz w:val="22"/>
                <w:szCs w:val="22"/>
                <w:rtl/>
              </w:rPr>
              <w:br/>
              <w:t>(נמוך)</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6 </w:t>
            </w:r>
            <w:r w:rsidRPr="00DC5B13">
              <w:rPr>
                <w:rFonts w:ascii="David" w:eastAsia="Calibri" w:hAnsi="David"/>
                <w:color w:val="000000"/>
                <w:sz w:val="22"/>
                <w:szCs w:val="22"/>
                <w:rtl/>
              </w:rPr>
              <w:br/>
              <w:t>(בינוני)</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5 </w:t>
            </w:r>
            <w:r w:rsidRPr="00DC5B13">
              <w:rPr>
                <w:rFonts w:ascii="David" w:eastAsia="Calibri" w:hAnsi="David"/>
                <w:color w:val="000000"/>
                <w:sz w:val="22"/>
                <w:szCs w:val="22"/>
                <w:rtl/>
              </w:rPr>
              <w:br/>
              <w:t>(בינוני)</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5 </w:t>
            </w:r>
            <w:r w:rsidRPr="00DC5B13">
              <w:rPr>
                <w:rFonts w:ascii="David" w:eastAsia="Calibri" w:hAnsi="David"/>
                <w:color w:val="000000"/>
                <w:sz w:val="22"/>
                <w:szCs w:val="22"/>
                <w:rtl/>
              </w:rPr>
              <w:br/>
              <w:t>(בינוני)</w:t>
            </w:r>
          </w:p>
        </w:tc>
        <w:tc>
          <w:tcPr>
            <w:tcW w:w="727" w:type="pct"/>
            <w:tcBorders>
              <w:top w:val="single" w:sz="12" w:space="0" w:color="EEECE1"/>
              <w:left w:val="nil"/>
              <w:bottom w:val="single" w:sz="12" w:space="0" w:color="EEECE1"/>
              <w:right w:val="nil"/>
            </w:tcBorders>
            <w:shd w:val="clear" w:color="auto" w:fill="FFFFFF"/>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8 </w:t>
            </w:r>
            <w:r w:rsidRPr="00DC5B13">
              <w:rPr>
                <w:rFonts w:ascii="David" w:eastAsia="Calibri" w:hAnsi="David"/>
                <w:color w:val="000000"/>
                <w:sz w:val="22"/>
                <w:szCs w:val="22"/>
                <w:rtl/>
              </w:rPr>
              <w:br/>
              <w:t>(גבוה)</w:t>
            </w:r>
          </w:p>
        </w:tc>
      </w:tr>
      <w:tr w:rsidTr="00DC5B13">
        <w:tblPrEx>
          <w:tblW w:w="5000" w:type="pct"/>
          <w:shd w:val="clear" w:color="auto" w:fill="FFFFFF"/>
          <w:tblCellMar>
            <w:left w:w="0" w:type="dxa"/>
            <w:right w:w="0" w:type="dxa"/>
          </w:tblCellMar>
          <w:tblLook w:val="04A0"/>
        </w:tblPrEx>
        <w:trPr>
          <w:trHeight w:hRule="exact" w:val="680"/>
        </w:trPr>
        <w:tc>
          <w:tcPr>
            <w:tcW w:w="325" w:type="pct"/>
            <w:tcBorders>
              <w:top w:val="single" w:sz="12" w:space="0" w:color="EEECE1"/>
              <w:left w:val="nil"/>
              <w:bottom w:val="single" w:sz="12" w:space="0" w:color="EEECE1"/>
              <w:right w:val="nil"/>
            </w:tcBorders>
            <w:shd w:val="clear" w:color="auto" w:fill="F0F6FE"/>
            <w:hideMark/>
          </w:tcPr>
          <w:p w:rsidR="00DC5B13" w:rsidRPr="00DC5B13" w:rsidP="00C34B23">
            <w:pPr>
              <w:spacing w:line="269" w:lineRule="auto"/>
              <w:rPr>
                <w:rFonts w:ascii="Tahoma" w:eastAsia="Times New Roman" w:hAnsi="Tahoma" w:cs="Tahoma"/>
                <w:color w:val="A6A6A6"/>
                <w:sz w:val="16"/>
                <w:szCs w:val="16"/>
                <w:rtl/>
              </w:rPr>
            </w:pPr>
            <w:r w:rsidRPr="00DC5B13">
              <w:rPr>
                <w:rFonts w:eastAsia="Calibri"/>
                <w:noProof/>
                <w:rtl/>
              </w:rPr>
              <w:drawing>
                <wp:anchor distT="0" distB="0" distL="114300" distR="114300" simplePos="0" relativeHeight="251663360" behindDoc="0" locked="0" layoutInCell="1" allowOverlap="1">
                  <wp:simplePos x="0" y="0"/>
                  <wp:positionH relativeFrom="column">
                    <wp:posOffset>38100</wp:posOffset>
                  </wp:positionH>
                  <wp:positionV relativeFrom="paragraph">
                    <wp:posOffset>85090</wp:posOffset>
                  </wp:positionV>
                  <wp:extent cx="259080" cy="259080"/>
                  <wp:effectExtent l="0" t="0" r="7620" b="762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99"/>
                          <pic:cNvPicPr>
                            <a:picLocks noChangeAspect="1" noChangeArrowheads="1"/>
                          </pic:cNvPicPr>
                        </pic:nvPicPr>
                        <pic:blipFill>
                          <a:blip xmlns:r="http://schemas.openxmlformats.org/officeDocument/2006/relationships" r:embed="rId12">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p>
        </w:tc>
        <w:tc>
          <w:tcPr>
            <w:tcW w:w="1042" w:type="pct"/>
            <w:tcBorders>
              <w:top w:val="single" w:sz="12" w:space="0" w:color="EEECE1"/>
              <w:left w:val="nil"/>
              <w:bottom w:val="single" w:sz="12" w:space="0" w:color="EEECE1"/>
              <w:right w:val="nil"/>
            </w:tcBorders>
            <w:shd w:val="clear" w:color="auto" w:fill="F0F6FE"/>
            <w:tcMar>
              <w:top w:w="0" w:type="dxa"/>
              <w:left w:w="108" w:type="dxa"/>
              <w:bottom w:w="0" w:type="dxa"/>
              <w:right w:w="108" w:type="dxa"/>
            </w:tcMar>
            <w:vAlign w:val="center"/>
            <w:hideMark/>
          </w:tcPr>
          <w:p w:rsidR="00DC5B13" w:rsidRPr="00DC5B13" w:rsidP="00C34B23">
            <w:pPr>
              <w:spacing w:line="269" w:lineRule="auto"/>
              <w:jc w:val="left"/>
              <w:rPr>
                <w:rFonts w:ascii="David" w:eastAsia="Times New Roman" w:hAnsi="David"/>
                <w:b/>
                <w:bCs/>
                <w:color w:val="808080"/>
                <w:sz w:val="22"/>
                <w:szCs w:val="22"/>
              </w:rPr>
            </w:pPr>
            <w:r w:rsidRPr="00DC5B13">
              <w:rPr>
                <w:rFonts w:ascii="David" w:eastAsia="Times New Roman" w:hAnsi="David"/>
                <w:b/>
                <w:bCs/>
                <w:color w:val="808080"/>
                <w:sz w:val="22"/>
                <w:szCs w:val="22"/>
                <w:rtl/>
              </w:rPr>
              <w:t xml:space="preserve">אשכול </w:t>
            </w:r>
            <w:r w:rsidRPr="00DC5B13">
              <w:rPr>
                <w:rFonts w:ascii="David" w:eastAsia="Times New Roman" w:hAnsi="David"/>
                <w:b/>
                <w:bCs/>
                <w:color w:val="808080"/>
                <w:sz w:val="22"/>
                <w:szCs w:val="22"/>
                <w:rtl/>
              </w:rPr>
              <w:br/>
              <w:t>הפריפריאליות</w:t>
            </w:r>
          </w:p>
        </w:tc>
        <w:tc>
          <w:tcPr>
            <w:tcW w:w="726"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8 </w:t>
            </w:r>
            <w:r w:rsidRPr="00DC5B13">
              <w:rPr>
                <w:rFonts w:ascii="David" w:eastAsia="Calibri" w:hAnsi="David"/>
                <w:color w:val="000000"/>
                <w:sz w:val="22"/>
                <w:szCs w:val="22"/>
                <w:rtl/>
              </w:rPr>
              <w:br/>
              <w:t>(מרכזי)</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7 </w:t>
            </w:r>
            <w:r w:rsidRPr="00DC5B13">
              <w:rPr>
                <w:rFonts w:ascii="David" w:eastAsia="Calibri" w:hAnsi="David"/>
                <w:color w:val="000000"/>
                <w:sz w:val="22"/>
                <w:szCs w:val="22"/>
                <w:rtl/>
              </w:rPr>
              <w:br/>
              <w:t>(מרכזי)</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6 </w:t>
            </w:r>
            <w:r w:rsidRPr="00DC5B13">
              <w:rPr>
                <w:rFonts w:ascii="David" w:eastAsia="Calibri" w:hAnsi="David"/>
                <w:color w:val="000000"/>
                <w:sz w:val="22"/>
                <w:szCs w:val="22"/>
                <w:rtl/>
              </w:rPr>
              <w:br/>
              <w:t>(מרכזי)</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1 </w:t>
            </w:r>
            <w:r w:rsidRPr="00DC5B13">
              <w:rPr>
                <w:rFonts w:ascii="David" w:eastAsia="Calibri" w:hAnsi="David"/>
                <w:color w:val="000000"/>
                <w:sz w:val="22"/>
                <w:szCs w:val="22"/>
                <w:rtl/>
              </w:rPr>
              <w:br/>
              <w:t>(פריפריאלי)</w:t>
            </w:r>
          </w:p>
        </w:tc>
        <w:tc>
          <w:tcPr>
            <w:tcW w:w="727" w:type="pct"/>
            <w:tcBorders>
              <w:top w:val="single" w:sz="12" w:space="0" w:color="EEECE1"/>
              <w:left w:val="nil"/>
              <w:bottom w:val="single" w:sz="12" w:space="0" w:color="EEECE1"/>
              <w:right w:val="nil"/>
            </w:tcBorders>
            <w:shd w:val="clear" w:color="auto" w:fill="FFFFFF"/>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 xml:space="preserve">8 </w:t>
            </w:r>
            <w:r w:rsidRPr="00DC5B13">
              <w:rPr>
                <w:rFonts w:ascii="David" w:eastAsia="Calibri" w:hAnsi="David"/>
                <w:color w:val="000000"/>
                <w:sz w:val="22"/>
                <w:szCs w:val="22"/>
                <w:rtl/>
              </w:rPr>
              <w:br/>
              <w:t>(מרכזי)</w:t>
            </w:r>
          </w:p>
        </w:tc>
      </w:tr>
      <w:tr w:rsidTr="00DC5B13">
        <w:tblPrEx>
          <w:tblW w:w="5000" w:type="pct"/>
          <w:shd w:val="clear" w:color="auto" w:fill="FFFFFF"/>
          <w:tblCellMar>
            <w:left w:w="0" w:type="dxa"/>
            <w:right w:w="0" w:type="dxa"/>
          </w:tblCellMar>
          <w:tblLook w:val="04A0"/>
        </w:tblPrEx>
        <w:trPr>
          <w:trHeight w:hRule="exact" w:val="680"/>
        </w:trPr>
        <w:tc>
          <w:tcPr>
            <w:tcW w:w="325" w:type="pct"/>
            <w:tcBorders>
              <w:top w:val="single" w:sz="12" w:space="0" w:color="EEECE1"/>
              <w:left w:val="nil"/>
              <w:bottom w:val="single" w:sz="12" w:space="0" w:color="EEECE1"/>
              <w:right w:val="nil"/>
            </w:tcBorders>
            <w:shd w:val="clear" w:color="auto" w:fill="F0F6FE"/>
            <w:hideMark/>
          </w:tcPr>
          <w:p w:rsidR="00DC5B13" w:rsidRPr="00DC5B13" w:rsidP="00C34B23">
            <w:pPr>
              <w:spacing w:line="269" w:lineRule="auto"/>
              <w:rPr>
                <w:rFonts w:ascii="Tahoma" w:eastAsia="Times New Roman" w:hAnsi="Tahoma" w:cs="Tahoma"/>
                <w:color w:val="A6A6A6"/>
                <w:sz w:val="16"/>
                <w:szCs w:val="16"/>
                <w:rtl/>
              </w:rPr>
            </w:pPr>
            <w:r w:rsidRPr="00DC5B13">
              <w:rPr>
                <w:rFonts w:eastAsia="Calibri"/>
                <w:noProof/>
                <w:rtl/>
              </w:rPr>
              <w:drawing>
                <wp:anchor distT="0" distB="0" distL="114300" distR="114300" simplePos="0" relativeHeight="251666432" behindDoc="0" locked="0" layoutInCell="1" allowOverlap="1">
                  <wp:simplePos x="0" y="0"/>
                  <wp:positionH relativeFrom="column">
                    <wp:posOffset>36195</wp:posOffset>
                  </wp:positionH>
                  <wp:positionV relativeFrom="paragraph">
                    <wp:posOffset>88265</wp:posOffset>
                  </wp:positionV>
                  <wp:extent cx="260985" cy="259080"/>
                  <wp:effectExtent l="0" t="0" r="5715" b="762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92"/>
                          <pic:cNvPicPr>
                            <a:picLocks noChangeAspect="1" noChangeArrowheads="1"/>
                          </pic:cNvPicPr>
                        </pic:nvPicPr>
                        <pic:blipFill>
                          <a:blip xmlns:r="http://schemas.openxmlformats.org/officeDocument/2006/relationships" r:embed="rId13">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42" w:type="pct"/>
            <w:tcBorders>
              <w:top w:val="single" w:sz="12" w:space="0" w:color="EEECE1"/>
              <w:left w:val="nil"/>
              <w:bottom w:val="single" w:sz="12" w:space="0" w:color="EEECE1"/>
              <w:right w:val="nil"/>
            </w:tcBorders>
            <w:shd w:val="clear" w:color="auto" w:fill="F0F6FE"/>
            <w:tcMar>
              <w:top w:w="0" w:type="dxa"/>
              <w:left w:w="108" w:type="dxa"/>
              <w:bottom w:w="0" w:type="dxa"/>
              <w:right w:w="108" w:type="dxa"/>
            </w:tcMar>
            <w:vAlign w:val="center"/>
            <w:hideMark/>
          </w:tcPr>
          <w:p w:rsidR="00DC5B13" w:rsidRPr="00DC5B13" w:rsidP="00C34B23">
            <w:pPr>
              <w:spacing w:line="269" w:lineRule="auto"/>
              <w:jc w:val="left"/>
              <w:rPr>
                <w:rFonts w:ascii="David" w:eastAsia="Times New Roman" w:hAnsi="David"/>
                <w:b/>
                <w:bCs/>
                <w:color w:val="808080"/>
                <w:sz w:val="22"/>
                <w:szCs w:val="22"/>
                <w:rtl/>
              </w:rPr>
            </w:pPr>
            <w:r w:rsidRPr="00DC5B13">
              <w:rPr>
                <w:rFonts w:ascii="David" w:eastAsia="Times New Roman" w:hAnsi="David"/>
                <w:b/>
                <w:bCs/>
                <w:color w:val="808080"/>
                <w:sz w:val="22"/>
                <w:szCs w:val="22"/>
                <w:rtl/>
              </w:rPr>
              <w:t>סיווג הרשות המקומית</w:t>
            </w:r>
          </w:p>
        </w:tc>
        <w:tc>
          <w:tcPr>
            <w:tcW w:w="726"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יציבה</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יציבה</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הבראה</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ביניים</w:t>
            </w:r>
          </w:p>
        </w:tc>
        <w:tc>
          <w:tcPr>
            <w:tcW w:w="727" w:type="pct"/>
            <w:tcBorders>
              <w:top w:val="single" w:sz="12" w:space="0" w:color="EEECE1"/>
              <w:left w:val="nil"/>
              <w:bottom w:val="single" w:sz="12" w:space="0" w:color="EEECE1"/>
              <w:right w:val="nil"/>
            </w:tcBorders>
            <w:shd w:val="clear" w:color="auto" w:fill="FFFFFF"/>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איתנה</w:t>
            </w:r>
          </w:p>
        </w:tc>
      </w:tr>
      <w:tr w:rsidTr="00DC5B13">
        <w:tblPrEx>
          <w:tblW w:w="5000" w:type="pct"/>
          <w:shd w:val="clear" w:color="auto" w:fill="FFFFFF"/>
          <w:tblCellMar>
            <w:left w:w="0" w:type="dxa"/>
            <w:right w:w="0" w:type="dxa"/>
          </w:tblCellMar>
          <w:tblLook w:val="04A0"/>
        </w:tblPrEx>
        <w:trPr>
          <w:trHeight w:hRule="exact" w:val="680"/>
        </w:trPr>
        <w:tc>
          <w:tcPr>
            <w:tcW w:w="325" w:type="pct"/>
            <w:tcBorders>
              <w:top w:val="single" w:sz="12" w:space="0" w:color="EEECE1"/>
              <w:left w:val="nil"/>
              <w:bottom w:val="single" w:sz="12" w:space="0" w:color="EEECE1"/>
              <w:right w:val="nil"/>
            </w:tcBorders>
            <w:shd w:val="clear" w:color="auto" w:fill="F0F6FE"/>
            <w:hideMark/>
          </w:tcPr>
          <w:p w:rsidR="00DC5B13" w:rsidRPr="00DC5B13" w:rsidP="00C34B23">
            <w:pPr>
              <w:spacing w:line="269" w:lineRule="auto"/>
              <w:rPr>
                <w:rFonts w:ascii="Tahoma" w:eastAsia="Times New Roman" w:hAnsi="Tahoma" w:cs="Tahoma"/>
                <w:color w:val="A6A6A6"/>
                <w:sz w:val="16"/>
                <w:szCs w:val="16"/>
                <w:rtl/>
              </w:rPr>
            </w:pPr>
            <w:r w:rsidRPr="00DC5B13">
              <w:rPr>
                <w:rFonts w:eastAsia="Calibri"/>
                <w:noProof/>
                <w:rtl/>
              </w:rPr>
              <w:drawing>
                <wp:anchor distT="0" distB="0" distL="114300" distR="114300" simplePos="0" relativeHeight="251667456" behindDoc="0" locked="0" layoutInCell="1" allowOverlap="1">
                  <wp:simplePos x="0" y="0"/>
                  <wp:positionH relativeFrom="column">
                    <wp:posOffset>37465</wp:posOffset>
                  </wp:positionH>
                  <wp:positionV relativeFrom="paragraph">
                    <wp:posOffset>91440</wp:posOffset>
                  </wp:positionV>
                  <wp:extent cx="259080" cy="259080"/>
                  <wp:effectExtent l="0" t="0" r="7620" b="7620"/>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96"/>
                          <pic:cNvPicPr>
                            <a:picLocks noChangeAspect="1" noChangeArrowheads="1"/>
                          </pic:cNvPicPr>
                        </pic:nvPicPr>
                        <pic:blipFill>
                          <a:blip xmlns:r="http://schemas.openxmlformats.org/officeDocument/2006/relationships" r:embed="rId14">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42" w:type="pct"/>
            <w:tcBorders>
              <w:top w:val="single" w:sz="12" w:space="0" w:color="EEECE1"/>
              <w:left w:val="nil"/>
              <w:bottom w:val="single" w:sz="12" w:space="0" w:color="EEECE1"/>
              <w:right w:val="nil"/>
            </w:tcBorders>
            <w:shd w:val="clear" w:color="auto" w:fill="F0F6FE"/>
            <w:tcMar>
              <w:top w:w="0" w:type="dxa"/>
              <w:left w:w="108" w:type="dxa"/>
              <w:bottom w:w="0" w:type="dxa"/>
              <w:right w:w="108" w:type="dxa"/>
            </w:tcMar>
            <w:vAlign w:val="center"/>
            <w:hideMark/>
          </w:tcPr>
          <w:p w:rsidR="00DC5B13" w:rsidRPr="00DC5B13" w:rsidP="00C34B23">
            <w:pPr>
              <w:spacing w:line="269" w:lineRule="auto"/>
              <w:jc w:val="left"/>
              <w:rPr>
                <w:rFonts w:ascii="David" w:eastAsia="Times New Roman" w:hAnsi="David"/>
                <w:b/>
                <w:bCs/>
                <w:color w:val="808080"/>
                <w:sz w:val="22"/>
                <w:szCs w:val="22"/>
                <w:rtl/>
              </w:rPr>
            </w:pPr>
            <w:r w:rsidRPr="00DC5B13">
              <w:rPr>
                <w:rFonts w:ascii="David" w:eastAsia="Times New Roman" w:hAnsi="David"/>
                <w:b/>
                <w:bCs/>
                <w:color w:val="808080"/>
                <w:sz w:val="22"/>
                <w:szCs w:val="22"/>
                <w:rtl/>
              </w:rPr>
              <w:t>ביצוע ההכנסות</w:t>
            </w:r>
          </w:p>
          <w:p w:rsidR="00DC5B13" w:rsidRPr="00DC5B13" w:rsidP="00C34B23">
            <w:pPr>
              <w:spacing w:line="269" w:lineRule="auto"/>
              <w:jc w:val="left"/>
              <w:rPr>
                <w:rFonts w:ascii="David" w:eastAsia="Times New Roman" w:hAnsi="David"/>
                <w:b/>
                <w:bCs/>
                <w:color w:val="808080"/>
                <w:sz w:val="22"/>
                <w:szCs w:val="22"/>
                <w:rtl/>
              </w:rPr>
            </w:pPr>
            <w:r w:rsidRPr="00DC5B13">
              <w:rPr>
                <w:rFonts w:ascii="David" w:eastAsia="Times New Roman" w:hAnsi="David"/>
                <w:b/>
                <w:bCs/>
                <w:color w:val="808080"/>
                <w:sz w:val="22"/>
                <w:szCs w:val="22"/>
                <w:rtl/>
              </w:rPr>
              <w:t>(באלפי ש"ח)</w:t>
            </w:r>
          </w:p>
        </w:tc>
        <w:tc>
          <w:tcPr>
            <w:tcW w:w="726"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676,784</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2,029,970</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382,102</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251,561</w:t>
            </w:r>
          </w:p>
        </w:tc>
        <w:tc>
          <w:tcPr>
            <w:tcW w:w="727" w:type="pct"/>
            <w:tcBorders>
              <w:top w:val="single" w:sz="12" w:space="0" w:color="EEECE1"/>
              <w:left w:val="nil"/>
              <w:bottom w:val="single" w:sz="12" w:space="0" w:color="EEECE1"/>
              <w:right w:val="nil"/>
            </w:tcBorders>
            <w:shd w:val="clear" w:color="auto" w:fill="FFFFFF"/>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1,008,459</w:t>
            </w:r>
          </w:p>
        </w:tc>
      </w:tr>
      <w:tr w:rsidTr="00DC5B13">
        <w:tblPrEx>
          <w:tblW w:w="5000" w:type="pct"/>
          <w:shd w:val="clear" w:color="auto" w:fill="FFFFFF"/>
          <w:tblCellMar>
            <w:left w:w="0" w:type="dxa"/>
            <w:right w:w="0" w:type="dxa"/>
          </w:tblCellMar>
          <w:tblLook w:val="04A0"/>
        </w:tblPrEx>
        <w:trPr>
          <w:trHeight w:hRule="exact" w:val="680"/>
        </w:trPr>
        <w:tc>
          <w:tcPr>
            <w:tcW w:w="325" w:type="pct"/>
            <w:tcBorders>
              <w:top w:val="single" w:sz="12" w:space="0" w:color="EEECE1"/>
              <w:left w:val="nil"/>
              <w:bottom w:val="single" w:sz="12" w:space="0" w:color="EEECE1"/>
              <w:right w:val="nil"/>
            </w:tcBorders>
            <w:shd w:val="clear" w:color="auto" w:fill="F0F6FE"/>
            <w:hideMark/>
          </w:tcPr>
          <w:p w:rsidR="00DC5B13" w:rsidRPr="00DC5B13" w:rsidP="00C34B23">
            <w:pPr>
              <w:spacing w:line="269" w:lineRule="auto"/>
              <w:rPr>
                <w:rFonts w:ascii="Tahoma" w:eastAsia="Times New Roman" w:hAnsi="Tahoma" w:cs="Tahoma"/>
                <w:color w:val="A6A6A6"/>
                <w:sz w:val="16"/>
                <w:szCs w:val="16"/>
              </w:rPr>
            </w:pPr>
            <w:r w:rsidRPr="00DC5B13">
              <w:rPr>
                <w:rFonts w:eastAsia="Calibri"/>
                <w:noProof/>
              </w:rPr>
              <w:drawing>
                <wp:anchor distT="0" distB="0" distL="114300" distR="114300" simplePos="0" relativeHeight="251668480" behindDoc="0" locked="0" layoutInCell="1" allowOverlap="1">
                  <wp:simplePos x="0" y="0"/>
                  <wp:positionH relativeFrom="column">
                    <wp:posOffset>38735</wp:posOffset>
                  </wp:positionH>
                  <wp:positionV relativeFrom="paragraph">
                    <wp:posOffset>95250</wp:posOffset>
                  </wp:positionV>
                  <wp:extent cx="259080" cy="259080"/>
                  <wp:effectExtent l="0" t="0" r="7620" b="762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95"/>
                          <pic:cNvPicPr>
                            <a:picLocks noChangeAspect="1" noChangeArrowheads="1"/>
                          </pic:cNvPicPr>
                        </pic:nvPicPr>
                        <pic:blipFill>
                          <a:blip xmlns:r="http://schemas.openxmlformats.org/officeDocument/2006/relationships" r:embed="rId15">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42" w:type="pct"/>
            <w:tcBorders>
              <w:top w:val="single" w:sz="12" w:space="0" w:color="EEECE1"/>
              <w:left w:val="nil"/>
              <w:bottom w:val="single" w:sz="12" w:space="0" w:color="EEECE1"/>
              <w:right w:val="nil"/>
            </w:tcBorders>
            <w:shd w:val="clear" w:color="auto" w:fill="F0F6FE"/>
            <w:tcMar>
              <w:top w:w="0" w:type="dxa"/>
              <w:left w:w="108" w:type="dxa"/>
              <w:bottom w:w="0" w:type="dxa"/>
              <w:right w:w="108" w:type="dxa"/>
            </w:tcMar>
            <w:vAlign w:val="center"/>
            <w:hideMark/>
          </w:tcPr>
          <w:p w:rsidR="00DC5B13" w:rsidRPr="00DC5B13" w:rsidP="00C34B23">
            <w:pPr>
              <w:spacing w:line="269" w:lineRule="auto"/>
              <w:jc w:val="left"/>
              <w:rPr>
                <w:rFonts w:ascii="David" w:eastAsia="Times New Roman" w:hAnsi="David"/>
                <w:b/>
                <w:bCs/>
                <w:color w:val="808080"/>
                <w:sz w:val="22"/>
                <w:szCs w:val="22"/>
                <w:rtl/>
              </w:rPr>
            </w:pPr>
            <w:r w:rsidRPr="00DC5B13">
              <w:rPr>
                <w:rFonts w:ascii="David" w:eastAsia="Times New Roman" w:hAnsi="David"/>
                <w:b/>
                <w:bCs/>
                <w:color w:val="808080"/>
                <w:sz w:val="22"/>
                <w:szCs w:val="22"/>
                <w:rtl/>
              </w:rPr>
              <w:t xml:space="preserve">ביצוע ההוצאות </w:t>
            </w:r>
            <w:r w:rsidRPr="00DC5B13">
              <w:rPr>
                <w:rFonts w:ascii="David" w:eastAsia="Times New Roman" w:hAnsi="David"/>
                <w:b/>
                <w:bCs/>
                <w:color w:val="808080"/>
                <w:sz w:val="22"/>
                <w:szCs w:val="22"/>
                <w:rtl/>
              </w:rPr>
              <w:br/>
              <w:t>(באלפי ש"ח)</w:t>
            </w:r>
          </w:p>
        </w:tc>
        <w:tc>
          <w:tcPr>
            <w:tcW w:w="726"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673,100</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2,029,479</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382,102</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251,561</w:t>
            </w:r>
          </w:p>
        </w:tc>
        <w:tc>
          <w:tcPr>
            <w:tcW w:w="727" w:type="pct"/>
            <w:tcBorders>
              <w:top w:val="single" w:sz="12" w:space="0" w:color="EEECE1"/>
              <w:left w:val="nil"/>
              <w:bottom w:val="single" w:sz="12" w:space="0" w:color="EEECE1"/>
              <w:right w:val="nil"/>
            </w:tcBorders>
            <w:shd w:val="clear" w:color="auto" w:fill="FFFFFF"/>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1,008,264</w:t>
            </w:r>
          </w:p>
        </w:tc>
      </w:tr>
      <w:tr w:rsidTr="00DC5B13">
        <w:tblPrEx>
          <w:tblW w:w="5000" w:type="pct"/>
          <w:shd w:val="clear" w:color="auto" w:fill="FFFFFF"/>
          <w:tblCellMar>
            <w:left w:w="0" w:type="dxa"/>
            <w:right w:w="0" w:type="dxa"/>
          </w:tblCellMar>
          <w:tblLook w:val="04A0"/>
        </w:tblPrEx>
        <w:trPr>
          <w:trHeight w:hRule="exact" w:val="680"/>
        </w:trPr>
        <w:tc>
          <w:tcPr>
            <w:tcW w:w="325" w:type="pct"/>
            <w:tcBorders>
              <w:top w:val="single" w:sz="12" w:space="0" w:color="EEECE1"/>
              <w:left w:val="nil"/>
              <w:bottom w:val="single" w:sz="12" w:space="0" w:color="EEECE1"/>
              <w:right w:val="nil"/>
            </w:tcBorders>
            <w:shd w:val="clear" w:color="auto" w:fill="F0F6FE"/>
            <w:hideMark/>
          </w:tcPr>
          <w:p w:rsidR="00DC5B13" w:rsidRPr="00DC5B13" w:rsidP="00C34B23">
            <w:pPr>
              <w:spacing w:line="269" w:lineRule="auto"/>
              <w:rPr>
                <w:rFonts w:ascii="Tahoma" w:eastAsia="Times New Roman" w:hAnsi="Tahoma" w:cs="Tahoma"/>
                <w:color w:val="A6A6A6"/>
                <w:sz w:val="16"/>
                <w:szCs w:val="16"/>
              </w:rPr>
            </w:pPr>
            <w:r w:rsidRPr="00DC5B13">
              <w:rPr>
                <w:rFonts w:eastAsia="Calibri"/>
                <w:noProof/>
              </w:rPr>
              <w:drawing>
                <wp:anchor distT="0" distB="0" distL="114300" distR="114300" simplePos="0" relativeHeight="251669504" behindDoc="0" locked="0" layoutInCell="1" allowOverlap="1">
                  <wp:simplePos x="0" y="0"/>
                  <wp:positionH relativeFrom="column">
                    <wp:posOffset>38100</wp:posOffset>
                  </wp:positionH>
                  <wp:positionV relativeFrom="paragraph">
                    <wp:posOffset>98425</wp:posOffset>
                  </wp:positionV>
                  <wp:extent cx="259080" cy="259080"/>
                  <wp:effectExtent l="0" t="0" r="7620" b="762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93"/>
                          <pic:cNvPicPr>
                            <a:picLocks noChangeAspect="1" noChangeArrowheads="1"/>
                          </pic:cNvPicPr>
                        </pic:nvPicPr>
                        <pic:blipFill>
                          <a:blip xmlns:r="http://schemas.openxmlformats.org/officeDocument/2006/relationships" r:embed="rId16">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42" w:type="pct"/>
            <w:tcBorders>
              <w:top w:val="single" w:sz="12" w:space="0" w:color="EEECE1"/>
              <w:left w:val="nil"/>
              <w:bottom w:val="single" w:sz="12" w:space="0" w:color="EEECE1"/>
              <w:right w:val="nil"/>
            </w:tcBorders>
            <w:shd w:val="clear" w:color="auto" w:fill="F0F6FE"/>
            <w:tcMar>
              <w:top w:w="0" w:type="dxa"/>
              <w:left w:w="108" w:type="dxa"/>
              <w:bottom w:w="0" w:type="dxa"/>
              <w:right w:w="108" w:type="dxa"/>
            </w:tcMar>
            <w:vAlign w:val="center"/>
            <w:hideMark/>
          </w:tcPr>
          <w:p w:rsidR="00DC5B13" w:rsidRPr="00DC5B13" w:rsidP="00C34B23">
            <w:pPr>
              <w:spacing w:line="269" w:lineRule="auto"/>
              <w:jc w:val="left"/>
              <w:rPr>
                <w:rFonts w:ascii="David" w:eastAsia="Times New Roman" w:hAnsi="David"/>
                <w:b/>
                <w:bCs/>
                <w:color w:val="808080"/>
                <w:sz w:val="22"/>
                <w:szCs w:val="22"/>
                <w:rtl/>
              </w:rPr>
            </w:pPr>
            <w:r w:rsidRPr="00DC5B13">
              <w:rPr>
                <w:rFonts w:ascii="David" w:eastAsia="Times New Roman" w:hAnsi="David"/>
                <w:b/>
                <w:bCs/>
                <w:color w:val="808080"/>
                <w:sz w:val="22"/>
                <w:szCs w:val="22"/>
                <w:rtl/>
              </w:rPr>
              <w:t>העודף השוטף (באלפי ש"ח)</w:t>
            </w:r>
          </w:p>
        </w:tc>
        <w:tc>
          <w:tcPr>
            <w:tcW w:w="726"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3,684</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491</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w:t>
            </w:r>
          </w:p>
        </w:tc>
        <w:tc>
          <w:tcPr>
            <w:tcW w:w="727" w:type="pct"/>
            <w:tcBorders>
              <w:top w:val="single" w:sz="12" w:space="0" w:color="EEECE1"/>
              <w:left w:val="nil"/>
              <w:bottom w:val="single" w:sz="12" w:space="0" w:color="EEECE1"/>
              <w:right w:val="nil"/>
            </w:tcBorders>
            <w:shd w:val="clear" w:color="auto" w:fill="FFFFFF"/>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195</w:t>
            </w:r>
          </w:p>
        </w:tc>
      </w:tr>
      <w:tr w:rsidTr="00DC5B13">
        <w:tblPrEx>
          <w:tblW w:w="5000" w:type="pct"/>
          <w:shd w:val="clear" w:color="auto" w:fill="FFFFFF"/>
          <w:tblCellMar>
            <w:left w:w="0" w:type="dxa"/>
            <w:right w:w="0" w:type="dxa"/>
          </w:tblCellMar>
          <w:tblLook w:val="04A0"/>
        </w:tblPrEx>
        <w:trPr>
          <w:trHeight w:hRule="exact" w:val="680"/>
        </w:trPr>
        <w:tc>
          <w:tcPr>
            <w:tcW w:w="325" w:type="pct"/>
            <w:tcBorders>
              <w:top w:val="single" w:sz="12" w:space="0" w:color="EEECE1"/>
              <w:left w:val="nil"/>
              <w:bottom w:val="single" w:sz="12" w:space="0" w:color="EEECE1"/>
              <w:right w:val="nil"/>
            </w:tcBorders>
            <w:shd w:val="clear" w:color="auto" w:fill="F0F6FE"/>
            <w:hideMark/>
          </w:tcPr>
          <w:p w:rsidR="00DC5B13" w:rsidRPr="00DC5B13" w:rsidP="00C34B23">
            <w:pPr>
              <w:spacing w:line="269" w:lineRule="auto"/>
              <w:rPr>
                <w:rFonts w:ascii="Tahoma" w:eastAsia="Times New Roman" w:hAnsi="Tahoma" w:cs="Tahoma"/>
                <w:color w:val="A6A6A6"/>
                <w:sz w:val="16"/>
                <w:szCs w:val="16"/>
              </w:rPr>
            </w:pPr>
            <w:r w:rsidRPr="00DC5B13">
              <w:rPr>
                <w:rFonts w:eastAsia="Calibri"/>
                <w:noProof/>
              </w:rPr>
              <w:drawing>
                <wp:anchor distT="0" distB="0" distL="114300" distR="114300" simplePos="0" relativeHeight="251670528" behindDoc="0" locked="0" layoutInCell="1" allowOverlap="1">
                  <wp:simplePos x="0" y="0"/>
                  <wp:positionH relativeFrom="column">
                    <wp:posOffset>36830</wp:posOffset>
                  </wp:positionH>
                  <wp:positionV relativeFrom="paragraph">
                    <wp:posOffset>101600</wp:posOffset>
                  </wp:positionV>
                  <wp:extent cx="260985" cy="259080"/>
                  <wp:effectExtent l="0" t="0" r="5715" b="762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91"/>
                          <pic:cNvPicPr>
                            <a:picLocks noChangeAspect="1" noChangeArrowheads="1"/>
                          </pic:cNvPicPr>
                        </pic:nvPicPr>
                        <pic:blipFill>
                          <a:blip xmlns:r="http://schemas.openxmlformats.org/officeDocument/2006/relationships" r:embed="rId17">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42" w:type="pct"/>
            <w:tcBorders>
              <w:top w:val="single" w:sz="12" w:space="0" w:color="EEECE1"/>
              <w:left w:val="nil"/>
              <w:bottom w:val="single" w:sz="12" w:space="0" w:color="EEECE1"/>
              <w:right w:val="nil"/>
            </w:tcBorders>
            <w:shd w:val="clear" w:color="auto" w:fill="F0F6FE"/>
            <w:tcMar>
              <w:top w:w="0" w:type="dxa"/>
              <w:left w:w="108" w:type="dxa"/>
              <w:bottom w:w="0" w:type="dxa"/>
              <w:right w:w="108" w:type="dxa"/>
            </w:tcMar>
            <w:vAlign w:val="center"/>
            <w:hideMark/>
          </w:tcPr>
          <w:p w:rsidR="00DC5B13" w:rsidRPr="00DC5B13" w:rsidP="00C34B23">
            <w:pPr>
              <w:spacing w:line="269" w:lineRule="auto"/>
              <w:jc w:val="left"/>
              <w:rPr>
                <w:rFonts w:ascii="David" w:eastAsia="Times New Roman" w:hAnsi="David"/>
                <w:b/>
                <w:bCs/>
                <w:color w:val="808080"/>
                <w:sz w:val="22"/>
                <w:szCs w:val="22"/>
                <w:rtl/>
              </w:rPr>
            </w:pPr>
            <w:r w:rsidRPr="00DC5B13">
              <w:rPr>
                <w:rFonts w:ascii="David" w:eastAsia="Times New Roman" w:hAnsi="David"/>
                <w:b/>
                <w:bCs/>
                <w:color w:val="808080"/>
                <w:sz w:val="22"/>
                <w:szCs w:val="22"/>
                <w:rtl/>
              </w:rPr>
              <w:t>העודף (או הגירעון) המצטבר (באלפי ש"ח)</w:t>
            </w:r>
          </w:p>
        </w:tc>
        <w:tc>
          <w:tcPr>
            <w:tcW w:w="726"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15,099</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(57,330)</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(26,953)</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(26,881)</w:t>
            </w:r>
          </w:p>
        </w:tc>
        <w:tc>
          <w:tcPr>
            <w:tcW w:w="727" w:type="pct"/>
            <w:tcBorders>
              <w:top w:val="single" w:sz="12" w:space="0" w:color="EEECE1"/>
              <w:left w:val="nil"/>
              <w:bottom w:val="single" w:sz="12" w:space="0" w:color="EEECE1"/>
              <w:right w:val="nil"/>
            </w:tcBorders>
            <w:shd w:val="clear" w:color="auto" w:fill="FFFFFF"/>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(1,405)</w:t>
            </w:r>
          </w:p>
        </w:tc>
      </w:tr>
      <w:tr w:rsidTr="00DC5B13">
        <w:tblPrEx>
          <w:tblW w:w="5000" w:type="pct"/>
          <w:shd w:val="clear" w:color="auto" w:fill="FFFFFF"/>
          <w:tblCellMar>
            <w:left w:w="0" w:type="dxa"/>
            <w:right w:w="0" w:type="dxa"/>
          </w:tblCellMar>
          <w:tblLook w:val="04A0"/>
        </w:tblPrEx>
        <w:trPr>
          <w:trHeight w:hRule="exact" w:val="680"/>
        </w:trPr>
        <w:tc>
          <w:tcPr>
            <w:tcW w:w="325" w:type="pct"/>
            <w:tcBorders>
              <w:top w:val="single" w:sz="12" w:space="0" w:color="EEECE1"/>
              <w:left w:val="nil"/>
              <w:bottom w:val="single" w:sz="12" w:space="0" w:color="EEECE1"/>
              <w:right w:val="nil"/>
            </w:tcBorders>
            <w:shd w:val="clear" w:color="auto" w:fill="F0F6FE"/>
          </w:tcPr>
          <w:p w:rsidR="00DC5B13" w:rsidRPr="00DC5B13" w:rsidP="00C34B23">
            <w:pPr>
              <w:spacing w:line="269" w:lineRule="auto"/>
              <w:rPr>
                <w:rFonts w:eastAsia="Calibri"/>
                <w:noProof/>
              </w:rPr>
            </w:pPr>
            <w:r w:rsidRPr="00DC5B13">
              <w:rPr>
                <w:rFonts w:eastAsia="Calibri"/>
                <w:noProof/>
              </w:rPr>
              <w:drawing>
                <wp:anchor distT="0" distB="0" distL="114300" distR="114300" simplePos="0" relativeHeight="251671552" behindDoc="0" locked="0" layoutInCell="1" allowOverlap="1">
                  <wp:simplePos x="0" y="0"/>
                  <wp:positionH relativeFrom="column">
                    <wp:posOffset>37465</wp:posOffset>
                  </wp:positionH>
                  <wp:positionV relativeFrom="paragraph">
                    <wp:posOffset>103505</wp:posOffset>
                  </wp:positionV>
                  <wp:extent cx="259080" cy="259080"/>
                  <wp:effectExtent l="0" t="0" r="7620" b="762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97"/>
                          <pic:cNvPicPr>
                            <a:picLocks noChangeAspect="1" noChangeArrowheads="1"/>
                          </pic:cNvPicPr>
                        </pic:nvPicPr>
                        <pic:blipFill>
                          <a:blip xmlns:r="http://schemas.openxmlformats.org/officeDocument/2006/relationships" r:embed="rId18">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p>
          <w:p w:rsidR="00DC5B13" w:rsidRPr="00DC5B13" w:rsidP="00C34B23">
            <w:pPr>
              <w:spacing w:line="269" w:lineRule="auto"/>
              <w:rPr>
                <w:rFonts w:ascii="Tahoma" w:eastAsia="Times New Roman" w:hAnsi="Tahoma" w:cs="Tahoma"/>
                <w:color w:val="A6A6A6"/>
                <w:sz w:val="16"/>
                <w:szCs w:val="16"/>
                <w:rtl/>
              </w:rPr>
            </w:pPr>
          </w:p>
          <w:p w:rsidR="00DC5B13" w:rsidRPr="00DC5B13" w:rsidP="00C34B23">
            <w:pPr>
              <w:spacing w:line="269" w:lineRule="auto"/>
              <w:rPr>
                <w:rFonts w:ascii="Tahoma" w:eastAsia="Times New Roman" w:hAnsi="Tahoma" w:cs="Tahoma"/>
                <w:color w:val="A6A6A6"/>
                <w:sz w:val="16"/>
                <w:szCs w:val="16"/>
                <w:rtl/>
              </w:rPr>
            </w:pPr>
          </w:p>
          <w:p w:rsidR="00DC5B13" w:rsidRPr="00DC5B13" w:rsidP="00C34B23">
            <w:pPr>
              <w:spacing w:line="269" w:lineRule="auto"/>
              <w:rPr>
                <w:rFonts w:ascii="Tahoma" w:eastAsia="Times New Roman" w:hAnsi="Tahoma" w:cs="Tahoma"/>
                <w:color w:val="A6A6A6"/>
                <w:sz w:val="16"/>
                <w:szCs w:val="16"/>
                <w:rtl/>
              </w:rPr>
            </w:pPr>
          </w:p>
          <w:p w:rsidR="00DC5B13" w:rsidRPr="00DC5B13" w:rsidP="00C34B23">
            <w:pPr>
              <w:spacing w:line="269" w:lineRule="auto"/>
              <w:rPr>
                <w:rFonts w:ascii="Tahoma" w:eastAsia="Times New Roman" w:hAnsi="Tahoma" w:cs="Tahoma"/>
                <w:color w:val="A6A6A6"/>
                <w:sz w:val="16"/>
                <w:szCs w:val="16"/>
                <w:rtl/>
              </w:rPr>
            </w:pPr>
          </w:p>
          <w:p w:rsidR="00DC5B13" w:rsidRPr="00DC5B13" w:rsidP="00C34B23">
            <w:pPr>
              <w:spacing w:line="269" w:lineRule="auto"/>
              <w:rPr>
                <w:rFonts w:ascii="Tahoma" w:eastAsia="Times New Roman" w:hAnsi="Tahoma" w:cs="Tahoma"/>
                <w:color w:val="A6A6A6"/>
                <w:sz w:val="16"/>
                <w:szCs w:val="16"/>
                <w:rtl/>
              </w:rPr>
            </w:pPr>
          </w:p>
          <w:p w:rsidR="00DC5B13" w:rsidRPr="00DC5B13" w:rsidP="00C34B23">
            <w:pPr>
              <w:spacing w:line="269" w:lineRule="auto"/>
              <w:rPr>
                <w:rFonts w:ascii="Tahoma" w:eastAsia="Times New Roman" w:hAnsi="Tahoma" w:cs="Tahoma"/>
                <w:color w:val="A6A6A6"/>
                <w:sz w:val="16"/>
                <w:szCs w:val="16"/>
                <w:rtl/>
              </w:rPr>
            </w:pPr>
          </w:p>
          <w:p w:rsidR="00DC5B13" w:rsidRPr="00DC5B13" w:rsidP="00C34B23">
            <w:pPr>
              <w:spacing w:line="269" w:lineRule="auto"/>
              <w:rPr>
                <w:rFonts w:ascii="Tahoma" w:eastAsia="Times New Roman" w:hAnsi="Tahoma" w:cs="Tahoma"/>
                <w:color w:val="A6A6A6"/>
                <w:sz w:val="16"/>
                <w:szCs w:val="16"/>
                <w:rtl/>
              </w:rPr>
            </w:pPr>
          </w:p>
          <w:p w:rsidR="00DC5B13" w:rsidRPr="00DC5B13" w:rsidP="00C34B23">
            <w:pPr>
              <w:spacing w:line="269" w:lineRule="auto"/>
              <w:rPr>
                <w:rFonts w:ascii="Tahoma" w:eastAsia="Times New Roman" w:hAnsi="Tahoma" w:cs="Tahoma"/>
                <w:color w:val="A6A6A6"/>
                <w:sz w:val="16"/>
                <w:szCs w:val="16"/>
                <w:rtl/>
              </w:rPr>
            </w:pPr>
          </w:p>
        </w:tc>
        <w:tc>
          <w:tcPr>
            <w:tcW w:w="1042" w:type="pct"/>
            <w:tcBorders>
              <w:top w:val="single" w:sz="12" w:space="0" w:color="EEECE1"/>
              <w:left w:val="nil"/>
              <w:bottom w:val="single" w:sz="12" w:space="0" w:color="EAEAEA"/>
              <w:right w:val="nil"/>
            </w:tcBorders>
            <w:shd w:val="clear" w:color="auto" w:fill="F0F6FE"/>
            <w:tcMar>
              <w:top w:w="0" w:type="dxa"/>
              <w:left w:w="108" w:type="dxa"/>
              <w:bottom w:w="0" w:type="dxa"/>
              <w:right w:w="108" w:type="dxa"/>
            </w:tcMar>
            <w:vAlign w:val="center"/>
            <w:hideMark/>
          </w:tcPr>
          <w:p w:rsidR="00DC5B13" w:rsidRPr="00DC5B13" w:rsidP="00C34B23">
            <w:pPr>
              <w:spacing w:line="269" w:lineRule="auto"/>
              <w:jc w:val="left"/>
              <w:rPr>
                <w:rFonts w:ascii="David" w:eastAsia="Times New Roman" w:hAnsi="David"/>
                <w:b/>
                <w:bCs/>
                <w:color w:val="808080"/>
                <w:sz w:val="22"/>
                <w:szCs w:val="22"/>
                <w:rtl/>
              </w:rPr>
            </w:pPr>
            <w:r w:rsidRPr="00DC5B13">
              <w:rPr>
                <w:rFonts w:ascii="David" w:eastAsia="Times New Roman" w:hAnsi="David"/>
                <w:b/>
                <w:bCs/>
                <w:color w:val="808080"/>
                <w:sz w:val="22"/>
                <w:szCs w:val="22"/>
                <w:rtl/>
              </w:rPr>
              <w:t>שיעור הגירעון</w:t>
            </w:r>
            <w:r w:rsidRPr="00DC5B13">
              <w:rPr>
                <w:rFonts w:ascii="David" w:eastAsia="Times New Roman" w:hAnsi="David"/>
                <w:b/>
                <w:bCs/>
                <w:color w:val="808080"/>
                <w:sz w:val="22"/>
                <w:szCs w:val="22"/>
                <w:rtl/>
              </w:rPr>
              <w:br/>
              <w:t>המצטבר</w:t>
            </w:r>
            <w:r w:rsidRPr="00DC5B13">
              <w:rPr>
                <w:rFonts w:ascii="David" w:eastAsia="Times New Roman" w:hAnsi="David" w:hint="cs"/>
                <w:b/>
                <w:bCs/>
                <w:color w:val="808080"/>
                <w:sz w:val="22"/>
                <w:szCs w:val="22"/>
                <w:rtl/>
              </w:rPr>
              <w:t xml:space="preserve"> </w:t>
            </w:r>
          </w:p>
        </w:tc>
        <w:tc>
          <w:tcPr>
            <w:tcW w:w="726"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3.1%</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Pr>
            </w:pPr>
            <w:r w:rsidRPr="00DC5B13">
              <w:rPr>
                <w:rFonts w:ascii="David" w:eastAsia="Calibri" w:hAnsi="David"/>
                <w:color w:val="000000"/>
                <w:sz w:val="22"/>
                <w:szCs w:val="22"/>
                <w:rtl/>
              </w:rPr>
              <w:t>7.8%</w:t>
            </w:r>
          </w:p>
        </w:tc>
        <w:tc>
          <w:tcPr>
            <w:tcW w:w="727" w:type="pct"/>
            <w:tcBorders>
              <w:top w:val="single" w:sz="12" w:space="0" w:color="EEECE1"/>
              <w:left w:val="nil"/>
              <w:bottom w:val="single" w:sz="12" w:space="0" w:color="EEECE1"/>
              <w:right w:val="nil"/>
            </w:tcBorders>
            <w:shd w:val="clear" w:color="auto" w:fill="FFFFFF"/>
            <w:tcMar>
              <w:top w:w="0" w:type="dxa"/>
              <w:left w:w="108" w:type="dxa"/>
              <w:bottom w:w="0" w:type="dxa"/>
              <w:right w:w="108" w:type="dxa"/>
            </w:tcMar>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13.1%</w:t>
            </w:r>
          </w:p>
        </w:tc>
        <w:tc>
          <w:tcPr>
            <w:tcW w:w="727" w:type="pct"/>
            <w:tcBorders>
              <w:top w:val="single" w:sz="12" w:space="0" w:color="EEECE1"/>
              <w:left w:val="nil"/>
              <w:bottom w:val="single" w:sz="12" w:space="0" w:color="EEECE1"/>
              <w:right w:val="nil"/>
            </w:tcBorders>
            <w:shd w:val="clear" w:color="auto" w:fill="FFFFFF"/>
            <w:vAlign w:val="bottom"/>
            <w:hideMark/>
          </w:tcPr>
          <w:p w:rsidR="00DC5B13" w:rsidRPr="00DC5B13" w:rsidP="00C34B23">
            <w:pPr>
              <w:spacing w:line="269" w:lineRule="auto"/>
              <w:jc w:val="center"/>
              <w:rPr>
                <w:rFonts w:ascii="David" w:eastAsia="Times New Roman" w:hAnsi="David"/>
                <w:color w:val="222222"/>
                <w:sz w:val="22"/>
                <w:szCs w:val="22"/>
                <w:rtl/>
              </w:rPr>
            </w:pPr>
            <w:r w:rsidRPr="00DC5B13">
              <w:rPr>
                <w:rFonts w:ascii="David" w:eastAsia="Calibri" w:hAnsi="David"/>
                <w:color w:val="000000"/>
                <w:sz w:val="22"/>
                <w:szCs w:val="22"/>
                <w:rtl/>
              </w:rPr>
              <w:t>0.1%</w:t>
            </w:r>
          </w:p>
        </w:tc>
      </w:tr>
    </w:tbl>
    <w:bookmarkEnd w:id="1"/>
    <w:p w:rsidR="00DC5B13" w:rsidRPr="00DC5B13" w:rsidP="00C34B23">
      <w:pPr>
        <w:spacing w:line="269" w:lineRule="auto"/>
        <w:rPr>
          <w:rFonts w:eastAsia="Calibri"/>
          <w:szCs w:val="20"/>
        </w:rPr>
      </w:pPr>
      <w:r w:rsidRPr="00DC5B13">
        <w:rPr>
          <w:rFonts w:eastAsia="Calibri"/>
          <w:szCs w:val="20"/>
          <w:rtl/>
        </w:rPr>
        <w:t>על פי נתוני הלשכה המרכזית לסטטיסטיקה (להלן - הלמ"ס) והדוחות הכספיים המבוקרים של הרשויות המקומיות, בעיבוד משרד מבקר המדינה.</w:t>
      </w:r>
    </w:p>
    <w:p w:rsidR="00DC5B13" w:rsidRPr="005941B0" w:rsidP="00C34B23">
      <w:pPr>
        <w:spacing w:line="269" w:lineRule="auto"/>
        <w:rPr>
          <w:rFonts w:eastAsia="Calibri"/>
          <w:sz w:val="6"/>
          <w:szCs w:val="6"/>
          <w:rtl/>
        </w:rPr>
      </w:pPr>
    </w:p>
    <w:p w:rsidR="00DC5B13" w:rsidRPr="00DC5B13" w:rsidP="005941B0">
      <w:pPr>
        <w:spacing w:after="60" w:line="269" w:lineRule="auto"/>
        <w:rPr>
          <w:rFonts w:eastAsia="Calibri"/>
          <w:szCs w:val="20"/>
          <w:rtl/>
        </w:rPr>
      </w:pPr>
      <w:bookmarkStart w:id="2" w:name="_Hlk160957928"/>
      <w:r w:rsidRPr="00DC5B13">
        <w:rPr>
          <w:rFonts w:eastAsia="Calibri"/>
          <w:b/>
          <w:bCs/>
          <w:szCs w:val="20"/>
          <w:rtl/>
        </w:rPr>
        <w:t>מספר התושבים</w:t>
      </w:r>
      <w:r w:rsidRPr="00DC5B13">
        <w:rPr>
          <w:rFonts w:eastAsia="Calibri"/>
          <w:szCs w:val="20"/>
          <w:rtl/>
        </w:rPr>
        <w:t xml:space="preserve"> - </w:t>
      </w:r>
      <w:bookmarkStart w:id="3" w:name="_Hlk163391687"/>
      <w:r w:rsidRPr="00DC5B13">
        <w:rPr>
          <w:rFonts w:eastAsia="Calibri"/>
          <w:szCs w:val="20"/>
          <w:rtl/>
        </w:rPr>
        <w:t xml:space="preserve">הנתון לקוח מתוך "הרשויות המקומיות - קובץ נתונים לעיבוד - </w:t>
      </w:r>
      <w:r w:rsidRPr="00DC5B13">
        <w:rPr>
          <w:rFonts w:eastAsia="Calibri" w:hint="cs"/>
          <w:szCs w:val="20"/>
          <w:rtl/>
        </w:rPr>
        <w:t>2024</w:t>
      </w:r>
      <w:r w:rsidRPr="00DC5B13">
        <w:rPr>
          <w:rFonts w:eastAsia="Calibri"/>
          <w:szCs w:val="20"/>
          <w:rtl/>
        </w:rPr>
        <w:t>" של הלמ"ס</w:t>
      </w:r>
      <w:bookmarkEnd w:id="3"/>
      <w:r w:rsidRPr="00DC5B13">
        <w:rPr>
          <w:rFonts w:eastAsia="Calibri"/>
          <w:szCs w:val="20"/>
          <w:rtl/>
        </w:rPr>
        <w:t>.</w:t>
      </w:r>
    </w:p>
    <w:bookmarkEnd w:id="2"/>
    <w:p w:rsidR="00DC5B13" w:rsidRPr="00DC5B13" w:rsidP="005941B0">
      <w:pPr>
        <w:spacing w:after="60" w:line="269" w:lineRule="auto"/>
        <w:rPr>
          <w:rFonts w:eastAsia="Calibri"/>
          <w:szCs w:val="20"/>
          <w:rtl/>
        </w:rPr>
      </w:pPr>
      <w:r w:rsidRPr="00DC5B13">
        <w:rPr>
          <w:rFonts w:eastAsia="Calibri"/>
          <w:b/>
          <w:bCs/>
          <w:szCs w:val="20"/>
          <w:rtl/>
        </w:rPr>
        <w:t>האשכול החברתי-כלכלי</w:t>
      </w:r>
      <w:r w:rsidRPr="00DC5B13">
        <w:rPr>
          <w:rFonts w:eastAsia="Calibri"/>
          <w:szCs w:val="20"/>
          <w:rtl/>
        </w:rPr>
        <w:t xml:space="preserve"> - </w:t>
      </w:r>
      <w:bookmarkStart w:id="4" w:name="_Hlk163391700"/>
      <w:r w:rsidRPr="00DC5B13">
        <w:rPr>
          <w:rFonts w:eastAsia="Calibri"/>
          <w:szCs w:val="20"/>
          <w:rtl/>
        </w:rPr>
        <w:t>הלמ"ס מדרגת את הרשויות המקומיות בסולם של עשר דרגות (אשכולות) לפי המצב החברתי-כלכלי של האוכלוסייה המתגוררת בתחום שיפוטן. ברשויות המדורגות באשכול 10 הרמה החברתית-כלכלית היא הגבוהה ביותר. מוצג הנתון שהיה מעודכן במועד סיום הביקורת, המתייחס לשנת 2019.</w:t>
      </w:r>
      <w:bookmarkEnd w:id="4"/>
    </w:p>
    <w:p w:rsidR="00DC5B13" w:rsidRPr="00DC5B13" w:rsidP="005941B0">
      <w:pPr>
        <w:spacing w:after="60" w:line="269" w:lineRule="auto"/>
        <w:rPr>
          <w:rFonts w:eastAsia="Calibri"/>
          <w:szCs w:val="20"/>
          <w:rtl/>
        </w:rPr>
      </w:pPr>
      <w:r w:rsidRPr="00DC5B13">
        <w:rPr>
          <w:rFonts w:eastAsia="Calibri"/>
          <w:b/>
          <w:bCs/>
          <w:szCs w:val="20"/>
          <w:rtl/>
        </w:rPr>
        <w:t>אשכול הפריפריאליות</w:t>
      </w:r>
      <w:r w:rsidRPr="00DC5B13">
        <w:rPr>
          <w:rFonts w:eastAsia="Calibri"/>
          <w:szCs w:val="20"/>
          <w:rtl/>
        </w:rPr>
        <w:t xml:space="preserve"> - </w:t>
      </w:r>
      <w:bookmarkStart w:id="5" w:name="_Hlk163391710"/>
      <w:r w:rsidRPr="00DC5B13">
        <w:rPr>
          <w:rFonts w:eastAsia="Calibri"/>
          <w:szCs w:val="20"/>
          <w:rtl/>
        </w:rPr>
        <w:t>הלמ"ס מדרגת את הרשויות המקומיות בסולם של עשר דרגות (אשכולות) לפי מקומן הגיאוגרפי יחסית לריכוזי האוכלוסייה, על פי שקלול של שני מרכיבים: הנגישות הפוטנציאלית לכלל היישובים והקרבה לגבול של מחוז תל אביב. יישובים המדורגים באשכול 10 הם היישובים המרכזיים ביותר, ויישובים המדורגים באשכול 1 הם הפריפריאליים ביותר. מוצג הנתון לשנת 2020, שהיה המעודכן ביותר במועד סיום הביקורת.</w:t>
      </w:r>
      <w:bookmarkEnd w:id="5"/>
    </w:p>
    <w:p w:rsidR="00DC5B13" w:rsidRPr="00DC5B13" w:rsidP="005941B0">
      <w:pPr>
        <w:spacing w:after="60" w:line="269" w:lineRule="auto"/>
        <w:rPr>
          <w:rFonts w:eastAsia="Calibri"/>
          <w:szCs w:val="20"/>
          <w:rtl/>
        </w:rPr>
      </w:pPr>
      <w:r w:rsidRPr="00DC5B13">
        <w:rPr>
          <w:rFonts w:eastAsia="Calibri"/>
          <w:b/>
          <w:bCs/>
          <w:szCs w:val="20"/>
          <w:rtl/>
        </w:rPr>
        <w:t>סיווג הרשות המקומית</w:t>
      </w:r>
      <w:r w:rsidRPr="00DC5B13">
        <w:rPr>
          <w:rFonts w:eastAsia="Calibri"/>
          <w:szCs w:val="20"/>
          <w:rtl/>
        </w:rPr>
        <w:t xml:space="preserve"> - </w:t>
      </w:r>
      <w:bookmarkStart w:id="6" w:name="_Hlk163391720"/>
      <w:r w:rsidRPr="00DC5B13">
        <w:rPr>
          <w:rFonts w:eastAsia="Calibri"/>
          <w:szCs w:val="20"/>
          <w:rtl/>
        </w:rPr>
        <w:t>משרד הפנים מסווג את הרשויות המקומיות על פי קריטריונים המשקפים את מצבן הכספי ואת פעולותיהן הכלכליות והמשקיות, כגון שיעור הגירעון השוטף או המצטבר, הזכאות למענק איזון, מתן הנחות ומחיקת חובות. על פי הקריטריונים הללו, הרשויות נחלקות לשש קבוצות: (א) איתנוֹת; (ב) יציבוֹת; (ג) בהמראה; (ד) בתוכנית הבראה; (ה) בתוכנית התייעלות; (ו) במצב ביניים. מוצג הנתון שהיה מעודכן במועד סיום הביקורת.</w:t>
      </w:r>
      <w:bookmarkEnd w:id="6"/>
    </w:p>
    <w:p w:rsidR="00DC5B13" w:rsidRPr="00DC5B13" w:rsidP="005941B0">
      <w:pPr>
        <w:spacing w:after="60" w:line="269" w:lineRule="auto"/>
        <w:rPr>
          <w:rFonts w:eastAsia="Calibri"/>
          <w:szCs w:val="20"/>
          <w:rtl/>
        </w:rPr>
      </w:pPr>
      <w:r w:rsidRPr="00DC5B13">
        <w:rPr>
          <w:rFonts w:eastAsia="Calibri"/>
          <w:b/>
          <w:bCs/>
          <w:szCs w:val="20"/>
          <w:rtl/>
        </w:rPr>
        <w:t xml:space="preserve">ביצוע ההכנסות </w:t>
      </w:r>
      <w:r w:rsidRPr="00DC5B13">
        <w:rPr>
          <w:rFonts w:eastAsia="Calibri"/>
          <w:szCs w:val="20"/>
          <w:rtl/>
        </w:rPr>
        <w:t>או</w:t>
      </w:r>
      <w:r w:rsidRPr="00DC5B13">
        <w:rPr>
          <w:rFonts w:eastAsia="Calibri"/>
          <w:b/>
          <w:bCs/>
          <w:szCs w:val="20"/>
          <w:rtl/>
        </w:rPr>
        <w:t xml:space="preserve"> ביצוע ההוצאות </w:t>
      </w:r>
      <w:r w:rsidRPr="00DC5B13">
        <w:rPr>
          <w:rFonts w:eastAsia="Calibri"/>
          <w:szCs w:val="20"/>
          <w:rtl/>
        </w:rPr>
        <w:t xml:space="preserve">- </w:t>
      </w:r>
      <w:bookmarkStart w:id="7" w:name="_Hlk163391729"/>
      <w:r w:rsidRPr="00DC5B13">
        <w:rPr>
          <w:rFonts w:eastAsia="Calibri"/>
          <w:szCs w:val="20"/>
          <w:rtl/>
        </w:rPr>
        <w:t xml:space="preserve">ביצוע ההכנסות או ההוצאות בתקציב הרגיל. </w:t>
      </w:r>
      <w:bookmarkStart w:id="8" w:name="_Hlk159757031"/>
      <w:r w:rsidRPr="00DC5B13">
        <w:rPr>
          <w:rFonts w:eastAsia="Calibri"/>
          <w:szCs w:val="20"/>
          <w:rtl/>
        </w:rPr>
        <w:t>הנתון לקוח מתוך הדוחות הכספיים המבוקרים של הרשויות המקומיות המעודכנים לסוף שנת 2023</w:t>
      </w:r>
      <w:bookmarkEnd w:id="8"/>
      <w:r w:rsidRPr="00DC5B13">
        <w:rPr>
          <w:rFonts w:eastAsia="Calibri"/>
          <w:szCs w:val="20"/>
          <w:rtl/>
        </w:rPr>
        <w:t>.</w:t>
      </w:r>
      <w:bookmarkEnd w:id="7"/>
    </w:p>
    <w:p w:rsidR="00DC5B13" w:rsidRPr="00DC5B13" w:rsidP="005941B0">
      <w:pPr>
        <w:spacing w:after="60" w:line="269" w:lineRule="auto"/>
        <w:rPr>
          <w:rFonts w:eastAsia="Calibri"/>
          <w:szCs w:val="20"/>
          <w:rtl/>
        </w:rPr>
      </w:pPr>
      <w:r w:rsidRPr="00DC5B13">
        <w:rPr>
          <w:rFonts w:eastAsia="Calibri"/>
          <w:b/>
          <w:bCs/>
          <w:szCs w:val="20"/>
          <w:rtl/>
        </w:rPr>
        <w:t>העודף (או הגירעון) השוטף</w:t>
      </w:r>
      <w:r w:rsidRPr="00DC5B13">
        <w:rPr>
          <w:rFonts w:eastAsia="Calibri"/>
          <w:szCs w:val="20"/>
          <w:rtl/>
        </w:rPr>
        <w:t xml:space="preserve"> או </w:t>
      </w:r>
      <w:r w:rsidRPr="00DC5B13">
        <w:rPr>
          <w:rFonts w:eastAsia="Calibri"/>
          <w:b/>
          <w:bCs/>
          <w:szCs w:val="20"/>
          <w:rtl/>
        </w:rPr>
        <w:t>העודף (או הגירעון) המצטבר</w:t>
      </w:r>
      <w:r w:rsidRPr="00DC5B13">
        <w:rPr>
          <w:rFonts w:eastAsia="Calibri"/>
          <w:szCs w:val="20"/>
          <w:rtl/>
        </w:rPr>
        <w:t xml:space="preserve"> - </w:t>
      </w:r>
      <w:bookmarkStart w:id="9" w:name="_Hlk163391738"/>
      <w:r w:rsidRPr="00DC5B13">
        <w:rPr>
          <w:rFonts w:eastAsia="Calibri"/>
          <w:szCs w:val="20"/>
          <w:rtl/>
        </w:rPr>
        <w:t>העודף (ובסוגריים - הגירעון) השוטף או העודף (ובסוגריים - הגירעון) המצטבר בתקציב הרגיל. הנתון לקוח מתוך הדוחות הכספיים המבוקרים של הרשויות המקומיות המעודכנים לסוף שנת 2023.</w:t>
      </w:r>
      <w:bookmarkEnd w:id="9"/>
    </w:p>
    <w:p w:rsidR="00DC5B13" w:rsidRPr="00DC5B13" w:rsidP="00C34B23">
      <w:pPr>
        <w:spacing w:line="269" w:lineRule="auto"/>
        <w:rPr>
          <w:rFonts w:eastAsia="Calibri"/>
          <w:szCs w:val="20"/>
          <w:rtl/>
        </w:rPr>
      </w:pPr>
      <w:r w:rsidRPr="00DC5B13">
        <w:rPr>
          <w:rFonts w:eastAsia="Calibri"/>
          <w:b/>
          <w:bCs/>
          <w:szCs w:val="20"/>
          <w:rtl/>
        </w:rPr>
        <w:t xml:space="preserve">שיעור הגירעון המצטבר </w:t>
      </w:r>
      <w:r w:rsidRPr="00DC5B13">
        <w:rPr>
          <w:rFonts w:eastAsia="Calibri"/>
          <w:szCs w:val="20"/>
          <w:rtl/>
        </w:rPr>
        <w:t>- כהגדרתו בסעיף 140ג לפקודת העיריות [נוסח חדש] ובסעיף 35ג לפקודת המועצות המקומיות [נוסח חדש]). הנתון לקוח מתוך הדוחות הכספיים המבוקרים של הרשויות המקומיות המעודכנים לסוף שנת 2023.</w:t>
      </w:r>
    </w:p>
    <w:p w:rsidR="00DC5B13" w:rsidP="00C34B23">
      <w:pPr>
        <w:keepNext/>
        <w:keepLines/>
        <w:spacing w:line="269" w:lineRule="auto"/>
        <w:jc w:val="center"/>
        <w:outlineLvl w:val="1"/>
        <w:rPr>
          <w:rFonts w:eastAsia="Times New Roman"/>
          <w:bCs/>
          <w:szCs w:val="32"/>
          <w:rtl/>
        </w:rPr>
      </w:pPr>
      <w:r w:rsidRPr="00DC5B13">
        <w:rPr>
          <w:rFonts w:eastAsia="Times New Roman" w:hint="cs"/>
          <w:bCs/>
          <w:szCs w:val="32"/>
          <w:rtl/>
        </w:rPr>
        <w:t>רקע כללי</w:t>
      </w:r>
    </w:p>
    <w:p w:rsidR="00C34B23" w:rsidRPr="00151194" w:rsidP="00151194">
      <w:pPr>
        <w:spacing w:line="269" w:lineRule="auto"/>
        <w:rPr>
          <w:rFonts w:eastAsia="Calibri"/>
          <w:rtl/>
        </w:rPr>
      </w:pPr>
    </w:p>
    <w:p w:rsidR="00DC5B13" w:rsidRPr="00DC5B13" w:rsidP="00C34B23">
      <w:pPr>
        <w:keepNext/>
        <w:keepLines/>
        <w:spacing w:line="269" w:lineRule="auto"/>
        <w:outlineLvl w:val="2"/>
        <w:rPr>
          <w:rFonts w:eastAsia="Times New Roman"/>
          <w:bCs/>
          <w:szCs w:val="28"/>
          <w:u w:val="single"/>
          <w:rtl/>
        </w:rPr>
      </w:pPr>
      <w:bookmarkStart w:id="10" w:name="_Hlk215402730"/>
      <w:r w:rsidRPr="00DC5B13">
        <w:rPr>
          <w:rFonts w:eastAsia="Times New Roman"/>
          <w:bCs/>
          <w:szCs w:val="28"/>
          <w:u w:val="single"/>
          <w:rtl/>
        </w:rPr>
        <w:t>המסגרת החוקית ומסגרת האסדרה להתחדשות עירונית בישראל</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 xml:space="preserve">התחדשות עירונית בישראל מוסדרת באמצעות </w:t>
      </w:r>
      <w:r w:rsidRPr="00DC5B13">
        <w:rPr>
          <w:rFonts w:eastAsia="Calibri" w:hint="cs"/>
          <w:rtl/>
        </w:rPr>
        <w:t xml:space="preserve">חקיקה </w:t>
      </w:r>
      <w:r w:rsidRPr="00DC5B13">
        <w:rPr>
          <w:rFonts w:eastAsia="Calibri"/>
          <w:rtl/>
        </w:rPr>
        <w:t>שחלק</w:t>
      </w:r>
      <w:r w:rsidRPr="00DC5B13">
        <w:rPr>
          <w:rFonts w:eastAsia="Calibri" w:hint="cs"/>
          <w:rtl/>
        </w:rPr>
        <w:t>ה</w:t>
      </w:r>
      <w:r w:rsidRPr="00DC5B13">
        <w:rPr>
          <w:rFonts w:eastAsia="Calibri"/>
          <w:rtl/>
        </w:rPr>
        <w:t xml:space="preserve"> ייעודי</w:t>
      </w:r>
      <w:r w:rsidRPr="00DC5B13">
        <w:rPr>
          <w:rFonts w:eastAsia="Calibri" w:hint="cs"/>
          <w:rtl/>
        </w:rPr>
        <w:t>ת</w:t>
      </w:r>
      <w:r w:rsidRPr="00DC5B13">
        <w:rPr>
          <w:rFonts w:eastAsia="Calibri"/>
          <w:rtl/>
        </w:rPr>
        <w:t xml:space="preserve"> לנושא ו</w:t>
      </w:r>
      <w:r w:rsidRPr="00DC5B13">
        <w:rPr>
          <w:rFonts w:eastAsia="Calibri" w:hint="cs"/>
          <w:rtl/>
        </w:rPr>
        <w:t xml:space="preserve">באמצעות </w:t>
      </w:r>
      <w:r w:rsidRPr="00DC5B13">
        <w:rPr>
          <w:rFonts w:eastAsia="Calibri"/>
          <w:rtl/>
        </w:rPr>
        <w:t>החלטות הממשלה, שנועדו בעיקרם לייעל ולזרז את התהליכים במסגרת ההתחדשות העירונית, לתמרץ יזמים ורשויות מקומיות ולהגן על זכויות הדיירים. בתרשים שלהלן מוצגים עיקרי התשתית הנורמטיבית בנושא</w:t>
      </w:r>
      <w:r>
        <w:rPr>
          <w:rFonts w:eastAsia="Calibri"/>
          <w:vertAlign w:val="superscript"/>
          <w:rtl/>
        </w:rPr>
        <w:footnoteReference w:id="13"/>
      </w:r>
      <w:r w:rsidRPr="00DC5B13">
        <w:rPr>
          <w:rFonts w:eastAsia="Calibri"/>
          <w:rtl/>
        </w:rPr>
        <w:t>.</w:t>
      </w:r>
    </w:p>
    <w:p w:rsidR="00DC5B13" w:rsidRPr="00DC5B13" w:rsidP="00C34B23">
      <w:pPr>
        <w:spacing w:line="269" w:lineRule="auto"/>
        <w:jc w:val="center"/>
        <w:rPr>
          <w:rFonts w:eastAsia="Calibri"/>
          <w:rtl/>
        </w:rPr>
      </w:pPr>
    </w:p>
    <w:p w:rsidR="00DC5B13" w:rsidRPr="00DC5B13" w:rsidP="00C34B23">
      <w:pPr>
        <w:spacing w:line="269" w:lineRule="auto"/>
        <w:jc w:val="center"/>
        <w:rPr>
          <w:rFonts w:eastAsia="Calibri"/>
          <w:rtl/>
        </w:rPr>
      </w:pPr>
      <w:r w:rsidRPr="00DC5B13">
        <w:rPr>
          <w:rFonts w:eastAsia="Calibri"/>
          <w:noProof/>
          <w:rtl/>
          <w:lang w:val="he-IL"/>
        </w:rPr>
        <w:drawing>
          <wp:anchor distT="0" distB="0" distL="114300" distR="114300" simplePos="0" relativeHeight="251672576" behindDoc="0" locked="0" layoutInCell="1" allowOverlap="1">
            <wp:simplePos x="0" y="0"/>
            <wp:positionH relativeFrom="column">
              <wp:posOffset>177165</wp:posOffset>
            </wp:positionH>
            <wp:positionV relativeFrom="paragraph">
              <wp:posOffset>200660</wp:posOffset>
            </wp:positionV>
            <wp:extent cx="5046980" cy="3108325"/>
            <wp:effectExtent l="0" t="0" r="0" b="0"/>
            <wp:wrapTopAndBottom/>
            <wp:docPr id="5" name="תמונה 5" descr="תרשים שמש אשר מונה את עיקרי החקיקה העוסקת בהתחדשות עירונית בישראל:&#10;1. חוק הרשות להתחדשות עירונית:&#10;הקמת רשות ממשלתית לקידום התחדשות עירונית.&#10;2. חוק עידוד מיזמי פינוי ובינוי:&#10;מקל על גיבוש הסכמות בעלי דירות לצורך ביצוע מיזמי פינוי בינוי ומגן על זכויותיהם.&#10;3. חוק הסכמים לארגון עסקאות:&#10;מסדיר הסכמים בין בעלי דירות ומארגני עסקאות פינוי-בינוי.&#10;4. חוק התכנון והבנייה:&#10;מסגרת חוקית מרכזית להסדרת תכנון ובנייה.&#10;5. החלטות ממשלה:&#10;מספקות תמריצים כלכליים ושיפורים תכנוניים להתחדשות עיר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46980" cy="3108325"/>
                    </a:xfrm>
                    <a:prstGeom prst="rect">
                      <a:avLst/>
                    </a:prstGeom>
                    <a:noFill/>
                  </pic:spPr>
                </pic:pic>
              </a:graphicData>
            </a:graphic>
            <wp14:sizeRelH relativeFrom="page">
              <wp14:pctWidth>0</wp14:pctWidth>
            </wp14:sizeRelH>
            <wp14:sizeRelV relativeFrom="page">
              <wp14:pctHeight>0</wp14:pctHeight>
            </wp14:sizeRelV>
          </wp:anchor>
        </w:drawing>
      </w:r>
      <w:r w:rsidRPr="00DC5B13">
        <w:rPr>
          <w:rFonts w:ascii="David" w:eastAsia="Calibri" w:hAnsi="David"/>
          <w:sz w:val="24"/>
          <w:rtl/>
        </w:rPr>
        <w:t xml:space="preserve">תרשים </w:t>
      </w:r>
      <w:r w:rsidRPr="00DC5B13">
        <w:rPr>
          <w:rFonts w:ascii="David" w:eastAsia="Calibri" w:hAnsi="David"/>
          <w:sz w:val="24"/>
        </w:rPr>
        <w:t>2</w:t>
      </w:r>
      <w:r w:rsidRPr="00DC5B13">
        <w:rPr>
          <w:rFonts w:eastAsia="Calibri"/>
          <w:rtl/>
        </w:rPr>
        <w:t xml:space="preserve">: </w:t>
      </w:r>
      <w:r w:rsidRPr="00DC5B13">
        <w:rPr>
          <w:rFonts w:eastAsia="Calibri"/>
          <w:b/>
          <w:bCs/>
          <w:rtl/>
        </w:rPr>
        <w:t>עיקרי החוקים והחלטות הממשלה העוסקים בהתחדשות עירונית בישראל</w:t>
      </w:r>
      <w:bookmarkStart w:id="11" w:name="_Hlk229555873"/>
      <w:r>
        <w:rPr>
          <w:rFonts w:eastAsia="Calibri"/>
          <w:b/>
          <w:bCs/>
          <w:vertAlign w:val="superscript"/>
          <w:rtl/>
        </w:rPr>
        <w:footnoteReference w:id="14"/>
      </w:r>
      <w:bookmarkEnd w:id="11"/>
    </w:p>
    <w:p w:rsidR="00DC5B13" w:rsidRPr="00DC5B13" w:rsidP="00C34B23">
      <w:pPr>
        <w:spacing w:line="269" w:lineRule="auto"/>
        <w:jc w:val="center"/>
        <w:rPr>
          <w:rFonts w:eastAsia="Calibri"/>
          <w:rtl/>
        </w:rPr>
      </w:pPr>
    </w:p>
    <w:p w:rsidR="00DC5B13" w:rsidRPr="00DC5B13" w:rsidP="00C34B23">
      <w:pPr>
        <w:keepNext/>
        <w:keepLines/>
        <w:spacing w:line="269" w:lineRule="auto"/>
        <w:outlineLvl w:val="3"/>
        <w:rPr>
          <w:rFonts w:eastAsia="Times New Roman"/>
          <w:bCs/>
          <w:szCs w:val="26"/>
          <w:rtl/>
        </w:rPr>
      </w:pPr>
      <w:r w:rsidRPr="00DC5B13">
        <w:rPr>
          <w:rFonts w:eastAsia="Times New Roman"/>
          <w:bCs/>
          <w:szCs w:val="26"/>
          <w:rtl/>
        </w:rPr>
        <w:t xml:space="preserve">חוק הרשות הממשלתית להתחדשות עירונית, התשע"ו-2016 </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hint="cs"/>
          <w:rtl/>
        </w:rPr>
        <w:t>בסעיף 1 ל</w:t>
      </w:r>
      <w:r w:rsidRPr="00DC5B13">
        <w:rPr>
          <w:rFonts w:eastAsia="Calibri"/>
          <w:rtl/>
        </w:rPr>
        <w:t xml:space="preserve">חוק זה </w:t>
      </w:r>
      <w:r w:rsidRPr="00DC5B13">
        <w:rPr>
          <w:rFonts w:eastAsia="Calibri" w:hint="cs"/>
          <w:rtl/>
        </w:rPr>
        <w:t xml:space="preserve">צוין כי הוא </w:t>
      </w:r>
      <w:r w:rsidRPr="00DC5B13">
        <w:rPr>
          <w:rFonts w:eastAsia="Calibri"/>
          <w:rtl/>
        </w:rPr>
        <w:t>נועד "לקדם פעילות להתחדשות עירונית ולעודדה, להגדיל את היקף המימוש של מיזמים להתחדשות עירונית ולהאיץ את ביצועם לשם הגדלת היצע הדיור במרקם העירוני הבנוי, בשים לב לחשיבות שימור השטחים הפתוחים, ייעול השימוש בקרקע, חיזוק העירוניות, שיפור פני העיר ושיפור איכות החיים של התושבים לרבות מתן מענה הולם לצורכי האוכלוסייה המתגוררת במתחמים המיועדים להתחדשות עירונית, והכול, בין השאר, באמצעות הקמת רשות ממשלתית להתחדשות עירונית שתפעל בהתאם להוראות חוק זה".</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 xml:space="preserve">תפקידיה של הרשות להתחדשות כוללים, בין היתר, האצת מימושם של תהליכי התחדשות עירונית לרבות באמצעות זיהוי חסמים והסרתם; קידום פתרונות למיגון העורף ולחיזוק מבנים מפני רעידות אדמה במסגרת התחדשות עירונית; פעולות לגיבוש הסכמת בעלי הדירות לביצוע מיזמים להתחדשות עירונית וקשר עם הדיירים, ולשם כך בין השאר סיוע להקמת מינהלות עירוניות ; מתן תמריצים, בין </w:t>
      </w:r>
      <w:r w:rsidRPr="00DC5B13">
        <w:rPr>
          <w:rFonts w:eastAsia="Calibri" w:hint="cs"/>
          <w:rtl/>
        </w:rPr>
        <w:t>השאר</w:t>
      </w:r>
      <w:r w:rsidRPr="00DC5B13">
        <w:rPr>
          <w:rFonts w:eastAsia="Calibri"/>
          <w:rtl/>
        </w:rPr>
        <w:t xml:space="preserve"> באמצעות תקציבים, לקידום התחדשות עירונית באזורים שבהם אין כדאיות כלכלית לעשות כן. נוסף על כך, החוק עוסק בהכרזה על מתחמי פינוי-בינוי ובהטבות ובכללים לעידוד התחדשות עירונית.</w:t>
      </w:r>
    </w:p>
    <w:p w:rsidR="00DC5B13" w:rsidRPr="00DC5B13" w:rsidP="00C34B23">
      <w:pPr>
        <w:keepNext/>
        <w:keepLines/>
        <w:spacing w:line="269" w:lineRule="auto"/>
        <w:outlineLvl w:val="3"/>
        <w:rPr>
          <w:rFonts w:eastAsia="Times New Roman"/>
          <w:bCs/>
          <w:szCs w:val="26"/>
          <w:rtl/>
        </w:rPr>
      </w:pPr>
      <w:hyperlink r:id="rId20" w:history="1">
        <w:r w:rsidRPr="00DC5B13">
          <w:rPr>
            <w:rFonts w:eastAsia="Times New Roman"/>
            <w:bCs/>
            <w:szCs w:val="26"/>
            <w:rtl/>
          </w:rPr>
          <w:t>חוק פינוי ובינוי (עידוד מיזמי פינוי ובינוי), התשס"ו-2006</w:t>
        </w:r>
      </w:hyperlink>
    </w:p>
    <w:p w:rsidR="00DC5B13" w:rsidRPr="00DC5B13" w:rsidP="00C34B23">
      <w:pPr>
        <w:spacing w:line="269" w:lineRule="auto"/>
        <w:rPr>
          <w:rFonts w:eastAsia="Calibri"/>
          <w:rtl/>
        </w:rPr>
      </w:pPr>
    </w:p>
    <w:p w:rsidR="00DC5B13" w:rsidP="00C34B23">
      <w:pPr>
        <w:spacing w:line="269" w:lineRule="auto"/>
        <w:rPr>
          <w:rFonts w:eastAsia="Calibri"/>
          <w:rtl/>
        </w:rPr>
      </w:pPr>
      <w:r w:rsidRPr="00DC5B13">
        <w:rPr>
          <w:rFonts w:eastAsia="Calibri"/>
          <w:rtl/>
        </w:rPr>
        <w:t>חוק פינוי ובינוי (עידוד מיזמי פינוי ובינוי), התשס"ו-2006 (להלן - חוק עידוד מיזמי פינוי-בינוי</w:t>
      </w:r>
      <w:r w:rsidRPr="00DC5B13">
        <w:rPr>
          <w:rFonts w:eastAsia="Calibri" w:hint="cs"/>
          <w:rtl/>
        </w:rPr>
        <w:t xml:space="preserve">), </w:t>
      </w:r>
      <w:r w:rsidRPr="00DC5B13">
        <w:rPr>
          <w:rFonts w:eastAsia="Calibri"/>
          <w:rtl/>
        </w:rPr>
        <w:t xml:space="preserve">נועד להקל </w:t>
      </w:r>
      <w:r w:rsidRPr="00DC5B13">
        <w:rPr>
          <w:rFonts w:eastAsia="Calibri" w:hint="cs"/>
          <w:rtl/>
        </w:rPr>
        <w:t>את</w:t>
      </w:r>
      <w:r w:rsidRPr="00DC5B13">
        <w:rPr>
          <w:rFonts w:eastAsia="Calibri"/>
          <w:rtl/>
        </w:rPr>
        <w:t xml:space="preserve"> קידומם של מיזמי </w:t>
      </w:r>
      <w:r w:rsidRPr="00DC5B13">
        <w:rPr>
          <w:rFonts w:eastAsia="Calibri" w:hint="cs"/>
          <w:rtl/>
        </w:rPr>
        <w:t>התחדשות עירונית</w:t>
      </w:r>
      <w:r w:rsidRPr="00DC5B13">
        <w:rPr>
          <w:rFonts w:eastAsia="Calibri"/>
          <w:rtl/>
        </w:rPr>
        <w:t xml:space="preserve"> </w:t>
      </w:r>
      <w:r w:rsidRPr="00DC5B13">
        <w:rPr>
          <w:rFonts w:eastAsia="Calibri" w:hint="cs"/>
          <w:rtl/>
        </w:rPr>
        <w:t>באמצעות</w:t>
      </w:r>
      <w:r w:rsidRPr="00DC5B13">
        <w:rPr>
          <w:rFonts w:eastAsia="Calibri"/>
          <w:rtl/>
        </w:rPr>
        <w:t xml:space="preserve"> הסרת חסמים הכרוכים בצורך בגיבוש הסכמות בעלי הדירות. ההסדרים בחוק מגבירים הן עבור היזם והן עבור בעלי הדירות </w:t>
      </w:r>
      <w:r w:rsidRPr="00DC5B13">
        <w:rPr>
          <w:rFonts w:eastAsia="Calibri" w:hint="cs"/>
          <w:rtl/>
        </w:rPr>
        <w:t xml:space="preserve">את הוודאות </w:t>
      </w:r>
      <w:r w:rsidRPr="00DC5B13">
        <w:rPr>
          <w:rFonts w:eastAsia="Calibri"/>
          <w:rtl/>
        </w:rPr>
        <w:t>ביחס למיזמי התחדשות עירונית וכן מחזקים את ההגנה על זכויות בעלי הדירות במסגרת ההליך המורכב. בין היתר עוסק החוק בביטול עסקת פינוי-בינוי בהחלטת רוב בעלי הדירות; בתוקפה של עסקת הפינוי, בצורתה ובתוכנה; בסעדים שיינתנו בשל סירוב בלתי סביר לביצוע עסקת פינוי-בינוי כמו שימוש שלא כדין בנכס.</w:t>
      </w:r>
    </w:p>
    <w:p w:rsidR="00037943" w:rsidRPr="00DC5B13" w:rsidP="00C34B23">
      <w:pPr>
        <w:spacing w:line="269" w:lineRule="auto"/>
        <w:rPr>
          <w:rFonts w:eastAsia="Calibri"/>
          <w:rtl/>
        </w:rPr>
      </w:pPr>
    </w:p>
    <w:p w:rsidR="00DC5B13" w:rsidRPr="00DC5B13" w:rsidP="00C34B23">
      <w:pPr>
        <w:keepNext/>
        <w:keepLines/>
        <w:spacing w:line="269" w:lineRule="auto"/>
        <w:outlineLvl w:val="3"/>
        <w:rPr>
          <w:rFonts w:eastAsia="Times New Roman"/>
          <w:bCs/>
          <w:szCs w:val="26"/>
          <w:rtl/>
        </w:rPr>
      </w:pPr>
      <w:r w:rsidRPr="00DC5B13">
        <w:rPr>
          <w:rFonts w:eastAsia="Times New Roman"/>
          <w:bCs/>
          <w:szCs w:val="26"/>
          <w:rtl/>
        </w:rPr>
        <w:t xml:space="preserve">חוק התחדשות עירונית (הסכמים לארגון עסקאות), התשע"ז-2017 </w:t>
      </w:r>
    </w:p>
    <w:p w:rsidR="00DC5B13" w:rsidRPr="00DC5B13" w:rsidP="00C34B23">
      <w:pPr>
        <w:spacing w:line="269" w:lineRule="auto"/>
        <w:rPr>
          <w:rFonts w:eastAsia="Calibri"/>
          <w:rtl/>
        </w:rPr>
      </w:pPr>
    </w:p>
    <w:p w:rsidR="00DC5B13" w:rsidP="00C34B23">
      <w:pPr>
        <w:spacing w:line="269" w:lineRule="auto"/>
        <w:rPr>
          <w:rFonts w:eastAsia="Calibri"/>
          <w:rtl/>
        </w:rPr>
      </w:pPr>
      <w:r w:rsidRPr="00DC5B13">
        <w:rPr>
          <w:rFonts w:eastAsia="Calibri"/>
          <w:rtl/>
        </w:rPr>
        <w:t xml:space="preserve">החוק </w:t>
      </w:r>
      <w:r w:rsidRPr="00DC5B13">
        <w:rPr>
          <w:rFonts w:eastAsia="Calibri" w:hint="cs"/>
          <w:rtl/>
        </w:rPr>
        <w:t>מסדיר את תנאי העסקאות לפינוי ובינוי בין בעלי דירות ומארגנים. בחוק נקבע כי על המארגן לכנס את בעלי הדירות והוא מונה את הפרטים שעליו למסור להם בכינוס ומפרט את צורתו ותוכנו של ההסכם לארגון עסקת התחדשות עירונית. בטרם יחתמו על ההסכם על המארגן להסביר לבעלי הדירות את מהות ההסכם ואת עיקריו וכן את התוצאות המשפטיות הנובעות ממנו. עוד קובע החוק את תוקפו של ההסכם לארגון עסקת פינוי-בינוי או לתוכנית חיזוק. אם המארגן אינו מצליח לקדם את העסקה בתוך הזמן שהוגדר בחוק, יהיו בעלי הדירות חופשיים להתקשר עם מארגנים אן עם יזמים אחרים, ויפוג תוקפו של ההסכם עם המארגן</w:t>
      </w:r>
      <w:r w:rsidRPr="00DC5B13">
        <w:rPr>
          <w:rFonts w:eastAsia="Calibri"/>
        </w:rPr>
        <w:t>.</w:t>
      </w:r>
      <w:r w:rsidRPr="00DC5B13">
        <w:rPr>
          <w:rFonts w:eastAsia="Calibri"/>
          <w:rtl/>
        </w:rPr>
        <w:t xml:space="preserve"> </w:t>
      </w:r>
    </w:p>
    <w:p w:rsidR="00037943" w:rsidRPr="00DC5B13" w:rsidP="00C34B23">
      <w:pPr>
        <w:spacing w:line="269" w:lineRule="auto"/>
        <w:rPr>
          <w:rFonts w:eastAsia="Calibri"/>
          <w:rtl/>
        </w:rPr>
      </w:pPr>
    </w:p>
    <w:p w:rsidR="00DC5B13" w:rsidRPr="00DC5B13" w:rsidP="00C34B23">
      <w:pPr>
        <w:keepNext/>
        <w:keepLines/>
        <w:spacing w:line="269" w:lineRule="auto"/>
        <w:outlineLvl w:val="3"/>
        <w:rPr>
          <w:rFonts w:eastAsia="Times New Roman"/>
          <w:bCs/>
          <w:szCs w:val="26"/>
        </w:rPr>
      </w:pPr>
      <w:r w:rsidRPr="00DC5B13">
        <w:rPr>
          <w:rFonts w:eastAsia="Times New Roman"/>
          <w:bCs/>
          <w:szCs w:val="26"/>
          <w:rtl/>
        </w:rPr>
        <w:t xml:space="preserve">חוק התכנון והבניה, התשכ"ה-1965 </w:t>
      </w:r>
    </w:p>
    <w:p w:rsidR="00DC5B13" w:rsidRPr="00DC5B13" w:rsidP="00C34B23">
      <w:pPr>
        <w:spacing w:line="269" w:lineRule="auto"/>
        <w:rPr>
          <w:rFonts w:eastAsia="Calibri"/>
          <w:rtl/>
        </w:rPr>
      </w:pPr>
    </w:p>
    <w:p w:rsidR="00DC5B13" w:rsidP="00C34B23">
      <w:pPr>
        <w:spacing w:line="269" w:lineRule="auto"/>
        <w:rPr>
          <w:rFonts w:eastAsia="Times New Roman"/>
          <w:bCs/>
          <w:szCs w:val="26"/>
          <w:rtl/>
        </w:rPr>
      </w:pPr>
      <w:r w:rsidRPr="00DC5B13">
        <w:rPr>
          <w:rFonts w:eastAsia="Calibri"/>
          <w:rtl/>
        </w:rPr>
        <w:t xml:space="preserve">חוק התכנון והבניה, התשכ"ה-1965 (להלן - חוק התכנון והבנייה) הוא המסגרת החוקית המרכזית שנועדה להסדיר את הליכי התכנון והבנייה בישראל. כך החוק מסדיר הליכי אישור </w:t>
      </w:r>
      <w:r w:rsidRPr="00DC5B13">
        <w:rPr>
          <w:rFonts w:eastAsia="Calibri" w:hint="cs"/>
          <w:rtl/>
        </w:rPr>
        <w:t>סטטוטור</w:t>
      </w:r>
      <w:r w:rsidRPr="00DC5B13">
        <w:rPr>
          <w:rFonts w:eastAsia="Calibri" w:hint="eastAsia"/>
          <w:rtl/>
        </w:rPr>
        <w:t>י</w:t>
      </w:r>
      <w:r w:rsidRPr="00DC5B13">
        <w:rPr>
          <w:rFonts w:eastAsia="Calibri"/>
          <w:rtl/>
        </w:rPr>
        <w:t xml:space="preserve"> של</w:t>
      </w:r>
      <w:r w:rsidRPr="00DC5B13">
        <w:rPr>
          <w:rFonts w:eastAsia="Calibri" w:hint="cs"/>
          <w:rtl/>
        </w:rPr>
        <w:t xml:space="preserve"> </w:t>
      </w:r>
      <w:r w:rsidRPr="00DC5B13">
        <w:rPr>
          <w:rFonts w:eastAsia="Calibri"/>
          <w:rtl/>
        </w:rPr>
        <w:t>תוכניות פינוי</w:t>
      </w:r>
      <w:r w:rsidRPr="00DC5B13">
        <w:rPr>
          <w:rFonts w:eastAsia="Calibri" w:hint="cs"/>
          <w:rtl/>
        </w:rPr>
        <w:t>-</w:t>
      </w:r>
      <w:r w:rsidRPr="00DC5B13">
        <w:rPr>
          <w:rFonts w:eastAsia="Calibri"/>
          <w:rtl/>
        </w:rPr>
        <w:t>בינוי במוסדות התכנון והוצאת היתרי בנייה מכוחן.</w:t>
      </w:r>
      <w:r w:rsidRPr="00DC5B13">
        <w:rPr>
          <w:rFonts w:eastAsia="Calibri" w:hint="cs"/>
          <w:rtl/>
        </w:rPr>
        <w:t xml:space="preserve"> החוק</w:t>
      </w:r>
      <w:r w:rsidRPr="00DC5B13">
        <w:rPr>
          <w:rFonts w:eastAsia="Calibri"/>
          <w:rtl/>
        </w:rPr>
        <w:t xml:space="preserve"> מתייחס גם למסלולים נוספים להתחדשות עירונית</w:t>
      </w:r>
      <w:r w:rsidRPr="00DC5B13">
        <w:rPr>
          <w:rFonts w:eastAsia="Calibri" w:hint="cs"/>
          <w:rtl/>
        </w:rPr>
        <w:t xml:space="preserve"> (</w:t>
      </w:r>
      <w:r w:rsidRPr="00DC5B13">
        <w:rPr>
          <w:rFonts w:eastAsia="Calibri"/>
          <w:rtl/>
        </w:rPr>
        <w:t>ראו התייחסות להלן בתת</w:t>
      </w:r>
      <w:r w:rsidRPr="00DC5B13">
        <w:rPr>
          <w:rFonts w:eastAsia="Calibri" w:hint="cs"/>
          <w:rtl/>
        </w:rPr>
        <w:t>-</w:t>
      </w:r>
      <w:r w:rsidRPr="00DC5B13">
        <w:rPr>
          <w:rFonts w:eastAsia="Calibri"/>
          <w:rtl/>
        </w:rPr>
        <w:t xml:space="preserve">הפרק </w:t>
      </w:r>
      <w:r w:rsidRPr="00DC5B13">
        <w:rPr>
          <w:rFonts w:eastAsia="Calibri" w:hint="cs"/>
          <w:rtl/>
        </w:rPr>
        <w:t>"מסלולים להתחדשות עירונית")</w:t>
      </w:r>
      <w:r w:rsidRPr="00DC5B13">
        <w:rPr>
          <w:rFonts w:eastAsia="Calibri"/>
          <w:rtl/>
        </w:rPr>
        <w:t>.</w:t>
      </w:r>
      <w:r w:rsidRPr="00DC5B13">
        <w:rPr>
          <w:rFonts w:eastAsia="Calibri" w:hint="cs"/>
          <w:rtl/>
        </w:rPr>
        <w:t xml:space="preserve"> </w:t>
      </w:r>
      <w:r w:rsidRPr="00DC5B13">
        <w:rPr>
          <w:rFonts w:eastAsia="Calibri"/>
          <w:rtl/>
        </w:rPr>
        <w:t>החוק גם מעודד אישור תוכניות התחדשות עירונית מתוך ראייה רחבה בקובעו כי ועדה מקומית תכין תוכנית כוללת להתחדשות עירונית</w:t>
      </w:r>
      <w:r>
        <w:rPr>
          <w:rFonts w:eastAsia="Calibri"/>
          <w:vertAlign w:val="superscript"/>
          <w:rtl/>
        </w:rPr>
        <w:footnoteReference w:id="15"/>
      </w:r>
      <w:r w:rsidRPr="00DC5B13">
        <w:rPr>
          <w:rFonts w:eastAsia="Calibri"/>
          <w:rtl/>
        </w:rPr>
        <w:t xml:space="preserve"> בתחום מרחב התכנון שלה ותגיש</w:t>
      </w:r>
      <w:r w:rsidRPr="00DC5B13">
        <w:rPr>
          <w:rFonts w:eastAsia="Calibri" w:hint="cs"/>
          <w:rtl/>
        </w:rPr>
        <w:t xml:space="preserve"> אותה</w:t>
      </w:r>
      <w:r w:rsidRPr="00DC5B13">
        <w:rPr>
          <w:rFonts w:eastAsia="Calibri"/>
          <w:rtl/>
        </w:rPr>
        <w:t xml:space="preserve"> לוועדה המחוזית ביוזמתה, או אם מצאה הרשות הממשלתית להתחדשות עירונית כי יש צורך להכין תוכנית כאמור בתחום של אותו מרחב תכנון. תכנית כוללת להתחדשות עירונית יכול שתאפשר הוצאת היתר מכוחה בלא צורך באישור תכנית נוספת טרם מתן ההיתר.</w:t>
      </w:r>
    </w:p>
    <w:p w:rsidR="00037943" w:rsidRPr="00DC5B13" w:rsidP="00C34B23">
      <w:pPr>
        <w:spacing w:line="269" w:lineRule="auto"/>
        <w:rPr>
          <w:rFonts w:eastAsia="Times New Roman"/>
          <w:bCs/>
          <w:szCs w:val="26"/>
          <w:rtl/>
        </w:rPr>
      </w:pPr>
    </w:p>
    <w:p w:rsidR="00DC5B13" w:rsidRPr="00DC5B13" w:rsidP="00C34B23">
      <w:pPr>
        <w:keepNext/>
        <w:keepLines/>
        <w:spacing w:line="269" w:lineRule="auto"/>
        <w:outlineLvl w:val="3"/>
        <w:rPr>
          <w:rFonts w:eastAsia="Times New Roman"/>
          <w:bCs/>
          <w:szCs w:val="26"/>
          <w:rtl/>
        </w:rPr>
      </w:pPr>
      <w:r w:rsidRPr="00DC5B13">
        <w:rPr>
          <w:rFonts w:eastAsia="Times New Roman"/>
          <w:bCs/>
          <w:szCs w:val="26"/>
          <w:rtl/>
        </w:rPr>
        <w:t>החלטות הממשלה בנושא עידוד הליכי התחדשות עירונית</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החל משנת 1996 קיבלו ממשלות ישראל החלטות בנושא התחדשות עירונית שנועדו לקדם את פעילות הממשלה בתחום זה. בין ההחלטות שהתקבלו היו החלטה 4435 ממרץ 2012 בדבר הקמת צוות בין-משרדי לקידום מדיניות לאומית כוללת לחידוש ולפיתוח של המרחב העירוני, והחלטה 376 מיוני 2013 בנושא "קידום מדיניות לאומית כוללת לחידוש ופיתוח המרחב העירוני"</w:t>
      </w:r>
      <w:r>
        <w:rPr>
          <w:rFonts w:eastAsia="Calibri"/>
          <w:vertAlign w:val="superscript"/>
          <w:rtl/>
        </w:rPr>
        <w:footnoteReference w:id="16"/>
      </w:r>
      <w:r w:rsidRPr="00DC5B13">
        <w:rPr>
          <w:rFonts w:eastAsia="Calibri"/>
          <w:rtl/>
        </w:rPr>
        <w:t>. להלן יפורטו החלטות הממשלה העיקריות שהתקבלו בשנים האחרונות:</w:t>
      </w:r>
      <w:r w:rsidRPr="00DC5B13">
        <w:rPr>
          <w:rFonts w:eastAsia="Calibri" w:hint="cs"/>
        </w:rPr>
        <w:t xml:space="preserve"> </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Times New Roman"/>
          <w:bCs/>
          <w:spacing w:val="40"/>
          <w:rtl/>
        </w:rPr>
        <w:t>החלטת הממשלה 2457 (2017):</w:t>
      </w:r>
      <w:r w:rsidRPr="00DC5B13">
        <w:rPr>
          <w:rFonts w:eastAsia="Calibri"/>
          <w:rtl/>
        </w:rPr>
        <w:t xml:space="preserve"> בהחלטת הממשלה ממרץ 2017 בנושא "תוכנית אסטרטגית לדיור"</w:t>
      </w:r>
      <w:r>
        <w:rPr>
          <w:rFonts w:eastAsia="Calibri"/>
          <w:vertAlign w:val="superscript"/>
          <w:rtl/>
        </w:rPr>
        <w:footnoteReference w:id="17"/>
      </w:r>
      <w:r w:rsidRPr="00DC5B13">
        <w:rPr>
          <w:rFonts w:eastAsia="Calibri"/>
          <w:rtl/>
        </w:rPr>
        <w:t xml:space="preserve"> (להלן - התוכנית האסטרטגית לדיור) הוחלט לאמץ את תחזית צורכי הדיור של ישראל לשנים 2017 - 2040 שגיבשה המועצה הלאומית לכלכלה</w:t>
      </w:r>
      <w:r>
        <w:rPr>
          <w:rFonts w:eastAsia="Calibri"/>
          <w:vertAlign w:val="superscript"/>
          <w:rtl/>
        </w:rPr>
        <w:footnoteReference w:id="18"/>
      </w:r>
      <w:r w:rsidRPr="00DC5B13">
        <w:rPr>
          <w:rFonts w:eastAsia="Calibri"/>
          <w:rtl/>
        </w:rPr>
        <w:t xml:space="preserve">, הקובעת יעדים לתכנון </w:t>
      </w:r>
      <w:r w:rsidRPr="00DC5B13">
        <w:rPr>
          <w:rFonts w:eastAsia="Calibri"/>
          <w:rtl/>
        </w:rPr>
        <w:t xml:space="preserve">ולבנייה בפועל של יח"ד כדי לספק את הצרכים לדירות הצפויים בשנים 2017 - 2040. על פי ההחלטה, יש צורך בבניית כ-1.5 מיליוני יח"ד בשנים האמורות, ויעדי התכנון הם כ-2.6 מיליון יח"ד, לרבות במסגרת תוכניות של התחדשות עירונית. ההחלטה מפרטת עקרונות </w:t>
      </w:r>
      <w:r w:rsidRPr="00DC5B13">
        <w:rPr>
          <w:rFonts w:eastAsia="Calibri" w:hint="cs"/>
          <w:rtl/>
        </w:rPr>
        <w:t>לפריסת</w:t>
      </w:r>
      <w:r w:rsidRPr="00DC5B13">
        <w:rPr>
          <w:rFonts w:eastAsia="Calibri"/>
          <w:rtl/>
        </w:rPr>
        <w:t xml:space="preserve"> יח"ד בין המחוזות השונים במדינה ובהם הגברה משמעותית של קצב ההתחדשות העירונית </w:t>
      </w:r>
      <w:r w:rsidRPr="00DC5B13">
        <w:rPr>
          <w:rFonts w:eastAsia="Calibri" w:hint="cs"/>
          <w:rtl/>
        </w:rPr>
        <w:t>כדי</w:t>
      </w:r>
      <w:r w:rsidRPr="00DC5B13">
        <w:rPr>
          <w:rFonts w:eastAsia="Calibri"/>
          <w:rtl/>
        </w:rPr>
        <w:t xml:space="preserve"> לחדש שכונות ותיקות, לנצל באופן יעיל את משאב הקרקע, לעודד עירוניות ולשמור על השטחים הפתוחים. </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Times New Roman"/>
          <w:bCs/>
          <w:spacing w:val="40"/>
          <w:rtl/>
        </w:rPr>
        <w:t>החלטת הממשלה203 (2021):</w:t>
      </w:r>
      <w:r w:rsidRPr="00DC5B13">
        <w:rPr>
          <w:rFonts w:eastAsia="Calibri"/>
          <w:rtl/>
        </w:rPr>
        <w:t xml:space="preserve"> החלטת הממשלה </w:t>
      </w:r>
      <w:r w:rsidRPr="00DC5B13">
        <w:rPr>
          <w:rFonts w:eastAsia="Calibri" w:hint="cs"/>
          <w:rtl/>
        </w:rPr>
        <w:t>מאוגוסט 2021 בנושא "עידוד הליכי התחדשות עירונית"</w:t>
      </w:r>
      <w:r w:rsidRPr="00DC5B13">
        <w:rPr>
          <w:rFonts w:eastAsia="Calibri"/>
          <w:rtl/>
        </w:rPr>
        <w:t xml:space="preserve"> נועדה לחזק ולקדם את תחום ההתחדשות העירונית בישראל ל</w:t>
      </w:r>
      <w:r w:rsidRPr="00DC5B13">
        <w:rPr>
          <w:rFonts w:eastAsia="Calibri" w:hint="cs"/>
          <w:rtl/>
        </w:rPr>
        <w:t>נוכח</w:t>
      </w:r>
      <w:r w:rsidRPr="00DC5B13">
        <w:rPr>
          <w:rFonts w:eastAsia="Calibri"/>
          <w:rtl/>
        </w:rPr>
        <w:t xml:space="preserve"> שיעורי המימוש של תוכניות להתחדשות עירונית למול היעדים שנקבעו בהחלטת </w:t>
      </w:r>
      <w:r w:rsidRPr="00DC5B13">
        <w:rPr>
          <w:rFonts w:eastAsia="Calibri" w:hint="cs"/>
          <w:rtl/>
        </w:rPr>
        <w:t>ה</w:t>
      </w:r>
      <w:r w:rsidRPr="00DC5B13">
        <w:rPr>
          <w:rFonts w:eastAsia="Calibri"/>
          <w:rtl/>
        </w:rPr>
        <w:t>ממשלה 2457. זאת באמצעות הענקת תמריצים כלכליים, שיפור הכדאיות של מיזמים והפחתת חסמי תכנון. ההחלטה קובעת מנגנון תקציבי נרחב לתמיכה ברשויות המקומיות לשם פיתוח התשתיות הנדרשות להתחדשות העירונית באמצעות הסכמי מסגרת (ראו פירוט בתת-הפרק "הסכמי מסגרת לקידום התחדשות עירונית"), ומאפשרת לרשויות המקומיות ליהנות ממענקים וממימון שיסייעו להן לקדם מיזמים.</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rtl/>
        </w:rPr>
        <w:t>נוסף על כך כוללת ההחלטה רפורמה משמעותית בהיטל ההשבחה</w:t>
      </w:r>
      <w:r>
        <w:rPr>
          <w:rFonts w:eastAsia="Calibri"/>
          <w:vertAlign w:val="superscript"/>
          <w:rtl/>
        </w:rPr>
        <w:footnoteReference w:id="19"/>
      </w:r>
      <w:r w:rsidRPr="00DC5B13">
        <w:rPr>
          <w:rFonts w:eastAsia="Calibri"/>
          <w:rtl/>
        </w:rPr>
        <w:t xml:space="preserve"> כדי לקבוע שיעורי חיוב אחידים וברורים ולהגביר את הוודאות בענף. ההחלטה מטילה על משרדי הממשלה ועל הרשות להתחדשות את האחריות לתאם בין כלל הגורמים המעורבים בתוכניות, לעקוב אחר אופן קידומן של תוכניות להתחדשות עירונית ולהסיר חסמים העוצרים את המיזמים. </w:t>
      </w:r>
      <w:bookmarkEnd w:id="10"/>
      <w:r w:rsidRPr="00DC5B13">
        <w:rPr>
          <w:rFonts w:eastAsia="Calibri"/>
          <w:rtl/>
        </w:rPr>
        <w:t>בהתאם להחלטה זו תוקנו החוקים שאוזכרו לעיל במסגרת חוק התכנית הכלכלית (תיקוני חקיקה ליישום המדיניות הכלכלית לשנות התקציב 2021 ו־2022), התשפ"ב-2021.</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hint="cs"/>
          <w:bCs/>
          <w:spacing w:val="40"/>
          <w:rtl/>
        </w:rPr>
        <w:t>החלטת הממשלה875 (2021):</w:t>
      </w:r>
      <w:r w:rsidRPr="00DC5B13">
        <w:rPr>
          <w:rFonts w:eastAsia="Calibri" w:hint="cs"/>
          <w:rtl/>
        </w:rPr>
        <w:t xml:space="preserve"> החלטת הממשלה </w:t>
      </w:r>
      <w:r w:rsidRPr="00DC5B13">
        <w:rPr>
          <w:rFonts w:eastAsia="Calibri"/>
          <w:rtl/>
        </w:rPr>
        <w:t>מדצמבר 2021 בנושא "קידום התחדשות עירונית בפריפריה" (להלן - החלטת הממשלה 875)</w:t>
      </w:r>
      <w:r w:rsidRPr="00DC5B13">
        <w:rPr>
          <w:rFonts w:eastAsia="Calibri" w:hint="cs"/>
          <w:rtl/>
        </w:rPr>
        <w:t xml:space="preserve"> קבעה כי יש צורך בקידום ההתחדשות העירונית ביישובים בגליל ובנגב </w:t>
      </w:r>
      <w:r w:rsidRPr="00DC5B13">
        <w:rPr>
          <w:rFonts w:eastAsia="Calibri"/>
          <w:rtl/>
        </w:rPr>
        <w:t>שאין</w:t>
      </w:r>
      <w:r w:rsidRPr="00DC5B13">
        <w:rPr>
          <w:rFonts w:eastAsia="Calibri" w:hint="cs"/>
          <w:rtl/>
        </w:rPr>
        <w:t xml:space="preserve"> </w:t>
      </w:r>
      <w:r w:rsidRPr="00DC5B13">
        <w:rPr>
          <w:rFonts w:eastAsia="Calibri"/>
          <w:rtl/>
        </w:rPr>
        <w:t xml:space="preserve">בהם כדאיות כלכלית לביצוע </w:t>
      </w:r>
      <w:r w:rsidRPr="00DC5B13">
        <w:rPr>
          <w:rFonts w:eastAsia="Calibri" w:hint="cs"/>
          <w:rtl/>
        </w:rPr>
        <w:t>מיזמי התחדשות עירונית</w:t>
      </w:r>
      <w:r w:rsidRPr="00DC5B13">
        <w:rPr>
          <w:rFonts w:eastAsia="Calibri"/>
          <w:rtl/>
        </w:rPr>
        <w:t xml:space="preserve"> בהסתמך על כוחות השוק</w:t>
      </w:r>
      <w:r w:rsidRPr="00DC5B13">
        <w:rPr>
          <w:rFonts w:eastAsia="Calibri" w:hint="cs"/>
          <w:rtl/>
        </w:rPr>
        <w:t xml:space="preserve"> לבדם. בהחלטה צוין כי </w:t>
      </w:r>
      <w:r w:rsidRPr="00DC5B13">
        <w:rPr>
          <w:rFonts w:eastAsia="Calibri"/>
          <w:rtl/>
        </w:rPr>
        <w:t>קיימת דחיפות הולכת</w:t>
      </w:r>
      <w:r w:rsidRPr="00DC5B13">
        <w:rPr>
          <w:rFonts w:eastAsia="Calibri" w:hint="cs"/>
          <w:rtl/>
        </w:rPr>
        <w:t xml:space="preserve"> </w:t>
      </w:r>
      <w:r w:rsidRPr="00DC5B13">
        <w:rPr>
          <w:rFonts w:eastAsia="Calibri"/>
          <w:rtl/>
        </w:rPr>
        <w:t>וגדלה לחיזוק מבנים העלולים לקרוס על יושביהם בשל גילם ומצבם הפיזי, בשל רעידת אדמה</w:t>
      </w:r>
      <w:r w:rsidRPr="00DC5B13">
        <w:rPr>
          <w:rFonts w:eastAsia="Calibri" w:hint="cs"/>
          <w:rtl/>
        </w:rPr>
        <w:t xml:space="preserve"> </w:t>
      </w:r>
      <w:r w:rsidRPr="00DC5B13">
        <w:rPr>
          <w:rFonts w:eastAsia="Calibri"/>
          <w:rtl/>
        </w:rPr>
        <w:t>או בשל סיכונים ביטחוניים. עוד נקבע בהחלטה כי שר הבינוי והשיכון ימנה ועדה בין</w:t>
      </w:r>
      <w:r w:rsidR="005941B0">
        <w:rPr>
          <w:rFonts w:eastAsia="Calibri" w:hint="cs"/>
          <w:rtl/>
        </w:rPr>
        <w:t>-</w:t>
      </w:r>
      <w:r w:rsidRPr="00DC5B13">
        <w:rPr>
          <w:rFonts w:eastAsia="Calibri"/>
          <w:rtl/>
        </w:rPr>
        <w:t>משרדית</w:t>
      </w:r>
      <w:r w:rsidRPr="00DC5B13">
        <w:rPr>
          <w:rFonts w:eastAsia="Calibri" w:hint="cs"/>
          <w:rtl/>
        </w:rPr>
        <w:t xml:space="preserve"> </w:t>
      </w:r>
      <w:r w:rsidRPr="00DC5B13">
        <w:rPr>
          <w:rFonts w:eastAsia="Calibri"/>
          <w:rtl/>
        </w:rPr>
        <w:t>לשם בחינה וגיבוש של המלצות בדבר הכלים הנדרשים לעידוד פעילות התחדשות עירונית</w:t>
      </w:r>
      <w:r w:rsidRPr="00DC5B13">
        <w:rPr>
          <w:rFonts w:eastAsia="Calibri" w:hint="cs"/>
          <w:rtl/>
        </w:rPr>
        <w:t xml:space="preserve"> </w:t>
      </w:r>
      <w:r w:rsidRPr="00DC5B13">
        <w:rPr>
          <w:rFonts w:eastAsia="Calibri"/>
          <w:rtl/>
        </w:rPr>
        <w:t>במבנים המצויים ביישובי פריפריה</w:t>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החלטת הממשלה1772 (2022):</w:t>
      </w:r>
      <w:r w:rsidRPr="00DC5B13">
        <w:rPr>
          <w:rFonts w:eastAsia="Calibri" w:hint="cs"/>
        </w:rPr>
        <w:t xml:space="preserve"> </w:t>
      </w:r>
      <w:r w:rsidRPr="00DC5B13">
        <w:rPr>
          <w:rFonts w:eastAsia="Calibri"/>
          <w:rtl/>
        </w:rPr>
        <w:t>החלטת הממשלה מיולי 2022 בנושא "יעדי תכנון מפורט לשנים 2021 - 2040"</w:t>
      </w:r>
      <w:r w:rsidRPr="00DC5B13">
        <w:rPr>
          <w:rFonts w:eastAsia="Calibri" w:hint="cs"/>
        </w:rPr>
        <w:t xml:space="preserve"> </w:t>
      </w:r>
      <w:r w:rsidRPr="00DC5B13">
        <w:rPr>
          <w:rFonts w:eastAsia="Calibri"/>
          <w:rtl/>
        </w:rPr>
        <w:t>(להלן - החלטת ממשלה 1772) עדכנה את יעדי התכנון וקבעה כי היעד לשנים 2021 - 2025 הוא כ-604,000 יח"ד חדשות, שמתוכן 25% (כ-151,000) יתוכננו במסגרת התחדשות עירונית. לשנים 2026 - 2030 נקבע יעד של כ-477,000 יח"ד, שמתוכן 35%</w:t>
      </w:r>
      <w:r w:rsidRPr="00DC5B13">
        <w:rPr>
          <w:rFonts w:eastAsia="Calibri"/>
          <w:b/>
          <w:bCs/>
          <w:rtl/>
        </w:rPr>
        <w:t xml:space="preserve"> </w:t>
      </w:r>
      <w:r w:rsidRPr="00DC5B13">
        <w:rPr>
          <w:rFonts w:eastAsia="Calibri"/>
          <w:rtl/>
        </w:rPr>
        <w:t>(כ-167,000) יתוכננו במסגרת התחדשות עירונית.</w:t>
      </w:r>
    </w:p>
    <w:p w:rsidR="00DC5B13" w:rsidRPr="00DC5B13" w:rsidP="00C34B23">
      <w:pPr>
        <w:spacing w:line="269" w:lineRule="auto"/>
        <w:rPr>
          <w:rFonts w:eastAsia="Calibri"/>
          <w:rtl/>
        </w:rPr>
      </w:pPr>
    </w:p>
    <w:p w:rsidR="00DC5B13" w:rsidRPr="00DC5B13" w:rsidP="00C34B23">
      <w:pPr>
        <w:keepNext/>
        <w:keepLines/>
        <w:spacing w:line="269" w:lineRule="auto"/>
        <w:outlineLvl w:val="2"/>
        <w:rPr>
          <w:rFonts w:eastAsia="Times New Roman"/>
          <w:bCs/>
          <w:szCs w:val="28"/>
          <w:u w:val="single"/>
          <w:rtl/>
        </w:rPr>
      </w:pPr>
      <w:bookmarkStart w:id="12" w:name="_Hlk228175704"/>
      <w:r w:rsidRPr="00DC5B13">
        <w:rPr>
          <w:rFonts w:eastAsia="Times New Roman"/>
          <w:bCs/>
          <w:szCs w:val="28"/>
          <w:u w:val="single"/>
          <w:rtl/>
        </w:rPr>
        <w:t>הגורמים המעורבים בתכנון ההתחדשות העירונית בישראל ובקידומה</w:t>
      </w:r>
    </w:p>
    <w:bookmarkEnd w:id="12"/>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rtl/>
        </w:rPr>
        <w:t>תהליכים של התחדשות עירונית מצריכים תיאום בין גורמים רבים החל במשרדי ממשלה, גופי תכנון ורשויות מקומיות, וכלה בגורמים פרטיים כגון בעלי הדירות ויזמים, והם כרוכים באתגרים משפטיים, חברתיים וכלכליים</w:t>
      </w:r>
      <w:r>
        <w:rPr>
          <w:rFonts w:eastAsia="Calibri"/>
          <w:vertAlign w:val="superscript"/>
          <w:rtl/>
        </w:rPr>
        <w:footnoteReference w:id="20"/>
      </w:r>
      <w:r w:rsidRPr="00DC5B13">
        <w:rPr>
          <w:rFonts w:eastAsia="Calibri"/>
        </w:rPr>
        <w:t>.</w:t>
      </w:r>
      <w:r w:rsidRPr="00DC5B13">
        <w:rPr>
          <w:rFonts w:eastAsia="Calibri"/>
          <w:rtl/>
        </w:rPr>
        <w:t xml:space="preserve"> </w:t>
      </w:r>
      <w:r w:rsidRPr="00DC5B13">
        <w:rPr>
          <w:rFonts w:eastAsia="Calibri" w:hint="cs"/>
          <w:rtl/>
        </w:rPr>
        <w:t>בכל אחד משלבי התהליך יש אתגרים רבים, הן בשלב התכנון של המתחמים והן לאחר סיומו של תהליך ההתחדשות, העשוי להימשך שנים רבות מתחילתו ועד למימושו.</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bookmarkStart w:id="13" w:name="_Hlk218421037"/>
      <w:r w:rsidRPr="00DC5B13">
        <w:rPr>
          <w:rFonts w:eastAsia="Calibri"/>
          <w:rtl/>
        </w:rPr>
        <w:t xml:space="preserve">בתרשים להלן מוצגים </w:t>
      </w:r>
      <w:r w:rsidRPr="00DC5B13">
        <w:rPr>
          <w:rFonts w:eastAsia="Calibri" w:hint="cs"/>
          <w:rtl/>
        </w:rPr>
        <w:t>שישה</w:t>
      </w:r>
      <w:r w:rsidRPr="00DC5B13">
        <w:rPr>
          <w:rFonts w:eastAsia="Calibri"/>
          <w:rtl/>
        </w:rPr>
        <w:t xml:space="preserve"> גורמים עיקריים הפועלים בתחום ההתחדשות העירונית ופע</w:t>
      </w:r>
      <w:r w:rsidRPr="00DC5B13">
        <w:rPr>
          <w:rFonts w:eastAsia="Calibri" w:hint="cs"/>
          <w:rtl/>
        </w:rPr>
        <w:t>י</w:t>
      </w:r>
      <w:r w:rsidRPr="00DC5B13">
        <w:rPr>
          <w:rFonts w:eastAsia="Calibri"/>
          <w:rtl/>
        </w:rPr>
        <w:t>ל</w:t>
      </w:r>
      <w:r w:rsidRPr="00DC5B13">
        <w:rPr>
          <w:rFonts w:eastAsia="Calibri" w:hint="cs"/>
          <w:rtl/>
        </w:rPr>
        <w:t>ו</w:t>
      </w:r>
      <w:r w:rsidRPr="00DC5B13">
        <w:rPr>
          <w:rFonts w:eastAsia="Calibri"/>
          <w:rtl/>
        </w:rPr>
        <w:t>תם בשלושה רבדים: תכנון, ביצוע והשימוש במרחב המתחדש. אופן מעורבותם של הגורמים בכל אחד מהרבדים מוסבר בתרשים</w:t>
      </w:r>
      <w:r w:rsidRPr="00DC5B13">
        <w:rPr>
          <w:rFonts w:eastAsia="Calibri" w:hint="cs"/>
          <w:rtl/>
        </w:rPr>
        <w:t xml:space="preserve"> שלהלן</w:t>
      </w:r>
      <w:r w:rsidRPr="00DC5B13">
        <w:rPr>
          <w:rFonts w:eastAsia="Calibri"/>
          <w:rtl/>
        </w:rPr>
        <w:t xml:space="preserve">. </w:t>
      </w:r>
    </w:p>
    <w:bookmarkEnd w:id="13"/>
    <w:p w:rsidR="00037943" w:rsidP="00C34B23">
      <w:pPr>
        <w:spacing w:line="269" w:lineRule="auto"/>
        <w:jc w:val="center"/>
        <w:rPr>
          <w:rFonts w:ascii="David" w:eastAsia="Calibri" w:hAnsi="David"/>
          <w:sz w:val="24"/>
        </w:rPr>
      </w:pPr>
    </w:p>
    <w:p w:rsidR="00DC5B13" w:rsidRPr="00DC5B13" w:rsidP="00C34B23">
      <w:pPr>
        <w:spacing w:line="269" w:lineRule="auto"/>
        <w:jc w:val="center"/>
        <w:rPr>
          <w:rFonts w:eastAsia="Calibri"/>
          <w:rtl/>
        </w:rPr>
      </w:pPr>
      <w:r w:rsidRPr="00DC5B13">
        <w:rPr>
          <w:rFonts w:eastAsia="Calibri"/>
          <w:noProof/>
        </w:rPr>
        <w:drawing>
          <wp:anchor distT="0" distB="0" distL="114300" distR="114300" simplePos="0" relativeHeight="251688960" behindDoc="0" locked="0" layoutInCell="1" allowOverlap="1">
            <wp:simplePos x="0" y="0"/>
            <wp:positionH relativeFrom="column">
              <wp:posOffset>635</wp:posOffset>
            </wp:positionH>
            <wp:positionV relativeFrom="paragraph">
              <wp:posOffset>191466</wp:posOffset>
            </wp:positionV>
            <wp:extent cx="5220000" cy="5137200"/>
            <wp:effectExtent l="0" t="0" r="0" b="0"/>
            <wp:wrapTopAndBottom/>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5137200"/>
                    </a:xfrm>
                    <a:prstGeom prst="rect">
                      <a:avLst/>
                    </a:prstGeom>
                    <a:noFill/>
                  </pic:spPr>
                </pic:pic>
              </a:graphicData>
            </a:graphic>
            <wp14:sizeRelH relativeFrom="margin">
              <wp14:pctWidth>0</wp14:pctWidth>
            </wp14:sizeRelH>
            <wp14:sizeRelV relativeFrom="margin">
              <wp14:pctHeight>0</wp14:pctHeight>
            </wp14:sizeRelV>
          </wp:anchor>
        </w:drawing>
      </w:r>
      <w:r w:rsidRPr="00DC5B13">
        <w:rPr>
          <w:rFonts w:ascii="David" w:eastAsia="Calibri" w:hAnsi="David"/>
          <w:sz w:val="24"/>
          <w:rtl/>
        </w:rPr>
        <w:t xml:space="preserve">תרשים </w:t>
      </w:r>
      <w:r w:rsidRPr="00DC5B13">
        <w:rPr>
          <w:rFonts w:ascii="David" w:eastAsia="Calibri" w:hAnsi="David"/>
          <w:sz w:val="24"/>
        </w:rPr>
        <w:t>3</w:t>
      </w:r>
      <w:r w:rsidRPr="00DC5B13">
        <w:rPr>
          <w:rFonts w:eastAsia="Calibri"/>
          <w:rtl/>
        </w:rPr>
        <w:t>:</w:t>
      </w:r>
      <w:r w:rsidRPr="00DC5B13">
        <w:rPr>
          <w:rFonts w:eastAsia="Calibri" w:hint="cs"/>
          <w:b/>
          <w:bCs/>
        </w:rPr>
        <w:t xml:space="preserve"> </w:t>
      </w:r>
      <w:r w:rsidRPr="00DC5B13">
        <w:rPr>
          <w:rFonts w:eastAsia="Calibri"/>
          <w:b/>
          <w:bCs/>
          <w:rtl/>
        </w:rPr>
        <w:t>הגורמים העיקריים המעורבים בתהליכי התחדשות עירונית בישראל</w:t>
      </w:r>
    </w:p>
    <w:p w:rsidR="00DC5B13" w:rsidRPr="00DC5B13" w:rsidP="00D82C9D">
      <w:pPr>
        <w:spacing w:line="269" w:lineRule="auto"/>
        <w:ind w:left="-2"/>
        <w:rPr>
          <w:rFonts w:eastAsia="Calibri"/>
          <w:szCs w:val="20"/>
          <w:rtl/>
        </w:rPr>
      </w:pPr>
      <w:r w:rsidRPr="00DC5B13">
        <w:rPr>
          <w:rFonts w:eastAsia="Calibri"/>
          <w:szCs w:val="20"/>
          <w:rtl/>
        </w:rPr>
        <w:t>על פי חוק התכנון והבנייה, התשכ"ה-1965 חוק לקידום הבנייה במתחמים מועדפים לדיור (הוראת שעה), התשע</w:t>
      </w:r>
      <w:r w:rsidR="005941B0">
        <w:rPr>
          <w:rFonts w:eastAsia="Calibri" w:hint="cs"/>
          <w:szCs w:val="20"/>
          <w:rtl/>
        </w:rPr>
        <w:t>"</w:t>
      </w:r>
      <w:r w:rsidRPr="00DC5B13">
        <w:rPr>
          <w:rFonts w:eastAsia="Calibri"/>
          <w:szCs w:val="20"/>
          <w:rtl/>
        </w:rPr>
        <w:t>ד-2014; חוק הרשות הממשלתית להתחדשות עירונית, התשע"ו-2016; קובץ החלטות מועצת מקרקעי ישראל (גרסה מעודכנת לאוגוסט 2025) ומסמכי מדיניות של מינהל התכנון, בעיבוד משרד מבקר המדינה.</w:t>
      </w:r>
    </w:p>
    <w:p w:rsidR="00DC5B13" w:rsidRPr="00DC5B13" w:rsidP="00D82C9D">
      <w:pPr>
        <w:spacing w:line="269" w:lineRule="auto"/>
        <w:ind w:left="-2"/>
        <w:rPr>
          <w:rFonts w:eastAsia="Calibri"/>
          <w:sz w:val="16"/>
          <w:szCs w:val="20"/>
        </w:rPr>
      </w:pPr>
      <w:r w:rsidRPr="00DC5B13">
        <w:rPr>
          <w:rFonts w:eastAsia="Calibri"/>
          <w:sz w:val="16"/>
          <w:szCs w:val="20"/>
          <w:rtl/>
        </w:rPr>
        <w:t>* הוועדה לתכנון מתחמים מועדפים לדיור (ותמ"ל), הוועדות המחוזיות והוועדות המקומיות</w:t>
      </w:r>
      <w:r w:rsidRPr="00DC5B13">
        <w:rPr>
          <w:rFonts w:eastAsia="Calibri" w:hint="cs"/>
          <w:sz w:val="16"/>
          <w:szCs w:val="20"/>
          <w:rtl/>
        </w:rPr>
        <w:t xml:space="preserve"> לתכנון ובניה</w:t>
      </w:r>
      <w:r w:rsidRPr="00DC5B13">
        <w:rPr>
          <w:rFonts w:eastAsia="Calibri"/>
          <w:sz w:val="16"/>
          <w:szCs w:val="20"/>
          <w:rtl/>
        </w:rPr>
        <w:t>.</w:t>
      </w:r>
    </w:p>
    <w:p w:rsidR="00DC5B13" w:rsidRPr="00DC5B13" w:rsidP="00C34B23">
      <w:pPr>
        <w:spacing w:line="269" w:lineRule="auto"/>
        <w:rPr>
          <w:rFonts w:eastAsia="Calibri"/>
          <w:szCs w:val="20"/>
          <w:rtl/>
        </w:rPr>
      </w:pPr>
      <w:bookmarkStart w:id="14" w:name="_Hlk218421086"/>
    </w:p>
    <w:p w:rsidR="00DC5B13" w:rsidRPr="00DC5B13" w:rsidP="00C34B23">
      <w:pPr>
        <w:spacing w:line="269" w:lineRule="auto"/>
        <w:rPr>
          <w:rFonts w:eastAsia="Calibri"/>
          <w:b/>
          <w:bCs/>
          <w:rtl/>
        </w:rPr>
      </w:pPr>
      <w:r w:rsidRPr="00DC5B13">
        <w:rPr>
          <w:rFonts w:eastAsia="Calibri"/>
          <w:b/>
          <w:bCs/>
          <w:rtl/>
        </w:rPr>
        <w:t xml:space="preserve">מהתרשים עולה </w:t>
      </w:r>
      <w:r w:rsidRPr="00DC5B13">
        <w:rPr>
          <w:rFonts w:eastAsia="Calibri" w:hint="cs"/>
          <w:b/>
          <w:bCs/>
          <w:rtl/>
        </w:rPr>
        <w:t>חשיבותן ומרכזיותן של</w:t>
      </w:r>
      <w:r w:rsidRPr="00DC5B13">
        <w:rPr>
          <w:rFonts w:eastAsia="Calibri"/>
          <w:b/>
          <w:bCs/>
          <w:rtl/>
        </w:rPr>
        <w:t xml:space="preserve"> הרשויות המקומיות</w:t>
      </w:r>
      <w:r w:rsidRPr="00DC5B13">
        <w:rPr>
          <w:rFonts w:eastAsia="Calibri" w:hint="cs"/>
          <w:b/>
          <w:bCs/>
          <w:rtl/>
        </w:rPr>
        <w:t xml:space="preserve"> בכל השלבים של תהליך ההתחדשות העירונית.</w:t>
      </w:r>
      <w:r w:rsidRPr="00DC5B13">
        <w:rPr>
          <w:rFonts w:eastAsia="Calibri"/>
          <w:b/>
          <w:bCs/>
          <w:rtl/>
        </w:rPr>
        <w:t xml:space="preserve"> </w:t>
      </w:r>
      <w:r w:rsidRPr="00DC5B13">
        <w:rPr>
          <w:rFonts w:eastAsia="Calibri" w:hint="cs"/>
          <w:b/>
          <w:bCs/>
          <w:rtl/>
        </w:rPr>
        <w:t xml:space="preserve">כן עולה כי הרשויות </w:t>
      </w:r>
      <w:r w:rsidRPr="00DC5B13">
        <w:rPr>
          <w:rFonts w:eastAsia="Calibri"/>
          <w:b/>
          <w:bCs/>
          <w:rtl/>
        </w:rPr>
        <w:t xml:space="preserve">הן הגורם </w:t>
      </w:r>
      <w:r w:rsidRPr="00DC5B13">
        <w:rPr>
          <w:rFonts w:eastAsia="Calibri" w:hint="cs"/>
          <w:b/>
          <w:bCs/>
          <w:rtl/>
        </w:rPr>
        <w:t xml:space="preserve">השלטוני </w:t>
      </w:r>
      <w:r w:rsidRPr="00DC5B13">
        <w:rPr>
          <w:rFonts w:eastAsia="Calibri"/>
          <w:b/>
          <w:bCs/>
          <w:rtl/>
        </w:rPr>
        <w:t xml:space="preserve">היחיד המעורב בכל אחד מהרבדים שהוצגו - תכנון, ביצוע והשימוש במרחב המתחדש. </w:t>
      </w:r>
      <w:bookmarkEnd w:id="14"/>
    </w:p>
    <w:p w:rsidR="00DC5B13" w:rsidRPr="00DC5B13" w:rsidP="00C34B23">
      <w:pPr>
        <w:spacing w:line="269" w:lineRule="auto"/>
        <w:ind w:left="-567"/>
        <w:rPr>
          <w:rFonts w:eastAsia="Calibri"/>
          <w:szCs w:val="20"/>
          <w:rtl/>
        </w:rPr>
      </w:pPr>
    </w:p>
    <w:p w:rsidR="00DC5B13" w:rsidP="00C34B23">
      <w:pPr>
        <w:spacing w:line="269" w:lineRule="auto"/>
        <w:rPr>
          <w:rFonts w:eastAsia="Calibri"/>
          <w:szCs w:val="20"/>
          <w:rtl/>
        </w:rPr>
      </w:pPr>
      <w:r w:rsidRPr="00DC5B13">
        <w:rPr>
          <w:rFonts w:eastAsia="Calibri"/>
          <w:rtl/>
        </w:rPr>
        <w:t>להלן יתוארו הגורמים העיקריים העוסקים בהתחדשות עירונית הרלוונטיים לדוח זה</w:t>
      </w:r>
      <w:r w:rsidRPr="00DC5B13">
        <w:rPr>
          <w:rFonts w:eastAsia="Calibri" w:hint="cs"/>
          <w:rtl/>
        </w:rPr>
        <w:t>:</w:t>
      </w:r>
      <w:r w:rsidRPr="00DC5B13">
        <w:rPr>
          <w:rFonts w:eastAsia="Calibri"/>
          <w:rtl/>
        </w:rPr>
        <w:t xml:space="preserve"> </w:t>
      </w:r>
    </w:p>
    <w:p w:rsidR="00037943" w:rsidRPr="00DC5B13" w:rsidP="00C34B23">
      <w:pPr>
        <w:spacing w:line="269" w:lineRule="auto"/>
        <w:rPr>
          <w:rFonts w:eastAsia="Calibri"/>
          <w:szCs w:val="20"/>
          <w:rtl/>
        </w:rPr>
      </w:pPr>
    </w:p>
    <w:p w:rsidR="00DC5B13" w:rsidRPr="00DC5B13" w:rsidP="00C34B23">
      <w:pPr>
        <w:keepNext/>
        <w:keepLines/>
        <w:spacing w:line="269" w:lineRule="auto"/>
        <w:outlineLvl w:val="3"/>
        <w:rPr>
          <w:rFonts w:eastAsia="Times New Roman"/>
          <w:bCs/>
          <w:szCs w:val="26"/>
          <w:rtl/>
        </w:rPr>
      </w:pPr>
      <w:r w:rsidRPr="00DC5B13">
        <w:rPr>
          <w:rFonts w:eastAsia="Times New Roman"/>
          <w:bCs/>
          <w:szCs w:val="26"/>
          <w:rtl/>
        </w:rPr>
        <w:t>הרשות הממשלתית להתחדשות עירונית</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 xml:space="preserve">הרשות להתחדשות במשרד השיכון הוקמה ב-2017 מתוקף סעיף 3 לחוק הרשות להתחדשות כדי לפעול לקידום מטרות החוק בהתאם למדיניות הממשלה. הרשות להתחדשות מורכבת מגורמים </w:t>
      </w:r>
      <w:r w:rsidRPr="00DC5B13">
        <w:rPr>
          <w:rFonts w:eastAsia="Calibri"/>
          <w:rtl/>
        </w:rPr>
        <w:t>אלה: לשכת מנכ"ל; מטה הכולל חשבות, לשכה משפטית, יחידה תקציבית ומשאבי אנוש</w:t>
      </w:r>
      <w:r w:rsidRPr="00DC5B13">
        <w:rPr>
          <w:rFonts w:eastAsia="Calibri" w:hint="cs"/>
          <w:rtl/>
        </w:rPr>
        <w:t>, הממונה על פניות הדיירים</w:t>
      </w:r>
      <w:r w:rsidRPr="00DC5B13">
        <w:rPr>
          <w:rFonts w:eastAsia="Calibri"/>
          <w:rtl/>
        </w:rPr>
        <w:t xml:space="preserve">; </w:t>
      </w:r>
      <w:r w:rsidRPr="00DC5B13">
        <w:rPr>
          <w:rFonts w:eastAsia="Calibri" w:hint="cs"/>
          <w:rtl/>
        </w:rPr>
        <w:t>ו</w:t>
      </w:r>
      <w:r w:rsidRPr="00DC5B13">
        <w:rPr>
          <w:rFonts w:eastAsia="Calibri"/>
          <w:rtl/>
        </w:rPr>
        <w:t>שלושה אגפים (מדיניות, תכנון וקשרי קהילה), כמפורט בתרשים שלהלן.</w:t>
      </w:r>
    </w:p>
    <w:p w:rsidR="00DC5B13" w:rsidRPr="00DC5B13" w:rsidP="00C34B23">
      <w:pPr>
        <w:spacing w:line="269" w:lineRule="auto"/>
        <w:jc w:val="center"/>
        <w:rPr>
          <w:rFonts w:eastAsia="Calibri"/>
          <w:rtl/>
        </w:rPr>
      </w:pPr>
    </w:p>
    <w:p w:rsidR="00DC5B13" w:rsidRPr="00DC5B13" w:rsidP="00C34B23">
      <w:pPr>
        <w:spacing w:line="269" w:lineRule="auto"/>
        <w:jc w:val="center"/>
        <w:rPr>
          <w:rFonts w:eastAsia="Calibri"/>
          <w:rtl/>
        </w:rPr>
      </w:pPr>
      <w:r w:rsidRPr="00DC5B13">
        <w:rPr>
          <w:rFonts w:ascii="David" w:eastAsia="Calibri" w:hAnsi="David"/>
          <w:noProof/>
          <w:sz w:val="24"/>
          <w:rtl/>
          <w:lang w:val="he-IL"/>
        </w:rPr>
        <w:drawing>
          <wp:anchor distT="0" distB="0" distL="114300" distR="114300" simplePos="0" relativeHeight="251691008" behindDoc="0" locked="0" layoutInCell="1" allowOverlap="1">
            <wp:simplePos x="0" y="0"/>
            <wp:positionH relativeFrom="column">
              <wp:align>center</wp:align>
            </wp:positionH>
            <wp:positionV relativeFrom="paragraph">
              <wp:posOffset>202811</wp:posOffset>
            </wp:positionV>
            <wp:extent cx="5220000" cy="3938400"/>
            <wp:effectExtent l="0" t="0" r="0" b="0"/>
            <wp:wrapTopAndBottom/>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938400"/>
                    </a:xfrm>
                    <a:prstGeom prst="rect">
                      <a:avLst/>
                    </a:prstGeom>
                    <a:noFill/>
                  </pic:spPr>
                </pic:pic>
              </a:graphicData>
            </a:graphic>
            <wp14:sizeRelH relativeFrom="page">
              <wp14:pctWidth>0</wp14:pctWidth>
            </wp14:sizeRelH>
            <wp14:sizeRelV relativeFrom="page">
              <wp14:pctHeight>0</wp14:pctHeight>
            </wp14:sizeRelV>
          </wp:anchor>
        </w:drawing>
      </w:r>
      <w:r w:rsidRPr="00DC5B13">
        <w:rPr>
          <w:rFonts w:ascii="David" w:eastAsia="Calibri" w:hAnsi="David"/>
          <w:sz w:val="24"/>
          <w:rtl/>
        </w:rPr>
        <w:t xml:space="preserve">תרשים </w:t>
      </w:r>
      <w:r w:rsidRPr="00DC5B13">
        <w:rPr>
          <w:rFonts w:ascii="David" w:eastAsia="Calibri" w:hAnsi="David"/>
          <w:sz w:val="24"/>
        </w:rPr>
        <w:t>4</w:t>
      </w:r>
      <w:r w:rsidRPr="00DC5B13">
        <w:rPr>
          <w:rFonts w:ascii="David" w:eastAsia="Calibri" w:hAnsi="David"/>
          <w:sz w:val="24"/>
          <w:rtl/>
        </w:rPr>
        <w:t>:</w:t>
      </w:r>
      <w:r w:rsidRPr="00DC5B13">
        <w:rPr>
          <w:rFonts w:eastAsia="Calibri"/>
          <w:rtl/>
        </w:rPr>
        <w:t xml:space="preserve"> </w:t>
      </w:r>
      <w:r w:rsidRPr="00DC5B13">
        <w:rPr>
          <w:rFonts w:eastAsia="Calibri"/>
          <w:b/>
          <w:bCs/>
          <w:rtl/>
        </w:rPr>
        <w:t>מבנה הרשות הממשלתית להתחדשות עירונית</w:t>
      </w:r>
    </w:p>
    <w:p w:rsidR="00DC5B13" w:rsidRPr="00DC5B13" w:rsidP="00C34B23">
      <w:pPr>
        <w:spacing w:line="269" w:lineRule="auto"/>
        <w:rPr>
          <w:rFonts w:eastAsia="Calibri"/>
          <w:szCs w:val="20"/>
          <w:rtl/>
        </w:rPr>
      </w:pPr>
      <w:r w:rsidRPr="00DC5B13">
        <w:rPr>
          <w:rFonts w:eastAsia="Calibri"/>
          <w:szCs w:val="20"/>
          <w:rtl/>
        </w:rPr>
        <w:t>על פי נתונים מהרשות להתחדשות, בעיבוד משרד מבקר המדינה.</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הרשות להתחדשות פועלת במגוון דרכים לקידום תהליכי ההתחדשות העירונית בישראל, בין היתר באמצעות מימון והכנה של תוכניות אב</w:t>
      </w:r>
      <w:r>
        <w:rPr>
          <w:rFonts w:eastAsia="Calibri"/>
          <w:vertAlign w:val="superscript"/>
          <w:rtl/>
        </w:rPr>
        <w:footnoteReference w:id="21"/>
      </w:r>
      <w:r w:rsidRPr="00DC5B13">
        <w:rPr>
          <w:rFonts w:eastAsia="Calibri"/>
          <w:rtl/>
        </w:rPr>
        <w:t xml:space="preserve"> או תוכניות מתאר להתחדשות עירונית למתחם מסוים או לעיר כולה, מימון הקמת מינהלות עירוניות (ראו פירוט בהמשך), הדרכה של הדיירים וסיוע להם בתהליכי ההתארגנות, קידום תיקוני חקיקה בתחום, פיתוח כלים ומתן הנחיות ליזמים ולרשויות המקומיות. הרשות להתחדשות מסייעת לרשויות המקומיות בקידום התחדשות עירונית, והסיוע כולל מימון המיועד לתכנון התוכניות עבור מתחמי ההתחדשות העירונית ולביצוע פעולות חברתיות שיסייעו לארגן ולרתום את בעלי הדירות לביצוע ההתחדשות העירונית במתחמים המיועדים לכך.</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Times New Roman"/>
          <w:bCs/>
          <w:spacing w:val="40"/>
          <w:rtl/>
        </w:rPr>
        <w:t xml:space="preserve">הכרזה על מתחמי פינוי-בינוי: </w:t>
      </w:r>
      <w:r w:rsidRPr="00DC5B13">
        <w:rPr>
          <w:rFonts w:eastAsia="Calibri"/>
          <w:rtl/>
        </w:rPr>
        <w:t>הפרק החמישי לחוק הרשות להתחדשות מקנה לרשות סמכות להכריז על מתחם המיועד להתחדשות עירונית כמתחם פינוי-בינוי. הכרזה כאמור תיעשה לבקשת הרשות המקומית (במסלול רשויות מקומיות) או ביוזמתו של מנהל הרשות להתחדשות בהסכמת הרשות המקומית או לבקשת היזם (במסלול יזמים), בהסכמת הרשות המקומית הנוגעת בדבר. מנהל הרשות להתחדשות מוסמך להכריז על מתחם כמתחם לפינוי ובינוי גם ללא הסכמת הרשות המקומית בתנאים מסוימים המפורטים בחוק.</w:t>
      </w:r>
    </w:p>
    <w:p w:rsidR="00DC5B13" w:rsidRPr="00DC5B13" w:rsidP="00C34B23">
      <w:pPr>
        <w:spacing w:line="269" w:lineRule="auto"/>
        <w:rPr>
          <w:rFonts w:eastAsia="Calibri"/>
          <w:rtl/>
        </w:rPr>
      </w:pPr>
    </w:p>
    <w:p w:rsidR="00DC5B13" w:rsidP="00C34B23">
      <w:pPr>
        <w:spacing w:line="269" w:lineRule="auto"/>
        <w:rPr>
          <w:rFonts w:eastAsia="Calibri"/>
          <w:rtl/>
        </w:rPr>
      </w:pPr>
      <w:r w:rsidRPr="00DC5B13">
        <w:rPr>
          <w:rFonts w:eastAsia="Calibri"/>
          <w:rtl/>
        </w:rPr>
        <w:t xml:space="preserve">ההכרזה על מתחם פינוי-בינוי מאפשרת לקדם את התוכנית בוועדות מקומיות עצמאיות מיוחדות בהתאם להחלטת הרשות המקומית לעניין האזור שבו שוכן המתחם. במתחמים שהוכרזו יהיו </w:t>
      </w:r>
      <w:r w:rsidRPr="00DC5B13">
        <w:rPr>
          <w:rFonts w:eastAsia="Calibri"/>
          <w:rtl/>
        </w:rPr>
        <w:t xml:space="preserve">בעלי הדירות שהתקשרו לביצוע עסקת פינוי-בינוי זכאים להטבות מס. נוסף על כך, ניתן יהיה לפעול לקבלת סעדים לפי חוק עידוד מיזמי פינוי-בינוי לצורך קידום עסקאות במתחם זה, לרבות ניהול הליכים נגד דייר המסרב סירוב בלתי סביר לעסקה. </w:t>
      </w:r>
    </w:p>
    <w:p w:rsidR="00037943" w:rsidRPr="00DC5B13" w:rsidP="00C34B23">
      <w:pPr>
        <w:spacing w:line="269" w:lineRule="auto"/>
        <w:rPr>
          <w:rFonts w:eastAsia="Calibri"/>
          <w:rtl/>
        </w:rPr>
      </w:pPr>
    </w:p>
    <w:p w:rsidR="00DC5B13" w:rsidRPr="00DC5B13" w:rsidP="00C34B23">
      <w:pPr>
        <w:spacing w:line="269" w:lineRule="auto"/>
        <w:rPr>
          <w:rFonts w:eastAsia="Calibri"/>
        </w:rPr>
      </w:pPr>
      <w:r w:rsidRPr="00DC5B13">
        <w:rPr>
          <w:rFonts w:eastAsia="Calibri"/>
          <w:rtl/>
        </w:rPr>
        <w:t>בדוח ההתחדשות העירונית לשנת 2024 של הרשות להתחדשות הוצגו תוכניות הפינוי והבינוי שאושרו בישראל בשנים 2024 - 2010, כמפורט בתרשים שלהלן.</w:t>
      </w:r>
    </w:p>
    <w:p w:rsidR="00DC5B13" w:rsidRPr="00DC5B13" w:rsidP="00C34B23">
      <w:pPr>
        <w:spacing w:line="269" w:lineRule="auto"/>
        <w:jc w:val="center"/>
        <w:rPr>
          <w:rFonts w:eastAsia="Calibri"/>
          <w:rtl/>
        </w:rPr>
      </w:pPr>
    </w:p>
    <w:p w:rsidR="00DC5B13" w:rsidRPr="00DC5B13" w:rsidP="00C34B23">
      <w:pPr>
        <w:spacing w:line="269" w:lineRule="auto"/>
        <w:jc w:val="center"/>
        <w:rPr>
          <w:rFonts w:eastAsia="Calibri"/>
          <w:rtl/>
        </w:rPr>
      </w:pPr>
      <w:r w:rsidRPr="00DC5B13">
        <w:rPr>
          <w:rFonts w:eastAsia="Calibri"/>
          <w:noProof/>
          <w:szCs w:val="20"/>
        </w:rPr>
        <w:drawing>
          <wp:anchor distT="0" distB="0" distL="114300" distR="114300" simplePos="0" relativeHeight="251684864" behindDoc="0" locked="0" layoutInCell="1" allowOverlap="1">
            <wp:simplePos x="0" y="0"/>
            <wp:positionH relativeFrom="column">
              <wp:posOffset>635</wp:posOffset>
            </wp:positionH>
            <wp:positionV relativeFrom="paragraph">
              <wp:posOffset>386129</wp:posOffset>
            </wp:positionV>
            <wp:extent cx="5219700" cy="3790315"/>
            <wp:effectExtent l="0" t="0" r="0" b="635"/>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790315"/>
                    </a:xfrm>
                    <a:prstGeom prst="rect">
                      <a:avLst/>
                    </a:prstGeom>
                    <a:noFill/>
                  </pic:spPr>
                </pic:pic>
              </a:graphicData>
            </a:graphic>
            <wp14:sizeRelH relativeFrom="page">
              <wp14:pctWidth>0</wp14:pctWidth>
            </wp14:sizeRelH>
            <wp14:sizeRelV relativeFrom="page">
              <wp14:pctHeight>0</wp14:pctHeight>
            </wp14:sizeRelV>
          </wp:anchor>
        </w:drawing>
      </w:r>
      <w:r w:rsidRPr="00DC5B13">
        <w:rPr>
          <w:rFonts w:ascii="David" w:eastAsia="Calibri" w:hAnsi="David"/>
          <w:sz w:val="24"/>
          <w:rtl/>
        </w:rPr>
        <w:t xml:space="preserve">תרשים </w:t>
      </w:r>
      <w:r w:rsidRPr="00DC5B13">
        <w:rPr>
          <w:rFonts w:ascii="David" w:eastAsia="Calibri" w:hAnsi="David"/>
          <w:sz w:val="24"/>
        </w:rPr>
        <w:t>5</w:t>
      </w:r>
      <w:r w:rsidRPr="00DC5B13">
        <w:rPr>
          <w:rFonts w:ascii="David" w:eastAsia="Calibri" w:hAnsi="David"/>
          <w:sz w:val="24"/>
          <w:rtl/>
        </w:rPr>
        <w:t>:</w:t>
      </w:r>
      <w:r w:rsidRPr="00DC5B13">
        <w:rPr>
          <w:rFonts w:eastAsia="Calibri"/>
          <w:b/>
          <w:bCs/>
          <w:rtl/>
        </w:rPr>
        <w:t xml:space="preserve"> מספר התוכניות שאושרו בתוכניות התחדשות עירונית (פינוי-בינוי) ומספר יחידות הדיור המוצעות בהן, 2010 - 2024</w:t>
      </w:r>
      <w:r>
        <w:rPr>
          <w:rFonts w:eastAsia="Calibri"/>
          <w:b/>
          <w:bCs/>
          <w:vertAlign w:val="superscript"/>
          <w:rtl/>
        </w:rPr>
        <w:footnoteReference w:id="22"/>
      </w:r>
    </w:p>
    <w:p w:rsidR="00DC5B13" w:rsidRPr="00DC5B13" w:rsidP="00C34B23">
      <w:pPr>
        <w:spacing w:line="269" w:lineRule="auto"/>
        <w:rPr>
          <w:rFonts w:eastAsia="Calibri"/>
          <w:szCs w:val="20"/>
          <w:rtl/>
        </w:rPr>
      </w:pPr>
      <w:r w:rsidRPr="00DC5B13">
        <w:rPr>
          <w:rFonts w:eastAsia="Calibri"/>
          <w:noProof/>
        </w:rPr>
        <w:t xml:space="preserve"> </w:t>
      </w:r>
      <w:r w:rsidRPr="00DC5B13">
        <w:rPr>
          <w:rFonts w:eastAsia="Calibri"/>
          <w:szCs w:val="20"/>
          <w:rtl/>
        </w:rPr>
        <w:t>על פי נתונים מדוח הרשות להתחדשות עירונית לשנת 2024, בעיבוד משרד מבקר המדינה.</w:t>
      </w:r>
    </w:p>
    <w:p w:rsidR="00DC5B13" w:rsidRPr="00DC5B13" w:rsidP="00C34B23">
      <w:pPr>
        <w:spacing w:line="269" w:lineRule="auto"/>
        <w:rPr>
          <w:rFonts w:eastAsia="Calibri"/>
          <w:b/>
          <w:bCs/>
          <w:rtl/>
        </w:rPr>
      </w:pPr>
    </w:p>
    <w:p w:rsidR="00DC5B13" w:rsidP="00C34B23">
      <w:pPr>
        <w:spacing w:line="269" w:lineRule="auto"/>
        <w:rPr>
          <w:rFonts w:eastAsia="Calibri"/>
          <w:rtl/>
        </w:rPr>
      </w:pPr>
      <w:r w:rsidRPr="00DC5B13">
        <w:rPr>
          <w:rFonts w:eastAsia="Calibri"/>
          <w:b/>
          <w:bCs/>
          <w:rtl/>
        </w:rPr>
        <w:t xml:space="preserve">מנתוני התרשים עולה כי בין השנים 2021 - 2024 חלה עלייה ניכרת הן במספרן של התוכניות להתחדשות עירונית שאושרו באותן השנים והן במספר יחידות הדיור המתוכננות לבנייה מכוחן ביחס לשנים הקודמות: בשנים 2021 - 2024 </w:t>
      </w:r>
      <w:r w:rsidRPr="00DC5B13">
        <w:rPr>
          <w:rFonts w:eastAsia="Calibri" w:hint="cs"/>
          <w:b/>
          <w:bCs/>
          <w:rtl/>
        </w:rPr>
        <w:t>אושרו תוכניות לבנייתן של</w:t>
      </w:r>
      <w:r w:rsidRPr="00DC5B13">
        <w:rPr>
          <w:rFonts w:eastAsia="Calibri"/>
          <w:b/>
          <w:bCs/>
          <w:rtl/>
        </w:rPr>
        <w:t xml:space="preserve"> כ-157,000 יח"ד מתוך כ-259,000 יח"ד ש</w:t>
      </w:r>
      <w:r w:rsidRPr="00DC5B13">
        <w:rPr>
          <w:rFonts w:eastAsia="Calibri" w:hint="cs"/>
          <w:b/>
          <w:bCs/>
          <w:rtl/>
        </w:rPr>
        <w:t xml:space="preserve">תכנונן אושר בשנים 2010 - 2024 </w:t>
      </w:r>
      <w:r w:rsidRPr="00DC5B13">
        <w:rPr>
          <w:rFonts w:eastAsia="Calibri"/>
          <w:b/>
          <w:bCs/>
          <w:rtl/>
        </w:rPr>
        <w:t xml:space="preserve">(כ-60%). בשנת 2024 חלה עלייה של </w:t>
      </w:r>
      <w:r w:rsidR="007E0B98">
        <w:rPr>
          <w:rFonts w:eastAsia="Calibri"/>
          <w:b/>
          <w:bCs/>
          <w:rtl/>
        </w:rPr>
        <w:br/>
      </w:r>
      <w:r w:rsidRPr="00DC5B13">
        <w:rPr>
          <w:rFonts w:eastAsia="Calibri"/>
          <w:b/>
          <w:bCs/>
          <w:rtl/>
        </w:rPr>
        <w:t>כ-40% במספר יחידות הדיור שאושרו בתוכניות פינוי-בינוי ביחס לשנת 2023 ועלייה של כ-44% ביחס לשנת 2022.</w:t>
      </w:r>
      <w:r w:rsidRPr="00DC5B13">
        <w:rPr>
          <w:rFonts w:eastAsia="Calibri"/>
          <w:rtl/>
        </w:rPr>
        <w:t xml:space="preserve"> </w:t>
      </w:r>
    </w:p>
    <w:p w:rsidR="00037943" w:rsidRPr="00DC5B13" w:rsidP="00C34B23">
      <w:pPr>
        <w:spacing w:line="269" w:lineRule="auto"/>
        <w:rPr>
          <w:rFonts w:eastAsia="Calibri"/>
          <w:rtl/>
        </w:rPr>
      </w:pPr>
    </w:p>
    <w:p w:rsidR="00DC5B13" w:rsidRPr="00DC5B13" w:rsidP="00C34B23">
      <w:pPr>
        <w:keepNext/>
        <w:keepLines/>
        <w:spacing w:line="269" w:lineRule="auto"/>
        <w:outlineLvl w:val="3"/>
        <w:rPr>
          <w:rFonts w:eastAsia="Times New Roman"/>
          <w:bCs/>
          <w:szCs w:val="26"/>
          <w:rtl/>
        </w:rPr>
      </w:pPr>
      <w:r w:rsidRPr="00DC5B13">
        <w:rPr>
          <w:rFonts w:eastAsia="Times New Roman"/>
          <w:bCs/>
          <w:szCs w:val="26"/>
          <w:rtl/>
        </w:rPr>
        <w:t>מינהל התכנון</w:t>
      </w:r>
    </w:p>
    <w:p w:rsidR="00DC5B13" w:rsidRPr="00DC5B13" w:rsidP="00C34B23">
      <w:pPr>
        <w:spacing w:line="269" w:lineRule="auto"/>
        <w:rPr>
          <w:rFonts w:eastAsia="Calibri"/>
          <w:rtl/>
        </w:rPr>
      </w:pPr>
    </w:p>
    <w:p w:rsidR="00DC5B13" w:rsidRPr="00DC5B13" w:rsidP="00C34B23">
      <w:pPr>
        <w:spacing w:line="269" w:lineRule="auto"/>
        <w:rPr>
          <w:rFonts w:eastAsia="Calibri"/>
          <w:color w:val="000000"/>
          <w:rtl/>
        </w:rPr>
      </w:pPr>
      <w:r w:rsidRPr="00DC5B13">
        <w:rPr>
          <w:rFonts w:eastAsia="Calibri"/>
          <w:color w:val="000000"/>
          <w:rtl/>
        </w:rPr>
        <w:t xml:space="preserve">מינהל התכנון הוא הגוף הממשלתי הממונה על התכנון והפיתוח המרחבי במדינת ישראל. תפקידו המרכזי כולל גיבוש מדיניות תכנון לאומית וקידום תוכניות לפיתוח תשתיות, מגורים ושטחים פתוחים ברמות הארצית, המחוזיות והמקומיות. פעילות המינהל נעשית על פי חוק התכנון והבנייה, והוא מבצע אותה בשיתוף פעולה הדוק עם הרשויות המקומיות, משרדי הממשלה, גופים ציבוריים, ארגונים לא-ממשלתיים והציבור הרחב. שיתוף פעולה זה נועד להבטיח תכנון מקיף, </w:t>
      </w:r>
      <w:r w:rsidRPr="00DC5B13">
        <w:rPr>
          <w:rFonts w:eastAsia="Calibri"/>
          <w:color w:val="000000"/>
          <w:rtl/>
        </w:rPr>
        <w:t xml:space="preserve">אשר מתחשב בשיקולים פיזיים, כלכליים, חברתיים, תרבותיים וסביבתיים. </w:t>
      </w:r>
      <w:r w:rsidRPr="00DC5B13">
        <w:rPr>
          <w:rFonts w:ascii="Rubik" w:eastAsia="Calibri" w:hAnsi="Rubik"/>
          <w:color w:val="000000"/>
          <w:shd w:val="clear" w:color="auto" w:fill="FFFFFF"/>
          <w:rtl/>
        </w:rPr>
        <w:t>מינהל התכנון מפעיל את מוסדות התכנון הארציים ובהם הוועדה הארצית לתכנון ולבנייה של מתחמים מועדפים</w:t>
      </w:r>
      <w:r w:rsidRPr="00DC5B13">
        <w:rPr>
          <w:rFonts w:ascii="Rubik" w:eastAsia="Calibri" w:hAnsi="Rubik" w:hint="cs"/>
          <w:color w:val="000000"/>
          <w:shd w:val="clear" w:color="auto" w:fill="FFFFFF"/>
          <w:rtl/>
        </w:rPr>
        <w:t>. כמו</w:t>
      </w:r>
      <w:r w:rsidRPr="00DC5B13">
        <w:rPr>
          <w:rFonts w:ascii="Rubik" w:eastAsia="Calibri" w:hAnsi="Rubik"/>
          <w:color w:val="000000"/>
          <w:shd w:val="clear" w:color="auto" w:fill="FFFFFF"/>
          <w:rtl/>
        </w:rPr>
        <w:t xml:space="preserve"> כן </w:t>
      </w:r>
      <w:r w:rsidRPr="00DC5B13">
        <w:rPr>
          <w:rFonts w:ascii="Rubik" w:eastAsia="Calibri" w:hAnsi="Rubik" w:hint="cs"/>
          <w:color w:val="000000"/>
          <w:shd w:val="clear" w:color="auto" w:fill="FFFFFF"/>
          <w:rtl/>
        </w:rPr>
        <w:t xml:space="preserve">הוא </w:t>
      </w:r>
      <w:r w:rsidRPr="00DC5B13">
        <w:rPr>
          <w:rFonts w:ascii="Rubik" w:eastAsia="Calibri" w:hAnsi="Rubik"/>
          <w:color w:val="000000"/>
          <w:shd w:val="clear" w:color="auto" w:fill="FFFFFF"/>
          <w:rtl/>
        </w:rPr>
        <w:t xml:space="preserve">גוף מטה </w:t>
      </w:r>
      <w:r w:rsidRPr="00DC5B13">
        <w:rPr>
          <w:rFonts w:ascii="Rubik" w:eastAsia="Calibri" w:hAnsi="Rubik" w:hint="cs"/>
          <w:color w:val="000000"/>
          <w:shd w:val="clear" w:color="auto" w:fill="FFFFFF"/>
          <w:rtl/>
        </w:rPr>
        <w:t xml:space="preserve">המעניק </w:t>
      </w:r>
      <w:r w:rsidRPr="00DC5B13">
        <w:rPr>
          <w:rFonts w:ascii="Rubik" w:eastAsia="Calibri" w:hAnsi="Rubik"/>
          <w:color w:val="000000"/>
          <w:shd w:val="clear" w:color="auto" w:fill="FFFFFF"/>
          <w:rtl/>
        </w:rPr>
        <w:t>הכוונה מקצועית לוועדות המחוזיות לתכנון ולבנייה ו</w:t>
      </w:r>
      <w:r w:rsidRPr="00DC5B13">
        <w:rPr>
          <w:rFonts w:ascii="Rubik" w:eastAsia="Calibri" w:hAnsi="Rubik" w:hint="cs"/>
          <w:color w:val="000000"/>
          <w:shd w:val="clear" w:color="auto" w:fill="FFFFFF"/>
          <w:rtl/>
        </w:rPr>
        <w:t>לו</w:t>
      </w:r>
      <w:r w:rsidRPr="00DC5B13">
        <w:rPr>
          <w:rFonts w:ascii="Rubik" w:eastAsia="Calibri" w:hAnsi="Rubik"/>
          <w:color w:val="000000"/>
          <w:shd w:val="clear" w:color="auto" w:fill="FFFFFF"/>
          <w:rtl/>
        </w:rPr>
        <w:t>ועדות המשנה שלהן</w:t>
      </w:r>
      <w:r w:rsidRPr="00DC5B13">
        <w:rPr>
          <w:rFonts w:eastAsia="Calibri"/>
          <w:color w:val="000000"/>
          <w:rtl/>
        </w:rPr>
        <w:t>.</w:t>
      </w:r>
    </w:p>
    <w:p w:rsidR="0003794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מינהל התכנון עוסק גם בקידום תהליכי התחדשות עירונית, בין היתר לשם שיפור האיכות של חיי התושבים ולחיזוק המרקם העירוני. פעילות זו כוללת קידום תוכניות כוללות להתחדשות עירונית, תוכניות פינוי-בינוי ותוכניות להתחדשות בניינים, תוך התאמה לצרכים הייחודיים של כל סביבה</w:t>
      </w:r>
      <w:r w:rsidRPr="00DC5B13">
        <w:rPr>
          <w:rFonts w:eastAsia="Calibri" w:hint="cs"/>
          <w:rtl/>
        </w:rPr>
        <w:t xml:space="preserve"> וקביעת מדיניות מחוזית בנושא</w:t>
      </w:r>
      <w:r w:rsidRPr="00DC5B13">
        <w:rPr>
          <w:rFonts w:eastAsia="Calibri"/>
          <w:rtl/>
        </w:rPr>
        <w:t>.</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b/>
          <w:rtl/>
        </w:rPr>
        <w:t>בשנת 2023 הוקם במינהל התכנון אגף התחדשות עירונית הפועל לאיגום ידע ולפיתוחו, כולל זיהוי סוגיות רוחב קריטיות בתחום ההתחדשות העירונית, ולגיבוש הנחיות ברורות לרשויות המקומיות ולגופים המעורבים. למשל, באפריל 2024 פרסם האגף מדריך בנושא "עקרונות לעריכת תוכנית כלל עירונית להתחדשות"</w:t>
      </w:r>
      <w:r>
        <w:rPr>
          <w:rFonts w:eastAsia="Calibri"/>
          <w:vertAlign w:val="superscript"/>
          <w:rtl/>
        </w:rPr>
        <w:footnoteReference w:id="23"/>
      </w:r>
      <w:r w:rsidRPr="00DC5B13">
        <w:rPr>
          <w:rFonts w:eastAsia="Calibri"/>
          <w:b/>
          <w:rtl/>
        </w:rPr>
        <w:t xml:space="preserve">. האגף ממפה חסמים בתכנון המיזמים ובמימושם ומנהל מעקב שוטף אחר אישורן ומימושן של תוכניות ההתחדשות העירונית. </w:t>
      </w:r>
    </w:p>
    <w:p w:rsidR="00DC5B13" w:rsidRPr="00DC5B13" w:rsidP="00C34B23">
      <w:pPr>
        <w:spacing w:line="269" w:lineRule="auto"/>
        <w:rPr>
          <w:rFonts w:eastAsia="Calibri"/>
          <w:rtl/>
        </w:rPr>
      </w:pPr>
    </w:p>
    <w:p w:rsidR="00DC5B13" w:rsidRPr="00DC5B13" w:rsidP="00C34B23">
      <w:pPr>
        <w:spacing w:line="269" w:lineRule="auto"/>
        <w:rPr>
          <w:rFonts w:eastAsia="Calibri"/>
          <w:bCs/>
          <w:szCs w:val="26"/>
          <w:rtl/>
        </w:rPr>
      </w:pPr>
      <w:r w:rsidRPr="00DC5B13">
        <w:rPr>
          <w:rFonts w:eastAsia="Calibri"/>
          <w:rtl/>
        </w:rPr>
        <w:t>כמו כן האגף מנהל קשרי עבודה עם משרדי ממשלה שונים, מלווה תהליכי חקיקה בתחום ההתחדשות העירונית, מאתר נושאים עקרוניים ומטפל בהם, ויוזם ומקדם תוכניות מפורטות ומסמכי מדיניות שיביאו לידי הגשמת המטרות של ההתחדשות העירונית ושל הפיתוח המרחבי. מינהל התכנון מסייע בהשגת היעדים שנקבעו בתוכנית האסטרטגית לדיור ומקדם תכנון מפורט ב-13 מתחמי התחדשות עירונית</w:t>
      </w:r>
      <w:r>
        <w:rPr>
          <w:rFonts w:eastAsia="Calibri"/>
          <w:vertAlign w:val="superscript"/>
          <w:rtl/>
        </w:rPr>
        <w:footnoteReference w:id="24"/>
      </w:r>
      <w:r w:rsidRPr="00DC5B13">
        <w:rPr>
          <w:rFonts w:eastAsia="Calibri"/>
          <w:rtl/>
        </w:rPr>
        <w:t>.</w:t>
      </w:r>
    </w:p>
    <w:p w:rsidR="00DC5B13" w:rsidRPr="00DC5B13" w:rsidP="00C34B23">
      <w:pPr>
        <w:spacing w:line="269" w:lineRule="auto"/>
        <w:ind w:left="-567"/>
        <w:rPr>
          <w:rFonts w:eastAsia="Calibri"/>
          <w:szCs w:val="20"/>
          <w:rtl/>
        </w:rPr>
      </w:pPr>
    </w:p>
    <w:p w:rsidR="00DC5B13" w:rsidP="00C34B23">
      <w:pPr>
        <w:spacing w:line="269" w:lineRule="auto"/>
        <w:rPr>
          <w:rFonts w:eastAsia="Calibri"/>
          <w:rtl/>
        </w:rPr>
      </w:pPr>
      <w:r w:rsidRPr="00DC5B13">
        <w:rPr>
          <w:rFonts w:eastAsia="Calibri" w:hint="cs"/>
          <w:rtl/>
        </w:rPr>
        <w:t>מינהל התכנון מסר בתשובתו למשרד מבקר המדינה ממרץ 2026 כי אחד מיעדיו הוא קידום יחידות דיור בדגש על התחדשות עירונית ועירוניות איכותית. נוכח</w:t>
      </w:r>
      <w:r w:rsidRPr="00DC5B13">
        <w:rPr>
          <w:rFonts w:eastAsia="Calibri"/>
          <w:rtl/>
        </w:rPr>
        <w:t xml:space="preserve"> קצב גידול האוכלוסייה והימשכות משבר הדיור, </w:t>
      </w:r>
      <w:r w:rsidRPr="00DC5B13">
        <w:rPr>
          <w:rFonts w:eastAsia="Calibri" w:hint="cs"/>
          <w:rtl/>
        </w:rPr>
        <w:t>חשוב</w:t>
      </w:r>
      <w:r w:rsidRPr="00DC5B13">
        <w:rPr>
          <w:rFonts w:eastAsia="Calibri"/>
          <w:rtl/>
        </w:rPr>
        <w:t xml:space="preserve"> להמש</w:t>
      </w:r>
      <w:r w:rsidRPr="00DC5B13">
        <w:rPr>
          <w:rFonts w:eastAsia="Calibri" w:hint="cs"/>
          <w:rtl/>
        </w:rPr>
        <w:t>י</w:t>
      </w:r>
      <w:r w:rsidRPr="00DC5B13">
        <w:rPr>
          <w:rFonts w:eastAsia="Calibri"/>
          <w:rtl/>
        </w:rPr>
        <w:t>ך</w:t>
      </w:r>
      <w:r w:rsidRPr="00DC5B13">
        <w:rPr>
          <w:rFonts w:eastAsia="Calibri" w:hint="cs"/>
          <w:rtl/>
        </w:rPr>
        <w:t xml:space="preserve"> להקפיד</w:t>
      </w:r>
      <w:r w:rsidRPr="00DC5B13">
        <w:rPr>
          <w:rFonts w:eastAsia="Calibri"/>
          <w:rtl/>
        </w:rPr>
        <w:t xml:space="preserve"> על קיום מלאי יחידות דיור מתוכננות. לאור זאת, מינהל התכנון יפעל</w:t>
      </w:r>
      <w:r w:rsidRPr="00DC5B13">
        <w:rPr>
          <w:rFonts w:eastAsia="Calibri" w:hint="cs"/>
          <w:rtl/>
        </w:rPr>
        <w:t xml:space="preserve"> ליזום ולאשר </w:t>
      </w:r>
      <w:r w:rsidRPr="00DC5B13">
        <w:rPr>
          <w:rFonts w:eastAsia="Calibri"/>
          <w:rtl/>
        </w:rPr>
        <w:t>יח"ד בתכנון מפורט, תוך התחשבות בצ</w:t>
      </w:r>
      <w:r w:rsidRPr="00DC5B13">
        <w:rPr>
          <w:rFonts w:eastAsia="Calibri" w:hint="cs"/>
          <w:rtl/>
        </w:rPr>
        <w:t>ו</w:t>
      </w:r>
      <w:r w:rsidRPr="00DC5B13">
        <w:rPr>
          <w:rFonts w:eastAsia="Calibri"/>
          <w:rtl/>
        </w:rPr>
        <w:t>רכי האוכלוסייה</w:t>
      </w:r>
      <w:r w:rsidRPr="00DC5B13">
        <w:rPr>
          <w:rFonts w:eastAsia="Calibri" w:hint="cs"/>
          <w:rtl/>
        </w:rPr>
        <w:t xml:space="preserve"> </w:t>
      </w:r>
      <w:r w:rsidRPr="00DC5B13">
        <w:rPr>
          <w:rFonts w:eastAsia="Calibri"/>
          <w:rtl/>
        </w:rPr>
        <w:t xml:space="preserve">המגוונת ומתן דגש על קידום התחדשות עירונית, אשר </w:t>
      </w:r>
      <w:r w:rsidRPr="00DC5B13">
        <w:rPr>
          <w:rFonts w:eastAsia="Calibri" w:hint="cs"/>
          <w:rtl/>
        </w:rPr>
        <w:t>משמשת</w:t>
      </w:r>
      <w:r w:rsidRPr="00DC5B13">
        <w:rPr>
          <w:rFonts w:eastAsia="Calibri"/>
          <w:rtl/>
        </w:rPr>
        <w:t xml:space="preserve"> הזדמנות</w:t>
      </w:r>
      <w:r w:rsidRPr="00DC5B13">
        <w:rPr>
          <w:rFonts w:eastAsia="Calibri" w:hint="cs"/>
          <w:rtl/>
        </w:rPr>
        <w:t xml:space="preserve"> </w:t>
      </w:r>
      <w:r w:rsidRPr="00DC5B13">
        <w:rPr>
          <w:rFonts w:eastAsia="Calibri"/>
          <w:rtl/>
        </w:rPr>
        <w:t>לחידוש העיר והמרחב הציבורי, להעלאת הצפיפות, להרחבת היצע</w:t>
      </w:r>
      <w:r w:rsidRPr="00DC5B13">
        <w:rPr>
          <w:rFonts w:eastAsia="Calibri" w:hint="cs"/>
          <w:rtl/>
        </w:rPr>
        <w:t xml:space="preserve"> </w:t>
      </w:r>
      <w:r w:rsidRPr="00DC5B13">
        <w:rPr>
          <w:rFonts w:eastAsia="Calibri"/>
          <w:rtl/>
        </w:rPr>
        <w:t>הדיור, לייעול השימוש בקרקע, לחידוש ו</w:t>
      </w:r>
      <w:r w:rsidRPr="00DC5B13">
        <w:rPr>
          <w:rFonts w:eastAsia="Calibri" w:hint="cs"/>
          <w:rtl/>
        </w:rPr>
        <w:t>ל</w:t>
      </w:r>
      <w:r w:rsidRPr="00DC5B13">
        <w:rPr>
          <w:rFonts w:eastAsia="Calibri"/>
          <w:rtl/>
        </w:rPr>
        <w:t xml:space="preserve">חיזוק </w:t>
      </w:r>
      <w:r w:rsidRPr="00DC5B13">
        <w:rPr>
          <w:rFonts w:eastAsia="Calibri" w:hint="cs"/>
          <w:rtl/>
        </w:rPr>
        <w:t xml:space="preserve">של </w:t>
      </w:r>
      <w:r w:rsidRPr="00DC5B13">
        <w:rPr>
          <w:rFonts w:eastAsia="Calibri"/>
          <w:rtl/>
        </w:rPr>
        <w:t xml:space="preserve">מבנים. לכן הארגון </w:t>
      </w:r>
      <w:r w:rsidRPr="00DC5B13">
        <w:rPr>
          <w:rFonts w:eastAsia="Calibri" w:hint="cs"/>
          <w:rtl/>
        </w:rPr>
        <w:t xml:space="preserve">שואף לשפר את </w:t>
      </w:r>
      <w:r w:rsidRPr="00DC5B13">
        <w:rPr>
          <w:rFonts w:eastAsia="Calibri"/>
          <w:rtl/>
        </w:rPr>
        <w:t>איכות התכנון בכלל ו</w:t>
      </w:r>
      <w:r w:rsidRPr="00DC5B13">
        <w:rPr>
          <w:rFonts w:eastAsia="Calibri" w:hint="cs"/>
          <w:rtl/>
        </w:rPr>
        <w:t xml:space="preserve">את איכות </w:t>
      </w:r>
      <w:r w:rsidRPr="00DC5B13">
        <w:rPr>
          <w:rFonts w:eastAsia="Calibri"/>
          <w:rtl/>
        </w:rPr>
        <w:t>התכנון העירוני בפרט</w:t>
      </w:r>
      <w:r w:rsidRPr="00DC5B13">
        <w:rPr>
          <w:rFonts w:eastAsia="Calibri" w:hint="cs"/>
          <w:rtl/>
        </w:rPr>
        <w:t>,</w:t>
      </w:r>
      <w:r w:rsidRPr="00DC5B13">
        <w:rPr>
          <w:rFonts w:eastAsia="Calibri"/>
          <w:rtl/>
        </w:rPr>
        <w:t xml:space="preserve"> באופן שימצה את מרב</w:t>
      </w:r>
      <w:r w:rsidRPr="00DC5B13">
        <w:rPr>
          <w:rFonts w:eastAsia="Calibri" w:hint="cs"/>
          <w:rtl/>
        </w:rPr>
        <w:t xml:space="preserve"> </w:t>
      </w:r>
      <w:r w:rsidRPr="00DC5B13">
        <w:rPr>
          <w:rFonts w:eastAsia="Calibri"/>
          <w:rtl/>
        </w:rPr>
        <w:t>התועלות מההתחדשות העירונית</w:t>
      </w:r>
      <w:r w:rsidRPr="00DC5B13">
        <w:rPr>
          <w:rFonts w:eastAsia="Calibri" w:hint="cs"/>
          <w:rtl/>
        </w:rPr>
        <w:t>.</w:t>
      </w:r>
    </w:p>
    <w:p w:rsidR="00C34B23" w:rsidRPr="00DC5B13" w:rsidP="00C34B23">
      <w:pPr>
        <w:spacing w:line="269" w:lineRule="auto"/>
        <w:rPr>
          <w:rFonts w:eastAsia="Calibri"/>
          <w:rtl/>
        </w:rPr>
      </w:pPr>
    </w:p>
    <w:p w:rsidR="00DC5B13" w:rsidRPr="00DC5B13" w:rsidP="00C34B23">
      <w:pPr>
        <w:keepNext/>
        <w:keepLines/>
        <w:spacing w:line="269" w:lineRule="auto"/>
        <w:outlineLvl w:val="3"/>
        <w:rPr>
          <w:rFonts w:eastAsia="Times New Roman"/>
          <w:bCs/>
          <w:szCs w:val="26"/>
          <w:rtl/>
        </w:rPr>
      </w:pPr>
      <w:r w:rsidRPr="00DC5B13">
        <w:rPr>
          <w:rFonts w:eastAsia="Times New Roman"/>
          <w:bCs/>
          <w:szCs w:val="26"/>
          <w:rtl/>
        </w:rPr>
        <w:t>רשות מקרקעי ישראל</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רשות מקרקעי ישראל (רמ"י) היא הגוף האחראי לניהול המקרקעין של המדינה, של רשות הפיתוח ושל קרן קיימת לישראל</w:t>
      </w:r>
      <w:r w:rsidRPr="00DC5B13">
        <w:rPr>
          <w:rFonts w:eastAsia="Calibri" w:hint="cs"/>
          <w:rtl/>
        </w:rPr>
        <w:t xml:space="preserve"> ולפיכך</w:t>
      </w:r>
      <w:r w:rsidRPr="00DC5B13">
        <w:rPr>
          <w:rFonts w:eastAsia="Calibri"/>
          <w:rtl/>
        </w:rPr>
        <w:t xml:space="preserve"> מנהלת את מרבית הקרקעות שבשטחה של מדינת ישראל</w:t>
      </w:r>
      <w:r w:rsidRPr="00DC5B13">
        <w:rPr>
          <w:rFonts w:eastAsia="Calibri"/>
        </w:rPr>
        <w:t>.</w:t>
      </w:r>
      <w:r w:rsidRPr="00DC5B13">
        <w:rPr>
          <w:rFonts w:eastAsia="Calibri"/>
          <w:rtl/>
        </w:rPr>
        <w:t xml:space="preserve"> תפקידי הרשות הוגדרו בחוק רשות מקרקעי ישראל, התש"ך-1960, ובין מטרותיה המרכזיות ניתן למנות את ניהול המקרקעין כמשאב לצורכי פיתוח המדינה, שמירה על עתודות הקרקע לצורכי ציבור וקידום התחרות בשוק המקרקעין כדי למנוע ריכוזיות. הרשות פועלת בין היתר להקצאת קרקע לצורכי מגורים, תעסוקה, דיור ציבורי ושטחים פתוחים; לשמירה על זכויותיהם של הבעלים במקרקעי ישראל ולקידום רישום הזכויות במקרקעין. במועצת מקרקעי ישראל מכהנים נציגי הממשלה ונציגים של קרן קיימת לישראל, והיא קובעת את המדיניות שלפיה ינוהלו קרקעות הרשות, מפקחת על פעילותה של הרשות ומאשרת את תקציביה.</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בהחלטת ההנהלה של רמ"י משנת 2020 בנושא קריטריונים למתן הרשאות לתכנון מתחמי התחדשות עירונית</w:t>
      </w:r>
      <w:r>
        <w:rPr>
          <w:rFonts w:eastAsia="Calibri"/>
          <w:vertAlign w:val="superscript"/>
          <w:rtl/>
        </w:rPr>
        <w:footnoteReference w:id="25"/>
      </w:r>
      <w:r w:rsidRPr="00DC5B13">
        <w:rPr>
          <w:rFonts w:eastAsia="Calibri"/>
          <w:rtl/>
        </w:rPr>
        <w:t xml:space="preserve"> הוחלט, כי במסגרת מדיניות הקרקעות במדינה נדרש לייצר מלאי תכנוני לדיור ולתעסוקה בהתאם לצרכים העתידיים של האוכלוסייה הגדלה בישראל ולייעל את השימוש </w:t>
      </w:r>
      <w:r w:rsidRPr="00DC5B13">
        <w:rPr>
          <w:rFonts w:eastAsia="Calibri"/>
          <w:rtl/>
        </w:rPr>
        <w:t>במשאב הקרקע במקומות ובהיקפים הנדרשים על פי צורכי המשק. כמו כן הוחלט כי עקב המחסור בקרקע לבינוי במרכזי ערים, גדל הצורך הלאומי בקידום המימוש של מיזמי התחדשות עירונית באופן המאפשר ניצול מרבי ומיטבי של הקרקע, שדרוג המרחב הציבורי ושיפוץ וחידוש מבנים ותשתיות. העצמת ההתחדשות העירונית תתרום לחיזוק יישובים ותסייע להוריד את מחירי הדיור.</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עוד צוין בהחלטה כי ראוי שקידום תוכניות להתחדשות עירונית יהיה בד בבד עם קידום תוכניות בקרקעות פנויות חדשות כדי לחזק את האזורים הוותיקים ביישובים שבהם מקודמות תוכניות, וכי ככלל תפעל רמ"י לקידום תכנון ההתחדשות העירונית באזורים שבהם קיימת ישימות תכנונית וכלכלית להתחדשות עירונית וביישובים שבהם ההיצע התכנוני של ההתחדשות העירונית נמוך. לצוות הביקורת נמסר כי בהתנהלות השוטפת רמ"י מסייעת לקידום תוכניות של התחדשות עירונית באמצעות מימון תוכניות שמקדמת הרשות המקומית</w:t>
      </w:r>
      <w:r>
        <w:rPr>
          <w:rFonts w:eastAsia="Calibri"/>
          <w:vertAlign w:val="superscript"/>
          <w:rtl/>
        </w:rPr>
        <w:footnoteReference w:id="26"/>
      </w:r>
      <w:r w:rsidRPr="00DC5B13">
        <w:rPr>
          <w:rFonts w:eastAsia="Calibri"/>
          <w:rtl/>
        </w:rPr>
        <w:t xml:space="preserve">. </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 xml:space="preserve">סעיף 4(ב)(2) לחוק הרשות להתחדשות קובע כי הרשות </w:t>
      </w:r>
      <w:r w:rsidRPr="00DC5B13">
        <w:rPr>
          <w:rFonts w:eastAsia="Calibri" w:hint="cs"/>
          <w:rtl/>
        </w:rPr>
        <w:t xml:space="preserve">להתחדשות </w:t>
      </w:r>
      <w:r w:rsidRPr="00DC5B13">
        <w:rPr>
          <w:rFonts w:eastAsia="Calibri"/>
          <w:rtl/>
        </w:rPr>
        <w:t>רשאית להמליץ לרמ"י להקצות למיזמים להתחדשות עירונית קרקע נוספת על המקרקעין המיועדים לפינוי במסגרת מיזם להתחדשות עירונית לשם השגת כדאיות כלכלית באותם המיזמים או בשל שיקולי תכנון או שיקולים חברתיים (להלן - קרקע משלימה). ניתן להקצות קרקע משלימה למימוש מיזמי התחדשות עירונית באמצעות מכרז או בפטור ממכרז, ויישום התהליך נעשה בשיתוף פעולה בין רשות מקרקעי ישראל, הרשות להתחדשות עירונית והרשויות המקומיות.</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 xml:space="preserve">במיזמים להתחדשות עירונית שבהם הקרקעות מנוהלות על ידי רמ"י, הרשות נמנית עם בעלי העניין במיזם כבעלי הקרקעות האחרים, ולפיכך היא יכולה בין היתר להתנגד להקמת המיזם. </w:t>
      </w:r>
    </w:p>
    <w:p w:rsidR="00DC5B13" w:rsidRPr="00DC5B13" w:rsidP="00C34B23">
      <w:pPr>
        <w:spacing w:line="269" w:lineRule="auto"/>
        <w:ind w:left="-567"/>
        <w:rPr>
          <w:rFonts w:eastAsia="Calibri"/>
          <w:szCs w:val="20"/>
          <w:rtl/>
        </w:rPr>
      </w:pPr>
    </w:p>
    <w:p w:rsidR="00DC5B13" w:rsidP="00C34B23">
      <w:pPr>
        <w:spacing w:line="269" w:lineRule="auto"/>
        <w:rPr>
          <w:rFonts w:eastAsia="Calibri"/>
          <w:rtl/>
        </w:rPr>
      </w:pPr>
      <w:r w:rsidRPr="00DC5B13">
        <w:rPr>
          <w:rFonts w:eastAsia="Calibri" w:hint="cs"/>
          <w:rtl/>
        </w:rPr>
        <w:t xml:space="preserve">רשות מקרקעי ישראל מסרה בתשובתה למשרד מבקר המדינה מאפריל 2026 כי קרקע משלימה היא כלי בעל השפעות רחבות על משאב הקרקע הציבורית ועל השוק כולו, והשימוש בו מחייב בחינה זהירה, אחראית ומבוססת נתונים, ולכן הוא אינו מאפשר את קביעת גובה הסיוע כבר בשלב התכנון. עוד מסרה רמ"י כי היא מייחסת חשיבות רבה להצפת החסמים בתחום הקרקע המשלימה, שהיא כלי מרכזי לקידום מיזמי התחדשות עירונית, ובפרט במתחמים המאופיינים במורכבות כלכלית, שיתקשו להגיע לכדי מימוש בלעדי סיוע כאמור. הקצאת קרקעות משלימות נעשית בהתאם למסגרת נורמטיבית סדורה, הכוללת את הוראות חוק הרשות להתחדשות, החלטות מועצת רמ"י ונהליה. לטענת רמ"י, המסגרת הנורמטיבית נועדה להבטיח איזון בין הצורך בקידום ובהאצה של מיזמי התחדשות עירונית לבין החובה לשמור על אינטרס הציבור והצורך בשמירה על משאב הקרקעות הציבוריות, תוך שמירה על עקרונות של שוויון, צדק חלוקתי, שקיפות וניהול תקין. </w:t>
      </w:r>
    </w:p>
    <w:p w:rsidR="00C34B23" w:rsidRPr="00DC5B13" w:rsidP="00C34B23">
      <w:pPr>
        <w:spacing w:line="269" w:lineRule="auto"/>
        <w:rPr>
          <w:rFonts w:eastAsia="Calibri"/>
          <w:rtl/>
        </w:rPr>
      </w:pPr>
    </w:p>
    <w:p w:rsidR="00DC5B13" w:rsidRPr="00DC5B13" w:rsidP="00C34B23">
      <w:pPr>
        <w:keepNext/>
        <w:keepLines/>
        <w:spacing w:line="269" w:lineRule="auto"/>
        <w:outlineLvl w:val="3"/>
        <w:rPr>
          <w:rFonts w:eastAsia="Times New Roman"/>
          <w:bCs/>
          <w:szCs w:val="26"/>
          <w:rtl/>
        </w:rPr>
      </w:pPr>
      <w:r w:rsidRPr="00DC5B13">
        <w:rPr>
          <w:rFonts w:eastAsia="Times New Roman"/>
          <w:bCs/>
          <w:szCs w:val="26"/>
          <w:rtl/>
        </w:rPr>
        <w:t>הרשויות המקומיות</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 xml:space="preserve">תהליכי ההתחדשות מעמידים אתגרים רבים לפתחה של הרשות המקומית משום שיהיה עליה להתמודד עם תוצאותיהם לאורך שנים. שיתוף פעולה בין הרשויות המקומיות, היזמים ובעלי הדירות הכרחי לקידום המיזם ביעילות ובמהירות, והוא שעשוי להביא לידי הצלחתו. כאמור, לרשויות המקומיות ולוועדות התכנון והבנייה המקומיות שלצידן תפקיד מקיף ומרכזי בקידום ובניהול של תהליכי ההתחדשות העירונית בתחומן החל משלב הייזום והתכנון ועד לביצוע ולפיקוח. </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על פי הוראות חוק התכנון והבנייה</w:t>
      </w:r>
      <w:r w:rsidRPr="00DC5B13">
        <w:rPr>
          <w:rFonts w:eastAsia="Calibri" w:hint="cs"/>
          <w:rtl/>
        </w:rPr>
        <w:t>,</w:t>
      </w:r>
      <w:r w:rsidRPr="00DC5B13">
        <w:rPr>
          <w:rFonts w:eastAsia="Calibri"/>
          <w:rtl/>
        </w:rPr>
        <w:t xml:space="preserve"> ועדה מקומית תכין תוכנית כוללת להתחדשות עירונית, כלומר תוכנית מתאר מקומית החלה על כל השטח של מרחב התכנון המקומי או על כל שטח היישוב שהתוכנית חלה בתחומו. התוכנית תכלול הוראות לעניין המתחמים והאזורים להתחדשות עירונית </w:t>
      </w:r>
      <w:r w:rsidRPr="00DC5B13">
        <w:rPr>
          <w:rFonts w:eastAsia="Calibri"/>
          <w:rtl/>
        </w:rPr>
        <w:t xml:space="preserve">והוראות לעניין חיזוק מבנים מפני רעידות אדמה. </w:t>
      </w:r>
      <w:r w:rsidRPr="00DC5B13">
        <w:rPr>
          <w:rFonts w:eastAsia="Calibri" w:hint="cs"/>
          <w:rtl/>
        </w:rPr>
        <w:t>כמו כן, הוועדה המקומית אחראית לאישור הבקשות להיתרי בנייה מכוחן של תוכניות מאושרות ולקביעת גובה היטל ההשבחה שייגבה.</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לרשות המקומית תפקיד חשוב בהגדרה ובקידום של מיזמים מסוג זה, וללא מעורבותה הפעילה יהיה קשה לממש את המיזמים</w:t>
      </w:r>
      <w:r>
        <w:rPr>
          <w:rFonts w:eastAsia="Calibri"/>
          <w:vertAlign w:val="superscript"/>
          <w:rtl/>
        </w:rPr>
        <w:footnoteReference w:id="27"/>
      </w:r>
      <w:r w:rsidRPr="00DC5B13">
        <w:rPr>
          <w:rFonts w:eastAsia="Calibri" w:hint="cs"/>
          <w:rtl/>
        </w:rPr>
        <w:t xml:space="preserve">, שכן </w:t>
      </w:r>
      <w:r w:rsidRPr="00DC5B13">
        <w:rPr>
          <w:rFonts w:eastAsia="Calibri"/>
          <w:rtl/>
        </w:rPr>
        <w:t xml:space="preserve">יש </w:t>
      </w:r>
      <w:r w:rsidRPr="00DC5B13">
        <w:rPr>
          <w:rFonts w:eastAsia="Calibri" w:hint="cs"/>
          <w:rtl/>
        </w:rPr>
        <w:t xml:space="preserve">לה </w:t>
      </w:r>
      <w:r w:rsidRPr="00DC5B13">
        <w:rPr>
          <w:rFonts w:eastAsia="Calibri"/>
          <w:rtl/>
        </w:rPr>
        <w:t>אינטרסים כלכליים וחברתיים בביצוע התחדשות עירונית בתחום שיפוטה. מיזמים אלה עשויים לשדרג את מראה העיר, לשפר את איכות החיים בשכונות הנחשלות, להפחית את העוני של תושביהן ולצמצם פערים חברתיים בין אוכלוסיות העיר. התמורות שיחוללו מיזמים אלה ישפיעו על פיתוח הרשות בטווח הארוך, והן כרוכות בהיטלי פיתוח, אשר עשויים להכניס כסף לקופת הרשות</w:t>
      </w:r>
      <w:r w:rsidRPr="00DC5B13">
        <w:rPr>
          <w:rFonts w:eastAsia="Calibri" w:hint="cs"/>
          <w:rtl/>
        </w:rPr>
        <w:t xml:space="preserve"> המקומית</w:t>
      </w:r>
      <w:r w:rsidRPr="00DC5B13">
        <w:rPr>
          <w:rFonts w:eastAsia="Calibri"/>
          <w:rtl/>
        </w:rPr>
        <w:t xml:space="preserve">. </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לצד היתרונות הרבים במיזמים להתחדשות עירונית יש גם אתגרים עבור הרשות המקומית ולכן יש רשויות המתנגדות לקידומם בעיר. למשל, המיזמים בעיר עלולים להוביל לצפיפות רבה במרכזי הערים, דבר העשוי להקשות את מתן השירותים ואת פתרונות התחבורה</w:t>
      </w:r>
      <w:r>
        <w:rPr>
          <w:rFonts w:eastAsia="Calibri"/>
          <w:vertAlign w:val="superscript"/>
          <w:rtl/>
        </w:rPr>
        <w:footnoteReference w:id="28"/>
      </w:r>
      <w:r w:rsidRPr="00DC5B13">
        <w:rPr>
          <w:rFonts w:eastAsia="Calibri"/>
          <w:rtl/>
        </w:rPr>
        <w:t>.</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rtl/>
        </w:rPr>
        <w:t xml:space="preserve">הרשות המקומית משתתפת בקידום התחדשות עירונית גם באמצעות </w:t>
      </w:r>
      <w:r w:rsidRPr="00DC5B13">
        <w:rPr>
          <w:rFonts w:eastAsia="Calibri" w:hint="cs"/>
          <w:rtl/>
        </w:rPr>
        <w:t>הפעלת</w:t>
      </w:r>
      <w:r w:rsidRPr="00DC5B13">
        <w:rPr>
          <w:rFonts w:eastAsia="Calibri"/>
          <w:rtl/>
        </w:rPr>
        <w:t xml:space="preserve"> מינהלת התחדשות עירונית, הפועלת להנגשה ולפרסום מידע וחומרי הסברה לתושבים, ליזמים ולבעלי מקצוע, בין השאר באמצעות כנסים. בכל מינהלת עירונית מועסק צוות עובדים הכולל מנהל המינהלת, בעל מקצוע מהתחום החברתי ובעל מקצוע מתחום התכנון (ראו להלן בפרק "הקמת מינהלות עירוניות להתחדשות עירונית ותפקידן").</w:t>
      </w:r>
    </w:p>
    <w:p w:rsidR="00DC5B13" w:rsidRPr="00DC5B13" w:rsidP="00C34B23">
      <w:pPr>
        <w:spacing w:line="269" w:lineRule="auto"/>
        <w:rPr>
          <w:rFonts w:eastAsia="Calibri"/>
          <w:rtl/>
        </w:rPr>
      </w:pPr>
    </w:p>
    <w:p w:rsidR="00DC5B13" w:rsidP="00C34B23">
      <w:pPr>
        <w:spacing w:line="269" w:lineRule="auto"/>
        <w:rPr>
          <w:rFonts w:eastAsia="Calibri"/>
          <w:rtl/>
        </w:rPr>
      </w:pPr>
      <w:r w:rsidRPr="00DC5B13">
        <w:rPr>
          <w:rFonts w:eastAsia="Calibri"/>
          <w:rtl/>
        </w:rPr>
        <w:t>לרשות המקומית תפקידים רבים בתכנון ובקידום ההתחדשות העירונית בתחומה והיא משמשת גורם מרכזי בהובלת התהליכים. בין היתר היא יוזמת ומתכננת תוכניות להתחדשות עירונית בתחומה, ועליה לוודא כי תכנון ההתחדשות שנעשה בידי גופים אחרים - ממשלתיים ופרטיים - יתאים למדיניות העירונית ולתוכניות המתאר להתחדשות העירונית או לתוכניות אחרות הרלוונטיות לנושא. הרשות המקומית היא גורם מקשר ומתווך בין גורמי התכנון השונים וכן בין היזם ובין התושבים, והיא עושה זאת תוך שמירה על האינטרסים הציבוריים של העיר ומסייעת בשמירה על זכויותיהם של תושביה.</w:t>
      </w:r>
    </w:p>
    <w:p w:rsidR="00C34B23" w:rsidRPr="00DC5B13" w:rsidP="00C34B23">
      <w:pPr>
        <w:spacing w:line="269" w:lineRule="auto"/>
        <w:rPr>
          <w:rFonts w:eastAsia="Calibri"/>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bCs/>
          <w:szCs w:val="28"/>
          <w:u w:val="single"/>
          <w:rtl/>
        </w:rPr>
        <w:t>מסלולים להתחדשות עירונית</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rtl/>
        </w:rPr>
        <w:t>התחדשות עירונית ניתן לבצע בדרכים שונות ובהן הריסה ובנייה מחדש וכן תוספת יחידות דיור ליחידות הקיימות בבניין, תוך חיזוקו:</w:t>
      </w:r>
    </w:p>
    <w:p w:rsidR="00C34B23" w:rsidRPr="00DC5B13" w:rsidP="00C34B23">
      <w:pPr>
        <w:spacing w:line="269" w:lineRule="auto"/>
        <w:rPr>
          <w:rFonts w:eastAsia="Calibri"/>
          <w:rtl/>
        </w:rPr>
      </w:pPr>
    </w:p>
    <w:p w:rsidR="00DC5B13" w:rsidRPr="00DC5B13" w:rsidP="00C34B23">
      <w:pPr>
        <w:keepNext/>
        <w:keepLines/>
        <w:spacing w:line="269" w:lineRule="auto"/>
        <w:outlineLvl w:val="3"/>
        <w:rPr>
          <w:rFonts w:eastAsia="Times New Roman"/>
          <w:bCs/>
          <w:szCs w:val="26"/>
          <w:rtl/>
        </w:rPr>
      </w:pPr>
      <w:r w:rsidRPr="00DC5B13">
        <w:rPr>
          <w:rFonts w:eastAsia="Times New Roman"/>
          <w:bCs/>
          <w:szCs w:val="26"/>
          <w:rtl/>
        </w:rPr>
        <w:t xml:space="preserve">פינוי-בינוי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rtl/>
        </w:rPr>
        <w:t>פינוי-בינוי הוא אחת הדרכים המרכזיות לביצוע התחדשות עירונית, והתהליך חל על מתחם הכולל כמה מבנים ו</w:t>
      </w:r>
      <w:r w:rsidRPr="00DC5B13">
        <w:rPr>
          <w:rFonts w:eastAsia="Calibri" w:hint="cs"/>
          <w:rtl/>
        </w:rPr>
        <w:t xml:space="preserve">לעיתים גם </w:t>
      </w:r>
      <w:r w:rsidRPr="00DC5B13">
        <w:rPr>
          <w:rFonts w:eastAsia="Calibri"/>
          <w:rtl/>
        </w:rPr>
        <w:t>שטחים ציבוריים המיועדים לחידוש. בפינוי-בינוי נעשית הריסה של מבנים ישנים כדי להקים במקומם בניינים חדשים. מימוש המיזם מצריך הכנה ואישור של תוכנית מפורטת המוסיפה זכויות בנייה, ולאחר מכן הוצאת היתר בנייה על פי התוכנית. התהליך של פינוי-בינוי מתנהל בשני מסלולים:</w:t>
      </w:r>
    </w:p>
    <w:p w:rsidR="00DC5B13" w:rsidRPr="00DC5B13" w:rsidP="00C34B23">
      <w:pPr>
        <w:spacing w:line="269" w:lineRule="auto"/>
        <w:rPr>
          <w:rFonts w:eastAsia="Calibri"/>
          <w:rtl/>
        </w:rPr>
      </w:pPr>
    </w:p>
    <w:p w:rsidR="00DC5B13" w:rsidRPr="00DC5B13" w:rsidP="00C34B23">
      <w:pPr>
        <w:numPr>
          <w:ilvl w:val="0"/>
          <w:numId w:val="14"/>
        </w:numPr>
        <w:spacing w:line="269" w:lineRule="auto"/>
        <w:ind w:left="360"/>
        <w:contextualSpacing/>
        <w:rPr>
          <w:rFonts w:eastAsia="Calibri"/>
          <w:rtl/>
        </w:rPr>
      </w:pPr>
      <w:r w:rsidRPr="00DC5B13">
        <w:rPr>
          <w:rFonts w:eastAsia="Times New Roman"/>
          <w:bCs/>
          <w:spacing w:val="40"/>
          <w:rtl/>
        </w:rPr>
        <w:t>מסלול רשויות מקומיות:</w:t>
      </w:r>
      <w:r w:rsidRPr="00DC5B13">
        <w:rPr>
          <w:rFonts w:eastAsia="Calibri"/>
          <w:rtl/>
        </w:rPr>
        <w:t xml:space="preserve"> במסלול זה הרשות המקומית היא הגורם המרכזי המוביל את המיזם, היא מקדמת את התכנון למתחם ופועלת לארגון הדיירים כדי לעודד אותם להשתתפות פעילה בתהליך. הרשות המקומית מקבלת תמיכה ומימון מהרשות הממשלתית להתחדשות עירונית. הבקשה למסלול רשויות מקומיות מוגשת לשר הבינוי והשיכון, והוא שמכריז על המתחם כ"מתחם פינוי-בינוי". נוסף על מימון הפעילויות האמורות, ההכרזה על המתחם מקנה גם הטבות מס שונות.</w:t>
      </w:r>
    </w:p>
    <w:p w:rsidR="00DC5B13" w:rsidP="00C34B23">
      <w:pPr>
        <w:spacing w:line="269" w:lineRule="auto"/>
        <w:ind w:left="312"/>
        <w:rPr>
          <w:rFonts w:eastAsia="Calibri"/>
          <w:rtl/>
        </w:rPr>
      </w:pPr>
      <w:r w:rsidRPr="00DC5B13">
        <w:rPr>
          <w:rFonts w:eastAsia="Calibri"/>
          <w:rtl/>
        </w:rPr>
        <w:t>הרשויות המקומיות שבתחומן מקודמות תוכניות להתחדשות עירונית ממלאות תפקיד מרכזי ומהותי בתהליך, שכן הן אחראיות למתן השירותים לתושבים הקיימים ולתושבים החדשים העתידים להתיישב בתחומן. לרשויות השפעה ניכרת על הצלחת המיזמים, וביכולתן להבטיח כי הבנייה החדשה תתואם ותשתלב באופן מיטבי עם מערכות התשתית העירוניות, לרבות התשתיות כגון מערכות המים והביוב, מקומות החניה וכן מוסדות הציבור, החינוך והקהילה.</w:t>
      </w:r>
    </w:p>
    <w:p w:rsidR="00037943" w:rsidRPr="00DC5B13" w:rsidP="00C34B23">
      <w:pPr>
        <w:spacing w:line="269" w:lineRule="auto"/>
        <w:ind w:left="312"/>
        <w:rPr>
          <w:rFonts w:eastAsia="Calibri"/>
        </w:rPr>
      </w:pPr>
    </w:p>
    <w:p w:rsidR="00DC5B13" w:rsidRPr="00DC5B13" w:rsidP="00C34B23">
      <w:pPr>
        <w:keepNext/>
        <w:keepLines/>
        <w:spacing w:line="269" w:lineRule="auto"/>
        <w:jc w:val="center"/>
        <w:rPr>
          <w:rFonts w:eastAsia="Calibri"/>
          <w:b/>
          <w:bCs/>
          <w:rtl/>
        </w:rPr>
      </w:pPr>
      <w:r w:rsidRPr="00DC5B13">
        <w:rPr>
          <w:rFonts w:eastAsia="Calibri"/>
          <w:b/>
          <w:bCs/>
          <w:noProof/>
          <w:rtl/>
          <w:lang w:val="he-IL"/>
        </w:rPr>
        <w:drawing>
          <wp:anchor distT="0" distB="0" distL="114300" distR="114300" simplePos="0" relativeHeight="251683840" behindDoc="0" locked="0" layoutInCell="1" allowOverlap="1">
            <wp:simplePos x="0" y="0"/>
            <wp:positionH relativeFrom="column">
              <wp:posOffset>635</wp:posOffset>
            </wp:positionH>
            <wp:positionV relativeFrom="paragraph">
              <wp:posOffset>203835</wp:posOffset>
            </wp:positionV>
            <wp:extent cx="5219700" cy="3801110"/>
            <wp:effectExtent l="0" t="0" r="0" b="0"/>
            <wp:wrapTopAndBottom/>
            <wp:docPr id="41" name="תמונה 41" descr="תרשים המציג את שלבי קידום מיזם במסלול רשויות, כמתואר בשתי הפסקאות ש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801110"/>
                    </a:xfrm>
                    <a:prstGeom prst="rect">
                      <a:avLst/>
                    </a:prstGeom>
                    <a:noFill/>
                  </pic:spPr>
                </pic:pic>
              </a:graphicData>
            </a:graphic>
            <wp14:sizeRelH relativeFrom="page">
              <wp14:pctWidth>0</wp14:pctWidth>
            </wp14:sizeRelH>
            <wp14:sizeRelV relativeFrom="page">
              <wp14:pctHeight>0</wp14:pctHeight>
            </wp14:sizeRelV>
          </wp:anchor>
        </w:drawing>
      </w:r>
      <w:r w:rsidRPr="00DC5B13">
        <w:rPr>
          <w:rFonts w:ascii="David" w:eastAsia="Calibri" w:hAnsi="David"/>
          <w:sz w:val="24"/>
          <w:rtl/>
        </w:rPr>
        <w:t xml:space="preserve">תרשים </w:t>
      </w:r>
      <w:r w:rsidRPr="00DC5B13">
        <w:rPr>
          <w:rFonts w:ascii="David" w:eastAsia="Calibri" w:hAnsi="David" w:hint="cs"/>
          <w:sz w:val="24"/>
          <w:rtl/>
        </w:rPr>
        <w:t>6</w:t>
      </w:r>
      <w:r w:rsidRPr="00DC5B13">
        <w:rPr>
          <w:rFonts w:ascii="David" w:eastAsia="Calibri" w:hAnsi="David"/>
          <w:sz w:val="24"/>
          <w:rtl/>
        </w:rPr>
        <w:t>:</w:t>
      </w:r>
      <w:r w:rsidRPr="00DC5B13">
        <w:rPr>
          <w:rFonts w:eastAsia="Calibri"/>
          <w:b/>
          <w:bCs/>
          <w:rtl/>
        </w:rPr>
        <w:t xml:space="preserve"> השלבים העיקריים </w:t>
      </w:r>
      <w:r w:rsidRPr="00DC5B13">
        <w:rPr>
          <w:rFonts w:eastAsia="Calibri" w:hint="cs"/>
          <w:b/>
          <w:bCs/>
          <w:rtl/>
        </w:rPr>
        <w:t>במסלול רשויות</w:t>
      </w:r>
    </w:p>
    <w:p w:rsidR="00DC5B13" w:rsidRPr="00DC5B13" w:rsidP="00C34B23">
      <w:pPr>
        <w:spacing w:line="269" w:lineRule="auto"/>
        <w:rPr>
          <w:rFonts w:eastAsia="Times New Roman"/>
          <w:bCs/>
          <w:szCs w:val="26"/>
          <w:rtl/>
        </w:rPr>
      </w:pPr>
      <w:r w:rsidRPr="00DC5B13">
        <w:rPr>
          <w:rFonts w:eastAsia="Calibri"/>
          <w:szCs w:val="20"/>
          <w:rtl/>
        </w:rPr>
        <w:t>על פי דוח התחדשות עירונית לשנת 2024, בעיבוד משרד מבקר המדינה.</w:t>
      </w:r>
    </w:p>
    <w:p w:rsidR="00DC5B13" w:rsidRPr="00DC5B13" w:rsidP="00C34B23">
      <w:pPr>
        <w:spacing w:line="269" w:lineRule="auto"/>
        <w:rPr>
          <w:rFonts w:eastAsia="Times New Roman"/>
          <w:bCs/>
          <w:szCs w:val="26"/>
          <w:rtl/>
        </w:rPr>
      </w:pPr>
    </w:p>
    <w:p w:rsidR="00DC5B13" w:rsidRPr="00DC5B13" w:rsidP="00C34B23">
      <w:pPr>
        <w:numPr>
          <w:ilvl w:val="0"/>
          <w:numId w:val="14"/>
        </w:numPr>
        <w:spacing w:line="269" w:lineRule="auto"/>
        <w:ind w:left="360"/>
        <w:contextualSpacing/>
        <w:rPr>
          <w:rFonts w:eastAsia="Calibri"/>
        </w:rPr>
      </w:pPr>
      <w:r w:rsidRPr="00DC5B13">
        <w:rPr>
          <w:rFonts w:eastAsia="Times New Roman"/>
          <w:bCs/>
          <w:spacing w:val="40"/>
          <w:rtl/>
        </w:rPr>
        <w:t>מסלול יזמים:</w:t>
      </w:r>
      <w:r w:rsidRPr="00DC5B13">
        <w:rPr>
          <w:rFonts w:eastAsia="Calibri"/>
          <w:rtl/>
        </w:rPr>
        <w:t xml:space="preserve"> מסלול זה </w:t>
      </w:r>
      <w:r w:rsidRPr="00DC5B13">
        <w:rPr>
          <w:rFonts w:eastAsia="Calibri" w:hint="cs"/>
          <w:rtl/>
        </w:rPr>
        <w:t xml:space="preserve">(המוכר גם בשם מסלול מיסוי) </w:t>
      </w:r>
      <w:r w:rsidRPr="00DC5B13">
        <w:rPr>
          <w:rFonts w:eastAsia="Calibri"/>
          <w:rtl/>
        </w:rPr>
        <w:t xml:space="preserve">מעודד קידום של התחדשות עירונית באמצעות גורמים פרטיים כגון יזמים ובעלי דירות, המשתפים פעולה לצורך קידום התוכניות ומימושן. הכרזה על מתחם כ"מתחם פינוי-בינוי" מזכה את בעלי הדירות במתחם בהטבות מס שונות שנועדו לסייע בביצוע המיזם ובהבטחת היתכנותו הכלכלית. לצורך הכרזה על מתחם כמתחם פינוי-בינוי במסלול זה נדרשים גם הסכמים חתומים בין היזם לבעלי הדירות, לכל הפחות בשיעור הקבוע בחוק עידוד מיזמי פינוי ובינוי. היזמים משמשים כגורם המבצע של המיזמים להתחדשות העירונית. מימוש המיזם מחייב כדאיות כלכלית עבור היזם, וזהו תנאי מרכזי להוצאתו לפועל. </w:t>
      </w:r>
    </w:p>
    <w:p w:rsidR="00DC5B13" w:rsidRPr="00DC5B13" w:rsidP="00C34B23">
      <w:pPr>
        <w:keepNext/>
        <w:keepLines/>
        <w:spacing w:line="269" w:lineRule="auto"/>
        <w:jc w:val="center"/>
        <w:rPr>
          <w:rFonts w:eastAsia="Calibri"/>
          <w:b/>
          <w:bCs/>
          <w:rtl/>
        </w:rPr>
      </w:pPr>
      <w:r w:rsidRPr="00DC5B13">
        <w:rPr>
          <w:rFonts w:eastAsia="Calibri"/>
          <w:noProof/>
          <w:rtl/>
          <w:lang w:val="he-IL"/>
        </w:rPr>
        <w:drawing>
          <wp:anchor distT="0" distB="0" distL="114300" distR="114300" simplePos="0" relativeHeight="251682816" behindDoc="0" locked="0" layoutInCell="1" allowOverlap="1">
            <wp:simplePos x="0" y="0"/>
            <wp:positionH relativeFrom="column">
              <wp:posOffset>635</wp:posOffset>
            </wp:positionH>
            <wp:positionV relativeFrom="paragraph">
              <wp:posOffset>194310</wp:posOffset>
            </wp:positionV>
            <wp:extent cx="5219700" cy="3923665"/>
            <wp:effectExtent l="0" t="0" r="0" b="0"/>
            <wp:wrapTopAndBottom/>
            <wp:docPr id="42" name="תמונה 42" descr="תרשים המציג את שלבי קידום מיזם במסלול יזמים, כמתואר בשתי הפסקאות ש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923665"/>
                    </a:xfrm>
                    <a:prstGeom prst="rect">
                      <a:avLst/>
                    </a:prstGeom>
                    <a:noFill/>
                  </pic:spPr>
                </pic:pic>
              </a:graphicData>
            </a:graphic>
            <wp14:sizeRelH relativeFrom="page">
              <wp14:pctWidth>0</wp14:pctWidth>
            </wp14:sizeRelH>
            <wp14:sizeRelV relativeFrom="page">
              <wp14:pctHeight>0</wp14:pctHeight>
            </wp14:sizeRelV>
          </wp:anchor>
        </w:drawing>
      </w:r>
      <w:r w:rsidRPr="00DC5B13">
        <w:rPr>
          <w:rFonts w:ascii="David" w:eastAsia="Calibri" w:hAnsi="David"/>
          <w:sz w:val="24"/>
          <w:rtl/>
        </w:rPr>
        <w:t>תרשים</w:t>
      </w:r>
      <w:r w:rsidRPr="00DC5B13">
        <w:rPr>
          <w:rFonts w:ascii="David" w:eastAsia="Calibri" w:hAnsi="David"/>
          <w:sz w:val="24"/>
        </w:rPr>
        <w:t xml:space="preserve">7 </w:t>
      </w:r>
      <w:r w:rsidRPr="00DC5B13">
        <w:rPr>
          <w:rFonts w:ascii="David" w:eastAsia="Calibri" w:hAnsi="David"/>
          <w:sz w:val="24"/>
          <w:rtl/>
        </w:rPr>
        <w:t>:</w:t>
      </w:r>
      <w:r w:rsidRPr="00DC5B13">
        <w:rPr>
          <w:rFonts w:eastAsia="Calibri"/>
          <w:rtl/>
        </w:rPr>
        <w:t xml:space="preserve"> </w:t>
      </w:r>
      <w:r w:rsidRPr="00DC5B13">
        <w:rPr>
          <w:rFonts w:eastAsia="Calibri"/>
          <w:b/>
          <w:bCs/>
          <w:rtl/>
        </w:rPr>
        <w:t xml:space="preserve">השלבים העיקריים במסלול </w:t>
      </w:r>
      <w:r w:rsidRPr="00DC5B13">
        <w:rPr>
          <w:rFonts w:eastAsia="Calibri" w:hint="cs"/>
          <w:b/>
          <w:bCs/>
          <w:rtl/>
        </w:rPr>
        <w:t>יזמים</w:t>
      </w:r>
    </w:p>
    <w:p w:rsidR="00DC5B13" w:rsidRPr="00DC5B13" w:rsidP="00C34B23">
      <w:pPr>
        <w:spacing w:line="269" w:lineRule="auto"/>
        <w:rPr>
          <w:rFonts w:eastAsia="Calibri"/>
          <w:szCs w:val="20"/>
          <w:rtl/>
        </w:rPr>
      </w:pPr>
      <w:r w:rsidRPr="00DC5B13">
        <w:rPr>
          <w:rFonts w:eastAsia="Calibri"/>
          <w:szCs w:val="20"/>
          <w:rtl/>
        </w:rPr>
        <w:t>על פי דוח התחדשות עירונית לשנת 2024, בעיבוד משרד מבקר המדינה.</w:t>
      </w:r>
    </w:p>
    <w:p w:rsidR="00DC5B13" w:rsidRPr="00DC5B13" w:rsidP="00C34B23">
      <w:pPr>
        <w:spacing w:line="269" w:lineRule="auto"/>
        <w:rPr>
          <w:rFonts w:eastAsia="Calibri"/>
          <w:szCs w:val="20"/>
          <w:rtl/>
        </w:rPr>
      </w:pPr>
      <w:r w:rsidRPr="00DC5B13">
        <w:rPr>
          <w:rFonts w:eastAsia="Calibri" w:hint="cs"/>
          <w:szCs w:val="20"/>
          <w:rtl/>
        </w:rPr>
        <w:t xml:space="preserve">* </w:t>
      </w:r>
      <w:r w:rsidRPr="00DC5B13">
        <w:rPr>
          <w:rFonts w:eastAsia="Calibri"/>
          <w:szCs w:val="20"/>
          <w:rtl/>
        </w:rPr>
        <w:t>התנאים מאפשרים הכרזה קודם לאישור התוכנית בשלב הפקדתה להתנגדויות</w:t>
      </w:r>
      <w:r w:rsidRPr="00DC5B13">
        <w:rPr>
          <w:rFonts w:eastAsia="Calibri" w:hint="cs"/>
          <w:szCs w:val="20"/>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rtl/>
        </w:rPr>
        <w:t>בשנת 2024 לבדה הוכרזו 23 מתחמים במסלול רשויות ו-81 מתחמים במסלול יזמים. בסוף שנת 2024 היו במדינה 210 מתחמי פינוי-בינוי מוכרזים במסלול רשויות מקומיות, ול-107 מתוכ</w:t>
      </w:r>
      <w:r w:rsidRPr="00DC5B13">
        <w:rPr>
          <w:rFonts w:eastAsia="Calibri" w:hint="cs"/>
          <w:rtl/>
        </w:rPr>
        <w:t>ם</w:t>
      </w:r>
      <w:r w:rsidRPr="00DC5B13">
        <w:rPr>
          <w:rFonts w:eastAsia="Calibri"/>
          <w:rtl/>
        </w:rPr>
        <w:t xml:space="preserve"> אושרו תוכניות מפורטות שניתן להוציא מכוחן היתרי בנייה, ו-103 תוכניות נמצאו בשלבי תכנון ואישור</w:t>
      </w:r>
      <w:r>
        <w:rPr>
          <w:rFonts w:eastAsia="Calibri"/>
          <w:vertAlign w:val="superscript"/>
          <w:rtl/>
        </w:rPr>
        <w:footnoteReference w:id="29"/>
      </w:r>
      <w:r w:rsidRPr="00DC5B13">
        <w:rPr>
          <w:rFonts w:eastAsia="Calibri"/>
          <w:rtl/>
        </w:rPr>
        <w:t xml:space="preserve">. עד סוף 2024 הוכרזו 256 מתחמים במסלול </w:t>
      </w:r>
      <w:r w:rsidRPr="00DC5B13">
        <w:rPr>
          <w:rFonts w:eastAsia="Calibri" w:hint="eastAsia"/>
          <w:rtl/>
        </w:rPr>
        <w:t>יזמים</w:t>
      </w:r>
      <w:r>
        <w:rPr>
          <w:rFonts w:eastAsia="Calibri"/>
          <w:vertAlign w:val="superscript"/>
          <w:rtl/>
        </w:rPr>
        <w:footnoteReference w:id="30"/>
      </w:r>
      <w:r w:rsidRPr="00DC5B13">
        <w:rPr>
          <w:rFonts w:eastAsia="Calibri"/>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Pr>
      </w:pPr>
      <w:r w:rsidRPr="00DC5B13">
        <w:rPr>
          <w:rFonts w:eastAsia="Calibri"/>
          <w:rtl/>
        </w:rPr>
        <w:t>הגורם המרכזי בקידום תוכניות התחדשות עירונית בישראל היה אגף ההתחדשות העירונית במשרד השיכון, ולאחר מכן החליפה אותו הרשות להתחדשות. תוכניות אלה קודמו במסלול הרשויות המקומיות ותקצובן לווה בהכרזה על המתחם כמתחם פינוי-בינוי באותו המסלול. בשנים האחרונות, לצד הרשות להתחדשות עירונית, החלו גופים ציבוריים נוספים - כמו רשות מקרקעי ישראל, משרד הבינוי והשיכון ומינהל התכנון - ליזום ולתקצב תוכניות התחדשות עירונית, אך לא תמיד במסלול הרשויות המקומיות</w:t>
      </w:r>
      <w:r>
        <w:rPr>
          <w:rFonts w:eastAsia="Calibri"/>
          <w:vertAlign w:val="superscript"/>
          <w:rtl/>
        </w:rPr>
        <w:footnoteReference w:id="31"/>
      </w:r>
      <w:r w:rsidRPr="00DC5B13">
        <w:rPr>
          <w:rFonts w:eastAsia="Calibri"/>
          <w:rtl/>
        </w:rPr>
        <w:t xml:space="preserve">. </w:t>
      </w:r>
    </w:p>
    <w:p w:rsidR="00DC5B13" w:rsidRPr="00DC5B13" w:rsidP="00C34B23">
      <w:pPr>
        <w:bidi w:val="0"/>
        <w:spacing w:line="269" w:lineRule="auto"/>
        <w:rPr>
          <w:rFonts w:eastAsia="Calibri"/>
        </w:rPr>
      </w:pPr>
      <w:r w:rsidRPr="00DC5B13">
        <w:rPr>
          <w:rFonts w:eastAsia="Calibri"/>
        </w:rPr>
        <w:br w:type="page"/>
      </w:r>
    </w:p>
    <w:p w:rsidR="00DC5B13" w:rsidRPr="00DC5B13" w:rsidP="00C34B23">
      <w:pPr>
        <w:keepNext/>
        <w:keepLines/>
        <w:spacing w:line="269" w:lineRule="auto"/>
        <w:outlineLvl w:val="3"/>
        <w:rPr>
          <w:rFonts w:eastAsia="Times New Roman"/>
          <w:bCs/>
          <w:szCs w:val="26"/>
          <w:rtl/>
        </w:rPr>
      </w:pPr>
      <w:r w:rsidRPr="00DC5B13">
        <w:rPr>
          <w:rFonts w:eastAsia="Times New Roman"/>
          <w:bCs/>
          <w:szCs w:val="26"/>
          <w:rtl/>
        </w:rPr>
        <w:t>חיזוק המבנה מפני רעידות אדמה ותוספת בנייה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rtl/>
        </w:rPr>
        <w:t>תוכנית המתאר הארצית</w:t>
      </w:r>
      <w:r>
        <w:rPr>
          <w:rFonts w:eastAsia="Calibri"/>
          <w:vertAlign w:val="superscript"/>
          <w:rtl/>
        </w:rPr>
        <w:footnoteReference w:id="32"/>
      </w:r>
      <w:r w:rsidRPr="00DC5B13">
        <w:rPr>
          <w:rFonts w:eastAsia="Calibri"/>
          <w:rtl/>
        </w:rPr>
        <w:t xml:space="preserve"> לחיזוק מבנים קיימים בפני רעידות אדמה (להלן - תמ"א 38)</w:t>
      </w:r>
      <w:r>
        <w:rPr>
          <w:rFonts w:eastAsia="Calibri"/>
          <w:vertAlign w:val="superscript"/>
          <w:rtl/>
        </w:rPr>
        <w:footnoteReference w:id="33"/>
      </w:r>
      <w:r w:rsidRPr="00DC5B13">
        <w:rPr>
          <w:rFonts w:eastAsia="Calibri"/>
          <w:rtl/>
        </w:rPr>
        <w:t xml:space="preserve">, שנועדה לקבוע הסדרי תכנון כחלק ממכלול רחב של הסדרים כלכליים, חוקיים ואחרים לשיפור מבנים ולחיזוקם לצורך עמידותם בפני רעידות אדמה; לקבוע הנחיות לחיזוק מבנים קיימים כדי לשפר את עמידותם בפני רעידות אדמה - ולשם כך לזהות ולאפיין את סוגי המבנים שיש לחזק; לעודד חיזוק המבנים כאמור באמצעות תוספות </w:t>
      </w:r>
      <w:r w:rsidRPr="00DC5B13">
        <w:rPr>
          <w:rFonts w:eastAsia="Calibri" w:hint="cs"/>
          <w:rtl/>
        </w:rPr>
        <w:t xml:space="preserve">זכויות </w:t>
      </w:r>
      <w:r w:rsidRPr="00DC5B13">
        <w:rPr>
          <w:rFonts w:eastAsia="Calibri"/>
          <w:rtl/>
        </w:rPr>
        <w:t>בנייה</w:t>
      </w:r>
      <w:r w:rsidRPr="00DC5B13">
        <w:rPr>
          <w:rFonts w:eastAsia="Calibri" w:hint="cs"/>
          <w:rtl/>
        </w:rPr>
        <w:t xml:space="preserve"> ושדרוג תשתיות</w:t>
      </w:r>
      <w:r>
        <w:rPr>
          <w:rFonts w:eastAsia="Calibri"/>
          <w:vertAlign w:val="superscript"/>
          <w:rtl/>
        </w:rPr>
        <w:footnoteReference w:id="34"/>
      </w:r>
      <w:r w:rsidRPr="00DC5B13">
        <w:rPr>
          <w:rFonts w:eastAsia="Calibri"/>
          <w:rtl/>
        </w:rPr>
        <w:t>. התוכנית נועדה לתת מענה לחיזוק מבנים אשר</w:t>
      </w:r>
      <w:r w:rsidRPr="00DC5B13">
        <w:rPr>
          <w:rFonts w:eastAsia="Calibri" w:hint="cs"/>
          <w:rtl/>
        </w:rPr>
        <w:t xml:space="preserve"> </w:t>
      </w:r>
      <w:r w:rsidRPr="00DC5B13">
        <w:rPr>
          <w:rFonts w:eastAsia="Calibri"/>
          <w:rtl/>
        </w:rPr>
        <w:t>נבנו לפני חיוב עמידה בתקן לעמידות</w:t>
      </w:r>
      <w:r w:rsidRPr="00DC5B13">
        <w:rPr>
          <w:rFonts w:eastAsia="Calibri" w:hint="cs"/>
          <w:rtl/>
        </w:rPr>
        <w:t xml:space="preserve"> </w:t>
      </w:r>
      <w:r w:rsidRPr="00DC5B13">
        <w:rPr>
          <w:rFonts w:eastAsia="Calibri"/>
          <w:rtl/>
        </w:rPr>
        <w:t>מבנים בפני רעידות אדמה</w:t>
      </w:r>
      <w:r w:rsidRPr="00DC5B13">
        <w:rPr>
          <w:rFonts w:eastAsia="Calibri" w:hint="cs"/>
          <w:rtl/>
        </w:rPr>
        <w:t>,</w:t>
      </w:r>
      <w:r w:rsidRPr="00DC5B13">
        <w:rPr>
          <w:rFonts w:eastAsia="Calibri"/>
          <w:rtl/>
        </w:rPr>
        <w:t xml:space="preserve"> </w:t>
      </w:r>
      <w:r w:rsidRPr="00DC5B13">
        <w:rPr>
          <w:rFonts w:eastAsia="Calibri" w:hint="cs"/>
          <w:rtl/>
        </w:rPr>
        <w:t xml:space="preserve">ובהתאם לכך תחולתה על מבנים </w:t>
      </w:r>
      <w:r w:rsidRPr="00DC5B13">
        <w:rPr>
          <w:rFonts w:eastAsia="Calibri"/>
          <w:rtl/>
        </w:rPr>
        <w:t xml:space="preserve">שהוצא היתר לבנייתם לפני 1.1.1980. </w:t>
      </w:r>
      <w:r w:rsidRPr="00DC5B13">
        <w:rPr>
          <w:rFonts w:ascii="Rubik" w:eastAsia="Calibri" w:hAnsi="Rubik"/>
          <w:shd w:val="clear" w:color="auto" w:fill="FFFFFF"/>
          <w:rtl/>
        </w:rPr>
        <w:t>ככלל, תוקפה של תמ"א 38 פג ב-1.10.23, למעט לגבי ועדות מקומיות אשר קיבלו ארכה בהחלטות המועצה הארצית</w:t>
      </w:r>
      <w:r w:rsidRPr="00DC5B13">
        <w:rPr>
          <w:rFonts w:ascii="Rubik" w:eastAsia="Calibri" w:hAnsi="Rubik" w:hint="cs"/>
          <w:shd w:val="clear" w:color="auto" w:fill="FFFFFF"/>
          <w:rtl/>
        </w:rPr>
        <w:t xml:space="preserve"> </w:t>
      </w:r>
      <w:r w:rsidRPr="00DC5B13">
        <w:rPr>
          <w:rFonts w:ascii="Rubik" w:eastAsia="Calibri" w:hAnsi="Rubik"/>
          <w:shd w:val="clear" w:color="auto" w:fill="FFFFFF"/>
          <w:rtl/>
        </w:rPr>
        <w:t>לתכנון ולבני</w:t>
      </w:r>
      <w:r w:rsidRPr="00DC5B13">
        <w:rPr>
          <w:rFonts w:ascii="Rubik" w:eastAsia="Calibri" w:hAnsi="Rubik" w:hint="cs"/>
          <w:shd w:val="clear" w:color="auto" w:fill="FFFFFF"/>
          <w:rtl/>
        </w:rPr>
        <w:t>י</w:t>
      </w:r>
      <w:r w:rsidRPr="00DC5B13">
        <w:rPr>
          <w:rFonts w:ascii="Rubik" w:eastAsia="Calibri" w:hAnsi="Rubik"/>
          <w:shd w:val="clear" w:color="auto" w:fill="FFFFFF"/>
          <w:rtl/>
        </w:rPr>
        <w:t>ה</w:t>
      </w:r>
      <w:r w:rsidRPr="00DC5B13">
        <w:rPr>
          <w:rFonts w:ascii="Rubik" w:eastAsia="Calibri" w:hAnsi="Rubik" w:hint="cs"/>
          <w:shd w:val="clear" w:color="auto" w:fill="FFFFFF"/>
          <w:rtl/>
        </w:rPr>
        <w:t xml:space="preserve">, </w:t>
      </w:r>
      <w:r w:rsidRPr="00DC5B13">
        <w:rPr>
          <w:rFonts w:ascii="Rubik" w:eastAsia="Calibri" w:hAnsi="Rubik"/>
          <w:shd w:val="clear" w:color="auto" w:fill="FFFFFF"/>
          <w:rtl/>
        </w:rPr>
        <w:t xml:space="preserve">לכל המאוחר עד </w:t>
      </w:r>
      <w:r w:rsidRPr="00DC5B13">
        <w:rPr>
          <w:rFonts w:ascii="Rubik" w:eastAsia="Calibri" w:hAnsi="Rubik" w:hint="cs"/>
          <w:shd w:val="clear" w:color="auto" w:fill="FFFFFF"/>
          <w:rtl/>
        </w:rPr>
        <w:t>18.5.26.</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rtl/>
        </w:rPr>
        <w:t xml:space="preserve">התוכנית עוסקת בהרחבת מבנים קיימים ובשדרוגם, בעיקר בתוספות בנייה כמו תוספת קומות, חיזוק מבנים בפני רעידות אדמה ושדרוג התשתיות. מסלול אחד על פיה </w:t>
      </w:r>
      <w:r w:rsidRPr="00DC5B13">
        <w:rPr>
          <w:rFonts w:eastAsia="Calibri" w:hint="cs"/>
          <w:rtl/>
        </w:rPr>
        <w:t xml:space="preserve">הוא </w:t>
      </w:r>
      <w:r w:rsidRPr="00DC5B13">
        <w:rPr>
          <w:rFonts w:eastAsia="Calibri"/>
          <w:rtl/>
        </w:rPr>
        <w:t>שדרוג של המצב הקיים תוך שמירה על המבנה עצמו. מסלול נוסף של תמ"א הוא הריסת מבנה קיים ובנייתו מחדש (תמ"א 38/2). המיזמים חלים על בניינים יחידים</w:t>
      </w:r>
      <w:r w:rsidRPr="00DC5B13">
        <w:rPr>
          <w:rFonts w:eastAsia="Calibri" w:hint="cs"/>
          <w:rtl/>
        </w:rPr>
        <w:t xml:space="preserve"> ועל מגרשים</w:t>
      </w:r>
      <w:r w:rsidRPr="00DC5B13">
        <w:rPr>
          <w:rFonts w:eastAsia="Calibri"/>
          <w:rtl/>
        </w:rPr>
        <w:t>, והם מקודמים באמצעות הוצאת היתרים מתוקף התמ</w:t>
      </w:r>
      <w:r w:rsidRPr="00DC5B13">
        <w:rPr>
          <w:rFonts w:eastAsia="Calibri" w:hint="cs"/>
          <w:rtl/>
        </w:rPr>
        <w:t>"</w:t>
      </w:r>
      <w:r w:rsidRPr="00DC5B13">
        <w:rPr>
          <w:rFonts w:eastAsia="Calibri"/>
          <w:rtl/>
        </w:rPr>
        <w:t>א ללא צורך באישור</w:t>
      </w:r>
      <w:r w:rsidRPr="00DC5B13">
        <w:rPr>
          <w:rFonts w:eastAsia="Calibri" w:hint="cs"/>
          <w:rtl/>
        </w:rPr>
        <w:t xml:space="preserve"> </w:t>
      </w:r>
      <w:r w:rsidRPr="00DC5B13">
        <w:rPr>
          <w:rFonts w:eastAsia="Calibri"/>
          <w:rtl/>
        </w:rPr>
        <w:t>ת</w:t>
      </w:r>
      <w:r w:rsidRPr="00DC5B13">
        <w:rPr>
          <w:rFonts w:eastAsia="Calibri" w:hint="cs"/>
          <w:rtl/>
        </w:rPr>
        <w:t>ו</w:t>
      </w:r>
      <w:r w:rsidRPr="00DC5B13">
        <w:rPr>
          <w:rFonts w:eastAsia="Calibri"/>
          <w:rtl/>
        </w:rPr>
        <w:t>כנית מפורטת, ותוך בחינה מצומצמת של היבטי התכנון של הסביבה הגובלת בחלקה.</w:t>
      </w:r>
    </w:p>
    <w:p w:rsidR="00DC5B13" w:rsidRPr="00DC5B13" w:rsidP="00C34B23">
      <w:pPr>
        <w:spacing w:line="269" w:lineRule="auto"/>
        <w:rPr>
          <w:rFonts w:eastAsia="Calibri"/>
          <w:rtl/>
        </w:rPr>
      </w:pPr>
    </w:p>
    <w:p w:rsidR="00DC5B13" w:rsidP="00C34B23">
      <w:pPr>
        <w:spacing w:line="269" w:lineRule="auto"/>
        <w:rPr>
          <w:rFonts w:eastAsia="Times New Roman"/>
          <w:bCs/>
          <w:szCs w:val="28"/>
          <w:u w:val="single"/>
          <w:rtl/>
        </w:rPr>
      </w:pPr>
      <w:r w:rsidRPr="00DC5B13">
        <w:rPr>
          <w:rFonts w:eastAsia="Calibri"/>
          <w:rtl/>
        </w:rPr>
        <w:t xml:space="preserve">ביולי 2022 פורסם ברשומות תיקון 139 לחוק התכנון והבנייה </w:t>
      </w:r>
      <w:r w:rsidRPr="00DC5B13">
        <w:rPr>
          <w:rFonts w:eastAsia="Calibri" w:hint="cs"/>
          <w:rtl/>
        </w:rPr>
        <w:t xml:space="preserve">(שהיה </w:t>
      </w:r>
      <w:r w:rsidRPr="00DC5B13">
        <w:rPr>
          <w:rFonts w:eastAsia="Calibri"/>
          <w:rtl/>
        </w:rPr>
        <w:t>ידוע בשם "חלופת שקד"</w:t>
      </w:r>
      <w:r w:rsidRPr="00DC5B13">
        <w:rPr>
          <w:rFonts w:eastAsia="Calibri" w:hint="cs"/>
          <w:rtl/>
        </w:rPr>
        <w:t>)</w:t>
      </w:r>
      <w:r w:rsidRPr="00DC5B13">
        <w:rPr>
          <w:rFonts w:eastAsia="Calibri"/>
          <w:rtl/>
        </w:rPr>
        <w:t>, שנועד לשמש תחליף ישיר לתמ"א 38 באופן שיאפשר יותר התחשבות במרחב הציבורי. במסגרת התיקון הורחבו סמכויות הוועדות המקומיות והן הוסמכו לאשר תוכניות התחדשות עירונית לגבי מגרשים שבהם מבנים הטעונים חיזוק מפני רעידות אדמה בתחומן, במסלולי</w:t>
      </w:r>
      <w:r w:rsidRPr="00DC5B13">
        <w:rPr>
          <w:rFonts w:eastAsia="Calibri" w:hint="cs"/>
          <w:rtl/>
        </w:rPr>
        <w:t>ם של</w:t>
      </w:r>
      <w:r w:rsidRPr="00DC5B13">
        <w:rPr>
          <w:rFonts w:eastAsia="Calibri"/>
          <w:rtl/>
        </w:rPr>
        <w:t xml:space="preserve"> חיזוק מבנים קיימים או הריסתם ובנייתם מחדש, תוך הרחבת זכויות הבנייה וכן קביעת שטח ושימוש ציבורי במבני המגורים.</w:t>
      </w:r>
      <w:r w:rsidRPr="00DC5B13">
        <w:rPr>
          <w:rFonts w:eastAsia="Times New Roman" w:hint="cs"/>
          <w:bCs/>
          <w:szCs w:val="28"/>
          <w:u w:val="single"/>
          <w:rtl/>
        </w:rPr>
        <w:t xml:space="preserve"> </w:t>
      </w:r>
    </w:p>
    <w:p w:rsidR="00C34B23" w:rsidRPr="00DC5B13" w:rsidP="00C34B23">
      <w:pPr>
        <w:spacing w:line="269" w:lineRule="auto"/>
        <w:rPr>
          <w:rFonts w:eastAsia="Times New Roman"/>
          <w:bCs/>
          <w:szCs w:val="28"/>
          <w:u w:val="single"/>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bCs/>
          <w:szCs w:val="28"/>
          <w:u w:val="single"/>
          <w:rtl/>
        </w:rPr>
        <w:t>מיפוי ההתחדשות העירונית בישראל</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בעקבות החלטת הממשלה 875 פרסמה הוועדה הבין-משרדית בספטמבר 2022 דוח המלצות</w:t>
      </w:r>
      <w:r>
        <w:rPr>
          <w:rFonts w:eastAsia="Calibri"/>
          <w:vertAlign w:val="superscript"/>
          <w:rtl/>
        </w:rPr>
        <w:footnoteReference w:id="35"/>
      </w:r>
      <w:r w:rsidRPr="00DC5B13">
        <w:rPr>
          <w:rFonts w:eastAsia="Calibri" w:hint="cs"/>
          <w:rtl/>
        </w:rPr>
        <w:t xml:space="preserve"> לעידוד התחדשות עירונית בפריפריה</w:t>
      </w:r>
      <w:r>
        <w:rPr>
          <w:rFonts w:eastAsia="Calibri"/>
          <w:vertAlign w:val="superscript"/>
          <w:rtl/>
        </w:rPr>
        <w:footnoteReference w:id="36"/>
      </w:r>
      <w:r w:rsidRPr="00DC5B13">
        <w:rPr>
          <w:rFonts w:eastAsia="Calibri" w:hint="cs"/>
          <w:rtl/>
        </w:rPr>
        <w:t>. בתוכנית הפעולה המוצעת בדוח פורטו צעדים לקידום ההתחדשות העירונית בפריפריה ובהם: מיפוי, איתור ותיעדוף של מתחמים להתחדשות עירונית בערים בנגב ובגליל לרבות קביעת סדרי עדיפויות לקידומם; תקצוב נוסף לרשות להתחדשות לצורך קידום תכנון סטטוטורי מפורט בהתאם לסדרי העדיפויות שנקבעו; קידום תיקוני חקיקה בהיבטי מיסוי; ומתן מענקים לצורך השלמת הכדאיות הכלכלית במתחמים שיאותרו.</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בסיכום הדוח צוין כי "</w:t>
      </w:r>
      <w:r w:rsidRPr="00DC5B13">
        <w:rPr>
          <w:rFonts w:eastAsia="Calibri"/>
          <w:rtl/>
        </w:rPr>
        <w:t>ביישובי הפריפריה מבנים ישנים רבים הטעונים התחדשות. חלק מבניינים אלו, שנבנו שלא לפי</w:t>
      </w:r>
      <w:r w:rsidRPr="00DC5B13">
        <w:rPr>
          <w:rFonts w:eastAsia="Calibri" w:hint="cs"/>
          <w:rtl/>
        </w:rPr>
        <w:t xml:space="preserve"> </w:t>
      </w:r>
      <w:r w:rsidRPr="00DC5B13">
        <w:rPr>
          <w:rFonts w:eastAsia="Calibri"/>
          <w:rtl/>
        </w:rPr>
        <w:t>התקן לעמידות בפני רעידות אדמה</w:t>
      </w:r>
      <w:r w:rsidRPr="00DC5B13">
        <w:rPr>
          <w:rFonts w:eastAsia="Calibri" w:hint="cs"/>
          <w:rtl/>
        </w:rPr>
        <w:t>...</w:t>
      </w:r>
      <w:r w:rsidRPr="00DC5B13">
        <w:rPr>
          <w:rFonts w:eastAsia="Calibri"/>
          <w:rtl/>
        </w:rPr>
        <w:t xml:space="preserve"> נמצאים תחת איום מוגבר לקריסה בשל גילם,</w:t>
      </w:r>
      <w:r w:rsidRPr="00DC5B13">
        <w:rPr>
          <w:rFonts w:eastAsia="Calibri" w:hint="cs"/>
          <w:rtl/>
        </w:rPr>
        <w:t xml:space="preserve"> </w:t>
      </w:r>
      <w:r w:rsidRPr="00DC5B13">
        <w:rPr>
          <w:rFonts w:eastAsia="Calibri"/>
          <w:rtl/>
        </w:rPr>
        <w:t>מצבם הפיזי ומיקומם באזורי סיכון סייסמי גבוה. קריסתם של מבנים אלה, הכוללים אלפי יחידות</w:t>
      </w:r>
      <w:r w:rsidRPr="00DC5B13">
        <w:rPr>
          <w:rFonts w:eastAsia="Calibri" w:hint="cs"/>
          <w:rtl/>
        </w:rPr>
        <w:t xml:space="preserve"> </w:t>
      </w:r>
      <w:r w:rsidRPr="00DC5B13">
        <w:rPr>
          <w:rFonts w:eastAsia="Calibri"/>
          <w:rtl/>
        </w:rPr>
        <w:t xml:space="preserve">דיור, עלולה להביא לפגיעה בנפש ולגרום לנזקים לרכוש בהיקפים עצומים. לא זו בלבד, </w:t>
      </w:r>
      <w:r w:rsidRPr="00DC5B13">
        <w:rPr>
          <w:rFonts w:eastAsia="Calibri"/>
          <w:rtl/>
        </w:rPr>
        <w:t>אלא</w:t>
      </w:r>
      <w:r w:rsidRPr="00DC5B13">
        <w:rPr>
          <w:rFonts w:eastAsia="Calibri" w:hint="cs"/>
          <w:rtl/>
        </w:rPr>
        <w:t xml:space="preserve"> </w:t>
      </w:r>
      <w:r w:rsidRPr="00DC5B13">
        <w:rPr>
          <w:rFonts w:eastAsia="Calibri"/>
          <w:rtl/>
        </w:rPr>
        <w:t>שחלק מיישובי הפריפריה מצויים באזורים שבהם קיים סיכון ביטחוני מוגבר, כאשר שיעור ניכר</w:t>
      </w:r>
      <w:r w:rsidRPr="00DC5B13">
        <w:rPr>
          <w:rFonts w:eastAsia="Calibri" w:hint="cs"/>
          <w:rtl/>
        </w:rPr>
        <w:t xml:space="preserve"> </w:t>
      </w:r>
      <w:r w:rsidRPr="00DC5B13">
        <w:rPr>
          <w:rFonts w:eastAsia="Calibri"/>
          <w:rtl/>
        </w:rPr>
        <w:t>מהבניינים בתחומם אינו ממוגן. משכך, התחדשות עירונית של מבנים אלו היא חיונית</w:t>
      </w:r>
      <w:r w:rsidRPr="00DC5B13">
        <w:rPr>
          <w:rFonts w:eastAsia="Calibri" w:hint="cs"/>
          <w:rtl/>
        </w:rPr>
        <w:t>"</w:t>
      </w:r>
      <w:r>
        <w:rPr>
          <w:rFonts w:eastAsia="Calibri"/>
          <w:vertAlign w:val="superscript"/>
          <w:rtl/>
        </w:rPr>
        <w:footnoteReference w:id="37"/>
      </w:r>
      <w:r w:rsidRPr="00DC5B13">
        <w:rPr>
          <w:rFonts w:eastAsia="Calibri" w:hint="cs"/>
          <w:rtl/>
        </w:rPr>
        <w:t>.</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משרד מבקר המדינה סקר ובדק היבטים שונים של הפריסה הארצית של מיזמים להתחדשות עירונית. נסקרו היבטים הנוגעים לפריסת ההתחדשות בישראל ולביטויים שונים של פריסה זו. נבדקו היבטים הנוגעים ליתרונות שהוצגו בביצוע התחדשות עירונית ובהן חיזוק מבנים נגד רעידות אדמה. ממצאי הבדיקה יוצגו להלן.</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b/>
          <w:bCs/>
          <w:rtl/>
        </w:rPr>
      </w:pPr>
      <w:r w:rsidRPr="00DC5B13">
        <w:rPr>
          <w:rFonts w:eastAsia="Calibri" w:hint="eastAsia"/>
          <w:rtl/>
        </w:rPr>
        <w:t>תרשים</w:t>
      </w:r>
      <w:r w:rsidRPr="00DC5B13">
        <w:rPr>
          <w:rFonts w:eastAsia="Calibri"/>
          <w:rtl/>
        </w:rPr>
        <w:t xml:space="preserve"> 8: </w:t>
      </w:r>
      <w:r w:rsidRPr="00DC5B13">
        <w:rPr>
          <w:rFonts w:eastAsia="Calibri" w:hint="cs"/>
          <w:b/>
          <w:bCs/>
          <w:rtl/>
        </w:rPr>
        <w:t>מספר המיזמים להתחדשות עירונית (ללא תלות במצב קידומם) ויח"ד המוצעות הכלולות בהם, בחלוקה למחוזות</w:t>
      </w:r>
      <w:r>
        <w:rPr>
          <w:rFonts w:eastAsia="Calibri"/>
          <w:vertAlign w:val="superscript"/>
          <w:rtl/>
        </w:rPr>
        <w:footnoteReference w:id="38"/>
      </w:r>
      <w:r w:rsidRPr="00DC5B13">
        <w:rPr>
          <w:rFonts w:eastAsia="Calibri" w:hint="cs"/>
          <w:b/>
          <w:bCs/>
          <w:rtl/>
        </w:rPr>
        <w:t>, יולי 2025</w:t>
      </w:r>
      <w:r w:rsidRPr="00DC5B13">
        <w:rPr>
          <w:rFonts w:eastAsia="Calibri"/>
          <w:b/>
          <w:bCs/>
          <w:noProof/>
        </w:rPr>
        <w:drawing>
          <wp:anchor distT="0" distB="0" distL="114300" distR="114300" simplePos="0" relativeHeight="251685888" behindDoc="0" locked="0" layoutInCell="1" allowOverlap="1">
            <wp:simplePos x="0" y="0"/>
            <wp:positionH relativeFrom="column">
              <wp:align>center</wp:align>
            </wp:positionH>
            <wp:positionV relativeFrom="paragraph">
              <wp:posOffset>391795</wp:posOffset>
            </wp:positionV>
            <wp:extent cx="5220000" cy="3790800"/>
            <wp:effectExtent l="0" t="0" r="0" b="635"/>
            <wp:wrapTopAndBottom/>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790800"/>
                    </a:xfrm>
                    <a:prstGeom prst="rect">
                      <a:avLst/>
                    </a:prstGeom>
                    <a:noFill/>
                  </pic:spPr>
                </pic:pic>
              </a:graphicData>
            </a:graphic>
            <wp14:sizeRelH relativeFrom="margin">
              <wp14:pctWidth>0</wp14:pctWidth>
            </wp14:sizeRelH>
            <wp14:sizeRelV relativeFrom="margin">
              <wp14:pctHeight>0</wp14:pctHeight>
            </wp14:sizeRelV>
          </wp:anchor>
        </w:drawing>
      </w:r>
    </w:p>
    <w:p w:rsidR="00DC5B13" w:rsidRPr="00DC5B13" w:rsidP="00C34B23">
      <w:pPr>
        <w:keepNext/>
        <w:keepLines/>
        <w:spacing w:line="269" w:lineRule="auto"/>
        <w:rPr>
          <w:rFonts w:eastAsia="Calibri"/>
          <w:szCs w:val="20"/>
          <w:rtl/>
        </w:rPr>
      </w:pPr>
      <w:r w:rsidRPr="00DC5B13">
        <w:rPr>
          <w:rFonts w:eastAsia="Calibri"/>
          <w:noProof/>
        </w:rPr>
        <w:t xml:space="preserve"> </w:t>
      </w: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מידע</w:t>
      </w:r>
      <w:r w:rsidRPr="00DC5B13">
        <w:rPr>
          <w:rFonts w:eastAsia="Calibri"/>
          <w:szCs w:val="20"/>
          <w:rtl/>
        </w:rPr>
        <w:t xml:space="preserve"> </w:t>
      </w:r>
      <w:r w:rsidRPr="00DC5B13">
        <w:rPr>
          <w:rFonts w:eastAsia="Calibri" w:hint="eastAsia"/>
          <w:szCs w:val="20"/>
          <w:rtl/>
        </w:rPr>
        <w:t>שהתקבל</w:t>
      </w:r>
      <w:r w:rsidRPr="00DC5B13">
        <w:rPr>
          <w:rFonts w:eastAsia="Calibri"/>
          <w:szCs w:val="20"/>
          <w:rtl/>
        </w:rPr>
        <w:t xml:space="preserve"> </w:t>
      </w:r>
      <w:r w:rsidRPr="00DC5B13">
        <w:rPr>
          <w:rFonts w:eastAsia="Calibri" w:hint="eastAsia"/>
          <w:szCs w:val="20"/>
          <w:rtl/>
        </w:rPr>
        <w:t>מהרשות</w:t>
      </w:r>
      <w:r w:rsidRPr="00DC5B13">
        <w:rPr>
          <w:rFonts w:eastAsia="Calibri"/>
          <w:szCs w:val="20"/>
          <w:rtl/>
        </w:rPr>
        <w:t xml:space="preserve"> </w:t>
      </w:r>
      <w:r w:rsidRPr="00DC5B13">
        <w:rPr>
          <w:rFonts w:eastAsia="Calibri" w:hint="eastAsia"/>
          <w:szCs w:val="20"/>
          <w:rtl/>
        </w:rPr>
        <w:t>להתחדשות</w:t>
      </w:r>
      <w:r w:rsidRPr="00DC5B13">
        <w:rPr>
          <w:rFonts w:eastAsia="Calibri"/>
          <w:szCs w:val="20"/>
          <w:rtl/>
        </w:rPr>
        <w:t xml:space="preserve"> </w:t>
      </w:r>
      <w:r w:rsidRPr="00DC5B13">
        <w:rPr>
          <w:rFonts w:eastAsia="Calibri" w:hint="eastAsia"/>
          <w:szCs w:val="20"/>
          <w:rtl/>
        </w:rPr>
        <w:t>עירונית</w:t>
      </w:r>
      <w:r w:rsidRPr="00DC5B13">
        <w:rPr>
          <w:rFonts w:eastAsia="Calibri"/>
          <w:szCs w:val="20"/>
          <w:rtl/>
        </w:rPr>
        <w:t>, בעיבוד משרד מבקר המדינה.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המפה שלהלן מציגה את פריסת המיזמים להתחדשות עירונית בחלוקה לרשויות מקומיות (עיריות ומועצות מקומיות), יולי 2025, ללא סיווג לפי מצב קידומם של המיזמים (גם מיזמים בשלבי תכנון בלבד או בשלבי ביצוע).</w:t>
      </w:r>
    </w:p>
    <w:p w:rsidR="00DC5B13" w:rsidRPr="00DC5B13" w:rsidP="00C34B23">
      <w:pPr>
        <w:keepNext/>
        <w:keepLines/>
        <w:spacing w:line="269" w:lineRule="auto"/>
        <w:jc w:val="center"/>
        <w:rPr>
          <w:rFonts w:eastAsia="Calibri"/>
          <w:b/>
          <w:bCs/>
          <w:rtl/>
        </w:rPr>
      </w:pPr>
      <w:r w:rsidRPr="00DC5B13">
        <w:rPr>
          <w:rFonts w:eastAsia="Calibri" w:hint="cs"/>
          <w:noProof/>
          <w:sz w:val="24"/>
          <w:rtl/>
          <w:lang w:val="he-IL"/>
        </w:rPr>
        <w:t xml:space="preserve">מפה </w:t>
      </w:r>
      <w:r w:rsidRPr="00DC5B13">
        <w:rPr>
          <w:rFonts w:eastAsia="Calibri" w:hint="cs"/>
          <w:sz w:val="24"/>
          <w:rtl/>
        </w:rPr>
        <w:t>1</w:t>
      </w:r>
      <w:r w:rsidRPr="00DC5B13">
        <w:rPr>
          <w:rFonts w:eastAsia="Calibri"/>
          <w:rtl/>
        </w:rPr>
        <w:t xml:space="preserve">: </w:t>
      </w:r>
      <w:r w:rsidRPr="00DC5B13">
        <w:rPr>
          <w:rFonts w:eastAsia="Calibri" w:hint="cs"/>
          <w:b/>
          <w:bCs/>
          <w:rtl/>
        </w:rPr>
        <w:t>התחדשות עירונית לפי מספר המיזמים, בחלוקה למחוזות תכנון וברשויות שנבדקו - מפת חום, יולי 2025</w:t>
      </w:r>
    </w:p>
    <w:p w:rsidR="00DC5B13" w:rsidRPr="00DC5B13" w:rsidP="00C34B23">
      <w:pPr>
        <w:keepNext/>
        <w:keepLines/>
        <w:spacing w:line="269" w:lineRule="auto"/>
        <w:rPr>
          <w:rFonts w:eastAsia="Calibri"/>
          <w:szCs w:val="20"/>
          <w:rtl/>
        </w:rPr>
      </w:pPr>
      <w:r w:rsidRPr="00DC5B13">
        <w:rPr>
          <w:rFonts w:eastAsia="Calibri"/>
          <w:noProof/>
          <w:szCs w:val="20"/>
        </w:rPr>
        <w:drawing>
          <wp:anchor distT="0" distB="0" distL="114300" distR="114300" simplePos="0" relativeHeight="251681792" behindDoc="0" locked="0" layoutInCell="1" allowOverlap="1">
            <wp:simplePos x="0" y="0"/>
            <wp:positionH relativeFrom="column">
              <wp:align>center</wp:align>
            </wp:positionH>
            <wp:positionV relativeFrom="paragraph">
              <wp:posOffset>2540</wp:posOffset>
            </wp:positionV>
            <wp:extent cx="5220000" cy="7412400"/>
            <wp:effectExtent l="0" t="0" r="0" b="0"/>
            <wp:wrapTopAndBottom/>
            <wp:docPr id="17" name="תמונה 17" descr="מפה גיאוגרפית של מדינת ישראל המחולקת למחוזות תכנוניים, הכוללת סימונים גרפיים של מוקדי התחדשות עירונית וטבלת נתונים מספרית מרכזת בפינה העליונה.&#10;המפה הוויזואלית ממחישה ריכוזיות של מיזמי התחדשות באמצעות &quot;כתמי חום&quot; סגולים וצפופים לאורך מישור החוף, לצד מוקדים נקודתיים בחיפה, ירושלים וקצוות הארץ כגון קריית שמונה ואילת.&#10;עיקר הנתונים מוצג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7412400"/>
                    </a:xfrm>
                    <a:prstGeom prst="rect">
                      <a:avLst/>
                    </a:prstGeom>
                    <a:noFill/>
                  </pic:spPr>
                </pic:pic>
              </a:graphicData>
            </a:graphic>
            <wp14:sizeRelH relativeFrom="margin">
              <wp14:pctWidth>0</wp14:pctWidth>
            </wp14:sizeRelH>
            <wp14:sizeRelV relativeFrom="margin">
              <wp14:pctHeight>0</wp14:pctHeight>
            </wp14:sizeRelV>
          </wp:anchor>
        </w:drawing>
      </w:r>
      <w:r w:rsidRPr="00DC5B13">
        <w:rPr>
          <w:rFonts w:eastAsia="Calibri" w:hint="cs"/>
          <w:szCs w:val="20"/>
          <w:rtl/>
        </w:rPr>
        <w:t>המקור: מפת רקע של המרכז למיפוי ישראל, שכבת מחוזות של משרד הפנים ו</w:t>
      </w:r>
      <w:r w:rsidRPr="00DC5B13">
        <w:rPr>
          <w:rFonts w:eastAsia="Calibri"/>
          <w:szCs w:val="20"/>
          <w:rtl/>
        </w:rPr>
        <w:t>נתוני הרשות להתחדשות, בעיבוד משרד מבקר המדינה.</w:t>
      </w:r>
    </w:p>
    <w:p w:rsidR="00DC5B13" w:rsidRPr="00DC5B13" w:rsidP="00C34B23">
      <w:pPr>
        <w:spacing w:line="269" w:lineRule="auto"/>
        <w:rPr>
          <w:rFonts w:eastAsia="Calibri"/>
          <w:rtl/>
        </w:rPr>
      </w:pPr>
    </w:p>
    <w:p w:rsidR="00037943">
      <w:pPr>
        <w:bidi w:val="0"/>
        <w:spacing w:after="200" w:line="276" w:lineRule="auto"/>
        <w:rPr>
          <w:rFonts w:eastAsia="Calibri"/>
          <w:b/>
          <w:bCs/>
          <w:rtl/>
        </w:rPr>
      </w:pPr>
      <w:bookmarkStart w:id="15" w:name="_Hlk217285385"/>
      <w:r>
        <w:rPr>
          <w:rFonts w:eastAsia="Calibri"/>
          <w:b/>
          <w:bCs/>
          <w:rtl/>
        </w:rPr>
        <w:br w:type="page"/>
      </w:r>
    </w:p>
    <w:p w:rsidR="00DC5B13" w:rsidRPr="00DC5B13" w:rsidP="00C34B23">
      <w:pPr>
        <w:spacing w:line="269" w:lineRule="auto"/>
        <w:rPr>
          <w:rFonts w:eastAsia="Calibri"/>
          <w:b/>
          <w:bCs/>
          <w:rtl/>
        </w:rPr>
      </w:pPr>
      <w:r w:rsidRPr="00DC5B13">
        <w:rPr>
          <w:rFonts w:eastAsia="Calibri" w:hint="eastAsia"/>
          <w:b/>
          <w:bCs/>
          <w:rtl/>
        </w:rPr>
        <w:t>מנתוני</w:t>
      </w:r>
      <w:r w:rsidRPr="00DC5B13">
        <w:rPr>
          <w:rFonts w:eastAsia="Calibri"/>
          <w:b/>
          <w:bCs/>
          <w:rtl/>
        </w:rPr>
        <w:t xml:space="preserve"> </w:t>
      </w:r>
      <w:r w:rsidRPr="00DC5B13">
        <w:rPr>
          <w:rFonts w:eastAsia="Calibri" w:hint="eastAsia"/>
          <w:b/>
          <w:bCs/>
          <w:rtl/>
        </w:rPr>
        <w:t>הלוח</w:t>
      </w:r>
      <w:r w:rsidRPr="00DC5B13">
        <w:rPr>
          <w:rFonts w:eastAsia="Calibri"/>
          <w:b/>
          <w:bCs/>
          <w:rtl/>
        </w:rPr>
        <w:t xml:space="preserve"> </w:t>
      </w:r>
      <w:r w:rsidRPr="00DC5B13">
        <w:rPr>
          <w:rFonts w:eastAsia="Calibri" w:hint="eastAsia"/>
          <w:b/>
          <w:bCs/>
          <w:rtl/>
        </w:rPr>
        <w:t>והמפה</w:t>
      </w:r>
      <w:r w:rsidRPr="00DC5B13">
        <w:rPr>
          <w:rFonts w:eastAsia="Calibri"/>
          <w:b/>
          <w:bCs/>
          <w:rtl/>
        </w:rPr>
        <w:t xml:space="preserve"> עולה כי במועד הבדיקה, במחוזות המרכז ותל אביב מקודמים ומבוצעים </w:t>
      </w:r>
      <w:r w:rsidR="00037943">
        <w:rPr>
          <w:rFonts w:eastAsia="Calibri"/>
          <w:b/>
          <w:bCs/>
          <w:rtl/>
        </w:rPr>
        <w:br/>
      </w:r>
      <w:r w:rsidRPr="00DC5B13">
        <w:rPr>
          <w:rFonts w:eastAsia="Calibri"/>
          <w:b/>
          <w:bCs/>
          <w:rtl/>
        </w:rPr>
        <w:t>כ-</w:t>
      </w:r>
      <w:r w:rsidRPr="00DC5B13">
        <w:rPr>
          <w:rFonts w:eastAsia="Calibri" w:hint="cs"/>
          <w:b/>
          <w:bCs/>
          <w:rtl/>
        </w:rPr>
        <w:t>58</w:t>
      </w:r>
      <w:r w:rsidRPr="00DC5B13">
        <w:rPr>
          <w:rFonts w:eastAsia="Calibri"/>
          <w:b/>
          <w:bCs/>
          <w:rtl/>
        </w:rPr>
        <w:t xml:space="preserve">% מכלל המיזמים (472 מיזמים במחוזות אלה מתוך </w:t>
      </w:r>
      <w:r w:rsidRPr="00DC5B13">
        <w:rPr>
          <w:rFonts w:eastAsia="Calibri" w:hint="cs"/>
          <w:b/>
          <w:bCs/>
          <w:rtl/>
        </w:rPr>
        <w:t>814</w:t>
      </w:r>
      <w:r w:rsidRPr="00DC5B13">
        <w:rPr>
          <w:rFonts w:eastAsia="Calibri"/>
          <w:b/>
          <w:bCs/>
          <w:rtl/>
        </w:rPr>
        <w:t xml:space="preserve"> מיזמים)</w:t>
      </w:r>
      <w:r w:rsidRPr="00DC5B13">
        <w:rPr>
          <w:rFonts w:eastAsia="Calibri" w:hint="cs"/>
          <w:b/>
          <w:bCs/>
          <w:rtl/>
        </w:rPr>
        <w:t>, ובהם כ-56% מכלל יח"ד המוצעות מתוך כלל המיזמים (כ-145,000 יח"ד מוצעות במחוז מרכז וכ-123,000 יח"ד מוצעות במחוז תל אביב)</w:t>
      </w:r>
      <w:r w:rsidRPr="00DC5B13">
        <w:rPr>
          <w:rFonts w:eastAsia="Calibri"/>
          <w:b/>
          <w:bCs/>
          <w:rtl/>
        </w:rPr>
        <w:t>; בירושלים</w:t>
      </w:r>
      <w:r>
        <w:rPr>
          <w:rFonts w:eastAsia="Calibri"/>
          <w:b/>
          <w:bCs/>
          <w:vertAlign w:val="superscript"/>
          <w:rtl/>
        </w:rPr>
        <w:footnoteReference w:id="39"/>
      </w:r>
      <w:r w:rsidRPr="00DC5B13">
        <w:rPr>
          <w:rFonts w:eastAsia="Calibri"/>
          <w:b/>
          <w:bCs/>
          <w:rtl/>
        </w:rPr>
        <w:t xml:space="preserve"> מקודמים ומבוצעים 137 מיזמים, שהם כ-95% מהמיזמים במחוז ירושלים</w:t>
      </w:r>
      <w:r w:rsidRPr="00DC5B13">
        <w:rPr>
          <w:rFonts w:eastAsia="Calibri" w:hint="cs"/>
          <w:b/>
          <w:bCs/>
          <w:rtl/>
        </w:rPr>
        <w:t>, ובהם כ-48,000 יח"ד מוצעות מתוך כ-57,000 יח"ד מוצעות בכל המחוז</w:t>
      </w:r>
      <w:r w:rsidRPr="00DC5B13">
        <w:rPr>
          <w:rFonts w:eastAsia="Calibri"/>
          <w:b/>
          <w:bCs/>
          <w:rtl/>
        </w:rPr>
        <w:t xml:space="preserve">; במחוזות הצפון והדרום יחד מקודמים ומבוצעים </w:t>
      </w:r>
      <w:r w:rsidRPr="00DC5B13">
        <w:rPr>
          <w:rFonts w:eastAsia="Calibri" w:hint="cs"/>
          <w:b/>
          <w:bCs/>
          <w:rtl/>
        </w:rPr>
        <w:t>98</w:t>
      </w:r>
      <w:r w:rsidRPr="00DC5B13">
        <w:rPr>
          <w:rFonts w:eastAsia="Calibri"/>
          <w:b/>
          <w:bCs/>
          <w:rtl/>
        </w:rPr>
        <w:t xml:space="preserve"> מיזמים</w:t>
      </w:r>
      <w:r w:rsidRPr="00DC5B13">
        <w:rPr>
          <w:rFonts w:eastAsia="Calibri" w:hint="cs"/>
          <w:b/>
          <w:bCs/>
          <w:rtl/>
        </w:rPr>
        <w:t>,</w:t>
      </w:r>
      <w:r w:rsidRPr="00DC5B13">
        <w:rPr>
          <w:rFonts w:eastAsia="Calibri"/>
          <w:b/>
          <w:bCs/>
          <w:rtl/>
        </w:rPr>
        <w:t xml:space="preserve"> </w:t>
      </w:r>
      <w:r w:rsidRPr="00DC5B13">
        <w:rPr>
          <w:rFonts w:eastAsia="Calibri" w:hint="cs"/>
          <w:b/>
          <w:bCs/>
          <w:rtl/>
        </w:rPr>
        <w:t xml:space="preserve">ובהם כ-80,000 יח"ד מוצעות </w:t>
      </w:r>
      <w:r w:rsidRPr="00DC5B13">
        <w:rPr>
          <w:rFonts w:eastAsia="Calibri"/>
          <w:b/>
          <w:bCs/>
          <w:rtl/>
        </w:rPr>
        <w:t xml:space="preserve">- </w:t>
      </w:r>
      <w:r w:rsidRPr="00DC5B13">
        <w:rPr>
          <w:rFonts w:eastAsia="Calibri" w:hint="cs"/>
          <w:b/>
          <w:bCs/>
          <w:rtl/>
        </w:rPr>
        <w:t>מספר דומה</w:t>
      </w:r>
      <w:r w:rsidRPr="00DC5B13">
        <w:rPr>
          <w:rFonts w:eastAsia="Calibri"/>
          <w:b/>
          <w:bCs/>
          <w:rtl/>
        </w:rPr>
        <w:t xml:space="preserve"> </w:t>
      </w:r>
      <w:r w:rsidRPr="00DC5B13">
        <w:rPr>
          <w:rFonts w:eastAsia="Calibri" w:hint="cs"/>
          <w:b/>
          <w:bCs/>
          <w:rtl/>
        </w:rPr>
        <w:t>ל</w:t>
      </w:r>
      <w:r w:rsidRPr="00DC5B13">
        <w:rPr>
          <w:rFonts w:eastAsia="Calibri"/>
          <w:b/>
          <w:bCs/>
          <w:rtl/>
        </w:rPr>
        <w:t>מספר המיזמים במחוז חיפה</w:t>
      </w:r>
      <w:r w:rsidRPr="00DC5B13">
        <w:rPr>
          <w:rFonts w:eastAsia="Calibri" w:hint="cs"/>
          <w:b/>
          <w:bCs/>
          <w:rtl/>
        </w:rPr>
        <w:t xml:space="preserve"> (97 מיזמים ובהם כ-71,000 יח"ד מוצעות)</w:t>
      </w:r>
      <w:r w:rsidRPr="00DC5B13">
        <w:rPr>
          <w:rFonts w:eastAsia="Calibri"/>
          <w:b/>
          <w:bCs/>
          <w:rtl/>
        </w:rPr>
        <w:t>.</w:t>
      </w:r>
      <w:bookmarkEnd w:id="15"/>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משרד מבקר המדינה בחן את פריסת המיזמים להתחדשות עירונית, ביחס לחלוקה של מספר יחידות הדיור המוצעות להקמה בשטח המיועד להתחדשות במספר הדירות הקיים באותו שטח (להלן - המכפיל).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מכפיל נמוך מתאפשר כאשר ערכי הקרקע גבוהים, כלומר אפשר לבנות מספר יחידות דיור קטן יחסית כדי לעמוד ביעדי הרווח המזעריים ליזם (באחוזים). בחינת שיעור הרווחיות הצפוי מהקמת המיזם והאופנים לחישובו מוגדרים בתקן</w:t>
      </w:r>
      <w:r w:rsidRPr="00DC5B13">
        <w:rPr>
          <w:rFonts w:eastAsia="Calibri"/>
          <w:rtl/>
        </w:rPr>
        <w:t xml:space="preserve"> מספר 21 בדבר </w:t>
      </w:r>
      <w:r w:rsidRPr="00DC5B13">
        <w:rPr>
          <w:rFonts w:eastAsia="Calibri" w:hint="cs"/>
          <w:rtl/>
        </w:rPr>
        <w:t>"</w:t>
      </w:r>
      <w:r w:rsidRPr="00DC5B13">
        <w:rPr>
          <w:rFonts w:eastAsia="Calibri"/>
          <w:rtl/>
        </w:rPr>
        <w:t>פירוט מזערי נדרש בשומות מקרקעין המבוצעות לצורך בדיקה שמאית כלכלית לתוכנית פינוי-בינוי</w:t>
      </w:r>
      <w:r w:rsidRPr="00DC5B13">
        <w:rPr>
          <w:rFonts w:eastAsia="Calibri" w:hint="cs"/>
          <w:rtl/>
        </w:rPr>
        <w:t>"</w:t>
      </w:r>
      <w:r>
        <w:rPr>
          <w:rFonts w:eastAsia="Calibri"/>
          <w:vertAlign w:val="superscript"/>
          <w:rtl/>
        </w:rPr>
        <w:footnoteReference w:id="40"/>
      </w:r>
      <w:r w:rsidRPr="00DC5B13">
        <w:rPr>
          <w:rFonts w:eastAsia="Calibri" w:hint="cs"/>
          <w:rtl/>
        </w:rPr>
        <w:t xml:space="preserve"> (להלן - תקן 21). </w:t>
      </w:r>
      <w:r w:rsidRPr="00DC5B13">
        <w:rPr>
          <w:rFonts w:eastAsia="Calibri"/>
          <w:rtl/>
        </w:rPr>
        <w:t xml:space="preserve">התקן נקבע בשנת 2012 על ידי מועצת השמאים </w:t>
      </w:r>
      <w:r w:rsidRPr="00DC5B13">
        <w:rPr>
          <w:rFonts w:eastAsia="Calibri" w:hint="cs"/>
          <w:rtl/>
        </w:rPr>
        <w:t xml:space="preserve">כדי </w:t>
      </w:r>
      <w:r w:rsidRPr="00DC5B13">
        <w:rPr>
          <w:rFonts w:eastAsia="Calibri"/>
          <w:rtl/>
        </w:rPr>
        <w:t>לבחון את כדאיותם הכלכלית של מיזמים להתחדשות עירונית</w:t>
      </w:r>
      <w:r w:rsidRPr="00DC5B13">
        <w:rPr>
          <w:rFonts w:eastAsia="Calibri" w:hint="cs"/>
          <w:rtl/>
        </w:rPr>
        <w:t>,</w:t>
      </w:r>
      <w:r w:rsidRPr="00DC5B13">
        <w:rPr>
          <w:rFonts w:eastAsia="Calibri"/>
          <w:rtl/>
        </w:rPr>
        <w:t xml:space="preserve"> ו</w:t>
      </w:r>
      <w:r w:rsidRPr="00DC5B13">
        <w:rPr>
          <w:rFonts w:eastAsia="Calibri" w:hint="cs"/>
          <w:rtl/>
        </w:rPr>
        <w:t xml:space="preserve">הוא </w:t>
      </w:r>
      <w:r w:rsidRPr="00DC5B13">
        <w:rPr>
          <w:rFonts w:eastAsia="Calibri"/>
          <w:rtl/>
        </w:rPr>
        <w:t xml:space="preserve">עודכן </w:t>
      </w:r>
      <w:r w:rsidRPr="00DC5B13">
        <w:rPr>
          <w:rFonts w:eastAsia="Calibri" w:hint="cs"/>
          <w:rtl/>
        </w:rPr>
        <w:t xml:space="preserve">לאחרונה </w:t>
      </w:r>
      <w:r w:rsidRPr="00DC5B13">
        <w:rPr>
          <w:rFonts w:eastAsia="Calibri"/>
          <w:rtl/>
        </w:rPr>
        <w:t>בחודש יוני 2022.</w:t>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משרד מבקר המדינה השווה בין המכפיל הממוצע בכל מחוז תכנון לבין שיעור המיזמים שקודמו ובוצעו באותו המחוז, כמפורט בלוח שלהלן.</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b/>
          <w:bCs/>
          <w:rtl/>
        </w:rPr>
      </w:pPr>
      <w:r w:rsidRPr="00DC5B13">
        <w:rPr>
          <w:rFonts w:eastAsia="Calibri" w:hint="eastAsia"/>
          <w:rtl/>
        </w:rPr>
        <w:t>לוח</w:t>
      </w:r>
      <w:r w:rsidRPr="00DC5B13">
        <w:rPr>
          <w:rFonts w:eastAsia="Calibri"/>
          <w:rtl/>
        </w:rPr>
        <w:t xml:space="preserve"> 2: </w:t>
      </w:r>
      <w:r w:rsidRPr="00DC5B13">
        <w:rPr>
          <w:rFonts w:eastAsia="Calibri" w:hint="cs"/>
          <w:b/>
          <w:bCs/>
          <w:rtl/>
        </w:rPr>
        <w:t>שיעור המיזמים והמכפיל הממוצע, בחלוקה למחוזות התכנון,</w:t>
      </w:r>
      <w:r w:rsidRPr="00DC5B13">
        <w:rPr>
          <w:rFonts w:eastAsia="Calibri" w:hint="cs"/>
          <w:rtl/>
        </w:rPr>
        <w:t xml:space="preserve"> </w:t>
      </w:r>
      <w:r w:rsidRPr="00DC5B13">
        <w:rPr>
          <w:rFonts w:eastAsia="Calibri" w:hint="cs"/>
          <w:b/>
          <w:bCs/>
          <w:rtl/>
        </w:rPr>
        <w:t>יולי 2025</w:t>
      </w:r>
    </w:p>
    <w:tbl>
      <w:tblPr>
        <w:tblStyle w:val="5-11"/>
        <w:bidiVisual/>
        <w:tblW w:w="5000" w:type="pct"/>
        <w:tblLook w:val="04A0"/>
      </w:tblPr>
      <w:tblGrid>
        <w:gridCol w:w="1852"/>
        <w:gridCol w:w="1906"/>
        <w:gridCol w:w="2314"/>
        <w:gridCol w:w="2138"/>
      </w:tblGrid>
      <w:tr w:rsidTr="00DC5B13">
        <w:tblPrEx>
          <w:tblW w:w="5000" w:type="pct"/>
          <w:tblLook w:val="04A0"/>
        </w:tblPrEx>
        <w:trPr>
          <w:trHeight w:val="476"/>
        </w:trPr>
        <w:tc>
          <w:tcPr>
            <w:tcW w:w="1128" w:type="pct"/>
            <w:hideMark/>
          </w:tcPr>
          <w:p w:rsidR="00DC5B13" w:rsidRPr="00DC5B13" w:rsidP="00C34B23">
            <w:pPr>
              <w:spacing w:line="269" w:lineRule="auto"/>
              <w:jc w:val="left"/>
              <w:rPr>
                <w:rFonts w:ascii="David" w:eastAsia="Times New Roman" w:hAnsi="David"/>
                <w:sz w:val="22"/>
                <w:szCs w:val="22"/>
              </w:rPr>
            </w:pPr>
            <w:r w:rsidRPr="00DC5B13">
              <w:rPr>
                <w:rFonts w:ascii="David" w:eastAsia="Times New Roman" w:hAnsi="David"/>
                <w:sz w:val="22"/>
                <w:szCs w:val="22"/>
                <w:rtl/>
              </w:rPr>
              <w:t>המחוז</w:t>
            </w:r>
          </w:p>
        </w:tc>
        <w:tc>
          <w:tcPr>
            <w:tcW w:w="1161" w:type="pct"/>
            <w:hideMark/>
          </w:tcPr>
          <w:p w:rsidR="00DC5B13" w:rsidRPr="00DC5B13" w:rsidP="00C34B23">
            <w:pPr>
              <w:spacing w:line="269" w:lineRule="auto"/>
              <w:jc w:val="center"/>
              <w:rPr>
                <w:rFonts w:ascii="David" w:eastAsia="Times New Roman" w:hAnsi="David"/>
                <w:sz w:val="22"/>
                <w:szCs w:val="22"/>
                <w:rtl/>
              </w:rPr>
            </w:pPr>
            <w:r w:rsidRPr="00DC5B13">
              <w:rPr>
                <w:rFonts w:ascii="David" w:eastAsia="Times New Roman" w:hAnsi="David"/>
                <w:sz w:val="22"/>
                <w:szCs w:val="22"/>
                <w:rtl/>
              </w:rPr>
              <w:t xml:space="preserve">מספר </w:t>
            </w:r>
            <w:r w:rsidRPr="00DC5B13">
              <w:rPr>
                <w:rFonts w:ascii="David" w:eastAsia="Times New Roman" w:hAnsi="David" w:hint="cs"/>
                <w:sz w:val="22"/>
                <w:szCs w:val="22"/>
                <w:rtl/>
              </w:rPr>
              <w:t>המיזמים</w:t>
            </w:r>
            <w:r w:rsidRPr="00DC5B13">
              <w:rPr>
                <w:rFonts w:ascii="David" w:eastAsia="Times New Roman" w:hAnsi="David"/>
                <w:sz w:val="22"/>
                <w:szCs w:val="22"/>
                <w:rtl/>
              </w:rPr>
              <w:t xml:space="preserve"> לפינוי</w:t>
            </w:r>
            <w:r w:rsidRPr="00DC5B13">
              <w:rPr>
                <w:rFonts w:ascii="David" w:eastAsia="Times New Roman" w:hAnsi="David" w:hint="cs"/>
                <w:sz w:val="22"/>
                <w:szCs w:val="22"/>
                <w:rtl/>
              </w:rPr>
              <w:t>-</w:t>
            </w:r>
            <w:r w:rsidRPr="00DC5B13">
              <w:rPr>
                <w:rFonts w:ascii="David" w:eastAsia="Times New Roman" w:hAnsi="David"/>
                <w:sz w:val="22"/>
                <w:szCs w:val="22"/>
                <w:rtl/>
              </w:rPr>
              <w:t>בינוי</w:t>
            </w:r>
          </w:p>
        </w:tc>
        <w:tc>
          <w:tcPr>
            <w:tcW w:w="1409" w:type="pct"/>
            <w:hideMark/>
          </w:tcPr>
          <w:p w:rsidR="00DC5B13" w:rsidRPr="00DC5B13" w:rsidP="00C34B23">
            <w:pPr>
              <w:spacing w:line="269" w:lineRule="auto"/>
              <w:jc w:val="center"/>
              <w:rPr>
                <w:rFonts w:ascii="David" w:eastAsia="Times New Roman" w:hAnsi="David"/>
                <w:sz w:val="22"/>
                <w:szCs w:val="22"/>
                <w:rtl/>
              </w:rPr>
            </w:pPr>
            <w:r w:rsidRPr="00DC5B13">
              <w:rPr>
                <w:rFonts w:ascii="David" w:eastAsia="Times New Roman" w:hAnsi="David" w:hint="cs"/>
                <w:sz w:val="22"/>
                <w:szCs w:val="22"/>
                <w:rtl/>
              </w:rPr>
              <w:t>ה</w:t>
            </w:r>
            <w:r w:rsidRPr="00DC5B13">
              <w:rPr>
                <w:rFonts w:ascii="David" w:eastAsia="Times New Roman" w:hAnsi="David"/>
                <w:sz w:val="22"/>
                <w:szCs w:val="22"/>
                <w:rtl/>
              </w:rPr>
              <w:t xml:space="preserve">מכפיל </w:t>
            </w:r>
            <w:r w:rsidRPr="00DC5B13">
              <w:rPr>
                <w:rFonts w:ascii="David" w:eastAsia="Times New Roman" w:hAnsi="David" w:hint="cs"/>
                <w:sz w:val="22"/>
                <w:szCs w:val="22"/>
                <w:rtl/>
              </w:rPr>
              <w:t>ה</w:t>
            </w:r>
            <w:r w:rsidRPr="00DC5B13">
              <w:rPr>
                <w:rFonts w:ascii="David" w:eastAsia="Times New Roman" w:hAnsi="David"/>
                <w:sz w:val="22"/>
                <w:szCs w:val="22"/>
                <w:rtl/>
              </w:rPr>
              <w:t>ממוצע למחוז</w:t>
            </w:r>
          </w:p>
        </w:tc>
        <w:tc>
          <w:tcPr>
            <w:tcW w:w="1303" w:type="pct"/>
            <w:hideMark/>
          </w:tcPr>
          <w:p w:rsidR="00DC5B13" w:rsidRPr="00DC5B13" w:rsidP="00C34B23">
            <w:pPr>
              <w:spacing w:line="269" w:lineRule="auto"/>
              <w:jc w:val="center"/>
              <w:rPr>
                <w:rFonts w:ascii="David" w:eastAsia="Times New Roman" w:hAnsi="David"/>
                <w:sz w:val="22"/>
                <w:szCs w:val="22"/>
                <w:rtl/>
              </w:rPr>
            </w:pPr>
            <w:r w:rsidRPr="00DC5B13">
              <w:rPr>
                <w:rFonts w:ascii="David" w:eastAsia="Times New Roman" w:hAnsi="David" w:hint="cs"/>
                <w:sz w:val="22"/>
                <w:szCs w:val="22"/>
                <w:rtl/>
              </w:rPr>
              <w:t>השיעור</w:t>
            </w:r>
            <w:r w:rsidRPr="00DC5B13">
              <w:rPr>
                <w:rFonts w:ascii="David" w:eastAsia="Times New Roman" w:hAnsi="David"/>
                <w:sz w:val="22"/>
                <w:szCs w:val="22"/>
                <w:rtl/>
              </w:rPr>
              <w:t xml:space="preserve"> מכלל ה</w:t>
            </w:r>
            <w:r w:rsidRPr="00DC5B13">
              <w:rPr>
                <w:rFonts w:ascii="David" w:eastAsia="Times New Roman" w:hAnsi="David" w:hint="cs"/>
                <w:sz w:val="22"/>
                <w:szCs w:val="22"/>
                <w:rtl/>
              </w:rPr>
              <w:t>מיזמים</w:t>
            </w:r>
          </w:p>
        </w:tc>
      </w:tr>
      <w:tr w:rsidTr="00DC5B13">
        <w:tblPrEx>
          <w:tblW w:w="5000" w:type="pct"/>
          <w:tblLook w:val="04A0"/>
        </w:tblPrEx>
        <w:trPr>
          <w:trHeight w:val="285"/>
        </w:trPr>
        <w:tc>
          <w:tcPr>
            <w:tcW w:w="1128" w:type="pct"/>
            <w:hideMark/>
          </w:tcPr>
          <w:p w:rsidR="00DC5B13" w:rsidRPr="00DC5B13" w:rsidP="00C34B23">
            <w:pPr>
              <w:spacing w:line="269" w:lineRule="auto"/>
              <w:jc w:val="left"/>
              <w:rPr>
                <w:rFonts w:ascii="David" w:eastAsia="Times New Roman" w:hAnsi="David"/>
                <w:sz w:val="22"/>
                <w:szCs w:val="22"/>
                <w:rtl/>
              </w:rPr>
            </w:pPr>
            <w:r w:rsidRPr="00DC5B13">
              <w:rPr>
                <w:rFonts w:ascii="David" w:eastAsia="Times New Roman" w:hAnsi="David" w:hint="cs"/>
                <w:sz w:val="22"/>
                <w:szCs w:val="22"/>
                <w:rtl/>
              </w:rPr>
              <w:t>ה</w:t>
            </w:r>
            <w:r w:rsidRPr="00DC5B13">
              <w:rPr>
                <w:rFonts w:ascii="David" w:eastAsia="Times New Roman" w:hAnsi="David"/>
                <w:sz w:val="22"/>
                <w:szCs w:val="22"/>
                <w:rtl/>
              </w:rPr>
              <w:t>צפון</w:t>
            </w:r>
          </w:p>
        </w:tc>
        <w:tc>
          <w:tcPr>
            <w:tcW w:w="1161"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33</w:t>
            </w:r>
          </w:p>
        </w:tc>
        <w:tc>
          <w:tcPr>
            <w:tcW w:w="1409"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5.0</w:t>
            </w:r>
            <w:r w:rsidRPr="00DC5B13">
              <w:rPr>
                <w:rFonts w:ascii="David" w:eastAsia="Times New Roman" w:hAnsi="David" w:hint="cs"/>
                <w:color w:val="000000"/>
                <w:sz w:val="22"/>
                <w:szCs w:val="22"/>
                <w:rtl/>
              </w:rPr>
              <w:t>*</w:t>
            </w:r>
          </w:p>
        </w:tc>
        <w:tc>
          <w:tcPr>
            <w:tcW w:w="1303"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4.1%</w:t>
            </w:r>
          </w:p>
        </w:tc>
      </w:tr>
      <w:tr w:rsidTr="00DC5B13">
        <w:tblPrEx>
          <w:tblW w:w="5000" w:type="pct"/>
          <w:tblLook w:val="04A0"/>
        </w:tblPrEx>
        <w:trPr>
          <w:trHeight w:val="285"/>
        </w:trPr>
        <w:tc>
          <w:tcPr>
            <w:tcW w:w="1128" w:type="pct"/>
            <w:shd w:val="clear" w:color="auto" w:fill="DBE5F1"/>
            <w:hideMark/>
          </w:tcPr>
          <w:p w:rsidR="00DC5B13" w:rsidRPr="00DC5B13" w:rsidP="00C34B23">
            <w:pPr>
              <w:spacing w:line="269" w:lineRule="auto"/>
              <w:jc w:val="left"/>
              <w:rPr>
                <w:rFonts w:ascii="David" w:eastAsia="Times New Roman" w:hAnsi="David"/>
                <w:sz w:val="22"/>
                <w:szCs w:val="22"/>
                <w:rtl/>
              </w:rPr>
            </w:pPr>
            <w:r w:rsidRPr="00DC5B13">
              <w:rPr>
                <w:rFonts w:ascii="David" w:eastAsia="Times New Roman" w:hAnsi="David"/>
                <w:sz w:val="22"/>
                <w:szCs w:val="22"/>
                <w:rtl/>
              </w:rPr>
              <w:t>חיפה</w:t>
            </w:r>
          </w:p>
        </w:tc>
        <w:tc>
          <w:tcPr>
            <w:tcW w:w="1161"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97</w:t>
            </w:r>
          </w:p>
        </w:tc>
        <w:tc>
          <w:tcPr>
            <w:tcW w:w="1409"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5.1</w:t>
            </w:r>
          </w:p>
        </w:tc>
        <w:tc>
          <w:tcPr>
            <w:tcW w:w="1303"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12.1%</w:t>
            </w:r>
          </w:p>
        </w:tc>
      </w:tr>
      <w:tr w:rsidTr="00DC5B13">
        <w:tblPrEx>
          <w:tblW w:w="5000" w:type="pct"/>
          <w:tblLook w:val="04A0"/>
        </w:tblPrEx>
        <w:trPr>
          <w:trHeight w:val="285"/>
        </w:trPr>
        <w:tc>
          <w:tcPr>
            <w:tcW w:w="1128" w:type="pct"/>
            <w:hideMark/>
          </w:tcPr>
          <w:p w:rsidR="00DC5B13" w:rsidRPr="00DC5B13" w:rsidP="00C34B23">
            <w:pPr>
              <w:spacing w:line="269" w:lineRule="auto"/>
              <w:jc w:val="left"/>
              <w:rPr>
                <w:rFonts w:ascii="David" w:eastAsia="Times New Roman" w:hAnsi="David"/>
                <w:sz w:val="22"/>
                <w:szCs w:val="22"/>
                <w:rtl/>
              </w:rPr>
            </w:pPr>
            <w:r w:rsidRPr="00DC5B13">
              <w:rPr>
                <w:rFonts w:ascii="David" w:eastAsia="Times New Roman" w:hAnsi="David" w:hint="cs"/>
                <w:sz w:val="22"/>
                <w:szCs w:val="22"/>
                <w:rtl/>
              </w:rPr>
              <w:t>ה</w:t>
            </w:r>
            <w:r w:rsidRPr="00DC5B13">
              <w:rPr>
                <w:rFonts w:ascii="David" w:eastAsia="Times New Roman" w:hAnsi="David"/>
                <w:sz w:val="22"/>
                <w:szCs w:val="22"/>
                <w:rtl/>
              </w:rPr>
              <w:t>מרכז</w:t>
            </w:r>
          </w:p>
        </w:tc>
        <w:tc>
          <w:tcPr>
            <w:tcW w:w="1161"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200</w:t>
            </w:r>
          </w:p>
        </w:tc>
        <w:tc>
          <w:tcPr>
            <w:tcW w:w="1409"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3.8</w:t>
            </w:r>
          </w:p>
        </w:tc>
        <w:tc>
          <w:tcPr>
            <w:tcW w:w="1303"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24.9%</w:t>
            </w:r>
          </w:p>
        </w:tc>
      </w:tr>
      <w:tr w:rsidTr="00DC5B13">
        <w:tblPrEx>
          <w:tblW w:w="5000" w:type="pct"/>
          <w:tblLook w:val="04A0"/>
        </w:tblPrEx>
        <w:trPr>
          <w:trHeight w:val="285"/>
        </w:trPr>
        <w:tc>
          <w:tcPr>
            <w:tcW w:w="1128" w:type="pct"/>
            <w:shd w:val="clear" w:color="auto" w:fill="DBE5F1"/>
            <w:hideMark/>
          </w:tcPr>
          <w:p w:rsidR="00DC5B13" w:rsidRPr="00DC5B13" w:rsidP="00C34B23">
            <w:pPr>
              <w:spacing w:line="269" w:lineRule="auto"/>
              <w:jc w:val="left"/>
              <w:rPr>
                <w:rFonts w:ascii="David" w:eastAsia="Times New Roman" w:hAnsi="David"/>
                <w:sz w:val="22"/>
                <w:szCs w:val="22"/>
                <w:rtl/>
              </w:rPr>
            </w:pPr>
            <w:r w:rsidRPr="00DC5B13">
              <w:rPr>
                <w:rFonts w:ascii="David" w:eastAsia="Times New Roman" w:hAnsi="David"/>
                <w:sz w:val="22"/>
                <w:szCs w:val="22"/>
                <w:rtl/>
              </w:rPr>
              <w:t>תל אביב</w:t>
            </w:r>
          </w:p>
        </w:tc>
        <w:tc>
          <w:tcPr>
            <w:tcW w:w="1161"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272</w:t>
            </w:r>
          </w:p>
        </w:tc>
        <w:tc>
          <w:tcPr>
            <w:tcW w:w="1409"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3.2</w:t>
            </w:r>
          </w:p>
        </w:tc>
        <w:tc>
          <w:tcPr>
            <w:tcW w:w="1303"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33.9%</w:t>
            </w:r>
          </w:p>
        </w:tc>
      </w:tr>
      <w:tr w:rsidTr="00DC5B13">
        <w:tblPrEx>
          <w:tblW w:w="5000" w:type="pct"/>
          <w:tblLook w:val="04A0"/>
        </w:tblPrEx>
        <w:trPr>
          <w:trHeight w:val="285"/>
        </w:trPr>
        <w:tc>
          <w:tcPr>
            <w:tcW w:w="1128" w:type="pct"/>
            <w:hideMark/>
          </w:tcPr>
          <w:p w:rsidR="00DC5B13" w:rsidRPr="00DC5B13" w:rsidP="00C34B23">
            <w:pPr>
              <w:spacing w:line="269" w:lineRule="auto"/>
              <w:jc w:val="left"/>
              <w:rPr>
                <w:rFonts w:ascii="David" w:eastAsia="Times New Roman" w:hAnsi="David"/>
                <w:sz w:val="22"/>
                <w:szCs w:val="22"/>
                <w:rtl/>
              </w:rPr>
            </w:pPr>
            <w:r w:rsidRPr="00DC5B13">
              <w:rPr>
                <w:rFonts w:ascii="David" w:eastAsia="Times New Roman" w:hAnsi="David"/>
                <w:sz w:val="22"/>
                <w:szCs w:val="22"/>
                <w:rtl/>
              </w:rPr>
              <w:t>ירושלים</w:t>
            </w:r>
          </w:p>
        </w:tc>
        <w:tc>
          <w:tcPr>
            <w:tcW w:w="1161"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145</w:t>
            </w:r>
          </w:p>
        </w:tc>
        <w:tc>
          <w:tcPr>
            <w:tcW w:w="1409"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4.4</w:t>
            </w:r>
          </w:p>
        </w:tc>
        <w:tc>
          <w:tcPr>
            <w:tcW w:w="1303"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18.1%</w:t>
            </w:r>
          </w:p>
        </w:tc>
      </w:tr>
      <w:tr w:rsidTr="00DC5B13">
        <w:tblPrEx>
          <w:tblW w:w="5000" w:type="pct"/>
          <w:tblLook w:val="04A0"/>
        </w:tblPrEx>
        <w:trPr>
          <w:trHeight w:val="570"/>
        </w:trPr>
        <w:tc>
          <w:tcPr>
            <w:tcW w:w="1128" w:type="pct"/>
            <w:shd w:val="clear" w:color="auto" w:fill="DBE5F1"/>
            <w:hideMark/>
          </w:tcPr>
          <w:p w:rsidR="00DC5B13" w:rsidRPr="00DC5B13" w:rsidP="00C34B23">
            <w:pPr>
              <w:spacing w:line="269" w:lineRule="auto"/>
              <w:jc w:val="left"/>
              <w:rPr>
                <w:rFonts w:ascii="David" w:eastAsia="Times New Roman" w:hAnsi="David"/>
                <w:sz w:val="22"/>
                <w:szCs w:val="22"/>
                <w:rtl/>
              </w:rPr>
            </w:pPr>
            <w:r w:rsidRPr="00DC5B13">
              <w:rPr>
                <w:rFonts w:ascii="David" w:eastAsia="Times New Roman" w:hAnsi="David" w:hint="cs"/>
                <w:sz w:val="22"/>
                <w:szCs w:val="22"/>
                <w:rtl/>
              </w:rPr>
              <w:t>ה</w:t>
            </w:r>
            <w:r w:rsidRPr="00DC5B13">
              <w:rPr>
                <w:rFonts w:ascii="David" w:eastAsia="Times New Roman" w:hAnsi="David"/>
                <w:sz w:val="22"/>
                <w:szCs w:val="22"/>
                <w:rtl/>
              </w:rPr>
              <w:t>דרום</w:t>
            </w:r>
          </w:p>
        </w:tc>
        <w:tc>
          <w:tcPr>
            <w:tcW w:w="1161" w:type="pct"/>
            <w:hideMark/>
          </w:tcPr>
          <w:p w:rsidR="00DC5B13" w:rsidRPr="00DC5B13" w:rsidP="00C34B23">
            <w:pPr>
              <w:spacing w:line="269" w:lineRule="auto"/>
              <w:jc w:val="center"/>
              <w:rPr>
                <w:rFonts w:ascii="David" w:eastAsia="Times New Roman" w:hAnsi="David"/>
                <w:sz w:val="22"/>
                <w:szCs w:val="22"/>
                <w:rtl/>
              </w:rPr>
            </w:pPr>
            <w:r w:rsidRPr="00DC5B13">
              <w:rPr>
                <w:rFonts w:ascii="David" w:eastAsia="Times New Roman" w:hAnsi="David"/>
                <w:color w:val="000000"/>
                <w:sz w:val="22"/>
                <w:szCs w:val="22"/>
                <w:rtl/>
              </w:rPr>
              <w:t>53</w:t>
            </w:r>
          </w:p>
        </w:tc>
        <w:tc>
          <w:tcPr>
            <w:tcW w:w="1409"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9.8</w:t>
            </w:r>
          </w:p>
        </w:tc>
        <w:tc>
          <w:tcPr>
            <w:tcW w:w="1303"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6.6%</w:t>
            </w:r>
          </w:p>
        </w:tc>
      </w:tr>
      <w:tr w:rsidTr="00DC5B13">
        <w:tblPrEx>
          <w:tblW w:w="5000" w:type="pct"/>
          <w:tblLook w:val="04A0"/>
        </w:tblPrEx>
        <w:trPr>
          <w:trHeight w:val="570"/>
        </w:trPr>
        <w:tc>
          <w:tcPr>
            <w:tcW w:w="1128" w:type="pct"/>
            <w:hideMark/>
          </w:tcPr>
          <w:p w:rsidR="00DC5B13" w:rsidRPr="00DC5B13" w:rsidP="00C34B23">
            <w:pPr>
              <w:spacing w:line="269" w:lineRule="auto"/>
              <w:jc w:val="left"/>
              <w:rPr>
                <w:rFonts w:ascii="David" w:eastAsia="Times New Roman" w:hAnsi="David"/>
                <w:sz w:val="22"/>
                <w:szCs w:val="22"/>
                <w:rtl/>
              </w:rPr>
            </w:pPr>
            <w:r w:rsidRPr="00DC5B13">
              <w:rPr>
                <w:rFonts w:ascii="David" w:eastAsia="Times New Roman" w:hAnsi="David"/>
                <w:sz w:val="22"/>
                <w:szCs w:val="22"/>
                <w:rtl/>
              </w:rPr>
              <w:t>יהודה ושומרון</w:t>
            </w:r>
          </w:p>
        </w:tc>
        <w:tc>
          <w:tcPr>
            <w:tcW w:w="1161"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2</w:t>
            </w:r>
          </w:p>
        </w:tc>
        <w:tc>
          <w:tcPr>
            <w:tcW w:w="1409"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8.7</w:t>
            </w:r>
          </w:p>
        </w:tc>
        <w:tc>
          <w:tcPr>
            <w:tcW w:w="1303" w:type="pct"/>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0.2%</w:t>
            </w:r>
          </w:p>
        </w:tc>
      </w:tr>
    </w:tbl>
    <w:p w:rsidR="00DC5B13" w:rsidRPr="00DC5B13" w:rsidP="00C34B23">
      <w:pPr>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נתוני</w:t>
      </w:r>
      <w:r w:rsidRPr="00DC5B13">
        <w:rPr>
          <w:rFonts w:eastAsia="Calibri"/>
          <w:szCs w:val="20"/>
          <w:rtl/>
        </w:rPr>
        <w:t xml:space="preserve"> </w:t>
      </w:r>
      <w:r w:rsidRPr="00DC5B13">
        <w:rPr>
          <w:rFonts w:eastAsia="Calibri" w:hint="eastAsia"/>
          <w:szCs w:val="20"/>
          <w:rtl/>
        </w:rPr>
        <w:t>הרשות</w:t>
      </w:r>
      <w:r w:rsidRPr="00DC5B13">
        <w:rPr>
          <w:rFonts w:eastAsia="Calibri"/>
          <w:szCs w:val="20"/>
          <w:rtl/>
        </w:rPr>
        <w:t xml:space="preserve"> </w:t>
      </w:r>
      <w:r w:rsidRPr="00DC5B13">
        <w:rPr>
          <w:rFonts w:eastAsia="Calibri" w:hint="eastAsia"/>
          <w:szCs w:val="20"/>
          <w:rtl/>
        </w:rPr>
        <w:t>להתחדשות</w:t>
      </w:r>
      <w:r w:rsidRPr="00DC5B13">
        <w:rPr>
          <w:rFonts w:eastAsia="Calibri"/>
          <w:szCs w:val="20"/>
          <w:rtl/>
        </w:rPr>
        <w:t xml:space="preserve"> </w:t>
      </w:r>
      <w:r w:rsidRPr="00DC5B13">
        <w:rPr>
          <w:rFonts w:eastAsia="Calibri" w:hint="eastAsia"/>
          <w:szCs w:val="20"/>
          <w:rtl/>
        </w:rPr>
        <w:t>עירונית</w:t>
      </w:r>
      <w:r w:rsidRPr="00DC5B13">
        <w:rPr>
          <w:rFonts w:eastAsia="Calibri"/>
          <w:szCs w:val="20"/>
          <w:rtl/>
        </w:rPr>
        <w:t>, בעיבוד משרד מבקר המדינה.</w:t>
      </w:r>
    </w:p>
    <w:p w:rsidR="00DC5B13" w:rsidRPr="00DC5B13" w:rsidP="00C34B23">
      <w:pPr>
        <w:spacing w:line="269" w:lineRule="auto"/>
        <w:rPr>
          <w:rFonts w:eastAsia="Calibri"/>
          <w:szCs w:val="20"/>
          <w:rtl/>
        </w:rPr>
      </w:pPr>
      <w:r w:rsidRPr="00DC5B13">
        <w:rPr>
          <w:rFonts w:eastAsia="Calibri"/>
          <w:sz w:val="22"/>
          <w:szCs w:val="22"/>
          <w:rtl/>
        </w:rPr>
        <w:t xml:space="preserve">* </w:t>
      </w:r>
      <w:r w:rsidRPr="00DC5B13">
        <w:rPr>
          <w:rFonts w:eastAsia="Calibri" w:hint="eastAsia"/>
          <w:szCs w:val="20"/>
          <w:rtl/>
        </w:rPr>
        <w:t>נתוני</w:t>
      </w:r>
      <w:r w:rsidRPr="00DC5B13">
        <w:rPr>
          <w:rFonts w:eastAsia="Calibri"/>
          <w:szCs w:val="20"/>
          <w:rtl/>
        </w:rPr>
        <w:t xml:space="preserve"> </w:t>
      </w:r>
      <w:r w:rsidRPr="00DC5B13">
        <w:rPr>
          <w:rFonts w:eastAsia="Calibri" w:hint="eastAsia"/>
          <w:szCs w:val="20"/>
          <w:rtl/>
        </w:rPr>
        <w:t>ההתחדשות</w:t>
      </w:r>
      <w:r w:rsidRPr="00DC5B13">
        <w:rPr>
          <w:rFonts w:eastAsia="Calibri"/>
          <w:szCs w:val="20"/>
          <w:rtl/>
        </w:rPr>
        <w:t xml:space="preserve"> </w:t>
      </w:r>
      <w:r w:rsidRPr="00DC5B13">
        <w:rPr>
          <w:rFonts w:eastAsia="Calibri" w:hint="eastAsia"/>
          <w:szCs w:val="20"/>
          <w:rtl/>
        </w:rPr>
        <w:t>העירונית</w:t>
      </w:r>
      <w:r w:rsidRPr="00DC5B13">
        <w:rPr>
          <w:rFonts w:eastAsia="Calibri"/>
          <w:szCs w:val="20"/>
          <w:rtl/>
        </w:rPr>
        <w:t xml:space="preserve"> </w:t>
      </w:r>
      <w:r w:rsidRPr="00DC5B13">
        <w:rPr>
          <w:rFonts w:eastAsia="Calibri" w:hint="eastAsia"/>
          <w:szCs w:val="20"/>
          <w:rtl/>
        </w:rPr>
        <w:t>בעיריית</w:t>
      </w:r>
      <w:r w:rsidRPr="00DC5B13">
        <w:rPr>
          <w:rFonts w:eastAsia="Calibri"/>
          <w:szCs w:val="20"/>
          <w:rtl/>
        </w:rPr>
        <w:t xml:space="preserve"> </w:t>
      </w:r>
      <w:r w:rsidRPr="00DC5B13">
        <w:rPr>
          <w:rFonts w:eastAsia="Calibri" w:hint="eastAsia"/>
          <w:szCs w:val="20"/>
          <w:rtl/>
        </w:rPr>
        <w:t>נצרת</w:t>
      </w:r>
      <w:r w:rsidRPr="00DC5B13">
        <w:rPr>
          <w:rFonts w:eastAsia="Calibri"/>
          <w:szCs w:val="20"/>
          <w:rtl/>
        </w:rPr>
        <w:t xml:space="preserve"> </w:t>
      </w:r>
      <w:r w:rsidRPr="00DC5B13">
        <w:rPr>
          <w:rFonts w:eastAsia="Calibri" w:hint="eastAsia"/>
          <w:szCs w:val="20"/>
          <w:rtl/>
        </w:rPr>
        <w:t>נגרעו</w:t>
      </w:r>
      <w:r w:rsidRPr="00DC5B13">
        <w:rPr>
          <w:rFonts w:eastAsia="Calibri"/>
          <w:szCs w:val="20"/>
          <w:rtl/>
        </w:rPr>
        <w:t xml:space="preserve"> </w:t>
      </w:r>
      <w:r w:rsidRPr="00DC5B13">
        <w:rPr>
          <w:rFonts w:eastAsia="Calibri" w:hint="eastAsia"/>
          <w:szCs w:val="20"/>
          <w:rtl/>
        </w:rPr>
        <w:t>מחישוב</w:t>
      </w:r>
      <w:r w:rsidRPr="00DC5B13">
        <w:rPr>
          <w:rFonts w:eastAsia="Calibri"/>
          <w:szCs w:val="20"/>
          <w:rtl/>
        </w:rPr>
        <w:t xml:space="preserve"> </w:t>
      </w:r>
      <w:r w:rsidRPr="00DC5B13">
        <w:rPr>
          <w:rFonts w:eastAsia="Calibri" w:hint="eastAsia"/>
          <w:szCs w:val="20"/>
          <w:rtl/>
        </w:rPr>
        <w:t>המכפיל</w:t>
      </w:r>
      <w:r w:rsidRPr="00DC5B13">
        <w:rPr>
          <w:rFonts w:eastAsia="Calibri"/>
          <w:szCs w:val="20"/>
          <w:rtl/>
        </w:rPr>
        <w:t xml:space="preserve"> </w:t>
      </w:r>
      <w:r w:rsidRPr="00DC5B13">
        <w:rPr>
          <w:rFonts w:eastAsia="Calibri" w:hint="eastAsia"/>
          <w:szCs w:val="20"/>
          <w:rtl/>
        </w:rPr>
        <w:t>הממוצע</w:t>
      </w:r>
      <w:r w:rsidRPr="00DC5B13">
        <w:rPr>
          <w:rFonts w:eastAsia="Calibri"/>
          <w:szCs w:val="20"/>
          <w:rtl/>
        </w:rPr>
        <w:t xml:space="preserve"> </w:t>
      </w:r>
      <w:r w:rsidRPr="00DC5B13">
        <w:rPr>
          <w:rFonts w:eastAsia="Calibri" w:hint="eastAsia"/>
          <w:szCs w:val="20"/>
          <w:rtl/>
        </w:rPr>
        <w:t>במחוז</w:t>
      </w:r>
      <w:r w:rsidRPr="00DC5B13">
        <w:rPr>
          <w:rFonts w:eastAsia="Calibri"/>
          <w:szCs w:val="20"/>
          <w:rtl/>
        </w:rPr>
        <w:t xml:space="preserve"> </w:t>
      </w:r>
      <w:r w:rsidRPr="00DC5B13">
        <w:rPr>
          <w:rFonts w:eastAsia="Calibri" w:hint="cs"/>
          <w:szCs w:val="20"/>
          <w:rtl/>
        </w:rPr>
        <w:t>ה</w:t>
      </w:r>
      <w:r w:rsidRPr="00DC5B13">
        <w:rPr>
          <w:rFonts w:eastAsia="Calibri" w:hint="eastAsia"/>
          <w:szCs w:val="20"/>
          <w:rtl/>
        </w:rPr>
        <w:t>צפון</w:t>
      </w:r>
      <w:r w:rsidRPr="00DC5B13">
        <w:rPr>
          <w:rFonts w:eastAsia="Calibri"/>
          <w:szCs w:val="20"/>
          <w:rtl/>
        </w:rPr>
        <w:t>.</w:t>
      </w:r>
    </w:p>
    <w:p w:rsidR="00DC5B13" w:rsidRPr="00DC5B13" w:rsidP="00C34B23">
      <w:pPr>
        <w:spacing w:line="269" w:lineRule="auto"/>
        <w:rPr>
          <w:rFonts w:eastAsia="Calibri"/>
          <w:szCs w:val="20"/>
          <w:rtl/>
        </w:rPr>
      </w:pPr>
      <w:bookmarkStart w:id="16" w:name="_Hlk217287972"/>
    </w:p>
    <w:p w:rsidR="00DC5B13" w:rsidRPr="00DC5B13" w:rsidP="00C34B23">
      <w:pPr>
        <w:spacing w:line="269" w:lineRule="auto"/>
        <w:rPr>
          <w:rFonts w:eastAsia="Calibri"/>
          <w:rtl/>
        </w:rPr>
      </w:pPr>
      <w:r w:rsidRPr="00DC5B13">
        <w:rPr>
          <w:rFonts w:eastAsia="Calibri" w:hint="eastAsia"/>
          <w:rtl/>
        </w:rPr>
        <w:t>פריסת</w:t>
      </w:r>
      <w:r w:rsidRPr="00DC5B13">
        <w:rPr>
          <w:rFonts w:eastAsia="Calibri"/>
          <w:rtl/>
        </w:rPr>
        <w:t xml:space="preserve"> </w:t>
      </w:r>
      <w:r w:rsidRPr="00DC5B13">
        <w:rPr>
          <w:rFonts w:eastAsia="Calibri" w:hint="cs"/>
          <w:rtl/>
        </w:rPr>
        <w:t>המיזמים לפינוי ובינוי בישראל על רקע המכפיל הממוצע בחלוקה לרשויות מקומיות מוצגת במפה להלן.</w:t>
      </w:r>
    </w:p>
    <w:bookmarkEnd w:id="16"/>
    <w:p w:rsidR="00DC5B13" w:rsidRPr="00DC5B13" w:rsidP="00C34B23">
      <w:pPr>
        <w:keepNext/>
        <w:keepLines/>
        <w:spacing w:line="269" w:lineRule="auto"/>
        <w:jc w:val="center"/>
        <w:rPr>
          <w:rFonts w:eastAsia="Calibri"/>
          <w:b/>
          <w:bCs/>
          <w:rtl/>
        </w:rPr>
      </w:pPr>
      <w:r w:rsidRPr="00DC5B13">
        <w:rPr>
          <w:rFonts w:eastAsia="Calibri" w:hint="cs"/>
          <w:rtl/>
        </w:rPr>
        <w:t>מפה 2</w:t>
      </w:r>
      <w:r w:rsidRPr="00DC5B13">
        <w:rPr>
          <w:rFonts w:eastAsia="Calibri"/>
          <w:rtl/>
        </w:rPr>
        <w:t xml:space="preserve">: </w:t>
      </w:r>
      <w:r w:rsidRPr="00DC5B13">
        <w:rPr>
          <w:rFonts w:eastAsia="Calibri" w:hint="cs"/>
          <w:b/>
          <w:bCs/>
          <w:rtl/>
        </w:rPr>
        <w:t>פריסת מיזמים להתחדשות עירונית על רקע כדאיות כלכלית, יולי 2025</w:t>
      </w:r>
      <w:r w:rsidRPr="00DC5B13">
        <w:rPr>
          <w:rFonts w:eastAsia="Calibri"/>
          <w:b/>
          <w:bCs/>
          <w:noProof/>
        </w:rPr>
        <w:drawing>
          <wp:anchor distT="0" distB="0" distL="114300" distR="114300" simplePos="0" relativeHeight="251689984" behindDoc="0" locked="0" layoutInCell="1" allowOverlap="1">
            <wp:simplePos x="0" y="0"/>
            <wp:positionH relativeFrom="column">
              <wp:align>center</wp:align>
            </wp:positionH>
            <wp:positionV relativeFrom="paragraph">
              <wp:posOffset>193675</wp:posOffset>
            </wp:positionV>
            <wp:extent cx="5220000" cy="7416000"/>
            <wp:effectExtent l="0" t="0" r="0" b="0"/>
            <wp:wrapTopAndBottom/>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7416000"/>
                    </a:xfrm>
                    <a:prstGeom prst="rect">
                      <a:avLst/>
                    </a:prstGeom>
                    <a:noFill/>
                  </pic:spPr>
                </pic:pic>
              </a:graphicData>
            </a:graphic>
            <wp14:sizeRelH relativeFrom="margin">
              <wp14:pctWidth>0</wp14:pctWidth>
            </wp14:sizeRelH>
            <wp14:sizeRelV relativeFrom="margin">
              <wp14:pctHeight>0</wp14:pctHeight>
            </wp14:sizeRelV>
          </wp:anchor>
        </w:drawing>
      </w:r>
    </w:p>
    <w:p w:rsidR="00DC5B13" w:rsidRPr="00DC5B13" w:rsidP="00C34B23">
      <w:pPr>
        <w:spacing w:line="269" w:lineRule="auto"/>
        <w:rPr>
          <w:rFonts w:eastAsia="Calibri"/>
          <w:szCs w:val="20"/>
          <w:rtl/>
        </w:rPr>
      </w:pPr>
      <w:r w:rsidRPr="00DC5B13">
        <w:rPr>
          <w:rFonts w:eastAsia="Calibri" w:hint="cs"/>
          <w:szCs w:val="20"/>
          <w:rtl/>
        </w:rPr>
        <w:t xml:space="preserve">המקור: מפת רקע של המרכז למיפוי ישראל, שכבת מחוזות וגבולות שיפוט הרשויות של משרד הפנים, ונתוני </w:t>
      </w:r>
      <w:r w:rsidRPr="00DC5B13">
        <w:rPr>
          <w:rFonts w:eastAsia="Calibri" w:hint="eastAsia"/>
          <w:szCs w:val="20"/>
          <w:rtl/>
        </w:rPr>
        <w:t>הרשות</w:t>
      </w:r>
      <w:r w:rsidRPr="00DC5B13">
        <w:rPr>
          <w:rFonts w:eastAsia="Calibri"/>
          <w:szCs w:val="20"/>
          <w:rtl/>
        </w:rPr>
        <w:t xml:space="preserve"> </w:t>
      </w:r>
      <w:r w:rsidRPr="00DC5B13">
        <w:rPr>
          <w:rFonts w:eastAsia="Calibri" w:hint="eastAsia"/>
          <w:szCs w:val="20"/>
          <w:rtl/>
        </w:rPr>
        <w:t>להתחדשות</w:t>
      </w:r>
      <w:r w:rsidRPr="00DC5B13">
        <w:rPr>
          <w:rFonts w:eastAsia="Calibri"/>
          <w:szCs w:val="20"/>
          <w:rtl/>
        </w:rPr>
        <w:t xml:space="preserve"> </w:t>
      </w:r>
      <w:r w:rsidRPr="00DC5B13">
        <w:rPr>
          <w:rFonts w:eastAsia="Calibri" w:hint="eastAsia"/>
          <w:szCs w:val="20"/>
          <w:rtl/>
        </w:rPr>
        <w:t>עירונית</w:t>
      </w:r>
      <w:r w:rsidRPr="00DC5B13">
        <w:rPr>
          <w:rFonts w:eastAsia="Calibri"/>
          <w:szCs w:val="20"/>
          <w:rtl/>
        </w:rPr>
        <w:t>, בעיבוד משרד מבקר המדינה.</w:t>
      </w:r>
    </w:p>
    <w:p w:rsidR="00DC5B13" w:rsidRPr="00DC5B13" w:rsidP="00C34B23">
      <w:pPr>
        <w:spacing w:line="269" w:lineRule="auto"/>
        <w:rPr>
          <w:rFonts w:eastAsia="Calibri"/>
          <w:szCs w:val="20"/>
          <w:rtl/>
        </w:rPr>
      </w:pPr>
      <w:r w:rsidRPr="00DC5B13">
        <w:rPr>
          <w:rFonts w:eastAsia="Calibri" w:hint="cs"/>
          <w:szCs w:val="20"/>
          <w:rtl/>
        </w:rPr>
        <w:t>*</w:t>
      </w:r>
      <w:r w:rsidRPr="00DC5B13">
        <w:rPr>
          <w:rFonts w:eastAsia="Calibri"/>
          <w:rtl/>
        </w:rPr>
        <w:t xml:space="preserve"> </w:t>
      </w:r>
      <w:r w:rsidRPr="00DC5B13">
        <w:rPr>
          <w:rFonts w:eastAsia="Calibri"/>
          <w:szCs w:val="20"/>
          <w:rtl/>
        </w:rPr>
        <w:t>המכפיל בקריית שמונה נקבע בהנחה שכל המיזמים בתחומה יקבלו מימון חיצוני להבטחת כדאיות כלכלית באופן דומה לזה שהוצע במסגרת קול קורא 5/2022 (קידום התחדשות עירונית בפריפריה). עיריית קריית שמונה הגישה לקול הקורא את מתחם יעקב מלול בעיר.</w:t>
      </w:r>
    </w:p>
    <w:p w:rsidR="00DC5B13" w:rsidRPr="00DC5B13" w:rsidP="00C34B23">
      <w:pPr>
        <w:spacing w:line="269" w:lineRule="auto"/>
        <w:rPr>
          <w:rFonts w:eastAsia="Calibri"/>
          <w:b/>
          <w:bCs/>
          <w:rtl/>
        </w:rPr>
      </w:pPr>
      <w:r w:rsidRPr="00DC5B13">
        <w:rPr>
          <w:rFonts w:eastAsia="Calibri" w:hint="cs"/>
          <w:b/>
          <w:bCs/>
          <w:rtl/>
        </w:rPr>
        <w:t xml:space="preserve">מהנתונים בלוח ובמפה עולה קשר בין גובה המכפיל הממוצע למחוז (סכום יחידות הדיור המוצעות להקמה במיזמי התחדשות עירונית במחוז בחלוקה לסכום הדירות הנכללות במיזמים אלו), ובין שיעור המיזמים המקודמים והמבוצעים באותו מחוז. במחוזות שבהם המכפיל הממוצע למחוז גבוה מ-5, שיעור המיזמים קטן יותר, ובמחוזות שבהם המכפיל הממוצע נמוך יותר, מקודמים ומבוצעים מיזמים רבים </w:t>
      </w:r>
      <w:r w:rsidRPr="00DC5B13">
        <w:rPr>
          <w:rFonts w:ascii="David" w:eastAsia="Calibri" w:hAnsi="David"/>
          <w:b/>
          <w:bCs/>
          <w:sz w:val="24"/>
          <w:rtl/>
        </w:rPr>
        <w:t>יותר. השיעור המצטבר של המיז</w:t>
      </w:r>
      <w:r w:rsidRPr="00DC5B13">
        <w:rPr>
          <w:rFonts w:eastAsia="Calibri" w:hint="cs"/>
          <w:b/>
          <w:bCs/>
          <w:rtl/>
        </w:rPr>
        <w:t xml:space="preserve">מים המקודמים במחזות הצפון, חיפה והדרום הוא כ-24% - פחות משיעור המיזמים במחוז המרכז, שהוא כ-24.6% (195 מיזמים במחוזות הצפון, חיפה והדרום לעומת 200 מיזמים במחוז המרכז).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עוד עולה מהמפה הקשר בין הוצאת היתרים עבור יח"ד שאושרו בתוכניות התחדשות עירונית ובין המכפיל הממוצע ברשויות שנבדקו. בעיריות נתניה ורעננה, בהן המכפיל הממוצע הוא הנמוך ביותר מבין הרשויות שנבדקו (3.9 ו-3.0, בהתאמה), קיים שיעור גבוה יחסית של יח"ד להן הוצא היתר בניה עד יולי 2025 - 35% - 40% מיחידות הדיור המאושרות (כ-5,600 היתרי בנייה בנתניה וכ-450 היתרי בנייה ברעננה, בהתאמה). בעיריות לוד וקריית ים, שהמכפיל הממוצע בתחומן נע בין 4.8 ל-5.2 תועד שיעור נמוך יותר של יח"ד שהוצא להן היתר - 8.0% בלוד (כ-1,500 היתרי בנייה) ו-6.9% בקריית ים (כ-600 היתרי בנייה); ואילו בקריית שמונה טרם הוצאו היתרי בנייה נכון למועד סיום הביקורת.</w:t>
      </w:r>
    </w:p>
    <w:p w:rsidR="00DC5B13" w:rsidRPr="00DC5B13" w:rsidP="00C34B23">
      <w:pPr>
        <w:spacing w:line="269" w:lineRule="auto"/>
        <w:ind w:left="-567"/>
        <w:rPr>
          <w:rFonts w:eastAsia="Calibri"/>
          <w:szCs w:val="20"/>
          <w:rtl/>
        </w:rPr>
      </w:pPr>
    </w:p>
    <w:p w:rsidR="00DC5B13" w:rsidRPr="00DC5B13" w:rsidP="00C34B23">
      <w:pPr>
        <w:spacing w:line="269" w:lineRule="auto"/>
        <w:rPr>
          <w:rFonts w:ascii="David" w:eastAsia="Calibri" w:hAnsi="David"/>
          <w:b/>
          <w:bCs/>
          <w:sz w:val="24"/>
          <w:rtl/>
        </w:rPr>
      </w:pPr>
      <w:bookmarkStart w:id="17" w:name="_Hlk230078577"/>
      <w:r w:rsidRPr="00DC5B13">
        <w:rPr>
          <w:rFonts w:ascii="David" w:eastAsia="Calibri" w:hAnsi="David"/>
          <w:b/>
          <w:bCs/>
          <w:sz w:val="24"/>
          <w:rtl/>
        </w:rPr>
        <w:t>נתונים אלה מצביעים על קשר בין הכדאיות הכלכלית</w:t>
      </w:r>
      <w:r w:rsidRPr="00DC5B13">
        <w:rPr>
          <w:rFonts w:ascii="David" w:eastAsia="Calibri" w:hAnsi="David" w:hint="cs"/>
          <w:b/>
          <w:bCs/>
          <w:sz w:val="24"/>
          <w:rtl/>
        </w:rPr>
        <w:t xml:space="preserve"> </w:t>
      </w:r>
      <w:r w:rsidRPr="00DC5B13">
        <w:rPr>
          <w:rFonts w:ascii="David" w:eastAsia="Calibri" w:hAnsi="David"/>
          <w:b/>
          <w:bCs/>
          <w:sz w:val="24"/>
          <w:rtl/>
        </w:rPr>
        <w:t xml:space="preserve">של מיזם להתחדשות עירונית ובין סיכויי המימוש שלו. </w:t>
      </w:r>
      <w:bookmarkStart w:id="18" w:name="_Hlk230077933"/>
      <w:r w:rsidRPr="00DC5B13">
        <w:rPr>
          <w:rFonts w:ascii="David" w:eastAsia="Calibri" w:hAnsi="David"/>
          <w:b/>
          <w:bCs/>
          <w:sz w:val="24"/>
          <w:rtl/>
        </w:rPr>
        <w:t xml:space="preserve">הואיל ולשווי הקרקע </w:t>
      </w:r>
      <w:r w:rsidRPr="00DC5B13">
        <w:rPr>
          <w:rFonts w:ascii="David" w:eastAsia="Calibri" w:hAnsi="David" w:hint="cs"/>
          <w:b/>
          <w:bCs/>
          <w:sz w:val="24"/>
          <w:rtl/>
        </w:rPr>
        <w:t xml:space="preserve">(ללא התערבות ממשלתית) </w:t>
      </w:r>
      <w:r w:rsidRPr="00DC5B13">
        <w:rPr>
          <w:rFonts w:ascii="David" w:eastAsia="Calibri" w:hAnsi="David"/>
          <w:b/>
          <w:bCs/>
          <w:sz w:val="24"/>
          <w:rtl/>
        </w:rPr>
        <w:t>יש השפעה מכרעת על הכדאיות הכלכלית</w:t>
      </w:r>
      <w:r w:rsidRPr="00DC5B13">
        <w:rPr>
          <w:rFonts w:ascii="David" w:eastAsia="Calibri" w:hAnsi="David" w:hint="cs"/>
          <w:b/>
          <w:bCs/>
          <w:sz w:val="24"/>
          <w:rtl/>
        </w:rPr>
        <w:t xml:space="preserve"> של מיזמי התחדשות עירונית, בפועל נוצר מצב שברוב המיזמים המתממשים מתאפיינים במכפיל נמוך. </w:t>
      </w:r>
      <w:bookmarkEnd w:id="18"/>
      <w:r w:rsidRPr="00DC5B13">
        <w:rPr>
          <w:rFonts w:ascii="David" w:eastAsia="Calibri" w:hAnsi="David" w:hint="cs"/>
          <w:b/>
          <w:bCs/>
          <w:sz w:val="24"/>
          <w:rtl/>
        </w:rPr>
        <w:t>יוצא שעיקר המיזמים להתחדשות עירונית נמצאים באזור המרכז, ומיעוטם באזורי הפריפריה.</w:t>
      </w:r>
    </w:p>
    <w:p w:rsidR="00DC5B13" w:rsidRPr="00DC5B13" w:rsidP="00C34B23">
      <w:pPr>
        <w:spacing w:line="269" w:lineRule="auto"/>
        <w:rPr>
          <w:rFonts w:ascii="David" w:eastAsia="Calibri" w:hAnsi="David"/>
          <w:b/>
          <w:bCs/>
          <w:sz w:val="24"/>
          <w:rtl/>
        </w:rPr>
      </w:pPr>
    </w:p>
    <w:bookmarkEnd w:id="17"/>
    <w:p w:rsidR="00DC5B13" w:rsidRPr="00DC5B13" w:rsidP="00C34B23">
      <w:pPr>
        <w:spacing w:line="269" w:lineRule="auto"/>
        <w:rPr>
          <w:rFonts w:ascii="David" w:eastAsia="Calibri" w:hAnsi="David"/>
          <w:sz w:val="24"/>
          <w:rtl/>
        </w:rPr>
      </w:pPr>
      <w:r w:rsidRPr="00DC5B13">
        <w:rPr>
          <w:rFonts w:ascii="David" w:eastAsia="Calibri" w:hAnsi="David"/>
          <w:sz w:val="24"/>
          <w:rtl/>
        </w:rPr>
        <w:t>הרשות להתחדשות מסרה בתשובתה כי גובה המכפיל הוא תוצר של תכנון מיטבי ושל ניסיון להביא את המיזם לכדי כדאיות כלכלית באמצעות בנייתן ומכירתן של יח"ד שהוספו למיזם - שהן הבסיס לכדאיות הכלכלית של המיזם עבור היזם. מכירת דירות אלה באזורי הפריפריה היא אתגר גדול יותר עבור היזם. זאת, בין השאר מפני שהבנייה לגובה, שאמורה להגדיל את המכפיל ואת הרווח, נושאת משמעויות הנדסיות</w:t>
      </w:r>
      <w:r w:rsidRPr="00DC5B13">
        <w:rPr>
          <w:rFonts w:ascii="David" w:eastAsia="Calibri" w:hAnsi="David" w:hint="cs"/>
          <w:sz w:val="24"/>
          <w:rtl/>
        </w:rPr>
        <w:t>,</w:t>
      </w:r>
      <w:r w:rsidRPr="00DC5B13">
        <w:rPr>
          <w:rFonts w:ascii="David" w:eastAsia="Calibri" w:hAnsi="David"/>
          <w:sz w:val="24"/>
          <w:rtl/>
        </w:rPr>
        <w:t xml:space="preserve"> ובהן הוספת שטחי שירות וחפירת מרתפי חנייה, המייקר</w:t>
      </w:r>
      <w:r w:rsidRPr="00DC5B13">
        <w:rPr>
          <w:rFonts w:ascii="David" w:eastAsia="Calibri" w:hAnsi="David" w:hint="cs"/>
          <w:sz w:val="24"/>
          <w:rtl/>
        </w:rPr>
        <w:t>ות</w:t>
      </w:r>
      <w:r w:rsidRPr="00DC5B13">
        <w:rPr>
          <w:rFonts w:ascii="David" w:eastAsia="Calibri" w:hAnsi="David"/>
          <w:sz w:val="24"/>
          <w:rtl/>
        </w:rPr>
        <w:t xml:space="preserve"> את עלות הבנייה בכללותה. מכאן, שבי</w:t>
      </w:r>
      <w:r w:rsidRPr="00DC5B13">
        <w:rPr>
          <w:rFonts w:ascii="David" w:eastAsia="Calibri" w:hAnsi="David" w:hint="cs"/>
          <w:sz w:val="24"/>
          <w:rtl/>
        </w:rPr>
        <w:t>י</w:t>
      </w:r>
      <w:r w:rsidRPr="00DC5B13">
        <w:rPr>
          <w:rFonts w:ascii="David" w:eastAsia="Calibri" w:hAnsi="David"/>
          <w:sz w:val="24"/>
          <w:rtl/>
        </w:rPr>
        <w:t xml:space="preserve">שובים בעלי ערכי מכירה נמוכים, גם מכפיל גבוה לאו דווקא מבטיח </w:t>
      </w:r>
      <w:r w:rsidRPr="00DC5B13">
        <w:rPr>
          <w:rFonts w:ascii="David" w:eastAsia="Calibri" w:hAnsi="David" w:hint="cs"/>
          <w:sz w:val="24"/>
          <w:rtl/>
        </w:rPr>
        <w:t xml:space="preserve">את </w:t>
      </w:r>
      <w:r w:rsidRPr="00DC5B13">
        <w:rPr>
          <w:rFonts w:ascii="David" w:eastAsia="Calibri" w:hAnsi="David"/>
          <w:sz w:val="24"/>
          <w:rtl/>
        </w:rPr>
        <w:t xml:space="preserve">היתכנות קידומו של מיזם </w:t>
      </w:r>
      <w:r w:rsidRPr="00DC5B13">
        <w:rPr>
          <w:rFonts w:ascii="David" w:eastAsia="Calibri" w:hAnsi="David" w:hint="cs"/>
          <w:sz w:val="24"/>
          <w:rtl/>
        </w:rPr>
        <w:t>ואינו</w:t>
      </w:r>
      <w:r w:rsidRPr="00DC5B13">
        <w:rPr>
          <w:rFonts w:ascii="David" w:eastAsia="Calibri" w:hAnsi="David"/>
          <w:sz w:val="24"/>
          <w:rtl/>
        </w:rPr>
        <w:t xml:space="preserve"> תורם </w:t>
      </w:r>
      <w:r w:rsidRPr="00DC5B13">
        <w:rPr>
          <w:rFonts w:ascii="David" w:eastAsia="Calibri" w:hAnsi="David" w:hint="cs"/>
          <w:sz w:val="24"/>
          <w:rtl/>
        </w:rPr>
        <w:t xml:space="preserve">תמיד </w:t>
      </w:r>
      <w:r w:rsidRPr="00DC5B13">
        <w:rPr>
          <w:rFonts w:ascii="David" w:eastAsia="Calibri" w:hAnsi="David"/>
          <w:sz w:val="24"/>
          <w:rtl/>
        </w:rPr>
        <w:t xml:space="preserve">לכדאיות הכלכלית. מסיבה זו, חלופות תכנוניות במכפיל גבוה יותר נמצאו כפחות מתאימות בתוכניות שונות המקודמות ביישובים בפריפריה, ובהם קריית שמונה. </w:t>
      </w:r>
      <w:r w:rsidRPr="00DC5B13">
        <w:rPr>
          <w:rFonts w:ascii="David" w:eastAsia="Calibri" w:hAnsi="David" w:hint="cs"/>
          <w:sz w:val="24"/>
          <w:rtl/>
        </w:rPr>
        <w:t xml:space="preserve">סוגיית </w:t>
      </w:r>
      <w:r w:rsidRPr="00DC5B13">
        <w:rPr>
          <w:rFonts w:ascii="David" w:eastAsia="Calibri" w:hAnsi="David"/>
          <w:sz w:val="24"/>
          <w:rtl/>
        </w:rPr>
        <w:t xml:space="preserve">היעדר </w:t>
      </w:r>
      <w:r w:rsidRPr="00DC5B13">
        <w:rPr>
          <w:rFonts w:ascii="David" w:eastAsia="Calibri" w:hAnsi="David" w:hint="cs"/>
          <w:sz w:val="24"/>
          <w:rtl/>
        </w:rPr>
        <w:t>ה</w:t>
      </w:r>
      <w:r w:rsidRPr="00DC5B13">
        <w:rPr>
          <w:rFonts w:ascii="David" w:eastAsia="Calibri" w:hAnsi="David"/>
          <w:sz w:val="24"/>
          <w:rtl/>
        </w:rPr>
        <w:t xml:space="preserve">כדאיות </w:t>
      </w:r>
      <w:r w:rsidRPr="00DC5B13">
        <w:rPr>
          <w:rFonts w:ascii="David" w:eastAsia="Calibri" w:hAnsi="David" w:hint="cs"/>
          <w:sz w:val="24"/>
          <w:rtl/>
        </w:rPr>
        <w:t>ה</w:t>
      </w:r>
      <w:r w:rsidRPr="00DC5B13">
        <w:rPr>
          <w:rFonts w:ascii="David" w:eastAsia="Calibri" w:hAnsi="David"/>
          <w:sz w:val="24"/>
          <w:rtl/>
        </w:rPr>
        <w:t xml:space="preserve">כלכלית במיזמי התחדשות עירונית בפריפריה יכולה להיפתר בעיקר </w:t>
      </w:r>
      <w:r w:rsidRPr="00DC5B13">
        <w:rPr>
          <w:rFonts w:ascii="David" w:eastAsia="Calibri" w:hAnsi="David" w:hint="cs"/>
          <w:sz w:val="24"/>
          <w:rtl/>
        </w:rPr>
        <w:t>באמצעות</w:t>
      </w:r>
      <w:r w:rsidRPr="00DC5B13">
        <w:rPr>
          <w:rFonts w:ascii="David" w:eastAsia="Calibri" w:hAnsi="David"/>
          <w:sz w:val="24"/>
          <w:rtl/>
        </w:rPr>
        <w:t xml:space="preserve"> הקצאת משאבים תקציביים ממשלתיים למימונם.</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מינהל התכנון מסר בתשובתו למשרד מבקר המדינה ממרץ 2026 כי </w:t>
      </w:r>
      <w:r w:rsidRPr="00DC5B13">
        <w:rPr>
          <w:rFonts w:eastAsia="Calibri"/>
          <w:rtl/>
        </w:rPr>
        <w:t>השיח לגבי התחדשות עירונית צריך לעבור ממונח ה"מכפיל" אל הקיבולת</w:t>
      </w:r>
      <w:r w:rsidRPr="00DC5B13">
        <w:rPr>
          <w:rFonts w:eastAsia="Calibri" w:hint="cs"/>
          <w:rtl/>
        </w:rPr>
        <w:t xml:space="preserve"> </w:t>
      </w:r>
      <w:r w:rsidRPr="00DC5B13">
        <w:rPr>
          <w:rFonts w:eastAsia="Calibri"/>
          <w:rtl/>
        </w:rPr>
        <w:t>התכנונית של מתחם. הדבר הרצוי והנכון הוא לקבוע את היקף הזכויות הרצוי בת</w:t>
      </w:r>
      <w:r w:rsidRPr="00DC5B13">
        <w:rPr>
          <w:rFonts w:eastAsia="Calibri" w:hint="cs"/>
          <w:rtl/>
        </w:rPr>
        <w:t>ו</w:t>
      </w:r>
      <w:r w:rsidRPr="00DC5B13">
        <w:rPr>
          <w:rFonts w:eastAsia="Calibri"/>
          <w:rtl/>
        </w:rPr>
        <w:t>כנית,</w:t>
      </w:r>
      <w:r w:rsidRPr="00DC5B13">
        <w:rPr>
          <w:rFonts w:eastAsia="Calibri" w:hint="cs"/>
          <w:rtl/>
        </w:rPr>
        <w:t xml:space="preserve"> </w:t>
      </w:r>
      <w:r w:rsidRPr="00DC5B13">
        <w:rPr>
          <w:rFonts w:eastAsia="Calibri"/>
          <w:rtl/>
        </w:rPr>
        <w:t xml:space="preserve">בהתאם למאפיינים של המתחם </w:t>
      </w:r>
      <w:r w:rsidRPr="00DC5B13">
        <w:rPr>
          <w:rFonts w:eastAsia="Calibri" w:hint="cs"/>
          <w:rtl/>
        </w:rPr>
        <w:t>ש</w:t>
      </w:r>
      <w:r w:rsidRPr="00DC5B13">
        <w:rPr>
          <w:rFonts w:eastAsia="Calibri"/>
          <w:rtl/>
        </w:rPr>
        <w:t xml:space="preserve">בו </w:t>
      </w:r>
      <w:r w:rsidRPr="00DC5B13">
        <w:rPr>
          <w:rFonts w:eastAsia="Calibri" w:hint="cs"/>
          <w:rtl/>
        </w:rPr>
        <w:t xml:space="preserve">היא </w:t>
      </w:r>
      <w:r w:rsidRPr="00DC5B13">
        <w:rPr>
          <w:rFonts w:eastAsia="Calibri"/>
          <w:rtl/>
        </w:rPr>
        <w:t>מקודמת. מאפיינים אלו יכולים להיות</w:t>
      </w:r>
      <w:r w:rsidRPr="00DC5B13">
        <w:rPr>
          <w:rFonts w:eastAsia="Calibri" w:hint="cs"/>
          <w:rtl/>
        </w:rPr>
        <w:t xml:space="preserve"> </w:t>
      </w:r>
      <w:r w:rsidRPr="00DC5B13">
        <w:rPr>
          <w:rFonts w:eastAsia="Calibri"/>
          <w:rtl/>
        </w:rPr>
        <w:t>קשורים למיקום ולמידת המרכזיות, הנגישות והיכולת להישען על מערכות לתחבורה</w:t>
      </w:r>
      <w:r w:rsidRPr="00DC5B13">
        <w:rPr>
          <w:rFonts w:eastAsia="Calibri" w:hint="cs"/>
          <w:rtl/>
        </w:rPr>
        <w:t xml:space="preserve"> </w:t>
      </w:r>
      <w:r w:rsidRPr="00DC5B13">
        <w:rPr>
          <w:rFonts w:eastAsia="Calibri"/>
          <w:rtl/>
        </w:rPr>
        <w:t>ציבורית וניידות במתחם, זאת לצד היכולת לספק מענים לצ</w:t>
      </w:r>
      <w:r w:rsidRPr="00DC5B13">
        <w:rPr>
          <w:rFonts w:eastAsia="Calibri" w:hint="cs"/>
          <w:rtl/>
        </w:rPr>
        <w:t>ו</w:t>
      </w:r>
      <w:r w:rsidRPr="00DC5B13">
        <w:rPr>
          <w:rFonts w:eastAsia="Calibri"/>
          <w:rtl/>
        </w:rPr>
        <w:t>רכי ציבור ועוד. לצד זאת,</w:t>
      </w:r>
      <w:r w:rsidRPr="00DC5B13">
        <w:rPr>
          <w:rFonts w:eastAsia="Calibri" w:hint="cs"/>
          <w:rtl/>
        </w:rPr>
        <w:t xml:space="preserve"> </w:t>
      </w:r>
      <w:r w:rsidRPr="00DC5B13">
        <w:rPr>
          <w:rFonts w:eastAsia="Calibri"/>
          <w:rtl/>
        </w:rPr>
        <w:t>הקיבולת התכנונית נגזרת גם ממאפיינים סביבתיים, אקלימיים, מגודל פיזי של מגרשי</w:t>
      </w:r>
      <w:r w:rsidRPr="00DC5B13">
        <w:rPr>
          <w:rFonts w:eastAsia="Calibri" w:hint="cs"/>
          <w:rtl/>
        </w:rPr>
        <w:t xml:space="preserve"> </w:t>
      </w:r>
      <w:r w:rsidRPr="00DC5B13">
        <w:rPr>
          <w:rFonts w:eastAsia="Calibri"/>
          <w:rtl/>
        </w:rPr>
        <w:t>המגורים ו</w:t>
      </w:r>
      <w:r w:rsidRPr="00DC5B13">
        <w:rPr>
          <w:rFonts w:eastAsia="Calibri" w:hint="cs"/>
          <w:rtl/>
        </w:rPr>
        <w:t>מ</w:t>
      </w:r>
      <w:r w:rsidRPr="00DC5B13">
        <w:rPr>
          <w:rFonts w:eastAsia="Calibri"/>
          <w:rtl/>
        </w:rPr>
        <w:t>צפיפות "נכנסת"</w:t>
      </w:r>
      <w:r w:rsidRPr="00DC5B13">
        <w:rPr>
          <w:rFonts w:eastAsia="Calibri" w:hint="cs"/>
          <w:rtl/>
        </w:rPr>
        <w:t>,</w:t>
      </w:r>
      <w:r w:rsidRPr="00DC5B13">
        <w:rPr>
          <w:rFonts w:eastAsia="Calibri"/>
          <w:rtl/>
        </w:rPr>
        <w:t xml:space="preserve"> אשר גם היא מכתיבה לרוב את הצפיפות ה"יוצאת"</w:t>
      </w:r>
      <w:r w:rsidRPr="00DC5B13">
        <w:rPr>
          <w:rFonts w:eastAsia="Calibri" w:hint="cs"/>
          <w:rtl/>
        </w:rPr>
        <w:t xml:space="preserve"> </w:t>
      </w:r>
      <w:r w:rsidRPr="00DC5B13">
        <w:rPr>
          <w:rFonts w:eastAsia="Calibri"/>
          <w:rtl/>
        </w:rPr>
        <w:t xml:space="preserve">ולפיכך </w:t>
      </w:r>
      <w:r w:rsidRPr="00DC5B13">
        <w:rPr>
          <w:rFonts w:eastAsia="Calibri" w:hint="cs"/>
          <w:rtl/>
        </w:rPr>
        <w:t xml:space="preserve">מכתיבה גם </w:t>
      </w:r>
      <w:r w:rsidRPr="00DC5B13">
        <w:rPr>
          <w:rFonts w:eastAsia="Calibri"/>
          <w:rtl/>
        </w:rPr>
        <w:t>את ה"מכפיל".</w:t>
      </w:r>
      <w:r w:rsidRPr="00DC5B13">
        <w:rPr>
          <w:rFonts w:eastAsia="Calibri" w:hint="cs"/>
          <w:rtl/>
        </w:rPr>
        <w:t xml:space="preserve">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עוד ציין מינהל התכנון כי אם מבקשים</w:t>
      </w:r>
      <w:r w:rsidRPr="00DC5B13">
        <w:rPr>
          <w:rFonts w:eastAsia="Calibri"/>
          <w:rtl/>
        </w:rPr>
        <w:t xml:space="preserve"> לבחון את היחס בין התכנון המוצע לקיים, מן</w:t>
      </w:r>
      <w:r w:rsidRPr="00DC5B13">
        <w:rPr>
          <w:rFonts w:eastAsia="Calibri" w:hint="cs"/>
          <w:rtl/>
        </w:rPr>
        <w:t xml:space="preserve"> </w:t>
      </w:r>
      <w:r w:rsidRPr="00DC5B13">
        <w:rPr>
          <w:rFonts w:eastAsia="Calibri"/>
          <w:rtl/>
        </w:rPr>
        <w:t>הראוי לבחון את כלל היקף הזכויות המוצע בכלל השימושים לרבות מסחר, תעסוקה</w:t>
      </w:r>
      <w:r w:rsidRPr="00DC5B13">
        <w:rPr>
          <w:rFonts w:eastAsia="Calibri" w:hint="cs"/>
          <w:rtl/>
        </w:rPr>
        <w:t xml:space="preserve"> </w:t>
      </w:r>
      <w:r w:rsidRPr="00DC5B13">
        <w:rPr>
          <w:rFonts w:eastAsia="Calibri"/>
          <w:rtl/>
        </w:rPr>
        <w:t>ושטחים למוסדות ציבור</w:t>
      </w:r>
      <w:r w:rsidRPr="00DC5B13">
        <w:rPr>
          <w:rFonts w:eastAsia="Calibri" w:hint="cs"/>
          <w:rtl/>
        </w:rPr>
        <w:t>,</w:t>
      </w:r>
      <w:r w:rsidRPr="00DC5B13">
        <w:rPr>
          <w:rFonts w:eastAsia="Calibri"/>
          <w:rtl/>
        </w:rPr>
        <w:t xml:space="preserve"> כלומר לבחון את היקף המטרים הרבועים המוצעים לעומת</w:t>
      </w:r>
      <w:r w:rsidRPr="00DC5B13">
        <w:rPr>
          <w:rFonts w:eastAsia="Calibri" w:hint="cs"/>
          <w:rtl/>
        </w:rPr>
        <w:t xml:space="preserve"> </w:t>
      </w:r>
      <w:r w:rsidRPr="00DC5B13">
        <w:rPr>
          <w:rFonts w:eastAsia="Calibri"/>
          <w:rtl/>
        </w:rPr>
        <w:t>הקיימים.</w:t>
      </w:r>
      <w:r w:rsidRPr="00DC5B13">
        <w:rPr>
          <w:rFonts w:eastAsia="Calibri" w:hint="cs"/>
          <w:rtl/>
        </w:rPr>
        <w:t xml:space="preserve"> מינהל התכנון הדגיש כי </w:t>
      </w:r>
      <w:r w:rsidRPr="00DC5B13">
        <w:rPr>
          <w:rFonts w:eastAsia="Calibri"/>
          <w:rtl/>
        </w:rPr>
        <w:t>ההסתכלות על מכפיל יח"ד לבדו</w:t>
      </w:r>
      <w:r w:rsidRPr="00DC5B13">
        <w:rPr>
          <w:rFonts w:eastAsia="Calibri" w:hint="cs"/>
          <w:rtl/>
        </w:rPr>
        <w:t xml:space="preserve"> </w:t>
      </w:r>
      <w:r w:rsidRPr="00DC5B13">
        <w:rPr>
          <w:rFonts w:eastAsia="Calibri"/>
          <w:rtl/>
        </w:rPr>
        <w:t xml:space="preserve">מוביל למצב בפועל </w:t>
      </w:r>
      <w:r w:rsidRPr="00DC5B13">
        <w:rPr>
          <w:rFonts w:eastAsia="Calibri" w:hint="cs"/>
          <w:rtl/>
        </w:rPr>
        <w:t>ש</w:t>
      </w:r>
      <w:r w:rsidRPr="00DC5B13">
        <w:rPr>
          <w:rFonts w:eastAsia="Calibri"/>
          <w:rtl/>
        </w:rPr>
        <w:t>בו התכנון מועצם לצורך הגברת הישימות הכלכלית</w:t>
      </w:r>
      <w:r w:rsidRPr="00DC5B13">
        <w:rPr>
          <w:rFonts w:eastAsia="Calibri" w:hint="cs"/>
          <w:rtl/>
        </w:rPr>
        <w:t xml:space="preserve"> </w:t>
      </w:r>
      <w:r w:rsidRPr="00DC5B13">
        <w:rPr>
          <w:rFonts w:eastAsia="Calibri"/>
          <w:rtl/>
        </w:rPr>
        <w:t>מעבר לקיבולת התכנונית הרצויה.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מינהל התכנון מסר בתשובתו כי לתפיסתו, תרומתו</w:t>
      </w:r>
      <w:r w:rsidRPr="00DC5B13">
        <w:rPr>
          <w:rFonts w:eastAsia="Calibri"/>
          <w:rtl/>
        </w:rPr>
        <w:t xml:space="preserve"> של מינהל התכנון </w:t>
      </w:r>
      <w:r w:rsidRPr="00DC5B13">
        <w:rPr>
          <w:rFonts w:eastAsia="Calibri" w:hint="cs"/>
          <w:rtl/>
        </w:rPr>
        <w:t>ליצירת</w:t>
      </w:r>
      <w:r w:rsidRPr="00DC5B13">
        <w:rPr>
          <w:rFonts w:eastAsia="Calibri"/>
          <w:rtl/>
        </w:rPr>
        <w:t xml:space="preserve"> תנאים כלכליים </w:t>
      </w:r>
      <w:r w:rsidRPr="00DC5B13">
        <w:rPr>
          <w:rFonts w:eastAsia="Calibri" w:hint="cs"/>
          <w:rtl/>
        </w:rPr>
        <w:t xml:space="preserve">מיטביים </w:t>
      </w:r>
      <w:r w:rsidRPr="00DC5B13">
        <w:rPr>
          <w:rFonts w:eastAsia="Calibri"/>
          <w:rtl/>
        </w:rPr>
        <w:t>להתחדשות</w:t>
      </w:r>
      <w:r w:rsidRPr="00DC5B13">
        <w:rPr>
          <w:rFonts w:eastAsia="Calibri" w:hint="cs"/>
          <w:rtl/>
        </w:rPr>
        <w:t xml:space="preserve"> עירונית</w:t>
      </w:r>
      <w:r w:rsidRPr="00DC5B13">
        <w:rPr>
          <w:rFonts w:eastAsia="Calibri"/>
          <w:rtl/>
        </w:rPr>
        <w:t xml:space="preserve"> מוגבל מאוד. למרחב</w:t>
      </w:r>
      <w:r w:rsidRPr="00DC5B13">
        <w:rPr>
          <w:rFonts w:eastAsia="Calibri" w:hint="cs"/>
          <w:rtl/>
        </w:rPr>
        <w:t xml:space="preserve"> </w:t>
      </w:r>
      <w:r w:rsidRPr="00DC5B13">
        <w:rPr>
          <w:rFonts w:eastAsia="Calibri"/>
          <w:rtl/>
        </w:rPr>
        <w:t xml:space="preserve">מסוים יש מגבלות ומאפיינים פיזיים </w:t>
      </w:r>
      <w:r w:rsidRPr="00DC5B13">
        <w:rPr>
          <w:rFonts w:eastAsia="Calibri" w:hint="cs"/>
          <w:rtl/>
        </w:rPr>
        <w:t xml:space="preserve">שלפיהם </w:t>
      </w:r>
      <w:r w:rsidRPr="00DC5B13">
        <w:rPr>
          <w:rFonts w:eastAsia="Calibri" w:hint="cs"/>
          <w:rtl/>
        </w:rPr>
        <w:t>נקבע</w:t>
      </w:r>
      <w:r w:rsidRPr="00DC5B13">
        <w:rPr>
          <w:rFonts w:eastAsia="Calibri"/>
          <w:rtl/>
        </w:rPr>
        <w:t xml:space="preserve"> כמה מבנים ויחידות דיור מתחם</w:t>
      </w:r>
      <w:r w:rsidRPr="00DC5B13">
        <w:rPr>
          <w:rFonts w:eastAsia="Calibri" w:hint="cs"/>
          <w:rtl/>
        </w:rPr>
        <w:t xml:space="preserve"> </w:t>
      </w:r>
      <w:r w:rsidRPr="00DC5B13">
        <w:rPr>
          <w:rFonts w:eastAsia="Calibri"/>
          <w:rtl/>
        </w:rPr>
        <w:t>מסוים י</w:t>
      </w:r>
      <w:r w:rsidRPr="00DC5B13">
        <w:rPr>
          <w:rFonts w:eastAsia="Calibri" w:hint="cs"/>
          <w:rtl/>
        </w:rPr>
        <w:t>ו</w:t>
      </w:r>
      <w:r w:rsidRPr="00DC5B13">
        <w:rPr>
          <w:rFonts w:eastAsia="Calibri"/>
          <w:rtl/>
        </w:rPr>
        <w:t>כל לשאת בתנאים נאותים. לרוב, הת</w:t>
      </w:r>
      <w:r w:rsidRPr="00DC5B13">
        <w:rPr>
          <w:rFonts w:eastAsia="Calibri" w:hint="cs"/>
          <w:rtl/>
        </w:rPr>
        <w:t>ו</w:t>
      </w:r>
      <w:r w:rsidRPr="00DC5B13">
        <w:rPr>
          <w:rFonts w:eastAsia="Calibri"/>
          <w:rtl/>
        </w:rPr>
        <w:t>כניות חורגות מהיקפי הבינוי</w:t>
      </w:r>
      <w:r w:rsidRPr="00DC5B13">
        <w:rPr>
          <w:rFonts w:eastAsia="Calibri" w:hint="cs"/>
          <w:rtl/>
        </w:rPr>
        <w:t xml:space="preserve"> </w:t>
      </w:r>
      <w:r w:rsidRPr="00DC5B13">
        <w:rPr>
          <w:rFonts w:eastAsia="Calibri"/>
          <w:rtl/>
        </w:rPr>
        <w:t>הרצויים לפי "מבחן הנייר הריק", כלומר לו הקרקע הי</w:t>
      </w:r>
      <w:r w:rsidRPr="00DC5B13">
        <w:rPr>
          <w:rFonts w:eastAsia="Calibri" w:hint="cs"/>
          <w:rtl/>
        </w:rPr>
        <w:t>י</w:t>
      </w:r>
      <w:r w:rsidRPr="00DC5B13">
        <w:rPr>
          <w:rFonts w:eastAsia="Calibri"/>
          <w:rtl/>
        </w:rPr>
        <w:t xml:space="preserve">תה פנויה </w:t>
      </w:r>
      <w:r w:rsidRPr="00DC5B13">
        <w:rPr>
          <w:rFonts w:eastAsia="Calibri" w:hint="cs"/>
          <w:rtl/>
        </w:rPr>
        <w:t>הרי ש</w:t>
      </w:r>
      <w:r w:rsidRPr="00DC5B13">
        <w:rPr>
          <w:rFonts w:eastAsia="Calibri"/>
          <w:rtl/>
        </w:rPr>
        <w:t>הצפיפות שהי</w:t>
      </w:r>
      <w:r w:rsidRPr="00DC5B13">
        <w:rPr>
          <w:rFonts w:eastAsia="Calibri" w:hint="cs"/>
          <w:rtl/>
        </w:rPr>
        <w:t>י</w:t>
      </w:r>
      <w:r w:rsidRPr="00DC5B13">
        <w:rPr>
          <w:rFonts w:eastAsia="Calibri"/>
          <w:rtl/>
        </w:rPr>
        <w:t>תה מוצעת בה הי</w:t>
      </w:r>
      <w:r w:rsidRPr="00DC5B13">
        <w:rPr>
          <w:rFonts w:eastAsia="Calibri" w:hint="cs"/>
          <w:rtl/>
        </w:rPr>
        <w:t>י</w:t>
      </w:r>
      <w:r w:rsidRPr="00DC5B13">
        <w:rPr>
          <w:rFonts w:eastAsia="Calibri"/>
          <w:rtl/>
        </w:rPr>
        <w:t>תה ככל הנראה פחותה לעומת הצפיפות המקודמת</w:t>
      </w:r>
      <w:r w:rsidRPr="00DC5B13">
        <w:rPr>
          <w:rFonts w:eastAsia="Calibri" w:hint="cs"/>
          <w:rtl/>
        </w:rPr>
        <w:t xml:space="preserve"> </w:t>
      </w:r>
      <w:r w:rsidRPr="00DC5B13">
        <w:rPr>
          <w:rFonts w:eastAsia="Calibri"/>
          <w:rtl/>
        </w:rPr>
        <w:t xml:space="preserve">בהתחדשות עירונית, </w:t>
      </w:r>
      <w:r w:rsidRPr="00DC5B13">
        <w:rPr>
          <w:rFonts w:eastAsia="Calibri" w:hint="cs"/>
          <w:rtl/>
        </w:rPr>
        <w:t>ש</w:t>
      </w:r>
      <w:r w:rsidRPr="00DC5B13">
        <w:rPr>
          <w:rFonts w:eastAsia="Calibri"/>
          <w:rtl/>
        </w:rPr>
        <w:t>בה התכנון נמצא במתח מתמיד עם הישימות הכלכלית. מינהל</w:t>
      </w:r>
      <w:r w:rsidRPr="00DC5B13">
        <w:rPr>
          <w:rFonts w:eastAsia="Calibri" w:hint="cs"/>
          <w:rtl/>
        </w:rPr>
        <w:t xml:space="preserve"> </w:t>
      </w:r>
      <w:r w:rsidRPr="00DC5B13">
        <w:rPr>
          <w:rFonts w:eastAsia="Calibri"/>
          <w:rtl/>
        </w:rPr>
        <w:t xml:space="preserve">התכנון יכול להשפיע במעט על </w:t>
      </w:r>
      <w:r w:rsidRPr="00DC5B13">
        <w:rPr>
          <w:rFonts w:eastAsia="Calibri" w:hint="cs"/>
          <w:rtl/>
        </w:rPr>
        <w:t>הישימות הכלכלית</w:t>
      </w:r>
      <w:r w:rsidRPr="00DC5B13">
        <w:rPr>
          <w:rFonts w:eastAsia="Calibri"/>
          <w:rtl/>
        </w:rPr>
        <w:t xml:space="preserve"> באמצעות דיוק </w:t>
      </w:r>
      <w:r w:rsidRPr="00DC5B13">
        <w:rPr>
          <w:rFonts w:eastAsia="Calibri" w:hint="cs"/>
          <w:rtl/>
        </w:rPr>
        <w:t>תמהיל שימושי הקרקע המוצעים והבינוי</w:t>
      </w:r>
      <w:r w:rsidRPr="00DC5B13">
        <w:rPr>
          <w:rFonts w:eastAsia="Calibri"/>
          <w:rtl/>
        </w:rPr>
        <w:t xml:space="preserve"> </w:t>
      </w:r>
      <w:r w:rsidRPr="00DC5B13">
        <w:rPr>
          <w:rFonts w:eastAsia="Calibri" w:hint="cs"/>
          <w:rtl/>
        </w:rPr>
        <w:t xml:space="preserve">- </w:t>
      </w:r>
      <w:r w:rsidRPr="00DC5B13">
        <w:rPr>
          <w:rFonts w:eastAsia="Calibri"/>
          <w:rtl/>
        </w:rPr>
        <w:t>כך שיניב</w:t>
      </w:r>
      <w:r w:rsidRPr="00DC5B13">
        <w:rPr>
          <w:rFonts w:eastAsia="Calibri" w:hint="cs"/>
          <w:rtl/>
        </w:rPr>
        <w:t>ו</w:t>
      </w:r>
      <w:r w:rsidRPr="00DC5B13">
        <w:rPr>
          <w:rFonts w:eastAsia="Calibri"/>
          <w:rtl/>
        </w:rPr>
        <w:t xml:space="preserve"> את הרווח</w:t>
      </w:r>
      <w:r w:rsidRPr="00DC5B13">
        <w:rPr>
          <w:rFonts w:eastAsia="Calibri" w:hint="cs"/>
          <w:rtl/>
        </w:rPr>
        <w:t xml:space="preserve"> </w:t>
      </w:r>
      <w:r w:rsidRPr="00DC5B13">
        <w:rPr>
          <w:rFonts w:eastAsia="Calibri"/>
          <w:rtl/>
        </w:rPr>
        <w:t>הגבוה ביותר הניתן במקום מסוים</w:t>
      </w:r>
      <w:r w:rsidRPr="00DC5B13">
        <w:rPr>
          <w:rFonts w:eastAsia="Calibri" w:hint="cs"/>
          <w:rtl/>
        </w:rPr>
        <w:t>;</w:t>
      </w:r>
      <w:r w:rsidRPr="00DC5B13">
        <w:rPr>
          <w:rFonts w:eastAsia="Calibri"/>
          <w:rtl/>
        </w:rPr>
        <w:t xml:space="preserve"> בהנחיות תכנוניות משלימות שיכולות לסייע</w:t>
      </w:r>
      <w:r w:rsidRPr="00DC5B13">
        <w:rPr>
          <w:rFonts w:eastAsia="Calibri" w:hint="cs"/>
          <w:rtl/>
        </w:rPr>
        <w:t xml:space="preserve"> </w:t>
      </w:r>
      <w:r w:rsidRPr="00DC5B13">
        <w:rPr>
          <w:rFonts w:eastAsia="Calibri"/>
          <w:rtl/>
        </w:rPr>
        <w:t>בהפחתת עלויות כגון צמצום תקני חניה ושימושים שמניבים פחות תועלת כלכלית</w:t>
      </w:r>
      <w:r w:rsidRPr="00DC5B13">
        <w:rPr>
          <w:rFonts w:eastAsia="Calibri" w:hint="cs"/>
          <w:rtl/>
        </w:rPr>
        <w:t xml:space="preserve">; </w:t>
      </w:r>
      <w:r w:rsidRPr="00DC5B13">
        <w:rPr>
          <w:rFonts w:eastAsia="Calibri"/>
          <w:rtl/>
        </w:rPr>
        <w:t>ו</w:t>
      </w:r>
      <w:r w:rsidRPr="00DC5B13">
        <w:rPr>
          <w:rFonts w:eastAsia="Calibri" w:hint="cs"/>
          <w:rtl/>
        </w:rPr>
        <w:t xml:space="preserve">בעזרת </w:t>
      </w:r>
      <w:r w:rsidRPr="00DC5B13">
        <w:rPr>
          <w:rFonts w:eastAsia="Calibri"/>
          <w:rtl/>
        </w:rPr>
        <w:t xml:space="preserve">מתן תמריצים תכנוניים מסוימים למימוש מהיר. </w:t>
      </w:r>
      <w:r w:rsidRPr="00DC5B13">
        <w:rPr>
          <w:rFonts w:eastAsia="Calibri" w:hint="cs"/>
          <w:rtl/>
        </w:rPr>
        <w:t>עם זאת,</w:t>
      </w:r>
      <w:r w:rsidRPr="00DC5B13">
        <w:rPr>
          <w:rFonts w:eastAsia="Calibri"/>
          <w:rtl/>
        </w:rPr>
        <w:t xml:space="preserve"> כלים אלו מוגבלים</w:t>
      </w:r>
      <w:r w:rsidRPr="00DC5B13">
        <w:rPr>
          <w:rFonts w:eastAsia="Calibri" w:hint="cs"/>
          <w:rtl/>
        </w:rPr>
        <w:t xml:space="preserve"> </w:t>
      </w:r>
      <w:r w:rsidRPr="00DC5B13">
        <w:rPr>
          <w:rFonts w:eastAsia="Calibri"/>
          <w:rtl/>
        </w:rPr>
        <w:t xml:space="preserve">בהיקף ההשפעה שלהם. השפעה ניכרת על ישימות כלכלית במקומות </w:t>
      </w:r>
      <w:r w:rsidRPr="00DC5B13">
        <w:rPr>
          <w:rFonts w:eastAsia="Calibri" w:hint="cs"/>
          <w:rtl/>
        </w:rPr>
        <w:t>ש</w:t>
      </w:r>
      <w:r w:rsidRPr="00DC5B13">
        <w:rPr>
          <w:rFonts w:eastAsia="Calibri"/>
          <w:rtl/>
        </w:rPr>
        <w:t>בהם ערך הקרקע</w:t>
      </w:r>
      <w:r w:rsidRPr="00DC5B13">
        <w:rPr>
          <w:rFonts w:eastAsia="Calibri" w:hint="cs"/>
          <w:rtl/>
        </w:rPr>
        <w:t xml:space="preserve"> </w:t>
      </w:r>
      <w:r w:rsidRPr="00DC5B13">
        <w:rPr>
          <w:rFonts w:eastAsia="Calibri"/>
          <w:rtl/>
        </w:rPr>
        <w:t xml:space="preserve">נמוך, ניתן </w:t>
      </w:r>
      <w:r w:rsidRPr="00DC5B13">
        <w:rPr>
          <w:rFonts w:eastAsia="Calibri" w:hint="cs"/>
          <w:rtl/>
        </w:rPr>
        <w:t xml:space="preserve">יהיה </w:t>
      </w:r>
      <w:r w:rsidRPr="00DC5B13">
        <w:rPr>
          <w:rFonts w:eastAsia="Calibri"/>
          <w:rtl/>
        </w:rPr>
        <w:t>לראות רק ב</w:t>
      </w:r>
      <w:r w:rsidRPr="00DC5B13">
        <w:rPr>
          <w:rFonts w:eastAsia="Calibri" w:hint="cs"/>
          <w:rtl/>
        </w:rPr>
        <w:t xml:space="preserve">עזרת שילוב </w:t>
      </w:r>
      <w:r w:rsidRPr="00DC5B13">
        <w:rPr>
          <w:rFonts w:eastAsia="Calibri"/>
          <w:rtl/>
        </w:rPr>
        <w:t xml:space="preserve">כלים נוספים כגון סבסוד משלים ממשלתי, </w:t>
      </w:r>
      <w:r w:rsidRPr="00DC5B13">
        <w:rPr>
          <w:rFonts w:eastAsia="Calibri" w:hint="cs"/>
          <w:rtl/>
        </w:rPr>
        <w:t>הקצאת</w:t>
      </w:r>
      <w:r w:rsidRPr="00DC5B13">
        <w:rPr>
          <w:rFonts w:eastAsia="Calibri"/>
          <w:rtl/>
        </w:rPr>
        <w:t xml:space="preserve"> קרקע משלימה</w:t>
      </w:r>
      <w:r w:rsidRPr="00DC5B13">
        <w:rPr>
          <w:rFonts w:eastAsia="Calibri" w:hint="cs"/>
          <w:rtl/>
        </w:rPr>
        <w:t xml:space="preserve"> על ידי </w:t>
      </w:r>
      <w:r w:rsidRPr="00DC5B13">
        <w:rPr>
          <w:rFonts w:eastAsia="Calibri"/>
          <w:rtl/>
        </w:rPr>
        <w:t xml:space="preserve">רמ"י, שיפור הכלים המיסויים </w:t>
      </w:r>
      <w:r w:rsidRPr="00DC5B13">
        <w:rPr>
          <w:rFonts w:eastAsia="Calibri" w:hint="cs"/>
          <w:rtl/>
        </w:rPr>
        <w:t>ו</w:t>
      </w:r>
      <w:r w:rsidRPr="00DC5B13">
        <w:rPr>
          <w:rFonts w:eastAsia="Calibri"/>
          <w:rtl/>
        </w:rPr>
        <w:t>מימון ממשלתי של מוסדות ציבור.</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רמ"י ציינה בתשובתה כי המאפיינים הקיימים להקצאתן של קרקעות משלימות מחייבים ביצוע בחינה כלכלית בשלב הבשלת המיזם - שהוא שלב הקצאת הקרקע על פי נוהלי רמ"י. הבחינה הכלכלית מתבססת על נתונים עדכניים ומלאים ככל הניתן, לרבות נתוני תכנון, היקף זכויות הבנייה המבוקשות, עלויות הביצוע ותנאי שוק הדיור. מסיבה זו, נטען בתשובה, כי לא ניתן לגבש רמת ודאות מלאה בשלב מוקדם של התכנון בלי לפגוע בדיוק קבלת ההחלטות ובניהול התקין של המקרקעין הציבוריים. עם זאת, רמ"י מכירה בכך שמאפיין זה עשוי להשפיע על קצב קידום המיזמים ונוקטת בכמה אמצעים לצמצום חוסר הוודאות, ובהם ליווי מוקדם של מיזמים, חידוד הדרישות הכלכליות מצידה ושיפור הקשר עם רשויות מקומיות ועם יזמים. רמ"י ציינה עוד כי בפברואר 2025 אושרה החלטת הנהלה 5748, המסדירה באופן רוחבי את המדיניות שלה בנוגע להליכי שריון והקצאה של קרקעות משלימות במקרים שבהם נדרשת תמיכת המדינה - וזאת מתוך ניסיון לתרום להגברת הוודאות הכלכלית כלפי יזמים ובעלי עניין אחרים.</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Times New Roman"/>
          <w:bCs/>
          <w:szCs w:val="26"/>
          <w:rtl/>
        </w:rPr>
      </w:pPr>
      <w:bookmarkStart w:id="19" w:name="_Hlk219973761"/>
      <w:r w:rsidRPr="00DC5B13">
        <w:rPr>
          <w:rFonts w:eastAsia="Calibri"/>
          <w:b/>
          <w:bCs/>
          <w:rtl/>
        </w:rPr>
        <w:t xml:space="preserve">משרד מבקר המדינה ממליץ לגורמים הרלוונטיים, ובהם משרד ראש הממשלה, </w:t>
      </w:r>
      <w:r w:rsidRPr="00DC5B13">
        <w:rPr>
          <w:rFonts w:eastAsia="Calibri" w:hint="cs"/>
          <w:b/>
          <w:bCs/>
          <w:rtl/>
        </w:rPr>
        <w:t>ר</w:t>
      </w:r>
      <w:r w:rsidRPr="00DC5B13">
        <w:rPr>
          <w:rFonts w:eastAsia="Calibri"/>
          <w:b/>
          <w:bCs/>
          <w:rtl/>
        </w:rPr>
        <w:t>שות מקרקעי ישראל, מינהל התכנון ו</w:t>
      </w:r>
      <w:r w:rsidRPr="00DC5B13">
        <w:rPr>
          <w:rFonts w:eastAsia="Calibri" w:hint="cs"/>
          <w:b/>
          <w:bCs/>
          <w:rtl/>
        </w:rPr>
        <w:t>ה</w:t>
      </w:r>
      <w:r w:rsidRPr="00DC5B13">
        <w:rPr>
          <w:rFonts w:eastAsia="Calibri"/>
          <w:b/>
          <w:bCs/>
          <w:rtl/>
        </w:rPr>
        <w:t>רשות להתחדשות</w:t>
      </w:r>
      <w:r w:rsidRPr="00DC5B13">
        <w:rPr>
          <w:rFonts w:eastAsia="Calibri" w:hint="cs"/>
          <w:b/>
          <w:bCs/>
          <w:rtl/>
        </w:rPr>
        <w:t>,</w:t>
      </w:r>
      <w:r w:rsidRPr="00DC5B13">
        <w:rPr>
          <w:rFonts w:eastAsia="Calibri"/>
          <w:b/>
          <w:bCs/>
          <w:rtl/>
        </w:rPr>
        <w:t xml:space="preserve"> </w:t>
      </w:r>
      <w:r w:rsidRPr="00DC5B13">
        <w:rPr>
          <w:rFonts w:eastAsia="Calibri" w:hint="cs"/>
          <w:b/>
          <w:bCs/>
          <w:rtl/>
        </w:rPr>
        <w:t>לעודד</w:t>
      </w:r>
      <w:r w:rsidRPr="00DC5B13">
        <w:rPr>
          <w:rFonts w:eastAsia="Calibri"/>
          <w:b/>
          <w:bCs/>
          <w:rtl/>
        </w:rPr>
        <w:t xml:space="preserve"> מיזמי התחדשות עירונית בישובים שבהם </w:t>
      </w:r>
      <w:r w:rsidRPr="00DC5B13">
        <w:rPr>
          <w:rFonts w:eastAsia="Calibri" w:hint="cs"/>
          <w:b/>
          <w:bCs/>
          <w:rtl/>
        </w:rPr>
        <w:t>המכפיל גבוה ועדיין אין כדאיות כלכלית מספקת</w:t>
      </w:r>
      <w:r w:rsidRPr="00DC5B13">
        <w:rPr>
          <w:rFonts w:eastAsia="Calibri"/>
          <w:b/>
          <w:bCs/>
          <w:rtl/>
        </w:rPr>
        <w:t>, בין היתר באמצעות יצירת תנאים כלכליים שיאפשרו את הקידום והביצוע של מיזמים אלה.</w:t>
      </w:r>
      <w:bookmarkEnd w:id="19"/>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משרד ראש הממשלה מסר בתשובתו למשרד מבקר המדינה מאפריל 2026 כי הוא</w:t>
      </w:r>
      <w:r w:rsidRPr="00DC5B13">
        <w:rPr>
          <w:rFonts w:eastAsia="Calibri"/>
          <w:rtl/>
        </w:rPr>
        <w:t xml:space="preserve"> פ</w:t>
      </w:r>
      <w:r w:rsidRPr="00DC5B13">
        <w:rPr>
          <w:rFonts w:eastAsia="Calibri" w:hint="cs"/>
          <w:rtl/>
        </w:rPr>
        <w:t>ו</w:t>
      </w:r>
      <w:r w:rsidRPr="00DC5B13">
        <w:rPr>
          <w:rFonts w:eastAsia="Calibri"/>
          <w:rtl/>
        </w:rPr>
        <w:t xml:space="preserve">על בנדון וכבר </w:t>
      </w:r>
      <w:r w:rsidRPr="00DC5B13">
        <w:rPr>
          <w:rFonts w:eastAsia="Calibri" w:hint="cs"/>
          <w:rtl/>
        </w:rPr>
        <w:t xml:space="preserve">נתן </w:t>
      </w:r>
      <w:r w:rsidRPr="00DC5B13">
        <w:rPr>
          <w:rFonts w:eastAsia="Calibri"/>
          <w:rtl/>
        </w:rPr>
        <w:t xml:space="preserve">מענה לעידוד מיזמי התחדשות עירונית </w:t>
      </w:r>
      <w:r w:rsidRPr="00DC5B13">
        <w:rPr>
          <w:rFonts w:eastAsia="Calibri" w:hint="cs"/>
          <w:rtl/>
        </w:rPr>
        <w:t>בבאר שבע ובאשקלון, ש</w:t>
      </w:r>
      <w:r w:rsidRPr="00DC5B13">
        <w:rPr>
          <w:rFonts w:eastAsia="Calibri"/>
          <w:rtl/>
        </w:rPr>
        <w:t>בה</w:t>
      </w:r>
      <w:r w:rsidRPr="00DC5B13">
        <w:rPr>
          <w:rFonts w:eastAsia="Calibri" w:hint="cs"/>
          <w:rtl/>
        </w:rPr>
        <w:t>ן</w:t>
      </w:r>
      <w:r w:rsidRPr="00DC5B13">
        <w:rPr>
          <w:rFonts w:eastAsia="Calibri"/>
          <w:rtl/>
        </w:rPr>
        <w:t xml:space="preserve"> </w:t>
      </w:r>
      <w:r w:rsidRPr="00DC5B13">
        <w:rPr>
          <w:rFonts w:eastAsia="Calibri" w:hint="cs"/>
          <w:rtl/>
        </w:rPr>
        <w:t xml:space="preserve">אין </w:t>
      </w:r>
      <w:r w:rsidRPr="00DC5B13">
        <w:rPr>
          <w:rFonts w:eastAsia="Calibri"/>
          <w:rtl/>
        </w:rPr>
        <w:t>כדאיות כלכלית</w:t>
      </w:r>
      <w:r w:rsidRPr="00DC5B13">
        <w:rPr>
          <w:rFonts w:eastAsia="Calibri" w:hint="cs"/>
          <w:rtl/>
        </w:rPr>
        <w:t xml:space="preserve"> לביצוע מיזמי התחדשות עירונית, באמצעות החלטות ממשלה (</w:t>
      </w:r>
      <w:r w:rsidRPr="00DC5B13">
        <w:rPr>
          <w:rFonts w:eastAsia="Calibri"/>
          <w:rtl/>
        </w:rPr>
        <w:t>סעיף 45ב' בהחלטת הממשלה מס' 3474</w:t>
      </w:r>
      <w:r w:rsidRPr="00DC5B13">
        <w:rPr>
          <w:rFonts w:eastAsia="Calibri" w:hint="cs"/>
          <w:rtl/>
        </w:rPr>
        <w:t xml:space="preserve"> בנושא </w:t>
      </w:r>
      <w:r w:rsidRPr="00DC5B13">
        <w:rPr>
          <w:rFonts w:eastAsia="Calibri"/>
          <w:rtl/>
        </w:rPr>
        <w:t>פיתוח וחיזוק באר שבע כעיר הליבה של מטרופולין הדרום</w:t>
      </w:r>
      <w:r w:rsidRPr="00DC5B13">
        <w:rPr>
          <w:rFonts w:eastAsia="Calibri" w:hint="cs"/>
          <w:rtl/>
        </w:rPr>
        <w:t xml:space="preserve"> </w:t>
      </w:r>
      <w:r w:rsidRPr="00DC5B13">
        <w:rPr>
          <w:rFonts w:eastAsia="Calibri"/>
          <w:rtl/>
        </w:rPr>
        <w:t>וסעיף 8 בהחלטת ממשלה 852</w:t>
      </w:r>
      <w:r w:rsidRPr="00DC5B13">
        <w:rPr>
          <w:rFonts w:eastAsia="Calibri" w:hint="cs"/>
          <w:rtl/>
        </w:rPr>
        <w:t xml:space="preserve"> בנושא</w:t>
      </w:r>
      <w:r w:rsidRPr="00DC5B13">
        <w:rPr>
          <w:rFonts w:eastAsia="Calibri"/>
          <w:rtl/>
        </w:rPr>
        <w:t xml:space="preserve"> חיזוק העיר אשקלון</w:t>
      </w:r>
      <w:r w:rsidRPr="00DC5B13">
        <w:rPr>
          <w:rFonts w:eastAsia="Calibri" w:hint="cs"/>
          <w:rtl/>
        </w:rPr>
        <w:t>)</w:t>
      </w:r>
      <w:r w:rsidRPr="00DC5B13">
        <w:rPr>
          <w:rFonts w:eastAsia="Calibri"/>
          <w:rtl/>
        </w:rPr>
        <w:t xml:space="preserve">. </w:t>
      </w:r>
      <w:r w:rsidRPr="00DC5B13">
        <w:rPr>
          <w:rFonts w:eastAsia="Calibri" w:hint="cs"/>
          <w:rtl/>
        </w:rPr>
        <w:t xml:space="preserve">כמו כן, </w:t>
      </w:r>
      <w:r w:rsidRPr="00DC5B13">
        <w:rPr>
          <w:rFonts w:eastAsia="Calibri"/>
          <w:rtl/>
        </w:rPr>
        <w:t>בימים אלו בוח</w:t>
      </w:r>
      <w:r w:rsidRPr="00DC5B13">
        <w:rPr>
          <w:rFonts w:eastAsia="Calibri" w:hint="cs"/>
          <w:rtl/>
        </w:rPr>
        <w:t>ן המשרד</w:t>
      </w:r>
      <w:r w:rsidRPr="00DC5B13">
        <w:rPr>
          <w:rFonts w:eastAsia="Calibri"/>
          <w:rtl/>
        </w:rPr>
        <w:t xml:space="preserve"> מענים דומים</w:t>
      </w:r>
      <w:r w:rsidRPr="00DC5B13">
        <w:rPr>
          <w:rFonts w:eastAsia="Calibri" w:hint="cs"/>
          <w:rtl/>
        </w:rPr>
        <w:t>, הנוגעים ליישובי גבול ה</w:t>
      </w:r>
      <w:r w:rsidRPr="00DC5B13">
        <w:rPr>
          <w:rFonts w:eastAsia="Calibri"/>
          <w:rtl/>
        </w:rPr>
        <w:t>צפון.</w:t>
      </w:r>
    </w:p>
    <w:p w:rsidR="00037943" w:rsidP="00C34B23">
      <w:pPr>
        <w:keepNext/>
        <w:keepLines/>
        <w:spacing w:line="269" w:lineRule="auto"/>
        <w:outlineLvl w:val="3"/>
        <w:rPr>
          <w:rFonts w:eastAsia="Times New Roman"/>
          <w:bCs/>
          <w:szCs w:val="26"/>
          <w:rtl/>
        </w:rPr>
      </w:pPr>
    </w:p>
    <w:p w:rsidR="00DC5B13" w:rsidRPr="00DC5B13" w:rsidP="00C34B23">
      <w:pPr>
        <w:keepNext/>
        <w:keepLines/>
        <w:spacing w:line="269" w:lineRule="auto"/>
        <w:outlineLvl w:val="3"/>
        <w:rPr>
          <w:rFonts w:eastAsia="Times New Roman"/>
          <w:bCs/>
          <w:szCs w:val="26"/>
          <w:rtl/>
        </w:rPr>
      </w:pPr>
      <w:r w:rsidRPr="00DC5B13">
        <w:rPr>
          <w:rFonts w:eastAsia="Times New Roman" w:hint="cs"/>
          <w:bCs/>
          <w:szCs w:val="26"/>
          <w:rtl/>
        </w:rPr>
        <w:t>התחדשות עירונית לחיזוק מבנים נגד רעידות אדמה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משרד מבקר המדינה בדק את פריסת מיזמי ההתחדשות העירונית על רקע התחזיות להתרחשות רעידת אדמה ולעוצמתה (להלן - רגישות סייסמית). לצורך המיפוי נעשה שימוש בנתונים על הרגישות הסייסמית ממסמך שהוכן על ידי הטכניון והמכון הגיאופיסי לישראל לחישוב עוצמת רעידת אדמה באזורים שונים בישראל</w:t>
      </w:r>
      <w:r>
        <w:rPr>
          <w:rFonts w:eastAsia="Calibri"/>
          <w:vertAlign w:val="superscript"/>
          <w:rtl/>
        </w:rPr>
        <w:footnoteReference w:id="41"/>
      </w:r>
      <w:r w:rsidRPr="00DC5B13">
        <w:rPr>
          <w:rFonts w:eastAsia="Calibri" w:hint="cs"/>
          <w:rtl/>
        </w:rPr>
        <w:t xml:space="preserve">.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במיפוי נדגמו נקודות ציון נתונות בתחום רשויות מקומיות עירוניות (עיריות ומועצות מקומיות), עבורן חושבה תאוצת הקרקע החזויה בעת רעידת אדמה נתונה</w:t>
      </w:r>
      <w:r>
        <w:rPr>
          <w:rFonts w:eastAsia="Calibri"/>
          <w:vertAlign w:val="superscript"/>
          <w:rtl/>
        </w:rPr>
        <w:footnoteReference w:id="42"/>
      </w:r>
      <w:r w:rsidRPr="00DC5B13">
        <w:rPr>
          <w:rFonts w:eastAsia="Calibri" w:hint="cs"/>
          <w:rtl/>
        </w:rPr>
        <w:t xml:space="preserve">. ערכי תאוצת קרקע גבוהים מבטאים תנודה חזקה יותר של הקרקע וסכנה גדולה יותר למבנים. כל רשות מקומית סווגה לפי </w:t>
      </w:r>
      <w:r w:rsidRPr="00DC5B13">
        <w:rPr>
          <w:rFonts w:eastAsia="Calibri" w:hint="cs"/>
          <w:rtl/>
        </w:rPr>
        <w:t>ערכי תאוצת הקרקע שחושבו בנקודת הציון שבשטחה ותחום השיפוט של כל רשות נצבע לפי הערכים שחושבו לנקודת הציון.</w:t>
      </w:r>
    </w:p>
    <w:p w:rsidR="00037943" w:rsidP="00C34B23">
      <w:pPr>
        <w:spacing w:line="269" w:lineRule="auto"/>
        <w:jc w:val="center"/>
        <w:rPr>
          <w:rFonts w:eastAsia="Calibri"/>
          <w:rtl/>
        </w:rPr>
      </w:pPr>
    </w:p>
    <w:p w:rsidR="00DC5B13" w:rsidRPr="00DC5B13" w:rsidP="00C34B23">
      <w:pPr>
        <w:spacing w:line="269" w:lineRule="auto"/>
        <w:jc w:val="center"/>
        <w:rPr>
          <w:rFonts w:eastAsia="Calibri"/>
          <w:b/>
          <w:bCs/>
          <w:rtl/>
        </w:rPr>
      </w:pPr>
      <w:r w:rsidRPr="00DC5B13">
        <w:rPr>
          <w:rFonts w:eastAsia="Calibri" w:hint="cs"/>
          <w:rtl/>
        </w:rPr>
        <w:t>מפה 3</w:t>
      </w:r>
      <w:r w:rsidRPr="00DC5B13">
        <w:rPr>
          <w:rFonts w:eastAsia="Calibri"/>
          <w:rtl/>
        </w:rPr>
        <w:t xml:space="preserve">: </w:t>
      </w:r>
      <w:r w:rsidRPr="00DC5B13">
        <w:rPr>
          <w:rFonts w:eastAsia="Calibri" w:hint="eastAsia"/>
          <w:b/>
          <w:bCs/>
          <w:rtl/>
        </w:rPr>
        <w:t>פריסת</w:t>
      </w:r>
      <w:r w:rsidRPr="00DC5B13">
        <w:rPr>
          <w:rFonts w:eastAsia="Calibri" w:hint="cs"/>
          <w:b/>
          <w:bCs/>
          <w:rtl/>
        </w:rPr>
        <w:t xml:space="preserve"> המיזמים להתחדשות עירונית בהשוואה לרגישות הסייסמית</w:t>
      </w:r>
      <w:r w:rsidRPr="00DC5B13">
        <w:rPr>
          <w:rFonts w:eastAsia="Calibri"/>
          <w:b/>
          <w:bCs/>
          <w:noProof/>
          <w:rtl/>
          <w:lang w:val="he-IL"/>
        </w:rPr>
        <w:drawing>
          <wp:anchor distT="0" distB="0" distL="114300" distR="114300" simplePos="0" relativeHeight="251661312" behindDoc="0" locked="0" layoutInCell="1" allowOverlap="1">
            <wp:simplePos x="0" y="0"/>
            <wp:positionH relativeFrom="column">
              <wp:align>center</wp:align>
            </wp:positionH>
            <wp:positionV relativeFrom="paragraph">
              <wp:posOffset>190500</wp:posOffset>
            </wp:positionV>
            <wp:extent cx="5220000" cy="7416000"/>
            <wp:effectExtent l="0" t="0" r="0" b="0"/>
            <wp:wrapTopAndBottom/>
            <wp:docPr id="45" name="תמונה 45" descr="מפה גיאוגרפית של מחוזות מדינת ישראל, המלווה בטבלת נתונים ובמקרא צבעים, המציגה את המכפיל התכנוני הממוצע ואחוז הדירות להן הוצאו היתרי הבנייה ברשויות המקומיות עבור מתחמי פינוי-בינוי. המפה מראה כי עיקר הריכוז של מתחמים עם מכפילים נמוכים נמצא במחוזות תל אביב והמרכז, בעוד שבשאר חלקי הארץ הפריסה נקודתית ומאופיינת במכפילים משתנים.&#10;עיקר הנתונים מוצגים בשתי הפסקאות הב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7416000"/>
                    </a:xfrm>
                    <a:prstGeom prst="rect">
                      <a:avLst/>
                    </a:prstGeom>
                    <a:noFill/>
                  </pic:spPr>
                </pic:pic>
              </a:graphicData>
            </a:graphic>
            <wp14:sizeRelH relativeFrom="page">
              <wp14:pctWidth>0</wp14:pctWidth>
            </wp14:sizeRelH>
            <wp14:sizeRelV relativeFrom="page">
              <wp14:pctHeight>0</wp14:pctHeight>
            </wp14:sizeRelV>
          </wp:anchor>
        </w:drawing>
      </w:r>
    </w:p>
    <w:p w:rsidR="00DC5B13" w:rsidRPr="00DC5B13" w:rsidP="00C34B23">
      <w:pPr>
        <w:spacing w:line="269" w:lineRule="auto"/>
        <w:rPr>
          <w:rFonts w:eastAsia="Calibri"/>
          <w:szCs w:val="20"/>
          <w:rtl/>
        </w:rPr>
      </w:pPr>
      <w:r w:rsidRPr="00DC5B13">
        <w:rPr>
          <w:rFonts w:eastAsia="Calibri" w:hint="cs"/>
          <w:szCs w:val="20"/>
          <w:rtl/>
        </w:rPr>
        <w:t xml:space="preserve">המקור: מפת רקע של המרכז למיפוי ישראל, שכבת מחוזות של משרד הפנים, </w:t>
      </w:r>
      <w:r w:rsidRPr="00DC5B13">
        <w:rPr>
          <w:rFonts w:eastAsia="Calibri" w:hint="eastAsia"/>
          <w:szCs w:val="20"/>
          <w:rtl/>
        </w:rPr>
        <w:t>נתוני</w:t>
      </w:r>
      <w:r w:rsidRPr="00DC5B13">
        <w:rPr>
          <w:rFonts w:eastAsia="Calibri"/>
          <w:szCs w:val="20"/>
          <w:rtl/>
        </w:rPr>
        <w:t xml:space="preserve"> </w:t>
      </w:r>
      <w:r w:rsidRPr="00DC5B13">
        <w:rPr>
          <w:rFonts w:eastAsia="Calibri" w:hint="eastAsia"/>
          <w:szCs w:val="20"/>
          <w:rtl/>
        </w:rPr>
        <w:t>המכון</w:t>
      </w:r>
      <w:r w:rsidRPr="00DC5B13">
        <w:rPr>
          <w:rFonts w:eastAsia="Calibri"/>
          <w:szCs w:val="20"/>
          <w:rtl/>
        </w:rPr>
        <w:t xml:space="preserve"> </w:t>
      </w:r>
      <w:r w:rsidRPr="00DC5B13">
        <w:rPr>
          <w:rFonts w:eastAsia="Calibri" w:hint="eastAsia"/>
          <w:szCs w:val="20"/>
          <w:rtl/>
        </w:rPr>
        <w:t>הגיאופיסי</w:t>
      </w:r>
      <w:r w:rsidRPr="00DC5B13">
        <w:rPr>
          <w:rFonts w:eastAsia="Calibri"/>
          <w:szCs w:val="20"/>
          <w:rtl/>
        </w:rPr>
        <w:t xml:space="preserve"> </w:t>
      </w:r>
      <w:r w:rsidRPr="00DC5B13">
        <w:rPr>
          <w:rFonts w:eastAsia="Calibri" w:hint="eastAsia"/>
          <w:szCs w:val="20"/>
          <w:rtl/>
        </w:rPr>
        <w:t>לישראל</w:t>
      </w:r>
      <w:r w:rsidRPr="00DC5B13">
        <w:rPr>
          <w:rFonts w:eastAsia="Calibri"/>
          <w:szCs w:val="20"/>
          <w:rtl/>
        </w:rPr>
        <w:t xml:space="preserve"> </w:t>
      </w:r>
      <w:r w:rsidRPr="00DC5B13">
        <w:rPr>
          <w:rFonts w:eastAsia="Calibri" w:hint="eastAsia"/>
          <w:szCs w:val="20"/>
          <w:rtl/>
        </w:rPr>
        <w:t>והרשות</w:t>
      </w:r>
      <w:r w:rsidRPr="00DC5B13">
        <w:rPr>
          <w:rFonts w:eastAsia="Calibri"/>
          <w:szCs w:val="20"/>
          <w:rtl/>
        </w:rPr>
        <w:t xml:space="preserve"> </w:t>
      </w:r>
      <w:r w:rsidRPr="00DC5B13">
        <w:rPr>
          <w:rFonts w:eastAsia="Calibri" w:hint="eastAsia"/>
          <w:szCs w:val="20"/>
          <w:rtl/>
        </w:rPr>
        <w:t>להתחדשות</w:t>
      </w:r>
      <w:r w:rsidRPr="00DC5B13">
        <w:rPr>
          <w:rFonts w:eastAsia="Calibri"/>
          <w:szCs w:val="20"/>
          <w:rtl/>
        </w:rPr>
        <w:t xml:space="preserve"> </w:t>
      </w:r>
      <w:r w:rsidRPr="00DC5B13">
        <w:rPr>
          <w:rFonts w:eastAsia="Calibri" w:hint="eastAsia"/>
          <w:szCs w:val="20"/>
          <w:rtl/>
        </w:rPr>
        <w:t>עירונית</w:t>
      </w:r>
      <w:r w:rsidRPr="00DC5B13">
        <w:rPr>
          <w:rFonts w:eastAsia="Calibri"/>
          <w:szCs w:val="20"/>
          <w:rtl/>
        </w:rPr>
        <w:t>, בעיבוד משרד מבקר המדינה.</w:t>
      </w:r>
    </w:p>
    <w:p w:rsidR="00DC5B13" w:rsidRPr="00DC5B13" w:rsidP="00C34B23">
      <w:pPr>
        <w:bidi w:val="0"/>
        <w:spacing w:line="269" w:lineRule="auto"/>
        <w:rPr>
          <w:rFonts w:eastAsia="Calibri"/>
          <w:szCs w:val="20"/>
          <w:rtl/>
        </w:rPr>
      </w:pPr>
      <w:r w:rsidRPr="00DC5B13">
        <w:rPr>
          <w:rFonts w:eastAsia="Calibri"/>
          <w:szCs w:val="20"/>
          <w:rtl/>
        </w:rPr>
        <w:br w:type="page"/>
      </w:r>
    </w:p>
    <w:p w:rsidR="00DC5B13" w:rsidRPr="00DC5B13" w:rsidP="00C34B23">
      <w:pPr>
        <w:spacing w:line="269" w:lineRule="auto"/>
        <w:rPr>
          <w:rFonts w:eastAsia="Calibri"/>
          <w:b/>
          <w:bCs/>
          <w:rtl/>
        </w:rPr>
      </w:pPr>
      <w:r w:rsidRPr="00DC5B13">
        <w:rPr>
          <w:rFonts w:eastAsia="Calibri" w:hint="cs"/>
          <w:b/>
          <w:bCs/>
          <w:rtl/>
        </w:rPr>
        <w:t>מהמפה עולה כי שיעור מיזמי ההתחדשות העירונית תואם את שיעור האוכלוסייה בחלוקה לאזורי הרגישות הסייסמית. עלה כי ברשויות שבהן נחזתה תאוצת הקרקע הגבוהה ביותר מתגוררים 3% מתושבי הרשויות שיש בהן מיזמי התחדשות עירונית, ו-4% מהמיזמים מקודמים ומבוצעים בתחום שיפוטן</w:t>
      </w:r>
      <w:r>
        <w:rPr>
          <w:rFonts w:eastAsia="Calibri"/>
          <w:b/>
          <w:bCs/>
          <w:vertAlign w:val="superscript"/>
          <w:rtl/>
        </w:rPr>
        <w:footnoteReference w:id="43"/>
      </w:r>
      <w:r w:rsidRPr="00DC5B13">
        <w:rPr>
          <w:rFonts w:eastAsia="Calibri" w:hint="cs"/>
          <w:b/>
          <w:bCs/>
          <w:rtl/>
        </w:rPr>
        <w:t>. נתונים אלה מעידים שלא ניתנה העדפה לקידום ולביצוע מיזמי התחדשות עירונית ברשויות מקומיות שיש בהן רגישות גבוהה לרעידות אדמה חזקות. זאת על אף האמור בדוח קודם של מבקר המדינה</w:t>
      </w:r>
      <w:r>
        <w:rPr>
          <w:rFonts w:eastAsia="Calibri"/>
          <w:b/>
          <w:bCs/>
          <w:vertAlign w:val="superscript"/>
          <w:rtl/>
        </w:rPr>
        <w:footnoteReference w:id="44"/>
      </w:r>
      <w:r w:rsidRPr="00DC5B13">
        <w:rPr>
          <w:rFonts w:eastAsia="Calibri" w:hint="cs"/>
          <w:b/>
          <w:bCs/>
          <w:rtl/>
        </w:rPr>
        <w:t>, שלפיו יש שיעור נמוך במיוחד של דירות ברשויות מקומיות בפריפריה שחוזקו לשם הגברת עמידותם בפני רעידות אדמה, ואף שהתחדשות עירונית נותנת מענה גם לצורך בחיזוק מבנים נגד רעידות אדמה.</w:t>
      </w:r>
      <w:bookmarkStart w:id="20" w:name="_Hlk217390237"/>
      <w:r w:rsidRPr="00DC5B13">
        <w:rPr>
          <w:rFonts w:eastAsia="Calibri" w:hint="cs"/>
          <w:b/>
          <w:bCs/>
          <w:rtl/>
        </w:rPr>
        <w:t xml:space="preserve">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בדוח מבקר המדינה מ-2023 בנושא "</w:t>
      </w:r>
      <w:r w:rsidRPr="00DC5B13">
        <w:rPr>
          <w:rFonts w:eastAsia="Calibri"/>
          <w:b/>
          <w:bCs/>
          <w:rtl/>
        </w:rPr>
        <w:t>היערכות הרשויות המקומיות לרעידות אדמה</w:t>
      </w:r>
      <w:r w:rsidRPr="00DC5B13">
        <w:rPr>
          <w:rFonts w:eastAsia="Calibri" w:hint="cs"/>
          <w:b/>
          <w:bCs/>
          <w:rtl/>
        </w:rPr>
        <w:t>"</w:t>
      </w:r>
      <w:r w:rsidRPr="00DC5B13">
        <w:rPr>
          <w:rFonts w:eastAsia="Calibri"/>
          <w:rtl/>
        </w:rPr>
        <w:t xml:space="preserve"> </w:t>
      </w:r>
      <w:r w:rsidRPr="00DC5B13">
        <w:rPr>
          <w:rFonts w:eastAsia="Calibri" w:hint="cs"/>
          <w:b/>
          <w:bCs/>
          <w:rtl/>
        </w:rPr>
        <w:t>צוין כי ברשויות המקומיות בצפון הארץ - העיריות בית שאן, טבריה, צפת וקריית שמונה והמועצה המקומית חצור הגלילית - אותרו כ-1,200 מבנים הטעונים חיזוק מידי ש-93% מהם טרם חוזקו לשם הגברת עמידותם בפני רעידות אדמה</w:t>
      </w:r>
      <w:r>
        <w:rPr>
          <w:rFonts w:eastAsia="Calibri"/>
          <w:b/>
          <w:bCs/>
          <w:vertAlign w:val="superscript"/>
          <w:rtl/>
        </w:rPr>
        <w:footnoteReference w:id="45"/>
      </w:r>
      <w:r w:rsidRPr="00DC5B13">
        <w:rPr>
          <w:rFonts w:eastAsia="Calibri" w:hint="cs"/>
          <w:b/>
          <w:bCs/>
          <w:rtl/>
        </w:rPr>
        <w:t>. עוד צוין בדוח האמור כי ברשויות אלה מקודמים 23 מיזמי התחדשות עירונית, הכוללים כ-15,100 יח"ד במצב המוצע, אך למועד סיום הביקורת עדיין לא ניתנו היתרים לבנייתם</w:t>
      </w:r>
      <w:r>
        <w:rPr>
          <w:rFonts w:eastAsia="Calibri"/>
          <w:b/>
          <w:bCs/>
          <w:vertAlign w:val="superscript"/>
          <w:rtl/>
        </w:rPr>
        <w:footnoteReference w:id="46"/>
      </w:r>
      <w:r w:rsidRPr="00DC5B13">
        <w:rPr>
          <w:rFonts w:eastAsia="Calibri" w:hint="cs"/>
          <w:b/>
          <w:bCs/>
          <w:rtl/>
        </w:rPr>
        <w:t>.</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מהמיפויים שהוצגו לעיל עולה כי הגורם העיקרי המשפיע על קידום וביצוע מיזמים להתחדשות עירונית הוא הגורם הכלכלי, וצורך בחיזוק מבנים נגד רעידות אדמה </w:t>
      </w:r>
      <w:r w:rsidRPr="00DC5B13">
        <w:rPr>
          <w:rFonts w:eastAsia="Calibri" w:hint="eastAsia"/>
          <w:b/>
          <w:bCs/>
          <w:rtl/>
        </w:rPr>
        <w:t>אינ</w:t>
      </w:r>
      <w:r w:rsidRPr="00DC5B13">
        <w:rPr>
          <w:rFonts w:eastAsia="Calibri" w:hint="cs"/>
          <w:b/>
          <w:bCs/>
          <w:rtl/>
        </w:rPr>
        <w:t xml:space="preserve">ו מקבל מענה מספק במסגרת המאמצים לקדם התחדשות עירונית. ביישובים החשופים לסכנות מעין אלה </w:t>
      </w:r>
      <w:r w:rsidRPr="00DC5B13">
        <w:rPr>
          <w:rFonts w:eastAsia="Calibri" w:hint="eastAsia"/>
          <w:b/>
          <w:bCs/>
          <w:rtl/>
        </w:rPr>
        <w:t>לא</w:t>
      </w:r>
      <w:r w:rsidRPr="00DC5B13">
        <w:rPr>
          <w:rFonts w:eastAsia="Calibri" w:hint="cs"/>
          <w:b/>
          <w:bCs/>
          <w:rtl/>
        </w:rPr>
        <w:t xml:space="preserve"> מקודמים מספיק מיזמים רחבי-היקף להתחדשות המרקם הבנוי, אם בכלל.</w:t>
      </w:r>
    </w:p>
    <w:p w:rsidR="00DC5B13" w:rsidRPr="00DC5B13" w:rsidP="00C34B23">
      <w:pPr>
        <w:spacing w:line="269" w:lineRule="auto"/>
        <w:rPr>
          <w:rFonts w:eastAsia="Calibri"/>
          <w:b/>
          <w:bCs/>
          <w:rtl/>
        </w:rPr>
      </w:pPr>
    </w:p>
    <w:p w:rsidR="00DC5B13" w:rsidRPr="00DC5B13" w:rsidP="00C34B23">
      <w:pPr>
        <w:spacing w:line="269" w:lineRule="auto"/>
        <w:rPr>
          <w:rFonts w:eastAsia="Calibri"/>
          <w:rtl/>
        </w:rPr>
      </w:pPr>
      <w:r w:rsidRPr="00DC5B13">
        <w:rPr>
          <w:rFonts w:eastAsia="Calibri" w:hint="cs"/>
          <w:rtl/>
        </w:rPr>
        <w:t xml:space="preserve">הרשות להתחדשות מסרה בתשובתה כי </w:t>
      </w:r>
      <w:r w:rsidRPr="00DC5B13">
        <w:rPr>
          <w:rFonts w:eastAsia="Calibri"/>
          <w:rtl/>
        </w:rPr>
        <w:t>מאז</w:t>
      </w:r>
      <w:r w:rsidRPr="00DC5B13">
        <w:rPr>
          <w:rFonts w:eastAsia="Calibri" w:hint="cs"/>
          <w:rtl/>
        </w:rPr>
        <w:t xml:space="preserve"> פרסום</w:t>
      </w:r>
      <w:r w:rsidRPr="00DC5B13">
        <w:rPr>
          <w:rFonts w:eastAsia="Calibri"/>
          <w:rtl/>
        </w:rPr>
        <w:t xml:space="preserve"> דוח המבקר המוזכר </w:t>
      </w:r>
      <w:r w:rsidRPr="00DC5B13">
        <w:rPr>
          <w:rFonts w:eastAsia="Calibri" w:hint="cs"/>
          <w:rtl/>
        </w:rPr>
        <w:t xml:space="preserve">לעיל </w:t>
      </w:r>
      <w:r w:rsidRPr="00DC5B13">
        <w:rPr>
          <w:rFonts w:eastAsia="Calibri"/>
          <w:rtl/>
        </w:rPr>
        <w:t>הרשות להתחדשות פעלה לבחון באופן מקיף את המתחמים הרלוונטיים</w:t>
      </w:r>
      <w:r w:rsidRPr="00DC5B13">
        <w:rPr>
          <w:rFonts w:eastAsia="Calibri" w:hint="cs"/>
          <w:rtl/>
        </w:rPr>
        <w:t xml:space="preserve"> </w:t>
      </w:r>
      <w:r w:rsidRPr="00DC5B13">
        <w:rPr>
          <w:rFonts w:eastAsia="Calibri"/>
          <w:rtl/>
        </w:rPr>
        <w:t>ביישובים השונים ולאתר את המתחמים המתאימים ביותר לקידום ת</w:t>
      </w:r>
      <w:r w:rsidRPr="00DC5B13">
        <w:rPr>
          <w:rFonts w:eastAsia="Calibri" w:hint="cs"/>
          <w:rtl/>
        </w:rPr>
        <w:t>ו</w:t>
      </w:r>
      <w:r w:rsidRPr="00DC5B13">
        <w:rPr>
          <w:rFonts w:eastAsia="Calibri"/>
          <w:rtl/>
        </w:rPr>
        <w:t>כניות לפינוי</w:t>
      </w:r>
      <w:r w:rsidRPr="00DC5B13">
        <w:rPr>
          <w:rFonts w:eastAsia="Calibri" w:hint="cs"/>
          <w:rtl/>
        </w:rPr>
        <w:t xml:space="preserve"> </w:t>
      </w:r>
      <w:r w:rsidRPr="00DC5B13">
        <w:rPr>
          <w:rFonts w:eastAsia="Calibri"/>
          <w:rtl/>
        </w:rPr>
        <w:t xml:space="preserve">ובינוי באזורים בעלי רגישות סייסמית. בהמשך לכך, נבחרו </w:t>
      </w:r>
      <w:r w:rsidRPr="00DC5B13">
        <w:rPr>
          <w:rFonts w:eastAsia="Calibri" w:hint="cs"/>
          <w:rtl/>
        </w:rPr>
        <w:t>כמה</w:t>
      </w:r>
      <w:r w:rsidRPr="00DC5B13">
        <w:rPr>
          <w:rFonts w:eastAsia="Calibri"/>
          <w:rtl/>
        </w:rPr>
        <w:t xml:space="preserve"> מתחמים </w:t>
      </w:r>
      <w:r w:rsidRPr="00DC5B13">
        <w:rPr>
          <w:rFonts w:eastAsia="Calibri" w:hint="cs"/>
          <w:rtl/>
        </w:rPr>
        <w:t>ש</w:t>
      </w:r>
      <w:r w:rsidRPr="00DC5B13">
        <w:rPr>
          <w:rFonts w:eastAsia="Calibri"/>
          <w:rtl/>
        </w:rPr>
        <w:t>בהם</w:t>
      </w:r>
      <w:r w:rsidRPr="00DC5B13">
        <w:rPr>
          <w:rFonts w:eastAsia="Calibri" w:hint="cs"/>
          <w:rtl/>
        </w:rPr>
        <w:t xml:space="preserve"> היא</w:t>
      </w:r>
      <w:r w:rsidRPr="00DC5B13">
        <w:rPr>
          <w:rFonts w:eastAsia="Calibri"/>
          <w:rtl/>
        </w:rPr>
        <w:t xml:space="preserve"> מקדמת בשנים האחרונות תכנון מפורט לפינוי ובינוי</w:t>
      </w:r>
      <w:r w:rsidRPr="00DC5B13">
        <w:rPr>
          <w:rFonts w:eastAsia="Calibri" w:hint="cs"/>
          <w:rtl/>
        </w:rPr>
        <w:t>.</w:t>
      </w:r>
      <w:r w:rsidRPr="00DC5B13">
        <w:rPr>
          <w:rFonts w:eastAsia="Calibri"/>
          <w:rtl/>
        </w:rPr>
        <w:t xml:space="preserve"> כיום</w:t>
      </w:r>
      <w:r w:rsidRPr="00DC5B13">
        <w:rPr>
          <w:rFonts w:eastAsia="Calibri" w:hint="cs"/>
          <w:rtl/>
        </w:rPr>
        <w:t xml:space="preserve"> </w:t>
      </w:r>
      <w:r w:rsidRPr="00DC5B13">
        <w:rPr>
          <w:rFonts w:eastAsia="Calibri"/>
          <w:rtl/>
        </w:rPr>
        <w:t xml:space="preserve">מקודמות </w:t>
      </w:r>
      <w:r w:rsidRPr="00DC5B13">
        <w:rPr>
          <w:rFonts w:eastAsia="Calibri" w:hint="cs"/>
          <w:rtl/>
        </w:rPr>
        <w:t>כמה</w:t>
      </w:r>
      <w:r w:rsidRPr="00DC5B13">
        <w:rPr>
          <w:rFonts w:eastAsia="Calibri"/>
          <w:rtl/>
        </w:rPr>
        <w:t xml:space="preserve"> ת</w:t>
      </w:r>
      <w:r w:rsidRPr="00DC5B13">
        <w:rPr>
          <w:rFonts w:eastAsia="Calibri" w:hint="cs"/>
          <w:rtl/>
        </w:rPr>
        <w:t>ו</w:t>
      </w:r>
      <w:r w:rsidRPr="00DC5B13">
        <w:rPr>
          <w:rFonts w:eastAsia="Calibri"/>
          <w:rtl/>
        </w:rPr>
        <w:t>כניות בהובלת הרשות להתחדשות במרבית הרשויות בעלות הסיכון</w:t>
      </w:r>
      <w:r w:rsidRPr="00DC5B13">
        <w:rPr>
          <w:rFonts w:eastAsia="Calibri" w:hint="cs"/>
          <w:rtl/>
        </w:rPr>
        <w:t xml:space="preserve"> </w:t>
      </w:r>
      <w:r w:rsidRPr="00DC5B13">
        <w:rPr>
          <w:rFonts w:eastAsia="Calibri"/>
          <w:rtl/>
        </w:rPr>
        <w:t>הסייסמי: קרי</w:t>
      </w:r>
      <w:r w:rsidRPr="00DC5B13">
        <w:rPr>
          <w:rFonts w:eastAsia="Calibri" w:hint="cs"/>
          <w:rtl/>
        </w:rPr>
        <w:t>י</w:t>
      </w:r>
      <w:r w:rsidRPr="00DC5B13">
        <w:rPr>
          <w:rFonts w:eastAsia="Calibri"/>
          <w:rtl/>
        </w:rPr>
        <w:t>ת שמונה, חצור הגלילית, בית שאן, צפת, טבריה, עפולה, מגדל העמק</w:t>
      </w:r>
      <w:r w:rsidRPr="00DC5B13">
        <w:rPr>
          <w:rFonts w:eastAsia="Calibri" w:hint="cs"/>
          <w:rtl/>
        </w:rPr>
        <w:t xml:space="preserve"> </w:t>
      </w:r>
      <w:r w:rsidRPr="00DC5B13">
        <w:rPr>
          <w:rFonts w:eastAsia="Calibri"/>
          <w:rtl/>
        </w:rPr>
        <w:t xml:space="preserve">ואילת. </w:t>
      </w:r>
      <w:r w:rsidRPr="00DC5B13">
        <w:rPr>
          <w:rFonts w:eastAsia="Calibri" w:hint="cs"/>
          <w:rtl/>
        </w:rPr>
        <w:t>לדבריה</w:t>
      </w:r>
      <w:r w:rsidRPr="00DC5B13">
        <w:rPr>
          <w:rFonts w:eastAsia="Calibri"/>
          <w:rtl/>
        </w:rPr>
        <w:t>, הרוב המוחלט של הת</w:t>
      </w:r>
      <w:r w:rsidRPr="00DC5B13">
        <w:rPr>
          <w:rFonts w:eastAsia="Calibri" w:hint="cs"/>
          <w:rtl/>
        </w:rPr>
        <w:t>ו</w:t>
      </w:r>
      <w:r w:rsidRPr="00DC5B13">
        <w:rPr>
          <w:rFonts w:eastAsia="Calibri"/>
          <w:rtl/>
        </w:rPr>
        <w:t>כניות המקודמות ביישובים אלו מקודמות ע</w:t>
      </w:r>
      <w:r w:rsidRPr="00DC5B13">
        <w:rPr>
          <w:rFonts w:eastAsia="Calibri" w:hint="cs"/>
          <w:rtl/>
        </w:rPr>
        <w:t xml:space="preserve">ל ידי </w:t>
      </w:r>
      <w:r w:rsidRPr="00DC5B13">
        <w:rPr>
          <w:rFonts w:eastAsia="Calibri"/>
          <w:rtl/>
        </w:rPr>
        <w:t>הרשות להתחדשות ובמימונה.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rtl/>
        </w:rPr>
        <w:t xml:space="preserve">מינהל התכנון מסר בתשובתו כי האפשרות ליצור תנאים להגברת הכדאיות הכלכלית של מיזמי התחדשות עירונית </w:t>
      </w:r>
      <w:r w:rsidRPr="00DC5B13">
        <w:rPr>
          <w:rFonts w:eastAsia="Calibri" w:hint="cs"/>
          <w:rtl/>
        </w:rPr>
        <w:t>ב</w:t>
      </w:r>
      <w:r w:rsidRPr="00DC5B13">
        <w:rPr>
          <w:rFonts w:eastAsia="Calibri"/>
          <w:rtl/>
        </w:rPr>
        <w:t xml:space="preserve">אמצעות כלים תכנוניים בלבד היא מוגבלת. מינהל התכנון הוסיף כי </w:t>
      </w:r>
      <w:r w:rsidRPr="00DC5B13">
        <w:rPr>
          <w:rFonts w:eastAsia="Calibri" w:hint="cs"/>
          <w:rtl/>
        </w:rPr>
        <w:t>כדי</w:t>
      </w:r>
      <w:r w:rsidRPr="00DC5B13">
        <w:rPr>
          <w:rFonts w:eastAsia="Calibri"/>
          <w:rtl/>
        </w:rPr>
        <w:t xml:space="preserve"> לעודד מימוש יש צורך בתקציב, ולא </w:t>
      </w:r>
      <w:r w:rsidRPr="00DC5B13">
        <w:rPr>
          <w:rFonts w:eastAsia="Calibri" w:hint="cs"/>
          <w:rtl/>
        </w:rPr>
        <w:t>די</w:t>
      </w:r>
      <w:r w:rsidRPr="00DC5B13">
        <w:rPr>
          <w:rFonts w:eastAsia="Calibri"/>
          <w:rtl/>
        </w:rPr>
        <w:t xml:space="preserve"> לגבש מדיניות. </w:t>
      </w:r>
      <w:r w:rsidRPr="00DC5B13">
        <w:rPr>
          <w:rFonts w:eastAsia="Calibri" w:hint="cs"/>
          <w:rtl/>
        </w:rPr>
        <w:t>כמו כן</w:t>
      </w:r>
      <w:r w:rsidRPr="00DC5B13">
        <w:rPr>
          <w:rFonts w:eastAsia="Calibri"/>
          <w:rtl/>
        </w:rPr>
        <w:t xml:space="preserve"> ציין מינהל התכנון כי הוא יזם עם הרשות להתחדשות בסוף שנת 2025 הקמת צוות חשיבה לקיצור לוחות זמנים בתהליכי תכנון התחדשות עירונית. הצוות כולל גם נציגים ממשרדי האוצר והמשפטים וכן נציגים מרשויות מקומיות. הצוות נפגש עם גורמים רבים במשק הקשורים לנושא. הצוות עסוק במיפוי חסמים ו</w:t>
      </w:r>
      <w:r w:rsidRPr="00DC5B13">
        <w:rPr>
          <w:rFonts w:eastAsia="Calibri" w:hint="cs"/>
          <w:rtl/>
        </w:rPr>
        <w:t>ב</w:t>
      </w:r>
      <w:r w:rsidRPr="00DC5B13">
        <w:rPr>
          <w:rFonts w:eastAsia="Calibri"/>
          <w:rtl/>
        </w:rPr>
        <w:t xml:space="preserve">מתן פתרונות להסרתם, לרבות בתחומי </w:t>
      </w:r>
      <w:r w:rsidRPr="00DC5B13">
        <w:rPr>
          <w:rFonts w:eastAsia="Calibri" w:hint="cs"/>
          <w:rtl/>
        </w:rPr>
        <w:t>החקיקה</w:t>
      </w:r>
      <w:r w:rsidRPr="00DC5B13">
        <w:rPr>
          <w:rFonts w:eastAsia="Calibri"/>
          <w:rtl/>
        </w:rPr>
        <w:t>, התכנון, התחבורה, הסביבה והכלכלה.</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המיפויים שהוצגו מצביעים על הפער בין הצורך הדחוף בחיזוק מבנים, ובין המימוש בפועל של מיזמי התחדשות עירונית - שלא בהתאם להחלטת הממשלה 875, שהדגישה את הצורך בנקיטת פעולות דחופות לביצוע התחדשות עירונית ביישובי הנגב והגליל. ממצאי המיפויים מדגישים את הצורך בניתוח החסמים המעכבים והצורך בנקיטת פעולות להסרתם.</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rtl/>
        </w:rPr>
        <w:t xml:space="preserve">משרד ראש הממשלה ציין בתשובתו </w:t>
      </w:r>
      <w:r w:rsidRPr="00DC5B13">
        <w:rPr>
          <w:rFonts w:eastAsia="Calibri"/>
          <w:rtl/>
        </w:rPr>
        <w:t xml:space="preserve">כי בהחלטת הממשלה 1710 מאפריל 2024 בנושא "אימוץ עיקרי דו"ח לשיקום ארוך טווח אחרי רעידת אדמה והקמת תשתית ארגונית לשיקום ארוך טווח אחרי אסונות" הוחלט על הקמת גוף ליבה במשרד ראש הממשלה שיפעל בימי שגרה וישמש גרעין </w:t>
      </w:r>
      <w:r w:rsidRPr="00DC5B13">
        <w:rPr>
          <w:rFonts w:eastAsia="Calibri"/>
          <w:rtl/>
        </w:rPr>
        <w:t xml:space="preserve">קבוע לניהול השיקום ארוך הטווח לאחר אסונות בכלל, </w:t>
      </w:r>
      <w:r w:rsidRPr="00DC5B13">
        <w:rPr>
          <w:rFonts w:eastAsia="Calibri" w:hint="cs"/>
          <w:rtl/>
        </w:rPr>
        <w:t>ו</w:t>
      </w:r>
      <w:r w:rsidRPr="00DC5B13">
        <w:rPr>
          <w:rFonts w:eastAsia="Calibri"/>
          <w:rtl/>
        </w:rPr>
        <w:t>רעידת אדמה</w:t>
      </w:r>
      <w:r w:rsidRPr="00DC5B13">
        <w:rPr>
          <w:rFonts w:eastAsia="Calibri" w:hint="cs"/>
          <w:rtl/>
        </w:rPr>
        <w:t xml:space="preserve"> בפרט</w:t>
      </w:r>
      <w:r w:rsidRPr="00DC5B13">
        <w:rPr>
          <w:rFonts w:eastAsia="Calibri"/>
          <w:rtl/>
        </w:rPr>
        <w:t>. בתשובת המשרד צוין כי הצוות מוקם בימים אלו.</w:t>
      </w:r>
    </w:p>
    <w:p w:rsidR="00DC5B13" w:rsidRPr="00DC5B13" w:rsidP="00C34B23">
      <w:pPr>
        <w:spacing w:line="269" w:lineRule="auto"/>
        <w:rPr>
          <w:rFonts w:eastAsia="Calibri"/>
          <w:b/>
          <w:bCs/>
          <w:rtl/>
        </w:rPr>
      </w:pPr>
    </w:p>
    <w:p w:rsidR="00DC5B13" w:rsidRPr="00DC5B13" w:rsidP="00C34B23">
      <w:pPr>
        <w:spacing w:line="269" w:lineRule="auto"/>
        <w:rPr>
          <w:rFonts w:eastAsia="Calibri"/>
          <w:rtl/>
        </w:rPr>
      </w:pPr>
      <w:r w:rsidRPr="00DC5B13">
        <w:rPr>
          <w:rFonts w:eastAsia="Calibri" w:hint="cs"/>
          <w:rtl/>
        </w:rPr>
        <w:t>הרשות להתחדשות מסרה בתשובתה כי לדעתה סוגיית החסם העומדת בפני קידום התחדשות עירונית לאורך יישובי הגבול המזרחי היא במידה רבה כלכלית ואינה יכול להיפתר בכלים תכנוניים. זאת מפני שכמעט לא ניתן להכין עבור ישובים אלה תוכניות בעלות כדאיות כלכלית וללא תלות במכפיל שייבחר. הטענה לגבי היעדר הקצאת משאבים תקציביים לצורך סבסוד מיזמים נעדרי כדאיות כלכלית אמורה להיות מופנית לגופים העוסקים בקביעת סדרי העדיפויות התקציביים, לרבות ממשלת ישראל, ועדת הכספים של הכנסת ומשרד האוצר.</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מינהל התכנון מסר בתשובתו כי יש להביא בחשבון שהערים השוכנות באזורים בעלי רגישות סייסמית גבוהה </w:t>
      </w:r>
      <w:r w:rsidRPr="00DC5B13">
        <w:rPr>
          <w:rFonts w:eastAsia="Calibri"/>
          <w:rtl/>
        </w:rPr>
        <w:t xml:space="preserve">הן גם ערים </w:t>
      </w:r>
      <w:r w:rsidRPr="00DC5B13">
        <w:rPr>
          <w:rFonts w:eastAsia="Calibri" w:hint="cs"/>
          <w:rtl/>
        </w:rPr>
        <w:t>המשתייכות לאשכול חברתי-כלכלי נמוך, וכי</w:t>
      </w:r>
      <w:r w:rsidRPr="00DC5B13">
        <w:rPr>
          <w:rFonts w:eastAsia="Calibri"/>
          <w:rtl/>
        </w:rPr>
        <w:t xml:space="preserve"> ללא השלמת סבסוד ממשלתי</w:t>
      </w:r>
      <w:r w:rsidRPr="00DC5B13">
        <w:rPr>
          <w:rFonts w:eastAsia="Calibri" w:hint="cs"/>
          <w:rtl/>
        </w:rPr>
        <w:t xml:space="preserve"> או הקצאת</w:t>
      </w:r>
      <w:r w:rsidRPr="00DC5B13">
        <w:rPr>
          <w:rFonts w:eastAsia="Calibri"/>
          <w:rtl/>
        </w:rPr>
        <w:t xml:space="preserve"> קרקע משלימה</w:t>
      </w:r>
      <w:r w:rsidRPr="00DC5B13">
        <w:rPr>
          <w:rFonts w:eastAsia="Calibri" w:hint="cs"/>
          <w:rtl/>
        </w:rPr>
        <w:t>, קשה</w:t>
      </w:r>
      <w:r w:rsidRPr="00DC5B13">
        <w:rPr>
          <w:rFonts w:eastAsia="Calibri"/>
          <w:rtl/>
        </w:rPr>
        <w:t xml:space="preserve"> יהיה לקדם תכנון עם סיכויי מימוש גבוהים</w:t>
      </w:r>
      <w:r w:rsidRPr="00DC5B13">
        <w:rPr>
          <w:rFonts w:eastAsia="Calibri" w:hint="cs"/>
          <w:rtl/>
        </w:rPr>
        <w:t>.</w:t>
      </w:r>
    </w:p>
    <w:p w:rsidR="00DC5B13" w:rsidRPr="00DC5B13" w:rsidP="00C34B23">
      <w:pPr>
        <w:spacing w:line="269" w:lineRule="auto"/>
        <w:rPr>
          <w:rFonts w:eastAsia="Calibri"/>
          <w:szCs w:val="20"/>
          <w:rtl/>
        </w:rPr>
      </w:pPr>
      <w:bookmarkStart w:id="21" w:name="_Hlk219973679"/>
    </w:p>
    <w:p w:rsidR="00DC5B13" w:rsidP="00C34B23">
      <w:pPr>
        <w:spacing w:line="269" w:lineRule="auto"/>
        <w:rPr>
          <w:rFonts w:eastAsia="Calibri"/>
          <w:b/>
          <w:bCs/>
          <w:rtl/>
        </w:rPr>
      </w:pPr>
      <w:r w:rsidRPr="00DC5B13">
        <w:rPr>
          <w:rFonts w:eastAsia="Calibri"/>
          <w:b/>
          <w:bCs/>
          <w:rtl/>
        </w:rPr>
        <w:t xml:space="preserve">משרד מבקר המדינה ממליץ למשרד ראש הממשלה, לרשות מקרקעי ישראל </w:t>
      </w:r>
      <w:r w:rsidRPr="00DC5B13">
        <w:rPr>
          <w:rFonts w:eastAsia="Calibri" w:hint="cs"/>
          <w:b/>
          <w:bCs/>
          <w:rtl/>
        </w:rPr>
        <w:t>ו</w:t>
      </w:r>
      <w:r w:rsidRPr="00DC5B13">
        <w:rPr>
          <w:rFonts w:eastAsia="Calibri"/>
          <w:b/>
          <w:bCs/>
          <w:rtl/>
        </w:rPr>
        <w:t>למינהל התכנון</w:t>
      </w:r>
      <w:r w:rsidRPr="00DC5B13">
        <w:rPr>
          <w:rFonts w:eastAsia="Calibri" w:hint="cs"/>
          <w:b/>
          <w:bCs/>
          <w:rtl/>
        </w:rPr>
        <w:t xml:space="preserve"> </w:t>
      </w:r>
      <w:r w:rsidRPr="00DC5B13">
        <w:rPr>
          <w:rFonts w:eastAsia="Calibri"/>
          <w:b/>
          <w:bCs/>
          <w:rtl/>
        </w:rPr>
        <w:t>- שהם הגופים הלאומיים העוסקים בקידום ובתכנון התחדשות עירונית - ולרשות להתחדשות</w:t>
      </w:r>
      <w:r w:rsidRPr="00DC5B13">
        <w:rPr>
          <w:rFonts w:eastAsia="Calibri" w:hint="cs"/>
          <w:b/>
          <w:bCs/>
          <w:rtl/>
        </w:rPr>
        <w:t>, שהיא הגוף הממשלתי האמון על תחום ההתחדשות העירונית</w:t>
      </w:r>
      <w:r w:rsidRPr="00DC5B13">
        <w:rPr>
          <w:rFonts w:eastAsia="Calibri"/>
          <w:b/>
          <w:bCs/>
          <w:rtl/>
        </w:rPr>
        <w:t xml:space="preserve"> לפעול במשותף לצמצום הפער</w:t>
      </w:r>
      <w:r w:rsidRPr="00DC5B13">
        <w:rPr>
          <w:rFonts w:eastAsia="Calibri" w:hint="cs"/>
          <w:b/>
          <w:bCs/>
          <w:rtl/>
        </w:rPr>
        <w:t xml:space="preserve"> בין הצורך לקדם ולבצע התחדשות עירונית באזורים הרגישים יותר לרעידות אדמה שבהם נדרש חיזוק מבנים</w:t>
      </w:r>
      <w:r w:rsidRPr="00DC5B13">
        <w:rPr>
          <w:rFonts w:eastAsia="Calibri"/>
          <w:b/>
          <w:bCs/>
          <w:rtl/>
        </w:rPr>
        <w:t xml:space="preserve"> </w:t>
      </w:r>
      <w:r w:rsidRPr="00DC5B13">
        <w:rPr>
          <w:rFonts w:eastAsia="Calibri" w:hint="cs"/>
          <w:b/>
          <w:bCs/>
          <w:rtl/>
        </w:rPr>
        <w:t xml:space="preserve">לבין הקידום והביצוע שלהם בפועל, </w:t>
      </w:r>
      <w:r w:rsidRPr="00DC5B13">
        <w:rPr>
          <w:rFonts w:eastAsia="Calibri"/>
          <w:b/>
          <w:bCs/>
          <w:rtl/>
        </w:rPr>
        <w:t>ולהסרת החסמים המעכבים יישום תהליכי התחדשות עירונית</w:t>
      </w:r>
      <w:r w:rsidRPr="00DC5B13">
        <w:rPr>
          <w:rFonts w:eastAsia="Calibri" w:hint="cs"/>
          <w:b/>
          <w:bCs/>
          <w:rtl/>
        </w:rPr>
        <w:t xml:space="preserve"> - ובייחוד באזורים הרגישים לרעידות אדמה חזקות בצפון הארץ ולאורך גבולה המזרחי עוד לפני התרחשותן.</w:t>
      </w:r>
    </w:p>
    <w:p w:rsidR="00037943" w:rsidRPr="00DC5B13" w:rsidP="00C34B23">
      <w:pPr>
        <w:spacing w:line="269" w:lineRule="auto"/>
        <w:rPr>
          <w:rFonts w:eastAsia="Calibri"/>
          <w:b/>
          <w:bCs/>
          <w:rtl/>
        </w:rPr>
      </w:pPr>
    </w:p>
    <w:bookmarkEnd w:id="20"/>
    <w:bookmarkEnd w:id="21"/>
    <w:p w:rsidR="00DC5B13" w:rsidRPr="00DC5B13" w:rsidP="00C34B23">
      <w:pPr>
        <w:keepNext/>
        <w:keepLines/>
        <w:spacing w:line="269" w:lineRule="auto"/>
        <w:outlineLvl w:val="2"/>
        <w:rPr>
          <w:rFonts w:eastAsia="Times New Roman"/>
          <w:bCs/>
          <w:szCs w:val="28"/>
          <w:u w:val="single"/>
          <w:rtl/>
        </w:rPr>
      </w:pPr>
      <w:r w:rsidRPr="00DC5B13">
        <w:rPr>
          <w:rFonts w:eastAsia="Times New Roman" w:hint="cs"/>
          <w:bCs/>
          <w:szCs w:val="28"/>
          <w:u w:val="single"/>
          <w:rtl/>
        </w:rPr>
        <w:t>סקירה בין-לאומית: מדיניות לאומית בנושא התחדשות עירונית והשפעותיה</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hint="cs"/>
          <w:rtl/>
        </w:rPr>
        <w:t xml:space="preserve">הפרק שלהלן סוקר תפיסות הנוגעות לתהליכי התחדשות עירונית ואת המדיניות הלאומית שנקבעה על פי תפיסות אלה במדינות בעלות זיקה לתנאים ולצרכים המאפיינים את התהליך בישראל: </w:t>
      </w:r>
      <w:r w:rsidRPr="00DC5B13">
        <w:rPr>
          <w:rFonts w:eastAsia="Calibri" w:hint="eastAsia"/>
          <w:rtl/>
        </w:rPr>
        <w:t>בריטניה</w:t>
      </w:r>
      <w:r w:rsidRPr="00DC5B13">
        <w:rPr>
          <w:rFonts w:eastAsia="Calibri" w:hint="cs"/>
          <w:rtl/>
        </w:rPr>
        <w:t xml:space="preserve">, </w:t>
      </w:r>
      <w:r w:rsidRPr="00DC5B13">
        <w:rPr>
          <w:rFonts w:eastAsia="Calibri" w:hint="eastAsia"/>
          <w:rtl/>
        </w:rPr>
        <w:t>הולנד</w:t>
      </w:r>
      <w:r w:rsidRPr="00DC5B13">
        <w:rPr>
          <w:rFonts w:eastAsia="Calibri" w:hint="cs"/>
          <w:rtl/>
        </w:rPr>
        <w:t xml:space="preserve"> ו</w:t>
      </w:r>
      <w:r w:rsidRPr="00DC5B13">
        <w:rPr>
          <w:rFonts w:eastAsia="Calibri" w:hint="eastAsia"/>
          <w:rtl/>
        </w:rPr>
        <w:t>יפן</w:t>
      </w:r>
      <w:r w:rsidRPr="00DC5B13">
        <w:rPr>
          <w:rFonts w:eastAsia="Calibri"/>
          <w:rtl/>
        </w:rPr>
        <w:t xml:space="preserve"> </w:t>
      </w:r>
      <w:r w:rsidRPr="00DC5B13">
        <w:rPr>
          <w:rFonts w:eastAsia="Calibri" w:hint="cs"/>
          <w:rtl/>
        </w:rPr>
        <w:t xml:space="preserve">(להלן - המדינות שנסקרו). </w:t>
      </w:r>
      <w:r w:rsidRPr="00DC5B13">
        <w:rPr>
          <w:rFonts w:eastAsia="Calibri"/>
          <w:rtl/>
        </w:rPr>
        <w:t>מדינות אלה נסקרו בשל זיקתן לתנאים ולצרכים העומדים בבסיס</w:t>
      </w:r>
      <w:r w:rsidRPr="00DC5B13">
        <w:rPr>
          <w:rFonts w:eastAsia="Calibri" w:hint="cs"/>
          <w:rtl/>
        </w:rPr>
        <w:t>ם של</w:t>
      </w:r>
      <w:r w:rsidRPr="00DC5B13">
        <w:rPr>
          <w:rFonts w:eastAsia="Calibri"/>
          <w:rtl/>
        </w:rPr>
        <w:t xml:space="preserve"> תהליכי ההתחדשות העירונית בישראל</w:t>
      </w:r>
      <w:r w:rsidRPr="00DC5B13">
        <w:rPr>
          <w:rFonts w:eastAsia="Calibri" w:hint="cs"/>
          <w:rtl/>
        </w:rPr>
        <w:t>:</w:t>
      </w:r>
      <w:r w:rsidRPr="00DC5B13">
        <w:rPr>
          <w:rFonts w:eastAsia="Calibri"/>
          <w:rtl/>
        </w:rPr>
        <w:t xml:space="preserve"> בריטניה בשל מערכת </w:t>
      </w:r>
      <w:r w:rsidRPr="00DC5B13">
        <w:rPr>
          <w:rFonts w:eastAsia="Calibri" w:hint="cs"/>
          <w:rtl/>
        </w:rPr>
        <w:t>החקיקה והמשפט</w:t>
      </w:r>
      <w:r w:rsidRPr="00DC5B13">
        <w:rPr>
          <w:rFonts w:eastAsia="Calibri"/>
          <w:rtl/>
        </w:rPr>
        <w:t xml:space="preserve"> שלה</w:t>
      </w:r>
      <w:r w:rsidRPr="00DC5B13">
        <w:rPr>
          <w:rFonts w:eastAsia="Calibri" w:hint="cs"/>
          <w:rtl/>
        </w:rPr>
        <w:t xml:space="preserve"> ומערכת התכנון שלה</w:t>
      </w:r>
      <w:r w:rsidRPr="00DC5B13">
        <w:rPr>
          <w:rFonts w:eastAsia="Calibri"/>
          <w:rtl/>
        </w:rPr>
        <w:t>, ששימש</w:t>
      </w:r>
      <w:r w:rsidRPr="00DC5B13">
        <w:rPr>
          <w:rFonts w:eastAsia="Calibri" w:hint="cs"/>
          <w:rtl/>
        </w:rPr>
        <w:t>ו</w:t>
      </w:r>
      <w:r w:rsidRPr="00DC5B13">
        <w:rPr>
          <w:rFonts w:eastAsia="Calibri"/>
          <w:rtl/>
        </w:rPr>
        <w:t xml:space="preserve"> בסיס לכינו</w:t>
      </w:r>
      <w:r w:rsidRPr="00DC5B13">
        <w:rPr>
          <w:rFonts w:eastAsia="Calibri" w:hint="cs"/>
          <w:rtl/>
        </w:rPr>
        <w:t>נן של</w:t>
      </w:r>
      <w:r w:rsidRPr="00DC5B13">
        <w:rPr>
          <w:rFonts w:eastAsia="Calibri"/>
          <w:rtl/>
        </w:rPr>
        <w:t xml:space="preserve"> מערכת המשפט הישראלי</w:t>
      </w:r>
      <w:r w:rsidRPr="00DC5B13">
        <w:rPr>
          <w:rFonts w:eastAsia="Calibri" w:hint="cs"/>
          <w:rtl/>
        </w:rPr>
        <w:t xml:space="preserve"> ושל מערכת התכנון בישראל ובשל המבנה הריכוזי של השלטון המאפיין אותה</w:t>
      </w:r>
      <w:r>
        <w:rPr>
          <w:rFonts w:eastAsia="Calibri"/>
          <w:vertAlign w:val="superscript"/>
          <w:rtl/>
        </w:rPr>
        <w:footnoteReference w:id="47"/>
      </w:r>
      <w:r w:rsidRPr="00DC5B13">
        <w:rPr>
          <w:rFonts w:eastAsia="Calibri"/>
          <w:rtl/>
        </w:rPr>
        <w:t>; הולנד בשל ההיצע והזמינות המוגבלים של משאב הקרקע</w:t>
      </w:r>
      <w:r w:rsidRPr="00DC5B13">
        <w:rPr>
          <w:rFonts w:eastAsia="Calibri" w:hint="cs"/>
          <w:rtl/>
        </w:rPr>
        <w:t>,</w:t>
      </w:r>
      <w:r w:rsidRPr="00DC5B13">
        <w:rPr>
          <w:rFonts w:eastAsia="Calibri"/>
          <w:rtl/>
        </w:rPr>
        <w:t xml:space="preserve"> ויפן בשל הרגישות הס</w:t>
      </w:r>
      <w:r w:rsidRPr="00DC5B13">
        <w:rPr>
          <w:rFonts w:eastAsia="Calibri" w:hint="cs"/>
          <w:rtl/>
        </w:rPr>
        <w:t>י</w:t>
      </w:r>
      <w:r w:rsidRPr="00DC5B13">
        <w:rPr>
          <w:rFonts w:eastAsia="Calibri"/>
          <w:rtl/>
        </w:rPr>
        <w:t xml:space="preserve">יסמית </w:t>
      </w:r>
      <w:r w:rsidRPr="00DC5B13">
        <w:rPr>
          <w:rFonts w:eastAsia="Calibri" w:hint="cs"/>
          <w:rtl/>
        </w:rPr>
        <w:t>ב</w:t>
      </w:r>
      <w:r w:rsidRPr="00DC5B13">
        <w:rPr>
          <w:rFonts w:eastAsia="Calibri"/>
          <w:rtl/>
        </w:rPr>
        <w:t>שטחה</w:t>
      </w:r>
      <w:r w:rsidRPr="00DC5B13">
        <w:rPr>
          <w:rFonts w:eastAsia="Calibri" w:hint="cs"/>
          <w:rtl/>
        </w:rPr>
        <w:t>.</w:t>
      </w:r>
    </w:p>
    <w:p w:rsidR="00037943" w:rsidRPr="00DC5B13" w:rsidP="00C34B23">
      <w:pPr>
        <w:spacing w:line="269" w:lineRule="auto"/>
        <w:rPr>
          <w:rFonts w:eastAsia="Calibri"/>
          <w:rtl/>
        </w:rPr>
      </w:pPr>
    </w:p>
    <w:p w:rsidR="00DC5B13" w:rsidRPr="00DC5B13" w:rsidP="00C34B23">
      <w:pPr>
        <w:keepNext/>
        <w:keepLines/>
        <w:spacing w:line="269" w:lineRule="auto"/>
        <w:outlineLvl w:val="3"/>
        <w:rPr>
          <w:rFonts w:eastAsia="Times New Roman"/>
          <w:bCs/>
          <w:szCs w:val="26"/>
          <w:rtl/>
        </w:rPr>
      </w:pPr>
      <w:r w:rsidRPr="00DC5B13">
        <w:rPr>
          <w:rFonts w:eastAsia="Times New Roman" w:hint="cs"/>
          <w:bCs/>
          <w:szCs w:val="26"/>
          <w:rtl/>
        </w:rPr>
        <w:t>בריטניה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המטרות של תהליכי ההתחדשות העירונית בבריטניה התפתחו משיקום חומרי בלבד של בניינים ישנים </w:t>
      </w:r>
      <w:r w:rsidRPr="00DC5B13">
        <w:rPr>
          <w:rFonts w:eastAsia="Calibri" w:hint="eastAsia"/>
          <w:rtl/>
        </w:rPr>
        <w:t>לתהליך</w:t>
      </w:r>
      <w:r w:rsidRPr="00DC5B13">
        <w:rPr>
          <w:rFonts w:eastAsia="Calibri"/>
          <w:rtl/>
        </w:rPr>
        <w:t xml:space="preserve"> מורכב שנועד לשפר את תנאי המחיה דרך יצירת מקומות עבודה והזדמנויות </w:t>
      </w:r>
      <w:r w:rsidRPr="00DC5B13">
        <w:rPr>
          <w:rFonts w:eastAsia="Calibri" w:hint="eastAsia"/>
          <w:rtl/>
        </w:rPr>
        <w:t>כלכליות</w:t>
      </w:r>
      <w:r w:rsidRPr="00DC5B13">
        <w:rPr>
          <w:rFonts w:eastAsia="Calibri"/>
          <w:rtl/>
        </w:rPr>
        <w:t xml:space="preserve">, </w:t>
      </w:r>
      <w:r w:rsidRPr="00DC5B13">
        <w:rPr>
          <w:rFonts w:eastAsia="Calibri" w:hint="eastAsia"/>
          <w:rtl/>
        </w:rPr>
        <w:t>פיתוח</w:t>
      </w:r>
      <w:r w:rsidRPr="00DC5B13">
        <w:rPr>
          <w:rFonts w:eastAsia="Calibri"/>
          <w:rtl/>
        </w:rPr>
        <w:t xml:space="preserve"> </w:t>
      </w:r>
      <w:r w:rsidRPr="00DC5B13">
        <w:rPr>
          <w:rFonts w:eastAsia="Calibri" w:hint="eastAsia"/>
          <w:rtl/>
        </w:rPr>
        <w:t>בר</w:t>
      </w:r>
      <w:r w:rsidRPr="00DC5B13">
        <w:rPr>
          <w:rFonts w:eastAsia="Calibri"/>
          <w:rtl/>
        </w:rPr>
        <w:t xml:space="preserve">-קיימא </w:t>
      </w:r>
      <w:r w:rsidRPr="00DC5B13">
        <w:rPr>
          <w:rFonts w:eastAsia="Calibri" w:hint="eastAsia"/>
          <w:rtl/>
        </w:rPr>
        <w:t>ושיפור</w:t>
      </w:r>
      <w:r w:rsidRPr="00DC5B13">
        <w:rPr>
          <w:rFonts w:eastAsia="Calibri"/>
          <w:rtl/>
        </w:rPr>
        <w:t xml:space="preserve"> </w:t>
      </w:r>
      <w:r w:rsidRPr="00DC5B13">
        <w:rPr>
          <w:rFonts w:eastAsia="Calibri" w:hint="eastAsia"/>
          <w:rtl/>
        </w:rPr>
        <w:t>תשתיות</w:t>
      </w:r>
      <w:r w:rsidRPr="00DC5B13">
        <w:rPr>
          <w:rFonts w:eastAsia="Calibri"/>
          <w:rtl/>
        </w:rPr>
        <w:t xml:space="preserve"> </w:t>
      </w:r>
      <w:r w:rsidRPr="00DC5B13">
        <w:rPr>
          <w:rFonts w:eastAsia="Calibri" w:hint="eastAsia"/>
          <w:rtl/>
        </w:rPr>
        <w:t>מיושנות</w:t>
      </w:r>
      <w:r>
        <w:rPr>
          <w:rFonts w:eastAsia="Calibri"/>
          <w:vertAlign w:val="superscript"/>
          <w:rtl/>
        </w:rPr>
        <w:footnoteReference w:id="48"/>
      </w:r>
      <w:r w:rsidRPr="00DC5B13">
        <w:rPr>
          <w:rFonts w:eastAsia="Calibri" w:hint="cs"/>
          <w:rtl/>
        </w:rPr>
        <w:t>. חוק תכנון והפקעות (</w:t>
      </w:r>
      <w:r w:rsidRPr="00DC5B13">
        <w:rPr>
          <w:rFonts w:eastAsia="Calibri"/>
        </w:rPr>
        <w:t>Planning and Compulsory Purchase Law</w:t>
      </w:r>
      <w:r w:rsidRPr="00DC5B13">
        <w:rPr>
          <w:rFonts w:eastAsia="Calibri" w:hint="cs"/>
          <w:rtl/>
        </w:rPr>
        <w:t>) משנת 2004 קבע כי התחדשות עירונית אמורה להביא לידי פיתוח הדדי וסימולטני של הכלכלה, של הסביבה ושל החברה.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במחקר</w:t>
      </w:r>
      <w:r>
        <w:rPr>
          <w:rFonts w:eastAsia="Calibri"/>
          <w:vertAlign w:val="superscript"/>
          <w:rtl/>
        </w:rPr>
        <w:footnoteReference w:id="49"/>
      </w:r>
      <w:r w:rsidRPr="00DC5B13">
        <w:rPr>
          <w:rFonts w:eastAsia="Calibri" w:hint="cs"/>
          <w:rtl/>
        </w:rPr>
        <w:t xml:space="preserve"> שהתפרסם בבריטניה ב-2021 נבחנה מידת הצלחתה של מדיניות ההתחדשות העירונית שהונהגה החל משנות התשעים של המאה העשרים ועד לאמצע העשור הראשון של המאה העשרים ואחת. במחקר נטען כי בתקופה האמורה, שהתאפיינה בהשקעה ישירה בחידוש מרכזים כלכליים, </w:t>
      </w:r>
      <w:r w:rsidRPr="00DC5B13">
        <w:rPr>
          <w:rFonts w:eastAsia="Calibri" w:hint="cs"/>
          <w:rtl/>
        </w:rPr>
        <w:t>נרשם כישלון ביצירת משרות חדשות עבור התושבים במתחמי ההתחדשות העירונית. עוד נטען במחקר כי קשה להצביע על קשר ישיר בין חידוש פיזי של אזורי מסחר ובין שיפור כלשהו באיכות חייהם של תושבי המקום. אחד מכותבי המחקר טען בהקשר זה כי המפתח להצלחה כלכלית של תהליך התחדשות טמון ביצירת ביקוש יציב לשירותים ולמוצרים, וכי יש לספקו באופן מקומי</w:t>
      </w:r>
      <w:r>
        <w:rPr>
          <w:rFonts w:eastAsia="Calibri"/>
          <w:vertAlign w:val="superscript"/>
          <w:rtl/>
        </w:rPr>
        <w:footnoteReference w:id="50"/>
      </w:r>
      <w:r w:rsidRPr="00DC5B13">
        <w:rPr>
          <w:rFonts w:eastAsia="Calibri" w:hint="cs"/>
          <w:rtl/>
        </w:rPr>
        <w:t>.</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hint="cs"/>
          <w:rtl/>
        </w:rPr>
        <w:t xml:space="preserve">מסקנות המחקר מצאו את ביטוין במדיניות תכנון חדשה של ממשלת בריטניה, שהייתה </w:t>
      </w:r>
      <w:r w:rsidRPr="00DC5B13">
        <w:rPr>
          <w:rFonts w:eastAsia="Calibri"/>
          <w:rtl/>
        </w:rPr>
        <w:t xml:space="preserve">חלק מחזון רחב יותר של </w:t>
      </w:r>
      <w:r w:rsidRPr="00DC5B13">
        <w:rPr>
          <w:rFonts w:eastAsia="Calibri" w:hint="cs"/>
          <w:rtl/>
        </w:rPr>
        <w:t>ה</w:t>
      </w:r>
      <w:r w:rsidRPr="00DC5B13">
        <w:rPr>
          <w:rFonts w:eastAsia="Calibri"/>
          <w:rtl/>
        </w:rPr>
        <w:t>ממשל</w:t>
      </w:r>
      <w:r w:rsidRPr="00DC5B13">
        <w:rPr>
          <w:rFonts w:eastAsia="Calibri" w:hint="cs"/>
          <w:rtl/>
        </w:rPr>
        <w:t>ה</w:t>
      </w:r>
      <w:r w:rsidRPr="00DC5B13">
        <w:rPr>
          <w:rFonts w:eastAsia="Calibri"/>
          <w:rtl/>
        </w:rPr>
        <w:t xml:space="preserve"> להתמודדות לאומית עם תופעות של אי</w:t>
      </w:r>
      <w:r w:rsidRPr="00DC5B13">
        <w:rPr>
          <w:rFonts w:eastAsia="Calibri" w:hint="cs"/>
          <w:rtl/>
        </w:rPr>
        <w:t>-</w:t>
      </w:r>
      <w:r w:rsidRPr="00DC5B13">
        <w:rPr>
          <w:rFonts w:eastAsia="Calibri"/>
          <w:rtl/>
        </w:rPr>
        <w:t xml:space="preserve">שוויון </w:t>
      </w:r>
      <w:r w:rsidRPr="00DC5B13">
        <w:rPr>
          <w:rFonts w:eastAsia="Calibri" w:hint="cs"/>
          <w:rtl/>
        </w:rPr>
        <w:t>(</w:t>
      </w:r>
      <w:r w:rsidRPr="00DC5B13">
        <w:rPr>
          <w:rFonts w:eastAsia="Calibri"/>
        </w:rPr>
        <w:t>The Levelling Up the United Kingdom White Paper</w:t>
      </w:r>
      <w:r w:rsidRPr="00DC5B13">
        <w:rPr>
          <w:rFonts w:eastAsia="Calibri" w:hint="cs"/>
          <w:rtl/>
        </w:rPr>
        <w:t xml:space="preserve">). הממשלה ציינה כי המדיניות שואפת להשיג יעדים לאומיים בטווח הארוך וכי אין מדיניות או התערבות אחת שיש בכוחה לחולל את השינויים הרצויים. תחת זאת דרושות פעולות המשלבות בין המגזר הפרטי והמגזר הציבורי במגוון תחומי החיים ובהם תכנון המרחב. כדי להגשים את מטרות המדיניות נקבעו </w:t>
      </w:r>
      <w:r w:rsidRPr="00DC5B13">
        <w:rPr>
          <w:rFonts w:eastAsia="Calibri"/>
          <w:rtl/>
        </w:rPr>
        <w:t xml:space="preserve">12 משימות לאומיות, </w:t>
      </w:r>
      <w:r w:rsidRPr="00DC5B13">
        <w:rPr>
          <w:rFonts w:eastAsia="Calibri" w:hint="cs"/>
          <w:rtl/>
        </w:rPr>
        <w:t>המגדירות את יעדיה בטווח הזמן הבינוני</w:t>
      </w:r>
      <w:r>
        <w:rPr>
          <w:rFonts w:eastAsia="Calibri"/>
          <w:vertAlign w:val="superscript"/>
          <w:rtl/>
        </w:rPr>
        <w:footnoteReference w:id="51"/>
      </w:r>
      <w:r w:rsidRPr="00DC5B13">
        <w:rPr>
          <w:rFonts w:eastAsia="Calibri" w:hint="cs"/>
          <w:rtl/>
        </w:rPr>
        <w:t>.</w:t>
      </w:r>
    </w:p>
    <w:p w:rsidR="0003794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hint="cs"/>
          <w:rtl/>
        </w:rPr>
        <w:t>בתחום ההתחדשות העירונית בפרט הציעה המדיניות הרחבה של סמכויות הרשויות המקומיות, שתאפשר להן לאתר ולאגד קרקעות המתאימות להתחדשות במרכזי הערים, להפקיע קרקעות לצורכי ציבור ולהאיץ תהליכי תכנון. בין השאר יכולות רשויות תכנון מקומיות וארציות לקבל סמכויות תכנון זמניות כדי להאיץ את תהליכי ההתחדשות העירונית. כמו כן, כדי להאיץ פיתוח כלכלי של רחובות מסחריים, יש לרשויות המקומיות סמכות חוקית לבטל חוזי שכירות קיימים של עסקים העומדים סגורים במשך למעלה משנה ולהעמיד את המגרש למכרז פומבי.</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במסגרת יישום המדיניות נחקק בבריטניה ב-2023 החוק להתחדשות ולשדרוג (</w:t>
      </w:r>
      <w:r w:rsidRPr="00DC5B13">
        <w:rPr>
          <w:rFonts w:eastAsia="Calibri" w:hint="cs"/>
          <w:b/>
          <w:bCs/>
        </w:rPr>
        <w:t>L</w:t>
      </w:r>
      <w:r w:rsidRPr="00DC5B13">
        <w:rPr>
          <w:rFonts w:eastAsia="Calibri"/>
          <w:b/>
          <w:bCs/>
        </w:rPr>
        <w:t>evelling Up and Regeneration Act</w:t>
      </w:r>
      <w:r w:rsidRPr="00DC5B13">
        <w:rPr>
          <w:rFonts w:eastAsia="Calibri" w:hint="cs"/>
          <w:b/>
          <w:bCs/>
          <w:rtl/>
        </w:rPr>
        <w:t>)</w:t>
      </w:r>
      <w:r>
        <w:rPr>
          <w:rFonts w:eastAsia="Calibri"/>
          <w:b/>
          <w:bCs/>
          <w:vertAlign w:val="superscript"/>
          <w:rtl/>
        </w:rPr>
        <w:footnoteReference w:id="52"/>
      </w:r>
      <w:r w:rsidRPr="00DC5B13">
        <w:rPr>
          <w:rFonts w:eastAsia="Calibri" w:hint="cs"/>
          <w:b/>
          <w:bCs/>
          <w:rtl/>
        </w:rPr>
        <w:t>. בחוק החדש נקבעו בין השאר אמצעים ליצירת קשר בין תהליכי התחדשות עירונית ובין רפורמות כלכליות לפיתוח המגזר הפרטי, לביזור סמכויות לשם העצמתו של דרג השלטון המקומי והקניית כלים חדשים לקבלת החלטות ולפיקוח על ביצוע ההתחדשות העירונית בתחומן, לשיפור התשתיות ושוויון ההזדמנויות וכן לחיזוק תחושת השייכות לקהילה</w:t>
      </w:r>
      <w:r>
        <w:rPr>
          <w:rFonts w:eastAsia="Calibri"/>
          <w:b/>
          <w:bCs/>
          <w:vertAlign w:val="superscript"/>
          <w:rtl/>
        </w:rPr>
        <w:footnoteReference w:id="53"/>
      </w:r>
      <w:r w:rsidRPr="00DC5B13">
        <w:rPr>
          <w:rFonts w:eastAsia="Calibri" w:hint="cs"/>
          <w:b/>
          <w:b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מדברי ההסבר של הממשלה לחוק עולה ההבנה שהתחדשות עירונית משפיעה על תחומי חיים רבים, ובהם החברה, הכלכלה, הסביבה והמרחב הפיזי. חלקים מהחוק להתחדשות ולשדרוג נכנסו לתוקפם במרץ 2025</w:t>
      </w:r>
      <w:r>
        <w:rPr>
          <w:rFonts w:eastAsia="Calibri"/>
          <w:b/>
          <w:bCs/>
          <w:vertAlign w:val="superscript"/>
          <w:rtl/>
        </w:rPr>
        <w:footnoteReference w:id="54"/>
      </w:r>
      <w:r w:rsidRPr="00DC5B13">
        <w:rPr>
          <w:rFonts w:eastAsia="Calibri" w:hint="cs"/>
          <w:b/>
          <w:bCs/>
          <w:rtl/>
        </w:rPr>
        <w:t xml:space="preserve">, </w:t>
      </w:r>
      <w:r w:rsidRPr="00DC5B13">
        <w:rPr>
          <w:rFonts w:eastAsia="Calibri" w:hint="eastAsia"/>
          <w:b/>
          <w:bCs/>
          <w:rtl/>
        </w:rPr>
        <w:t>ולכן</w:t>
      </w:r>
      <w:r w:rsidRPr="00DC5B13">
        <w:rPr>
          <w:rFonts w:eastAsia="Calibri"/>
          <w:b/>
          <w:bCs/>
          <w:rtl/>
        </w:rPr>
        <w:t xml:space="preserve"> </w:t>
      </w:r>
      <w:r w:rsidRPr="00DC5B13">
        <w:rPr>
          <w:rFonts w:eastAsia="Calibri" w:hint="eastAsia"/>
          <w:b/>
          <w:bCs/>
          <w:rtl/>
        </w:rPr>
        <w:t>עדיין</w:t>
      </w:r>
      <w:r w:rsidRPr="00DC5B13">
        <w:rPr>
          <w:rFonts w:eastAsia="Calibri"/>
          <w:b/>
          <w:bCs/>
          <w:rtl/>
        </w:rPr>
        <w:t xml:space="preserve"> </w:t>
      </w:r>
      <w:r w:rsidRPr="00DC5B13">
        <w:rPr>
          <w:rFonts w:eastAsia="Calibri" w:hint="eastAsia"/>
          <w:b/>
          <w:bCs/>
          <w:rtl/>
        </w:rPr>
        <w:t>מוקדם</w:t>
      </w:r>
      <w:r w:rsidRPr="00DC5B13">
        <w:rPr>
          <w:rFonts w:eastAsia="Calibri"/>
          <w:b/>
          <w:bCs/>
          <w:rtl/>
        </w:rPr>
        <w:t xml:space="preserve"> </w:t>
      </w:r>
      <w:r w:rsidRPr="00DC5B13">
        <w:rPr>
          <w:rFonts w:eastAsia="Calibri" w:hint="eastAsia"/>
          <w:b/>
          <w:bCs/>
          <w:rtl/>
        </w:rPr>
        <w:t>להעריך</w:t>
      </w:r>
      <w:r w:rsidRPr="00DC5B13">
        <w:rPr>
          <w:rFonts w:eastAsia="Calibri"/>
          <w:b/>
          <w:bCs/>
          <w:rtl/>
        </w:rPr>
        <w:t xml:space="preserve"> </w:t>
      </w:r>
      <w:r w:rsidRPr="00DC5B13">
        <w:rPr>
          <w:rFonts w:eastAsia="Calibri" w:hint="eastAsia"/>
          <w:b/>
          <w:bCs/>
          <w:rtl/>
        </w:rPr>
        <w:t>את</w:t>
      </w:r>
      <w:r w:rsidRPr="00DC5B13">
        <w:rPr>
          <w:rFonts w:eastAsia="Calibri"/>
          <w:b/>
          <w:bCs/>
          <w:rtl/>
        </w:rPr>
        <w:t xml:space="preserve"> </w:t>
      </w:r>
      <w:r w:rsidRPr="00DC5B13">
        <w:rPr>
          <w:rFonts w:eastAsia="Calibri" w:hint="eastAsia"/>
          <w:b/>
          <w:bCs/>
          <w:rtl/>
        </w:rPr>
        <w:t>תוצאותיה</w:t>
      </w:r>
      <w:r w:rsidRPr="00DC5B13">
        <w:rPr>
          <w:rFonts w:eastAsia="Calibri"/>
          <w:b/>
          <w:bCs/>
          <w:rtl/>
        </w:rPr>
        <w:t xml:space="preserve"> </w:t>
      </w:r>
      <w:r w:rsidRPr="00DC5B13">
        <w:rPr>
          <w:rFonts w:eastAsia="Calibri" w:hint="eastAsia"/>
          <w:b/>
          <w:bCs/>
          <w:rtl/>
        </w:rPr>
        <w:t>של</w:t>
      </w:r>
      <w:r w:rsidRPr="00DC5B13">
        <w:rPr>
          <w:rFonts w:eastAsia="Calibri"/>
          <w:b/>
          <w:bCs/>
          <w:rtl/>
        </w:rPr>
        <w:t xml:space="preserve"> </w:t>
      </w:r>
      <w:r w:rsidRPr="00DC5B13">
        <w:rPr>
          <w:rFonts w:eastAsia="Calibri" w:hint="eastAsia"/>
          <w:b/>
          <w:bCs/>
          <w:rtl/>
        </w:rPr>
        <w:t>המדיניות</w:t>
      </w:r>
      <w:r w:rsidRPr="00DC5B13">
        <w:rPr>
          <w:rFonts w:eastAsia="Calibri"/>
          <w:b/>
          <w:bCs/>
          <w:rtl/>
        </w:rPr>
        <w:t xml:space="preserve"> </w:t>
      </w:r>
      <w:r w:rsidRPr="00DC5B13">
        <w:rPr>
          <w:rFonts w:eastAsia="Calibri" w:hint="eastAsia"/>
          <w:b/>
          <w:bCs/>
          <w:rtl/>
        </w:rPr>
        <w:t>בכללותה</w:t>
      </w:r>
      <w:r w:rsidRPr="00DC5B13">
        <w:rPr>
          <w:rFonts w:eastAsia="Calibri"/>
          <w:b/>
          <w:bCs/>
          <w:rtl/>
        </w:rPr>
        <w:t xml:space="preserve"> (לרבות </w:t>
      </w:r>
      <w:r w:rsidRPr="00DC5B13">
        <w:rPr>
          <w:rFonts w:eastAsia="Calibri" w:hint="eastAsia"/>
          <w:b/>
          <w:bCs/>
          <w:rtl/>
        </w:rPr>
        <w:t>תוצאות</w:t>
      </w:r>
      <w:r w:rsidRPr="00DC5B13">
        <w:rPr>
          <w:rFonts w:eastAsia="Calibri"/>
          <w:b/>
          <w:bCs/>
          <w:rtl/>
        </w:rPr>
        <w:t xml:space="preserve"> </w:t>
      </w:r>
      <w:r w:rsidRPr="00DC5B13">
        <w:rPr>
          <w:rFonts w:eastAsia="Calibri" w:hint="eastAsia"/>
          <w:b/>
          <w:bCs/>
          <w:rtl/>
        </w:rPr>
        <w:t>החקיקה</w:t>
      </w:r>
      <w:r w:rsidRPr="00DC5B13">
        <w:rPr>
          <w:rFonts w:eastAsia="Calibri"/>
          <w:b/>
          <w:bCs/>
          <w:rtl/>
        </w:rPr>
        <w:t xml:space="preserve">) - </w:t>
      </w:r>
      <w:r w:rsidRPr="00DC5B13">
        <w:rPr>
          <w:rFonts w:eastAsia="Calibri" w:hint="eastAsia"/>
          <w:b/>
          <w:bCs/>
          <w:rtl/>
        </w:rPr>
        <w:t>גם</w:t>
      </w:r>
      <w:r w:rsidRPr="00DC5B13">
        <w:rPr>
          <w:rFonts w:eastAsia="Calibri"/>
          <w:b/>
          <w:bCs/>
          <w:rtl/>
        </w:rPr>
        <w:t xml:space="preserve"> </w:t>
      </w:r>
      <w:r w:rsidRPr="00DC5B13">
        <w:rPr>
          <w:rFonts w:eastAsia="Calibri" w:hint="eastAsia"/>
          <w:b/>
          <w:bCs/>
          <w:rtl/>
        </w:rPr>
        <w:t>בטווח</w:t>
      </w:r>
      <w:r w:rsidRPr="00DC5B13">
        <w:rPr>
          <w:rFonts w:eastAsia="Calibri"/>
          <w:b/>
          <w:bCs/>
          <w:rtl/>
        </w:rPr>
        <w:t xml:space="preserve"> </w:t>
      </w:r>
      <w:r w:rsidRPr="00DC5B13">
        <w:rPr>
          <w:rFonts w:eastAsia="Calibri" w:hint="eastAsia"/>
          <w:b/>
          <w:bCs/>
          <w:rtl/>
        </w:rPr>
        <w:t>הקצר</w:t>
      </w:r>
      <w:r w:rsidRPr="00DC5B13">
        <w:rPr>
          <w:rFonts w:eastAsia="Calibri" w:hint="cs"/>
          <w:b/>
          <w:bCs/>
          <w:rtl/>
        </w:rPr>
        <w:t>. מחקר שפורסם ב-2025 מציג תפיסות מנוגדות בנוגע למדיניות: בדיונים בפרלמנט הבריטי נטען מחד גיסא כי מדובר בהזדמנות לרפורמה מעמיקה במערכת התכנון שלא נוצלה דייה, ומאידך גיסא כי מדובר במהלך מוסווה לריכוז סמכויות</w:t>
      </w:r>
      <w:r>
        <w:rPr>
          <w:rFonts w:eastAsia="Calibri"/>
          <w:b/>
          <w:bCs/>
          <w:vertAlign w:val="superscript"/>
          <w:rtl/>
        </w:rPr>
        <w:footnoteReference w:id="55"/>
      </w:r>
      <w:r w:rsidRPr="00DC5B13">
        <w:rPr>
          <w:rFonts w:eastAsia="Calibri" w:hint="cs"/>
          <w:b/>
          <w:b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אף כי עדיין מוקדם להעריך את תוצאות המדיניות והחקיקה בבריטניה שתוארו לעיל, ניכרת ההבנה של ממשלת בריטניה שאחד המפתחות לקידום התחדשות עירונית שמטרתה שיפור תנאי המחייה של התושבים נעוץ בביזור סמכויות ובהעצמת הדרג המקומי בתפקידו כסוכן מרכזי ביישום מדיניות לאומית מסועפת ומורכבת. מרכזיותן של הרשויות המקומיות נובעת בין השאר מיכולתן ליישם במשולב כמה יעדים של המדיניות הלאומית בתחומי הכלכלה, החברה ועיצוב המרחב העירוני.</w:t>
      </w:r>
    </w:p>
    <w:p w:rsidR="00DC5B13" w:rsidRPr="00DC5B13" w:rsidP="00C34B23">
      <w:pPr>
        <w:keepNext/>
        <w:keepLines/>
        <w:spacing w:line="269" w:lineRule="auto"/>
        <w:outlineLvl w:val="3"/>
        <w:rPr>
          <w:rFonts w:eastAsia="Times New Roman"/>
          <w:bCs/>
          <w:szCs w:val="26"/>
          <w:rtl/>
        </w:rPr>
      </w:pPr>
      <w:r w:rsidRPr="00DC5B13">
        <w:rPr>
          <w:rFonts w:eastAsia="Times New Roman" w:hint="eastAsia"/>
          <w:bCs/>
          <w:szCs w:val="26"/>
          <w:rtl/>
        </w:rPr>
        <w:t>הולנד</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מדיניות התכנון בהולנד, בדומה לזו שבישראל, מושפעת במידה רבה מהעובדה שלמדינה יש עתודה מוגבלת של קרקעות לפיתוח</w:t>
      </w:r>
      <w:r>
        <w:rPr>
          <w:rFonts w:eastAsia="Calibri"/>
          <w:vertAlign w:val="superscript"/>
          <w:rtl/>
        </w:rPr>
        <w:footnoteReference w:id="56"/>
      </w:r>
      <w:r w:rsidRPr="00DC5B13">
        <w:rPr>
          <w:rFonts w:eastAsia="Calibri" w:hint="cs"/>
          <w:rtl/>
        </w:rPr>
        <w:t xml:space="preserve"> ומתאפיינת במעורבות גבוהה של המגזר הציבורי בעיצוב הפיזי של המרחב הבנוי</w:t>
      </w:r>
      <w:r>
        <w:rPr>
          <w:rFonts w:eastAsia="Calibri"/>
          <w:vertAlign w:val="superscript"/>
          <w:rtl/>
        </w:rPr>
        <w:footnoteReference w:id="57"/>
      </w:r>
      <w:r w:rsidRPr="00DC5B13">
        <w:rPr>
          <w:rFonts w:eastAsia="Calibri" w:hint="cs"/>
          <w:rtl/>
        </w:rPr>
        <w:t xml:space="preserve">. מדיניות הממשלה בנוגע להתחדשות העירונית בעשורים שחלפו מאז תום מלחמת העולם השנייה </w:t>
      </w:r>
      <w:r w:rsidRPr="00DC5B13">
        <w:rPr>
          <w:rFonts w:eastAsia="Calibri" w:hint="eastAsia"/>
          <w:rtl/>
        </w:rPr>
        <w:t>צמחה</w:t>
      </w:r>
      <w:r w:rsidRPr="00DC5B13">
        <w:rPr>
          <w:rFonts w:eastAsia="Calibri"/>
          <w:rtl/>
        </w:rPr>
        <w:t xml:space="preserve"> </w:t>
      </w:r>
      <w:r w:rsidRPr="00DC5B13">
        <w:rPr>
          <w:rFonts w:eastAsia="Calibri" w:hint="eastAsia"/>
          <w:rtl/>
        </w:rPr>
        <w:t>מהשאיפה</w:t>
      </w:r>
      <w:r w:rsidRPr="00DC5B13">
        <w:rPr>
          <w:rFonts w:eastAsia="Calibri"/>
          <w:rtl/>
        </w:rPr>
        <w:t xml:space="preserve"> </w:t>
      </w:r>
      <w:r w:rsidRPr="00DC5B13">
        <w:rPr>
          <w:rFonts w:eastAsia="Calibri" w:hint="eastAsia"/>
          <w:rtl/>
        </w:rPr>
        <w:t>לצמצם</w:t>
      </w:r>
      <w:r w:rsidRPr="00DC5B13">
        <w:rPr>
          <w:rFonts w:eastAsia="Calibri"/>
          <w:rtl/>
        </w:rPr>
        <w:t xml:space="preserve"> </w:t>
      </w:r>
      <w:r w:rsidRPr="00DC5B13">
        <w:rPr>
          <w:rFonts w:eastAsia="Calibri" w:hint="eastAsia"/>
          <w:rtl/>
        </w:rPr>
        <w:t>את</w:t>
      </w:r>
      <w:r w:rsidRPr="00DC5B13">
        <w:rPr>
          <w:rFonts w:eastAsia="Calibri"/>
          <w:rtl/>
        </w:rPr>
        <w:t xml:space="preserve"> </w:t>
      </w:r>
      <w:r w:rsidRPr="00DC5B13">
        <w:rPr>
          <w:rFonts w:eastAsia="Calibri" w:hint="eastAsia"/>
          <w:rtl/>
        </w:rPr>
        <w:t>הקיטוב</w:t>
      </w:r>
      <w:r w:rsidRPr="00DC5B13">
        <w:rPr>
          <w:rFonts w:eastAsia="Calibri"/>
          <w:rtl/>
        </w:rPr>
        <w:t xml:space="preserve"> </w:t>
      </w:r>
      <w:r w:rsidRPr="00DC5B13">
        <w:rPr>
          <w:rFonts w:eastAsia="Calibri" w:hint="eastAsia"/>
          <w:rtl/>
        </w:rPr>
        <w:t>החברתי</w:t>
      </w:r>
      <w:r w:rsidRPr="00DC5B13">
        <w:rPr>
          <w:rFonts w:eastAsia="Calibri" w:hint="cs"/>
          <w:rtl/>
        </w:rPr>
        <w:t xml:space="preserve"> ואת התופעות השליליות הנגזרות ממנו. החל משנות התשעים של המאה העשרים ננקטו גישות ששילבו בין שיפור המרחב הפיזי ובין השקעה ביוזמות חברתיות</w:t>
      </w:r>
      <w:r>
        <w:rPr>
          <w:rFonts w:eastAsia="Calibri"/>
          <w:vertAlign w:val="superscript"/>
          <w:rtl/>
        </w:rPr>
        <w:footnoteReference w:id="58"/>
      </w:r>
      <w:r w:rsidRPr="00DC5B13">
        <w:rPr>
          <w:rFonts w:eastAsia="Calibri" w:hint="cs"/>
          <w:rtl/>
        </w:rPr>
        <w:t>. יוזמות אלה התמקדו ביצירת תנאים לתכלול בין האוכלוסיות ונחשבו למוצלחות בשל הסיוע הרב שקיבלו מממשלת הולנד</w:t>
      </w:r>
      <w:r>
        <w:rPr>
          <w:rFonts w:eastAsia="Calibri"/>
          <w:vertAlign w:val="superscript"/>
          <w:rtl/>
        </w:rPr>
        <w:footnoteReference w:id="59"/>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ב-2010, כשנתיים לאחר המשבר הכלכלי העולמי שהחל ב-2008, עלתה לשלטון בהולנד ממשלה חדשה, שהנהיגה מדיניות תכנון ליברלית יותר</w:t>
      </w:r>
      <w:r>
        <w:rPr>
          <w:rFonts w:eastAsia="Calibri"/>
          <w:vertAlign w:val="superscript"/>
          <w:rtl/>
        </w:rPr>
        <w:footnoteReference w:id="60"/>
      </w:r>
      <w:r w:rsidRPr="00DC5B13">
        <w:rPr>
          <w:rFonts w:eastAsia="Calibri" w:hint="cs"/>
          <w:rtl/>
        </w:rPr>
        <w:t>, הבליטה את תפקיד המגזר הפרטי בקידום תהליכי התחדשות עירונית, והובילה להגדלת הפערים הכלכליים והחברתיים בין אזורים מחודשים לאזורים שטרם התחדשו. עקב החלת המדיניות הוקטן המימון הממשלתי לרשויות המקומיות בכלל וגם לדיור ציבורי ולקידום התחדשות עירונית. גישות הדוגלות בשילוב חברתי הפכו מיעד מוצהר של הממשלה להתחדשות עירונית לסיסמאות המשמשות כלי שיווקי למשיכת אוכלוסיות ממעמד הביניים לשכונות שבהן אוכלוסייה בעלת הכנסה נמוכה ולמעשה לזרז של תופעת העילות (ג'נטריפיקציה) - דחיקת האוכלוסיות בעלות ההכנסה הנמוכה משכונת מגוריהן והחלפתן באוכלוסיות מבוססות יותר</w:t>
      </w:r>
      <w:r>
        <w:rPr>
          <w:rFonts w:eastAsia="Calibri"/>
          <w:vertAlign w:val="superscript"/>
          <w:rtl/>
        </w:rPr>
        <w:footnoteReference w:id="61"/>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ב-2011 אושרה מדיניות לאומית חדשה לתכנון המרחב ולתשתיות (בהולנדית - </w:t>
      </w:r>
      <w:r w:rsidRPr="00DC5B13">
        <w:rPr>
          <w:rFonts w:eastAsia="Calibri" w:hint="cs"/>
        </w:rPr>
        <w:t>SVIR</w:t>
      </w:r>
      <w:r w:rsidRPr="00DC5B13">
        <w:rPr>
          <w:rFonts w:eastAsia="Calibri" w:hint="cs"/>
          <w:rtl/>
        </w:rPr>
        <w:t>)</w:t>
      </w:r>
      <w:r>
        <w:rPr>
          <w:rFonts w:eastAsia="Calibri"/>
          <w:vertAlign w:val="superscript"/>
          <w:rtl/>
        </w:rPr>
        <w:footnoteReference w:id="62"/>
      </w:r>
      <w:r w:rsidRPr="00DC5B13">
        <w:rPr>
          <w:rFonts w:eastAsia="Calibri" w:hint="cs"/>
          <w:rtl/>
        </w:rPr>
        <w:t>. המדיניות המרחבית החדשה כיוונה ל"</w:t>
      </w:r>
      <w:r w:rsidRPr="00DC5B13">
        <w:rPr>
          <w:rFonts w:eastAsia="Calibri" w:hint="eastAsia"/>
          <w:rtl/>
        </w:rPr>
        <w:t>הולנד</w:t>
      </w:r>
      <w:r w:rsidRPr="00DC5B13">
        <w:rPr>
          <w:rFonts w:eastAsia="Calibri"/>
          <w:rtl/>
        </w:rPr>
        <w:t xml:space="preserve"> </w:t>
      </w:r>
      <w:r w:rsidRPr="00DC5B13">
        <w:rPr>
          <w:rFonts w:eastAsia="Calibri" w:hint="eastAsia"/>
          <w:rtl/>
        </w:rPr>
        <w:t>תחרותית</w:t>
      </w:r>
      <w:r w:rsidRPr="00DC5B13">
        <w:rPr>
          <w:rFonts w:eastAsia="Calibri"/>
          <w:rtl/>
        </w:rPr>
        <w:t xml:space="preserve">, </w:t>
      </w:r>
      <w:r w:rsidRPr="00DC5B13">
        <w:rPr>
          <w:rFonts w:eastAsia="Calibri" w:hint="eastAsia"/>
          <w:rtl/>
        </w:rPr>
        <w:t>נגישה</w:t>
      </w:r>
      <w:r w:rsidRPr="00DC5B13">
        <w:rPr>
          <w:rFonts w:eastAsia="Calibri"/>
          <w:rtl/>
        </w:rPr>
        <w:t xml:space="preserve">, </w:t>
      </w:r>
      <w:r w:rsidRPr="00DC5B13">
        <w:rPr>
          <w:rFonts w:eastAsia="Calibri" w:hint="eastAsia"/>
          <w:rtl/>
        </w:rPr>
        <w:t>ראויה</w:t>
      </w:r>
      <w:r w:rsidRPr="00DC5B13">
        <w:rPr>
          <w:rFonts w:eastAsia="Calibri"/>
          <w:rtl/>
        </w:rPr>
        <w:t xml:space="preserve"> </w:t>
      </w:r>
      <w:r w:rsidRPr="00DC5B13">
        <w:rPr>
          <w:rFonts w:eastAsia="Calibri" w:hint="eastAsia"/>
          <w:rtl/>
        </w:rPr>
        <w:t>למגורים</w:t>
      </w:r>
      <w:r w:rsidRPr="00DC5B13">
        <w:rPr>
          <w:rFonts w:eastAsia="Calibri"/>
          <w:rtl/>
        </w:rPr>
        <w:t xml:space="preserve"> </w:t>
      </w:r>
      <w:r w:rsidRPr="00DC5B13">
        <w:rPr>
          <w:rFonts w:eastAsia="Calibri" w:hint="eastAsia"/>
          <w:rtl/>
        </w:rPr>
        <w:t>ובטוחה</w:t>
      </w:r>
      <w:r w:rsidRPr="00DC5B13">
        <w:rPr>
          <w:rFonts w:eastAsia="Calibri"/>
          <w:rtl/>
        </w:rPr>
        <w:t xml:space="preserve"> </w:t>
      </w:r>
      <w:r w:rsidRPr="00DC5B13">
        <w:rPr>
          <w:rFonts w:eastAsia="Calibri" w:hint="eastAsia"/>
          <w:rtl/>
        </w:rPr>
        <w:t>יותר</w:t>
      </w:r>
      <w:r w:rsidRPr="00DC5B13">
        <w:rPr>
          <w:rFonts w:eastAsia="Calibri" w:hint="cs"/>
          <w:rtl/>
        </w:rPr>
        <w:t>"</w:t>
      </w:r>
      <w:r>
        <w:rPr>
          <w:rFonts w:eastAsia="Calibri"/>
          <w:vertAlign w:val="superscript"/>
          <w:rtl/>
        </w:rPr>
        <w:footnoteReference w:id="63"/>
      </w:r>
      <w:r w:rsidRPr="00DC5B13">
        <w:rPr>
          <w:rFonts w:eastAsia="Calibri" w:hint="cs"/>
          <w:rtl/>
        </w:rPr>
        <w:t>. הממשלה זנחה לגמרי את ההתמקדות באיכות התכנון המרחבי ובתוצריו (הן במרחבים הפתוחים והן במרחבים הבנויים) - שהייתה יעד מרכזי של המדיניות הלאומית הקודמת - והתמקדה בהסרת חסמים בירוקרטיים במערכת התכנון שכוונה להאצת הפיתוח הכלכלי</w:t>
      </w:r>
      <w:r>
        <w:rPr>
          <w:rFonts w:eastAsia="Calibri"/>
          <w:vertAlign w:val="superscript"/>
          <w:rtl/>
        </w:rPr>
        <w:footnoteReference w:id="64"/>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במסגרת המדיניות החדשה הוחלט לפשט את מבנה מערכת התכנון - בין השאר דרך העברת סמכויות תכנון רבות מהשלטון המרכזי לרשויות המקומיות והחלפתן של תוכניות מתאר ארציות ומחוזיות רבות (ושל המנגנון הבירוקרטי המשרת אותן) במסמכי מדיניות נושאיים</w:t>
      </w:r>
      <w:r>
        <w:rPr>
          <w:rFonts w:eastAsia="Calibri"/>
          <w:vertAlign w:val="superscript"/>
          <w:rtl/>
        </w:rPr>
        <w:footnoteReference w:id="65"/>
      </w:r>
      <w:r w:rsidRPr="00DC5B13">
        <w:rPr>
          <w:rFonts w:eastAsia="Calibri" w:hint="cs"/>
          <w:rtl/>
        </w:rPr>
        <w:t xml:space="preserve">. אף שהמדיניות כוונה למעשה להתמקדות בהתחדשות עירונית - הפיתוח העירוני הוכוון אל תוך הערים הקיימות, ובנייה למגורים על קרקעות פנויות הותרה רק במקרים מיוחדים. התקציב הממשלתי </w:t>
      </w:r>
      <w:r w:rsidRPr="00DC5B13">
        <w:rPr>
          <w:rFonts w:eastAsia="Calibri" w:hint="cs"/>
          <w:rtl/>
        </w:rPr>
        <w:t>שיועד להתחדשות עירונית, שעמד על 1.8 מיליארד אירו בשנים 2000 - 2004, הוקטן בהדרגה ובוטל לאחר 2014</w:t>
      </w:r>
      <w:r>
        <w:rPr>
          <w:rFonts w:eastAsia="Calibri"/>
          <w:vertAlign w:val="superscript"/>
          <w:rtl/>
        </w:rPr>
        <w:footnoteReference w:id="66"/>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על תפקידיו ומעמדו של דרג השלטון המקומי ביישום המדיניות החדשה נכתב בפתח המדיניות הלאומית לתשתיות ולתכנון מרחבי, כי האמון ברשויות שלטון אחרות יהיה הבסיס לחלוקה מחודשת של תחומי האחריות והפיקוח ולשינוי במידת המעורבות של השלטון המרכזי. בזכות הידע שלהן ושותפיהן האזוריים, הרשויות המקומיות מצוידות היטב כדי להתמודד בהצלחה וביעילות עם האתגרים, וביכולתן לספק </w:t>
      </w:r>
      <w:r w:rsidRPr="00DC5B13" w:rsidR="00151194">
        <w:rPr>
          <w:rFonts w:eastAsia="Calibri" w:hint="cs"/>
          <w:rtl/>
        </w:rPr>
        <w:t>פתרונות</w:t>
      </w:r>
      <w:r w:rsidRPr="00DC5B13">
        <w:rPr>
          <w:rFonts w:eastAsia="Calibri" w:hint="cs"/>
          <w:rtl/>
        </w:rPr>
        <w:t xml:space="preserve"> באיכות גבוהה, וכי הממשלה תסייע לרשויות אלה לקבל על עצמן אחריות ותפקידים חדשים אלה</w:t>
      </w:r>
      <w:r>
        <w:rPr>
          <w:rFonts w:eastAsia="Calibri"/>
          <w:vertAlign w:val="superscript"/>
          <w:rtl/>
        </w:rPr>
        <w:footnoteReference w:id="67"/>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במחקר הערכה שנעשה בהולנד ב-2020 למדידת ההשפעות של מדיניות התכנון החדשה נמצא, כי המדיניות הפחיתה מחד את הפיקוח על דרג השלטון המקומי בהותירה בידיו סמכויות לקביעת אופן הפיתוח של המרחב העירוני</w:t>
      </w:r>
      <w:r>
        <w:rPr>
          <w:rFonts w:eastAsia="Calibri"/>
          <w:vertAlign w:val="superscript"/>
          <w:rtl/>
        </w:rPr>
        <w:footnoteReference w:id="68"/>
      </w:r>
      <w:r w:rsidRPr="00DC5B13">
        <w:rPr>
          <w:rFonts w:eastAsia="Calibri" w:hint="cs"/>
          <w:rtl/>
        </w:rPr>
        <w:t>, והביאה מאידך לידי גידול במספרן של הדירות החדשות שנבנו בתהליכי התחדשות עירונית</w:t>
      </w:r>
      <w:r>
        <w:rPr>
          <w:rFonts w:eastAsia="Calibri"/>
          <w:vertAlign w:val="superscript"/>
          <w:rtl/>
        </w:rPr>
        <w:footnoteReference w:id="69"/>
      </w:r>
      <w:r w:rsidRPr="00DC5B13">
        <w:rPr>
          <w:rFonts w:eastAsia="Calibri" w:hint="cs"/>
          <w:rtl/>
        </w:rPr>
        <w:t>. בה בעת היא גרמה לירידה בהיקפי הבנייה בשטחים הפתוחים, וזאת אף שמחירי הדירות עלו, אף שהתחדשות עירונית יקרה לביצוע יותר מבנייה בשטחים פתוחים, ולמרות הפחתת ההוצאה הממשלתית על תכנון מרחבי. המחקר מצביע על הקשר בין שינוי תפיסת התכנון בהולנד והמעבר ממערכת תכנון שהשיתה אסדרה רבה</w:t>
      </w:r>
      <w:r>
        <w:rPr>
          <w:rFonts w:eastAsia="Calibri"/>
          <w:vertAlign w:val="superscript"/>
          <w:rtl/>
        </w:rPr>
        <w:footnoteReference w:id="70"/>
      </w:r>
      <w:r w:rsidRPr="00DC5B13">
        <w:rPr>
          <w:rFonts w:eastAsia="Calibri" w:hint="cs"/>
          <w:rtl/>
        </w:rPr>
        <w:t>, לבין מערכת חופשייה יותר, המתבססת על עקרונות מדיניות כלליים ועל דרגת חופש רבה לרשויות המקומיות, קשר שהוא גורם משמעותי בהפחתת תופעת "הזחילה העירונית"</w:t>
      </w:r>
      <w:r>
        <w:rPr>
          <w:rFonts w:eastAsia="Calibri"/>
          <w:vertAlign w:val="superscript"/>
          <w:rtl/>
        </w:rPr>
        <w:footnoteReference w:id="71"/>
      </w:r>
      <w:r w:rsidRPr="00DC5B13">
        <w:rPr>
          <w:rFonts w:eastAsia="Calibri" w:hint="cs"/>
          <w:rtl/>
        </w:rPr>
        <w:t xml:space="preserve"> והעצמת תהליכים חיוביים של התחדשות וציפוף המרחב העירוני</w:t>
      </w:r>
      <w:r>
        <w:rPr>
          <w:rFonts w:eastAsia="Calibri"/>
          <w:vertAlign w:val="superscript"/>
          <w:rtl/>
        </w:rPr>
        <w:footnoteReference w:id="72"/>
      </w:r>
      <w:r w:rsidRPr="00DC5B13">
        <w:rPr>
          <w:rFonts w:eastAsia="Calibri" w:hint="cs"/>
          <w:rtl/>
        </w:rPr>
        <w:t>.</w:t>
      </w:r>
    </w:p>
    <w:p w:rsidR="00DC5B13" w:rsidRPr="00DC5B13" w:rsidP="00C34B23">
      <w:pPr>
        <w:spacing w:line="269" w:lineRule="auto"/>
        <w:rPr>
          <w:rFonts w:eastAsia="Calibri"/>
          <w:szCs w:val="20"/>
          <w:rtl/>
        </w:rPr>
      </w:pPr>
    </w:p>
    <w:p w:rsidR="00DC5B13" w:rsidP="00C34B23">
      <w:pPr>
        <w:spacing w:line="269" w:lineRule="auto"/>
        <w:rPr>
          <w:rFonts w:eastAsia="Calibri"/>
          <w:b/>
          <w:bCs/>
          <w:rtl/>
        </w:rPr>
      </w:pPr>
      <w:r w:rsidRPr="00DC5B13">
        <w:rPr>
          <w:rFonts w:eastAsia="Calibri" w:hint="cs"/>
          <w:b/>
          <w:bCs/>
          <w:rtl/>
        </w:rPr>
        <w:t xml:space="preserve">הרפורמות במדיניות התכנון של הולנד גרמו לכך שצמצום האסדרה, לצד הביטול המוחלט של התקציב הממשלתי שיועד לתמיכה בתהליכי התחדשות עירונית, הביאו דווקא להגדלת היקפי הבנייה במסגרת ההתחדשות העירונית. עם זאת, מחקרים שעסקו בשינויי המדיניות שהונהגו בהולנד בשנת 2011 הצביעו גם על הביטול המוחלט של הצבת יעדי איכות לתהליך התכנון ולתוצריו ועל השפעות שליליות העשויות להיגרם עקב ההתמקדות הרבה ביעדים כלכליים - </w:t>
      </w:r>
      <w:r w:rsidRPr="00DC5B13">
        <w:rPr>
          <w:rFonts w:eastAsia="Calibri" w:hint="eastAsia"/>
          <w:b/>
          <w:bCs/>
          <w:rtl/>
        </w:rPr>
        <w:t>ובהן</w:t>
      </w:r>
      <w:r w:rsidRPr="00DC5B13">
        <w:rPr>
          <w:rFonts w:eastAsia="Calibri"/>
          <w:b/>
          <w:bCs/>
          <w:rtl/>
        </w:rPr>
        <w:t xml:space="preserve"> </w:t>
      </w:r>
      <w:r w:rsidRPr="00DC5B13">
        <w:rPr>
          <w:rFonts w:eastAsia="Calibri" w:hint="eastAsia"/>
          <w:b/>
          <w:bCs/>
          <w:rtl/>
        </w:rPr>
        <w:t>הגדלת</w:t>
      </w:r>
      <w:r w:rsidRPr="00DC5B13">
        <w:rPr>
          <w:rFonts w:eastAsia="Calibri"/>
          <w:b/>
          <w:bCs/>
          <w:rtl/>
        </w:rPr>
        <w:t xml:space="preserve"> </w:t>
      </w:r>
      <w:r w:rsidRPr="00DC5B13">
        <w:rPr>
          <w:rFonts w:eastAsia="Calibri" w:hint="eastAsia"/>
          <w:b/>
          <w:bCs/>
          <w:rtl/>
        </w:rPr>
        <w:t>הקיטוב</w:t>
      </w:r>
      <w:r w:rsidRPr="00DC5B13">
        <w:rPr>
          <w:rFonts w:eastAsia="Calibri"/>
          <w:b/>
          <w:bCs/>
          <w:rtl/>
        </w:rPr>
        <w:t xml:space="preserve"> </w:t>
      </w:r>
      <w:r w:rsidRPr="00DC5B13">
        <w:rPr>
          <w:rFonts w:eastAsia="Calibri" w:hint="eastAsia"/>
          <w:b/>
          <w:bCs/>
          <w:rtl/>
        </w:rPr>
        <w:t>החברתי</w:t>
      </w:r>
      <w:r w:rsidRPr="00DC5B13">
        <w:rPr>
          <w:rFonts w:eastAsia="Calibri"/>
          <w:b/>
          <w:bCs/>
          <w:rtl/>
        </w:rPr>
        <w:t xml:space="preserve">, </w:t>
      </w:r>
      <w:r w:rsidRPr="00DC5B13">
        <w:rPr>
          <w:rFonts w:eastAsia="Calibri" w:hint="eastAsia"/>
          <w:b/>
          <w:bCs/>
          <w:rtl/>
        </w:rPr>
        <w:t>יצירת</w:t>
      </w:r>
      <w:r w:rsidRPr="00DC5B13">
        <w:rPr>
          <w:rFonts w:eastAsia="Calibri"/>
          <w:b/>
          <w:bCs/>
          <w:rtl/>
        </w:rPr>
        <w:t xml:space="preserve"> </w:t>
      </w:r>
      <w:r w:rsidRPr="00DC5B13">
        <w:rPr>
          <w:rFonts w:eastAsia="Calibri" w:hint="eastAsia"/>
          <w:b/>
          <w:bCs/>
          <w:rtl/>
        </w:rPr>
        <w:t>מרחבים</w:t>
      </w:r>
      <w:r w:rsidRPr="00DC5B13">
        <w:rPr>
          <w:rFonts w:eastAsia="Calibri"/>
          <w:b/>
          <w:bCs/>
          <w:rtl/>
        </w:rPr>
        <w:t xml:space="preserve"> </w:t>
      </w:r>
      <w:r w:rsidRPr="00DC5B13">
        <w:rPr>
          <w:rFonts w:eastAsia="Calibri" w:hint="eastAsia"/>
          <w:b/>
          <w:bCs/>
          <w:rtl/>
        </w:rPr>
        <w:t>של</w:t>
      </w:r>
      <w:r w:rsidRPr="00DC5B13">
        <w:rPr>
          <w:rFonts w:eastAsia="Calibri"/>
          <w:b/>
          <w:bCs/>
          <w:rtl/>
        </w:rPr>
        <w:t xml:space="preserve"> </w:t>
      </w:r>
      <w:r w:rsidRPr="00DC5B13">
        <w:rPr>
          <w:rFonts w:eastAsia="Calibri" w:hint="eastAsia"/>
          <w:b/>
          <w:bCs/>
          <w:rtl/>
        </w:rPr>
        <w:t>עוני</w:t>
      </w:r>
      <w:r w:rsidRPr="00DC5B13">
        <w:rPr>
          <w:rFonts w:eastAsia="Calibri"/>
          <w:b/>
          <w:bCs/>
          <w:rtl/>
        </w:rPr>
        <w:t xml:space="preserve"> </w:t>
      </w:r>
      <w:r w:rsidRPr="00DC5B13">
        <w:rPr>
          <w:rFonts w:eastAsia="Calibri" w:hint="eastAsia"/>
          <w:b/>
          <w:bCs/>
          <w:rtl/>
        </w:rPr>
        <w:t>ותסיסה</w:t>
      </w:r>
      <w:r w:rsidRPr="00DC5B13">
        <w:rPr>
          <w:rFonts w:eastAsia="Calibri"/>
          <w:b/>
          <w:bCs/>
          <w:rtl/>
        </w:rPr>
        <w:t xml:space="preserve"> </w:t>
      </w:r>
      <w:r w:rsidRPr="00DC5B13">
        <w:rPr>
          <w:rFonts w:eastAsia="Calibri" w:hint="eastAsia"/>
          <w:b/>
          <w:bCs/>
          <w:rtl/>
        </w:rPr>
        <w:t>חברתית</w:t>
      </w:r>
      <w:r>
        <w:rPr>
          <w:rFonts w:eastAsia="Calibri"/>
          <w:b/>
          <w:bCs/>
          <w:vertAlign w:val="superscript"/>
          <w:rtl/>
        </w:rPr>
        <w:footnoteReference w:id="73"/>
      </w:r>
      <w:r w:rsidRPr="00DC5B13">
        <w:rPr>
          <w:rFonts w:eastAsia="Calibri" w:hint="cs"/>
          <w:b/>
          <w:bCs/>
          <w:rtl/>
        </w:rPr>
        <w:t>.</w:t>
      </w:r>
    </w:p>
    <w:p w:rsidR="00037943" w:rsidRPr="00DC5B13" w:rsidP="00C34B23">
      <w:pPr>
        <w:spacing w:line="269" w:lineRule="auto"/>
        <w:rPr>
          <w:rFonts w:eastAsia="Calibri"/>
          <w:b/>
          <w:bCs/>
          <w:rtl/>
        </w:rPr>
      </w:pPr>
    </w:p>
    <w:p w:rsidR="000E4CC0">
      <w:pPr>
        <w:bidi w:val="0"/>
        <w:spacing w:after="200" w:line="276" w:lineRule="auto"/>
        <w:rPr>
          <w:rFonts w:eastAsia="Times New Roman"/>
          <w:bCs/>
          <w:szCs w:val="26"/>
          <w:rtl/>
        </w:rPr>
      </w:pPr>
      <w:r>
        <w:rPr>
          <w:rFonts w:eastAsia="Times New Roman"/>
          <w:bCs/>
          <w:szCs w:val="26"/>
          <w:rtl/>
        </w:rPr>
        <w:br w:type="page"/>
      </w:r>
    </w:p>
    <w:p w:rsidR="00DC5B13" w:rsidRPr="00DC5B13" w:rsidP="00C34B23">
      <w:pPr>
        <w:keepNext/>
        <w:keepLines/>
        <w:spacing w:line="269" w:lineRule="auto"/>
        <w:outlineLvl w:val="3"/>
        <w:rPr>
          <w:rFonts w:eastAsia="Times New Roman"/>
          <w:bCs/>
          <w:szCs w:val="26"/>
          <w:rtl/>
        </w:rPr>
      </w:pPr>
      <w:r w:rsidRPr="00DC5B13">
        <w:rPr>
          <w:rFonts w:eastAsia="Times New Roman" w:hint="cs"/>
          <w:bCs/>
          <w:szCs w:val="26"/>
          <w:rtl/>
        </w:rPr>
        <w:t>יפן</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י</w:t>
      </w:r>
      <w:r w:rsidRPr="00DC5B13">
        <w:rPr>
          <w:rFonts w:eastAsia="Calibri" w:hint="eastAsia"/>
          <w:rtl/>
        </w:rPr>
        <w:t>פן</w:t>
      </w:r>
      <w:r w:rsidRPr="00DC5B13">
        <w:rPr>
          <w:rFonts w:eastAsia="Calibri"/>
          <w:rtl/>
        </w:rPr>
        <w:t xml:space="preserve"> </w:t>
      </w:r>
      <w:r w:rsidRPr="00DC5B13">
        <w:rPr>
          <w:rFonts w:eastAsia="Calibri" w:hint="eastAsia"/>
          <w:rtl/>
        </w:rPr>
        <w:t>מקדמת</w:t>
      </w:r>
      <w:r w:rsidRPr="00DC5B13">
        <w:rPr>
          <w:rFonts w:eastAsia="Calibri"/>
          <w:rtl/>
        </w:rPr>
        <w:t xml:space="preserve"> </w:t>
      </w:r>
      <w:r w:rsidRPr="00DC5B13">
        <w:rPr>
          <w:rFonts w:eastAsia="Calibri" w:hint="eastAsia"/>
          <w:rtl/>
        </w:rPr>
        <w:t>מדיניות</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פיתוח</w:t>
      </w:r>
      <w:r w:rsidRPr="00DC5B13">
        <w:rPr>
          <w:rFonts w:eastAsia="Calibri"/>
          <w:rtl/>
        </w:rPr>
        <w:t xml:space="preserve"> </w:t>
      </w:r>
      <w:r w:rsidRPr="00DC5B13">
        <w:rPr>
          <w:rFonts w:eastAsia="Calibri" w:hint="eastAsia"/>
          <w:rtl/>
        </w:rPr>
        <w:t>אזורי</w:t>
      </w:r>
      <w:r w:rsidRPr="00DC5B13">
        <w:rPr>
          <w:rFonts w:eastAsia="Calibri"/>
          <w:rtl/>
        </w:rPr>
        <w:t xml:space="preserve"> </w:t>
      </w:r>
      <w:r w:rsidRPr="00DC5B13">
        <w:rPr>
          <w:rFonts w:eastAsia="Calibri" w:hint="eastAsia"/>
          <w:rtl/>
        </w:rPr>
        <w:t>מגורים</w:t>
      </w:r>
      <w:r w:rsidRPr="00DC5B13">
        <w:rPr>
          <w:rFonts w:eastAsia="Calibri"/>
          <w:rtl/>
        </w:rPr>
        <w:t xml:space="preserve"> </w:t>
      </w:r>
      <w:r w:rsidRPr="00DC5B13">
        <w:rPr>
          <w:rFonts w:eastAsia="Calibri" w:hint="eastAsia"/>
          <w:rtl/>
        </w:rPr>
        <w:t>ב</w:t>
      </w:r>
      <w:r w:rsidRPr="00DC5B13">
        <w:rPr>
          <w:rFonts w:eastAsia="Calibri" w:hint="cs"/>
          <w:rtl/>
        </w:rPr>
        <w:t>נ</w:t>
      </w:r>
      <w:r w:rsidRPr="00DC5B13">
        <w:rPr>
          <w:rFonts w:eastAsia="Calibri" w:hint="eastAsia"/>
          <w:rtl/>
        </w:rPr>
        <w:t>י</w:t>
      </w:r>
      <w:r w:rsidRPr="00DC5B13">
        <w:rPr>
          <w:rFonts w:eastAsia="Calibri" w:hint="cs"/>
          <w:rtl/>
        </w:rPr>
        <w:t>-</w:t>
      </w:r>
      <w:r w:rsidRPr="00DC5B13">
        <w:rPr>
          <w:rFonts w:eastAsia="Calibri" w:hint="eastAsia"/>
          <w:rtl/>
        </w:rPr>
        <w:t>קיימא</w:t>
      </w:r>
      <w:r w:rsidRPr="00DC5B13">
        <w:rPr>
          <w:rFonts w:eastAsia="Calibri"/>
          <w:rtl/>
        </w:rPr>
        <w:t xml:space="preserve"> </w:t>
      </w:r>
      <w:r w:rsidRPr="00DC5B13">
        <w:rPr>
          <w:rFonts w:eastAsia="Calibri" w:hint="eastAsia"/>
          <w:rtl/>
        </w:rPr>
        <w:t>זה</w:t>
      </w:r>
      <w:r w:rsidRPr="00DC5B13">
        <w:rPr>
          <w:rFonts w:eastAsia="Calibri"/>
          <w:rtl/>
        </w:rPr>
        <w:t xml:space="preserve"> </w:t>
      </w:r>
      <w:r w:rsidRPr="00DC5B13">
        <w:rPr>
          <w:rFonts w:eastAsia="Calibri" w:hint="eastAsia"/>
          <w:rtl/>
        </w:rPr>
        <w:t>כ</w:t>
      </w:r>
      <w:r w:rsidRPr="00DC5B13">
        <w:rPr>
          <w:rFonts w:eastAsia="Calibri" w:hint="cs"/>
          <w:rtl/>
        </w:rPr>
        <w:t>שישים</w:t>
      </w:r>
      <w:r w:rsidRPr="00DC5B13">
        <w:rPr>
          <w:rFonts w:eastAsia="Calibri"/>
          <w:rtl/>
        </w:rPr>
        <w:t xml:space="preserve"> </w:t>
      </w:r>
      <w:r w:rsidRPr="00DC5B13">
        <w:rPr>
          <w:rFonts w:eastAsia="Calibri" w:hint="eastAsia"/>
          <w:rtl/>
        </w:rPr>
        <w:t>שנה</w:t>
      </w:r>
      <w:r>
        <w:rPr>
          <w:rFonts w:eastAsia="Calibri"/>
          <w:b/>
          <w:vertAlign w:val="superscript"/>
          <w:rtl/>
        </w:rPr>
        <w:footnoteReference w:id="74"/>
      </w:r>
      <w:r w:rsidRPr="00DC5B13">
        <w:rPr>
          <w:rFonts w:eastAsia="Calibri"/>
          <w:rtl/>
        </w:rPr>
        <w:t xml:space="preserve">, </w:t>
      </w:r>
      <w:r w:rsidRPr="00DC5B13">
        <w:rPr>
          <w:rFonts w:eastAsia="Calibri" w:hint="cs"/>
          <w:rtl/>
        </w:rPr>
        <w:t>ש</w:t>
      </w:r>
      <w:r w:rsidRPr="00DC5B13">
        <w:rPr>
          <w:rFonts w:eastAsia="Calibri" w:hint="eastAsia"/>
          <w:rtl/>
        </w:rPr>
        <w:t>לה</w:t>
      </w:r>
      <w:r w:rsidRPr="00DC5B13">
        <w:rPr>
          <w:rFonts w:eastAsia="Calibri"/>
          <w:rtl/>
        </w:rPr>
        <w:t xml:space="preserve"> </w:t>
      </w:r>
      <w:r w:rsidRPr="00DC5B13">
        <w:rPr>
          <w:rFonts w:eastAsia="Calibri" w:hint="eastAsia"/>
          <w:rtl/>
        </w:rPr>
        <w:t>היבטים</w:t>
      </w:r>
      <w:r w:rsidRPr="00DC5B13">
        <w:rPr>
          <w:rFonts w:eastAsia="Calibri"/>
          <w:rtl/>
        </w:rPr>
        <w:t xml:space="preserve"> </w:t>
      </w:r>
      <w:r w:rsidRPr="00DC5B13">
        <w:rPr>
          <w:rFonts w:eastAsia="Calibri" w:hint="eastAsia"/>
          <w:rtl/>
        </w:rPr>
        <w:t>רבים</w:t>
      </w:r>
      <w:r w:rsidRPr="00DC5B13">
        <w:rPr>
          <w:rFonts w:eastAsia="Calibri"/>
          <w:rtl/>
        </w:rPr>
        <w:t xml:space="preserve"> </w:t>
      </w:r>
      <w:r w:rsidRPr="00DC5B13">
        <w:rPr>
          <w:rFonts w:eastAsia="Calibri" w:hint="eastAsia"/>
          <w:rtl/>
        </w:rPr>
        <w:t>הנוגעים</w:t>
      </w:r>
      <w:r w:rsidRPr="00DC5B13">
        <w:rPr>
          <w:rFonts w:eastAsia="Calibri"/>
          <w:rtl/>
        </w:rPr>
        <w:t xml:space="preserve"> </w:t>
      </w:r>
      <w:r w:rsidRPr="00DC5B13">
        <w:rPr>
          <w:rFonts w:eastAsia="Calibri" w:hint="eastAsia"/>
          <w:rtl/>
        </w:rPr>
        <w:t>להתחדשות</w:t>
      </w:r>
      <w:r w:rsidRPr="00DC5B13">
        <w:rPr>
          <w:rFonts w:eastAsia="Calibri"/>
          <w:rtl/>
        </w:rPr>
        <w:t xml:space="preserve"> </w:t>
      </w:r>
      <w:r w:rsidRPr="00DC5B13">
        <w:rPr>
          <w:rFonts w:eastAsia="Calibri" w:hint="eastAsia"/>
          <w:rtl/>
        </w:rPr>
        <w:t>אזורים</w:t>
      </w:r>
      <w:r w:rsidRPr="00DC5B13">
        <w:rPr>
          <w:rFonts w:eastAsia="Calibri"/>
          <w:rtl/>
        </w:rPr>
        <w:t xml:space="preserve"> </w:t>
      </w:r>
      <w:r w:rsidRPr="00DC5B13">
        <w:rPr>
          <w:rFonts w:eastAsia="Calibri" w:hint="eastAsia"/>
          <w:rtl/>
        </w:rPr>
        <w:t>עירוניים</w:t>
      </w:r>
      <w:r w:rsidRPr="00DC5B13">
        <w:rPr>
          <w:rFonts w:eastAsia="Calibri"/>
          <w:rtl/>
        </w:rPr>
        <w:t xml:space="preserve">. </w:t>
      </w:r>
      <w:r w:rsidRPr="00DC5B13">
        <w:rPr>
          <w:rFonts w:eastAsia="Calibri" w:hint="eastAsia"/>
          <w:rtl/>
        </w:rPr>
        <w:t>משרד</w:t>
      </w:r>
      <w:r w:rsidRPr="00DC5B13">
        <w:rPr>
          <w:rFonts w:eastAsia="Calibri"/>
          <w:rtl/>
        </w:rPr>
        <w:t xml:space="preserve"> </w:t>
      </w:r>
      <w:r w:rsidRPr="00DC5B13">
        <w:rPr>
          <w:rFonts w:eastAsia="Calibri" w:hint="eastAsia"/>
          <w:rtl/>
        </w:rPr>
        <w:t>ראש</w:t>
      </w:r>
      <w:r w:rsidRPr="00DC5B13">
        <w:rPr>
          <w:rFonts w:eastAsia="Calibri"/>
          <w:rtl/>
        </w:rPr>
        <w:t xml:space="preserve"> </w:t>
      </w:r>
      <w:r w:rsidRPr="00DC5B13">
        <w:rPr>
          <w:rFonts w:eastAsia="Calibri" w:hint="eastAsia"/>
          <w:rtl/>
        </w:rPr>
        <w:t>הממשלה</w:t>
      </w:r>
      <w:r w:rsidRPr="00DC5B13">
        <w:rPr>
          <w:rFonts w:eastAsia="Calibri"/>
          <w:rtl/>
        </w:rPr>
        <w:t xml:space="preserve"> </w:t>
      </w:r>
      <w:r w:rsidRPr="00DC5B13">
        <w:rPr>
          <w:rFonts w:eastAsia="Calibri" w:hint="cs"/>
          <w:rtl/>
        </w:rPr>
        <w:t xml:space="preserve">של יפן </w:t>
      </w:r>
      <w:r w:rsidRPr="00DC5B13">
        <w:rPr>
          <w:rFonts w:eastAsia="Calibri" w:hint="eastAsia"/>
          <w:rtl/>
        </w:rPr>
        <w:t>פרסם</w:t>
      </w:r>
      <w:r w:rsidRPr="00DC5B13">
        <w:rPr>
          <w:rFonts w:eastAsia="Calibri"/>
          <w:rtl/>
        </w:rPr>
        <w:t xml:space="preserve"> </w:t>
      </w:r>
      <w:r w:rsidRPr="00DC5B13">
        <w:rPr>
          <w:rFonts w:eastAsia="Calibri" w:hint="eastAsia"/>
          <w:rtl/>
        </w:rPr>
        <w:t>ב</w:t>
      </w:r>
      <w:r w:rsidRPr="00DC5B13">
        <w:rPr>
          <w:rFonts w:eastAsia="Calibri"/>
          <w:rtl/>
        </w:rPr>
        <w:t xml:space="preserve">-2004 </w:t>
      </w:r>
      <w:r w:rsidRPr="00DC5B13">
        <w:rPr>
          <w:rFonts w:eastAsia="Calibri" w:hint="eastAsia"/>
          <w:rtl/>
        </w:rPr>
        <w:t>מסמך</w:t>
      </w:r>
      <w:r w:rsidRPr="00DC5B13">
        <w:rPr>
          <w:rFonts w:eastAsia="Calibri"/>
          <w:rtl/>
        </w:rPr>
        <w:t xml:space="preserve"> </w:t>
      </w:r>
      <w:r w:rsidRPr="00DC5B13">
        <w:rPr>
          <w:rFonts w:eastAsia="Calibri" w:hint="eastAsia"/>
          <w:rtl/>
        </w:rPr>
        <w:t>מדיניות</w:t>
      </w:r>
      <w:r w:rsidRPr="00DC5B13">
        <w:rPr>
          <w:rFonts w:eastAsia="Calibri"/>
          <w:rtl/>
        </w:rPr>
        <w:t xml:space="preserve"> </w:t>
      </w:r>
      <w:r w:rsidRPr="00DC5B13">
        <w:rPr>
          <w:rFonts w:eastAsia="Calibri" w:hint="eastAsia"/>
          <w:rtl/>
        </w:rPr>
        <w:t>הנוגע</w:t>
      </w:r>
      <w:r w:rsidRPr="00DC5B13">
        <w:rPr>
          <w:rFonts w:eastAsia="Calibri"/>
          <w:rtl/>
        </w:rPr>
        <w:t xml:space="preserve"> </w:t>
      </w:r>
      <w:r w:rsidRPr="00DC5B13">
        <w:rPr>
          <w:rFonts w:eastAsia="Calibri" w:hint="eastAsia"/>
          <w:rtl/>
        </w:rPr>
        <w:t>למטרות</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תהליכי</w:t>
      </w:r>
      <w:r w:rsidRPr="00DC5B13">
        <w:rPr>
          <w:rFonts w:eastAsia="Calibri"/>
          <w:rtl/>
        </w:rPr>
        <w:t xml:space="preserve"> </w:t>
      </w:r>
      <w:r w:rsidRPr="00DC5B13">
        <w:rPr>
          <w:rFonts w:eastAsia="Calibri" w:hint="eastAsia"/>
          <w:rtl/>
        </w:rPr>
        <w:t>ההתחדשות</w:t>
      </w:r>
      <w:r w:rsidRPr="00DC5B13">
        <w:rPr>
          <w:rFonts w:eastAsia="Calibri"/>
          <w:rtl/>
        </w:rPr>
        <w:t xml:space="preserve"> </w:t>
      </w:r>
      <w:r w:rsidRPr="00DC5B13">
        <w:rPr>
          <w:rFonts w:eastAsia="Calibri" w:hint="eastAsia"/>
          <w:rtl/>
        </w:rPr>
        <w:t>העירונית</w:t>
      </w:r>
      <w:r w:rsidRPr="00DC5B13">
        <w:rPr>
          <w:rFonts w:eastAsia="Calibri"/>
          <w:rtl/>
        </w:rPr>
        <w:t xml:space="preserve"> </w:t>
      </w:r>
      <w:r w:rsidRPr="00DC5B13">
        <w:rPr>
          <w:rFonts w:eastAsia="Calibri" w:hint="eastAsia"/>
          <w:rtl/>
        </w:rPr>
        <w:t>ביפן</w:t>
      </w:r>
      <w:r w:rsidRPr="00DC5B13">
        <w:rPr>
          <w:rFonts w:eastAsia="Calibri"/>
          <w:rtl/>
        </w:rPr>
        <w:t xml:space="preserve"> (</w:t>
      </w:r>
      <w:hyperlink r:id="rId30" w:history="1">
        <w:r w:rsidRPr="00DC5B13">
          <w:rPr>
            <w:rFonts w:eastAsia="Calibri"/>
          </w:rPr>
          <w:t>Urban Renaissance Promotion</w:t>
        </w:r>
      </w:hyperlink>
      <w:r w:rsidRPr="00DC5B13">
        <w:rPr>
          <w:rFonts w:eastAsia="Calibri"/>
          <w:rtl/>
        </w:rPr>
        <w:t xml:space="preserve">). חשיבותה של ההתחדשות העירונית </w:t>
      </w:r>
      <w:r w:rsidRPr="00DC5B13">
        <w:rPr>
          <w:rFonts w:eastAsia="Calibri" w:hint="eastAsia"/>
          <w:rtl/>
        </w:rPr>
        <w:t>ככלי</w:t>
      </w:r>
      <w:r w:rsidRPr="00DC5B13">
        <w:rPr>
          <w:rFonts w:eastAsia="Calibri"/>
          <w:rtl/>
        </w:rPr>
        <w:t xml:space="preserve"> להגשמת המדיניות </w:t>
      </w:r>
      <w:r w:rsidRPr="00DC5B13">
        <w:rPr>
          <w:rFonts w:eastAsia="Calibri" w:hint="eastAsia"/>
          <w:rtl/>
        </w:rPr>
        <w:t>נובעת</w:t>
      </w:r>
      <w:r w:rsidRPr="00DC5B13">
        <w:rPr>
          <w:rFonts w:eastAsia="Calibri"/>
          <w:rtl/>
        </w:rPr>
        <w:t xml:space="preserve"> </w:t>
      </w:r>
      <w:r w:rsidRPr="00DC5B13">
        <w:rPr>
          <w:rFonts w:eastAsia="Calibri" w:hint="eastAsia"/>
          <w:rtl/>
        </w:rPr>
        <w:t>בין</w:t>
      </w:r>
      <w:r w:rsidRPr="00DC5B13">
        <w:rPr>
          <w:rFonts w:eastAsia="Calibri"/>
          <w:rtl/>
        </w:rPr>
        <w:t xml:space="preserve"> </w:t>
      </w:r>
      <w:r w:rsidRPr="00DC5B13">
        <w:rPr>
          <w:rFonts w:eastAsia="Calibri" w:hint="eastAsia"/>
          <w:rtl/>
        </w:rPr>
        <w:t>היתר</w:t>
      </w:r>
      <w:r w:rsidRPr="00DC5B13">
        <w:rPr>
          <w:rFonts w:eastAsia="Calibri"/>
          <w:rtl/>
        </w:rPr>
        <w:t xml:space="preserve"> משאיפותיה של ממשלת יפן להפוך את הערים במדינה למוקד משיכה להשקעות בי</w:t>
      </w:r>
      <w:r w:rsidRPr="00DC5B13">
        <w:rPr>
          <w:rFonts w:eastAsia="Calibri" w:hint="eastAsia"/>
          <w:rtl/>
        </w:rPr>
        <w:t>ן</w:t>
      </w:r>
      <w:r w:rsidRPr="00DC5B13">
        <w:rPr>
          <w:rFonts w:eastAsia="Calibri"/>
          <w:rtl/>
        </w:rPr>
        <w:t>-לאומיות - ב</w:t>
      </w:r>
      <w:r w:rsidRPr="00DC5B13">
        <w:rPr>
          <w:rFonts w:eastAsia="Calibri" w:hint="eastAsia"/>
          <w:rtl/>
        </w:rPr>
        <w:t>עיקר</w:t>
      </w:r>
      <w:r w:rsidRPr="00DC5B13">
        <w:rPr>
          <w:rFonts w:eastAsia="Calibri"/>
          <w:rtl/>
        </w:rPr>
        <w:t xml:space="preserve"> השקעות פרטיות בטכנולוגיה - ולמוקדים כלכליים תחרותיים.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rtl/>
        </w:rPr>
        <w:t xml:space="preserve">מטרותיה של ההתחדשות העירונית </w:t>
      </w:r>
      <w:r w:rsidRPr="00DC5B13">
        <w:rPr>
          <w:rFonts w:eastAsia="Calibri" w:hint="cs"/>
          <w:rtl/>
        </w:rPr>
        <w:t xml:space="preserve">ביפן </w:t>
      </w:r>
      <w:r w:rsidRPr="00DC5B13">
        <w:rPr>
          <w:rFonts w:eastAsia="Calibri"/>
          <w:rtl/>
        </w:rPr>
        <w:t xml:space="preserve">כוללות בין השאר: </w:t>
      </w:r>
      <w:r w:rsidRPr="00DC5B13">
        <w:rPr>
          <w:rFonts w:eastAsia="Calibri" w:hint="cs"/>
          <w:rtl/>
        </w:rPr>
        <w:t>"</w:t>
      </w:r>
      <w:r w:rsidRPr="00DC5B13">
        <w:rPr>
          <w:rFonts w:eastAsia="Calibri"/>
          <w:rtl/>
        </w:rPr>
        <w:t>לאפשר לתרבות ולהיסטוריה של (ערי יפן) לשגשג. ההתחדשות נועדה לקדם ערים פעילות, עשירות ונוחות, שי</w:t>
      </w:r>
      <w:r w:rsidRPr="00DC5B13">
        <w:rPr>
          <w:rFonts w:eastAsia="Calibri" w:hint="cs"/>
          <w:rtl/>
        </w:rPr>
        <w:t>הי</w:t>
      </w:r>
      <w:r w:rsidRPr="00DC5B13">
        <w:rPr>
          <w:rFonts w:eastAsia="Calibri"/>
          <w:rtl/>
        </w:rPr>
        <w:t>ו מקור גאווה לדורות הבאים וסיבה להמשך קיומן</w:t>
      </w:r>
      <w:r w:rsidRPr="00DC5B13">
        <w:rPr>
          <w:rFonts w:eastAsia="Calibri" w:hint="cs"/>
          <w:rtl/>
        </w:rPr>
        <w:t>"</w:t>
      </w:r>
      <w:r>
        <w:rPr>
          <w:rFonts w:eastAsia="Calibri"/>
          <w:b/>
          <w:vertAlign w:val="superscript"/>
          <w:rtl/>
        </w:rPr>
        <w:footnoteReference w:id="75"/>
      </w:r>
      <w:r w:rsidRPr="00DC5B13">
        <w:rPr>
          <w:rFonts w:eastAsia="Calibri"/>
          <w:b/>
          <w:rtl/>
        </w:rPr>
        <w:t>.</w:t>
      </w:r>
      <w:r w:rsidRPr="00DC5B13">
        <w:rPr>
          <w:rFonts w:eastAsia="Calibri"/>
          <w:rtl/>
        </w:rPr>
        <w:t xml:space="preserve"> </w:t>
      </w:r>
      <w:r w:rsidRPr="00DC5B13">
        <w:rPr>
          <w:rFonts w:eastAsia="Calibri" w:hint="eastAsia"/>
          <w:rtl/>
        </w:rPr>
        <w:t>הוגדרו</w:t>
      </w:r>
      <w:r w:rsidRPr="00DC5B13">
        <w:rPr>
          <w:rFonts w:eastAsia="Calibri"/>
          <w:rtl/>
        </w:rPr>
        <w:t xml:space="preserve"> </w:t>
      </w:r>
      <w:r w:rsidRPr="00DC5B13">
        <w:rPr>
          <w:rFonts w:eastAsia="Calibri" w:hint="cs"/>
          <w:rtl/>
        </w:rPr>
        <w:t>מספר</w:t>
      </w:r>
      <w:r w:rsidRPr="00DC5B13">
        <w:rPr>
          <w:rFonts w:eastAsia="Calibri"/>
          <w:rtl/>
        </w:rPr>
        <w:t xml:space="preserve"> </w:t>
      </w:r>
      <w:r w:rsidRPr="00DC5B13">
        <w:rPr>
          <w:rFonts w:eastAsia="Calibri" w:hint="eastAsia"/>
          <w:rtl/>
        </w:rPr>
        <w:t>נושאי</w:t>
      </w:r>
      <w:r w:rsidRPr="00DC5B13">
        <w:rPr>
          <w:rFonts w:eastAsia="Calibri"/>
          <w:rtl/>
        </w:rPr>
        <w:t xml:space="preserve"> </w:t>
      </w:r>
      <w:r w:rsidRPr="00DC5B13">
        <w:rPr>
          <w:rFonts w:eastAsia="Calibri" w:hint="eastAsia"/>
          <w:rtl/>
        </w:rPr>
        <w:t>ל</w:t>
      </w:r>
      <w:r w:rsidRPr="00DC5B13">
        <w:rPr>
          <w:rFonts w:eastAsia="Calibri" w:hint="cs"/>
          <w:rtl/>
        </w:rPr>
        <w:t>י</w:t>
      </w:r>
      <w:r w:rsidRPr="00DC5B13">
        <w:rPr>
          <w:rFonts w:eastAsia="Calibri" w:hint="eastAsia"/>
          <w:rtl/>
        </w:rPr>
        <w:t>בה</w:t>
      </w:r>
      <w:r w:rsidRPr="00DC5B13">
        <w:rPr>
          <w:rFonts w:eastAsia="Calibri"/>
          <w:rtl/>
        </w:rPr>
        <w:t xml:space="preserve"> </w:t>
      </w:r>
      <w:r w:rsidRPr="00DC5B13">
        <w:rPr>
          <w:rFonts w:eastAsia="Calibri" w:hint="cs"/>
          <w:rtl/>
        </w:rPr>
        <w:t>ש</w:t>
      </w:r>
      <w:r w:rsidRPr="00DC5B13">
        <w:rPr>
          <w:rFonts w:eastAsia="Calibri" w:hint="eastAsia"/>
          <w:rtl/>
        </w:rPr>
        <w:t>בהם</w:t>
      </w:r>
      <w:r w:rsidRPr="00DC5B13">
        <w:rPr>
          <w:rFonts w:eastAsia="Calibri"/>
          <w:rtl/>
        </w:rPr>
        <w:t xml:space="preserve"> </w:t>
      </w:r>
      <w:r w:rsidRPr="00DC5B13">
        <w:rPr>
          <w:rFonts w:eastAsia="Calibri" w:hint="eastAsia"/>
          <w:rtl/>
        </w:rPr>
        <w:t>תתמקד</w:t>
      </w:r>
      <w:r w:rsidRPr="00DC5B13">
        <w:rPr>
          <w:rFonts w:eastAsia="Calibri"/>
          <w:rtl/>
        </w:rPr>
        <w:t xml:space="preserve"> </w:t>
      </w:r>
      <w:r w:rsidRPr="00DC5B13">
        <w:rPr>
          <w:rFonts w:eastAsia="Calibri" w:hint="eastAsia"/>
          <w:rtl/>
        </w:rPr>
        <w:t>המדיניות</w:t>
      </w:r>
      <w:r w:rsidRPr="00DC5B13">
        <w:rPr>
          <w:rFonts w:eastAsia="Calibri"/>
          <w:rtl/>
        </w:rPr>
        <w:t xml:space="preserve">: </w:t>
      </w:r>
      <w:r w:rsidRPr="00DC5B13">
        <w:rPr>
          <w:rFonts w:eastAsia="Calibri" w:hint="eastAsia"/>
          <w:rtl/>
        </w:rPr>
        <w:t>הגבלת</w:t>
      </w:r>
      <w:r w:rsidRPr="00DC5B13">
        <w:rPr>
          <w:rFonts w:eastAsia="Calibri"/>
          <w:rtl/>
        </w:rPr>
        <w:t xml:space="preserve"> </w:t>
      </w:r>
      <w:r w:rsidRPr="00DC5B13">
        <w:rPr>
          <w:rFonts w:eastAsia="Calibri" w:hint="eastAsia"/>
          <w:rtl/>
        </w:rPr>
        <w:t>התפשטות</w:t>
      </w:r>
      <w:r w:rsidRPr="00DC5B13">
        <w:rPr>
          <w:rFonts w:eastAsia="Calibri"/>
          <w:rtl/>
        </w:rPr>
        <w:t xml:space="preserve"> </w:t>
      </w:r>
      <w:r w:rsidRPr="00DC5B13">
        <w:rPr>
          <w:rFonts w:eastAsia="Calibri" w:hint="eastAsia"/>
          <w:rtl/>
        </w:rPr>
        <w:t>הערים</w:t>
      </w:r>
      <w:r w:rsidRPr="00DC5B13">
        <w:rPr>
          <w:rFonts w:eastAsia="Calibri"/>
          <w:rtl/>
        </w:rPr>
        <w:t xml:space="preserve">; </w:t>
      </w:r>
      <w:r w:rsidRPr="00DC5B13">
        <w:rPr>
          <w:rFonts w:eastAsia="Calibri" w:hint="eastAsia"/>
          <w:rtl/>
        </w:rPr>
        <w:t>חיזוק</w:t>
      </w:r>
      <w:r w:rsidRPr="00DC5B13">
        <w:rPr>
          <w:rFonts w:eastAsia="Calibri"/>
          <w:rtl/>
        </w:rPr>
        <w:t xml:space="preserve"> </w:t>
      </w:r>
      <w:r w:rsidRPr="00DC5B13">
        <w:rPr>
          <w:rFonts w:eastAsia="Calibri" w:hint="eastAsia"/>
          <w:rtl/>
        </w:rPr>
        <w:t>מבנים</w:t>
      </w:r>
      <w:r w:rsidRPr="00DC5B13">
        <w:rPr>
          <w:rFonts w:eastAsia="Calibri"/>
          <w:rtl/>
        </w:rPr>
        <w:t xml:space="preserve"> </w:t>
      </w:r>
      <w:r w:rsidRPr="00DC5B13">
        <w:rPr>
          <w:rFonts w:eastAsia="Calibri" w:hint="eastAsia"/>
          <w:rtl/>
        </w:rPr>
        <w:t>מפני</w:t>
      </w:r>
      <w:r w:rsidRPr="00DC5B13">
        <w:rPr>
          <w:rFonts w:eastAsia="Calibri"/>
          <w:rtl/>
        </w:rPr>
        <w:t xml:space="preserve"> </w:t>
      </w:r>
      <w:r w:rsidRPr="00DC5B13">
        <w:rPr>
          <w:rFonts w:eastAsia="Calibri" w:hint="eastAsia"/>
          <w:rtl/>
        </w:rPr>
        <w:t>רעידות</w:t>
      </w:r>
      <w:r w:rsidRPr="00DC5B13">
        <w:rPr>
          <w:rFonts w:eastAsia="Calibri"/>
          <w:rtl/>
        </w:rPr>
        <w:t xml:space="preserve"> </w:t>
      </w:r>
      <w:r w:rsidRPr="00DC5B13">
        <w:rPr>
          <w:rFonts w:eastAsia="Calibri" w:hint="eastAsia"/>
          <w:rtl/>
        </w:rPr>
        <w:t>אדמה</w:t>
      </w:r>
      <w:r w:rsidRPr="00DC5B13">
        <w:rPr>
          <w:rFonts w:eastAsia="Calibri" w:hint="cs"/>
          <w:rtl/>
        </w:rPr>
        <w:t>;</w:t>
      </w:r>
      <w:r w:rsidRPr="00DC5B13">
        <w:rPr>
          <w:rFonts w:eastAsia="Calibri"/>
          <w:rtl/>
        </w:rPr>
        <w:t xml:space="preserve"> </w:t>
      </w:r>
      <w:r w:rsidRPr="00DC5B13">
        <w:rPr>
          <w:rFonts w:eastAsia="Calibri" w:hint="eastAsia"/>
          <w:rtl/>
        </w:rPr>
        <w:t>הפחתת</w:t>
      </w:r>
      <w:r w:rsidRPr="00DC5B13">
        <w:rPr>
          <w:rFonts w:eastAsia="Calibri"/>
          <w:rtl/>
        </w:rPr>
        <w:t xml:space="preserve"> </w:t>
      </w:r>
      <w:r w:rsidRPr="00DC5B13">
        <w:rPr>
          <w:rFonts w:eastAsia="Calibri" w:hint="eastAsia"/>
          <w:rtl/>
        </w:rPr>
        <w:t>עומסי</w:t>
      </w:r>
      <w:r w:rsidRPr="00DC5B13">
        <w:rPr>
          <w:rFonts w:eastAsia="Calibri"/>
          <w:rtl/>
        </w:rPr>
        <w:t xml:space="preserve"> </w:t>
      </w:r>
      <w:r w:rsidRPr="00DC5B13">
        <w:rPr>
          <w:rFonts w:eastAsia="Calibri" w:hint="eastAsia"/>
          <w:rtl/>
        </w:rPr>
        <w:t>התחבורה</w:t>
      </w:r>
      <w:r w:rsidRPr="00DC5B13">
        <w:rPr>
          <w:rFonts w:eastAsia="Calibri"/>
          <w:rtl/>
        </w:rPr>
        <w:t xml:space="preserve"> </w:t>
      </w:r>
      <w:r w:rsidRPr="00DC5B13">
        <w:rPr>
          <w:rFonts w:eastAsia="Calibri" w:hint="eastAsia"/>
          <w:rtl/>
        </w:rPr>
        <w:t>ותאונות</w:t>
      </w:r>
      <w:r w:rsidRPr="00DC5B13">
        <w:rPr>
          <w:rFonts w:eastAsia="Calibri"/>
          <w:rtl/>
        </w:rPr>
        <w:t xml:space="preserve"> </w:t>
      </w:r>
      <w:r w:rsidRPr="00DC5B13">
        <w:rPr>
          <w:rFonts w:eastAsia="Calibri" w:hint="eastAsia"/>
          <w:rtl/>
        </w:rPr>
        <w:t>הדרכים</w:t>
      </w:r>
      <w:r w:rsidRPr="00DC5B13">
        <w:rPr>
          <w:rFonts w:eastAsia="Calibri"/>
          <w:rtl/>
        </w:rPr>
        <w:t xml:space="preserve">; </w:t>
      </w:r>
      <w:r w:rsidRPr="00DC5B13">
        <w:rPr>
          <w:rFonts w:eastAsia="Calibri" w:hint="eastAsia"/>
          <w:rtl/>
        </w:rPr>
        <w:t>יצירת</w:t>
      </w:r>
      <w:r w:rsidRPr="00DC5B13">
        <w:rPr>
          <w:rFonts w:eastAsia="Calibri"/>
          <w:rtl/>
        </w:rPr>
        <w:t xml:space="preserve"> "ערים </w:t>
      </w:r>
      <w:r w:rsidRPr="00DC5B13">
        <w:rPr>
          <w:rFonts w:eastAsia="Calibri" w:hint="eastAsia"/>
          <w:rtl/>
        </w:rPr>
        <w:t>בין</w:t>
      </w:r>
      <w:r w:rsidRPr="00DC5B13">
        <w:rPr>
          <w:rFonts w:eastAsia="Calibri"/>
          <w:rtl/>
        </w:rPr>
        <w:t>-</w:t>
      </w:r>
      <w:r w:rsidRPr="00DC5B13">
        <w:rPr>
          <w:rFonts w:eastAsia="Calibri" w:hint="eastAsia"/>
          <w:rtl/>
        </w:rPr>
        <w:t>לאומיות</w:t>
      </w:r>
      <w:r w:rsidRPr="00DC5B13">
        <w:rPr>
          <w:rFonts w:eastAsia="Calibri"/>
          <w:rtl/>
        </w:rPr>
        <w:t xml:space="preserve">" </w:t>
      </w:r>
      <w:r w:rsidRPr="00DC5B13">
        <w:rPr>
          <w:rFonts w:eastAsia="Calibri" w:hint="eastAsia"/>
          <w:rtl/>
        </w:rPr>
        <w:t>שיהיו</w:t>
      </w:r>
      <w:r w:rsidRPr="00DC5B13">
        <w:rPr>
          <w:rFonts w:eastAsia="Calibri"/>
          <w:rtl/>
        </w:rPr>
        <w:t xml:space="preserve"> </w:t>
      </w:r>
      <w:r w:rsidRPr="00DC5B13">
        <w:rPr>
          <w:rFonts w:eastAsia="Calibri" w:hint="eastAsia"/>
          <w:rtl/>
        </w:rPr>
        <w:t>בית</w:t>
      </w:r>
      <w:r w:rsidRPr="00DC5B13">
        <w:rPr>
          <w:rFonts w:eastAsia="Calibri"/>
          <w:rtl/>
        </w:rPr>
        <w:t xml:space="preserve"> </w:t>
      </w:r>
      <w:r w:rsidRPr="00DC5B13">
        <w:rPr>
          <w:rFonts w:eastAsia="Calibri" w:hint="eastAsia"/>
          <w:rtl/>
        </w:rPr>
        <w:t>למגוון</w:t>
      </w:r>
      <w:r w:rsidRPr="00DC5B13">
        <w:rPr>
          <w:rFonts w:eastAsia="Calibri"/>
          <w:rtl/>
        </w:rPr>
        <w:t xml:space="preserve"> </w:t>
      </w:r>
      <w:r w:rsidRPr="00DC5B13">
        <w:rPr>
          <w:rFonts w:eastAsia="Calibri" w:hint="eastAsia"/>
          <w:rtl/>
        </w:rPr>
        <w:t>רב</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אנשים</w:t>
      </w:r>
      <w:r w:rsidRPr="00DC5B13">
        <w:rPr>
          <w:rFonts w:eastAsia="Calibri"/>
          <w:rtl/>
        </w:rPr>
        <w:t xml:space="preserve">; </w:t>
      </w:r>
      <w:r w:rsidRPr="00DC5B13">
        <w:rPr>
          <w:rFonts w:eastAsia="Calibri" w:hint="eastAsia"/>
          <w:rtl/>
        </w:rPr>
        <w:t>ארגון</w:t>
      </w:r>
      <w:r w:rsidRPr="00DC5B13">
        <w:rPr>
          <w:rFonts w:eastAsia="Calibri"/>
          <w:rtl/>
        </w:rPr>
        <w:t xml:space="preserve"> </w:t>
      </w:r>
      <w:r w:rsidRPr="00DC5B13">
        <w:rPr>
          <w:rFonts w:eastAsia="Calibri" w:hint="eastAsia"/>
          <w:rtl/>
        </w:rPr>
        <w:t>מחדש</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התשתיות</w:t>
      </w:r>
      <w:r w:rsidRPr="00DC5B13">
        <w:rPr>
          <w:rFonts w:eastAsia="Calibri"/>
          <w:rtl/>
        </w:rPr>
        <w:t xml:space="preserve"> </w:t>
      </w:r>
      <w:r w:rsidRPr="00DC5B13">
        <w:rPr>
          <w:rFonts w:eastAsia="Calibri" w:hint="eastAsia"/>
          <w:rtl/>
        </w:rPr>
        <w:t>הציבוריות</w:t>
      </w:r>
      <w:r w:rsidRPr="00DC5B13">
        <w:rPr>
          <w:rFonts w:eastAsia="Calibri"/>
          <w:rtl/>
        </w:rPr>
        <w:t xml:space="preserve"> </w:t>
      </w:r>
      <w:r w:rsidRPr="00DC5B13">
        <w:rPr>
          <w:rFonts w:eastAsia="Calibri" w:hint="eastAsia"/>
          <w:rtl/>
        </w:rPr>
        <w:t>תוך</w:t>
      </w:r>
      <w:r w:rsidRPr="00DC5B13">
        <w:rPr>
          <w:rFonts w:eastAsia="Calibri"/>
          <w:rtl/>
        </w:rPr>
        <w:t xml:space="preserve"> </w:t>
      </w:r>
      <w:r w:rsidRPr="00DC5B13">
        <w:rPr>
          <w:rFonts w:eastAsia="Calibri" w:hint="eastAsia"/>
          <w:rtl/>
        </w:rPr>
        <w:t>ניצול</w:t>
      </w:r>
      <w:r w:rsidRPr="00DC5B13">
        <w:rPr>
          <w:rFonts w:eastAsia="Calibri"/>
          <w:rtl/>
        </w:rPr>
        <w:t xml:space="preserve"> </w:t>
      </w:r>
      <w:r w:rsidRPr="00DC5B13">
        <w:rPr>
          <w:rFonts w:eastAsia="Calibri" w:hint="eastAsia"/>
          <w:rtl/>
        </w:rPr>
        <w:t>הרווחים</w:t>
      </w:r>
      <w:r w:rsidRPr="00DC5B13">
        <w:rPr>
          <w:rFonts w:eastAsia="Calibri"/>
          <w:rtl/>
        </w:rPr>
        <w:t xml:space="preserve"> </w:t>
      </w:r>
      <w:r w:rsidRPr="00DC5B13">
        <w:rPr>
          <w:rFonts w:eastAsia="Calibri" w:hint="eastAsia"/>
          <w:rtl/>
        </w:rPr>
        <w:t>ממכירת</w:t>
      </w:r>
      <w:r w:rsidRPr="00DC5B13">
        <w:rPr>
          <w:rFonts w:eastAsia="Calibri"/>
          <w:rtl/>
        </w:rPr>
        <w:t xml:space="preserve"> </w:t>
      </w:r>
      <w:r w:rsidRPr="00DC5B13">
        <w:rPr>
          <w:rFonts w:eastAsia="Calibri" w:hint="eastAsia"/>
          <w:rtl/>
        </w:rPr>
        <w:t>הקרקעות</w:t>
      </w:r>
      <w:r w:rsidRPr="00DC5B13">
        <w:rPr>
          <w:rFonts w:eastAsia="Calibri"/>
          <w:rtl/>
        </w:rPr>
        <w:t xml:space="preserve">; </w:t>
      </w:r>
      <w:r w:rsidRPr="00DC5B13">
        <w:rPr>
          <w:rFonts w:eastAsia="Calibri" w:hint="eastAsia"/>
          <w:rtl/>
        </w:rPr>
        <w:t>השקעה</w:t>
      </w:r>
      <w:r w:rsidRPr="00DC5B13">
        <w:rPr>
          <w:rFonts w:eastAsia="Calibri"/>
          <w:rtl/>
        </w:rPr>
        <w:t xml:space="preserve"> </w:t>
      </w:r>
      <w:r w:rsidRPr="00DC5B13">
        <w:rPr>
          <w:rFonts w:eastAsia="Calibri" w:hint="eastAsia"/>
          <w:rtl/>
        </w:rPr>
        <w:t>באיכות</w:t>
      </w:r>
      <w:r w:rsidRPr="00DC5B13">
        <w:rPr>
          <w:rFonts w:eastAsia="Calibri"/>
          <w:rtl/>
        </w:rPr>
        <w:t xml:space="preserve"> </w:t>
      </w:r>
      <w:r w:rsidRPr="00DC5B13">
        <w:rPr>
          <w:rFonts w:eastAsia="Calibri" w:hint="eastAsia"/>
          <w:rtl/>
        </w:rPr>
        <w:t>חיי</w:t>
      </w:r>
      <w:r w:rsidRPr="00DC5B13">
        <w:rPr>
          <w:rFonts w:eastAsia="Calibri"/>
          <w:rtl/>
        </w:rPr>
        <w:t xml:space="preserve"> </w:t>
      </w:r>
      <w:r w:rsidRPr="00DC5B13">
        <w:rPr>
          <w:rFonts w:eastAsia="Calibri" w:hint="eastAsia"/>
          <w:rtl/>
        </w:rPr>
        <w:t>התושבים</w:t>
      </w:r>
      <w:r w:rsidRPr="00DC5B13">
        <w:rPr>
          <w:rFonts w:eastAsia="Calibri"/>
          <w:rtl/>
        </w:rPr>
        <w:t xml:space="preserve"> </w:t>
      </w:r>
      <w:r w:rsidRPr="00DC5B13">
        <w:rPr>
          <w:rFonts w:eastAsia="Calibri" w:hint="eastAsia"/>
          <w:rtl/>
        </w:rPr>
        <w:t>בעזרת</w:t>
      </w:r>
      <w:r w:rsidRPr="00DC5B13">
        <w:rPr>
          <w:rFonts w:eastAsia="Calibri"/>
          <w:rtl/>
        </w:rPr>
        <w:t xml:space="preserve"> </w:t>
      </w:r>
      <w:r w:rsidRPr="00DC5B13">
        <w:rPr>
          <w:rFonts w:eastAsia="Calibri" w:hint="eastAsia"/>
          <w:rtl/>
        </w:rPr>
        <w:t>פיתוח</w:t>
      </w:r>
      <w:r w:rsidRPr="00DC5B13">
        <w:rPr>
          <w:rFonts w:eastAsia="Calibri"/>
          <w:rtl/>
        </w:rPr>
        <w:t xml:space="preserve"> </w:t>
      </w:r>
      <w:r w:rsidRPr="00DC5B13">
        <w:rPr>
          <w:rFonts w:eastAsia="Calibri" w:hint="eastAsia"/>
          <w:rtl/>
        </w:rPr>
        <w:t>תעשיות</w:t>
      </w:r>
      <w:r w:rsidRPr="00DC5B13">
        <w:rPr>
          <w:rFonts w:eastAsia="Calibri"/>
          <w:rtl/>
        </w:rPr>
        <w:t xml:space="preserve"> </w:t>
      </w:r>
      <w:r w:rsidRPr="00DC5B13">
        <w:rPr>
          <w:rFonts w:eastAsia="Calibri" w:hint="eastAsia"/>
          <w:rtl/>
        </w:rPr>
        <w:t>מתקדמות</w:t>
      </w:r>
      <w:r w:rsidRPr="00DC5B13">
        <w:rPr>
          <w:rFonts w:eastAsia="Calibri"/>
          <w:rtl/>
        </w:rPr>
        <w:t xml:space="preserve"> </w:t>
      </w:r>
      <w:r w:rsidRPr="00DC5B13">
        <w:rPr>
          <w:rFonts w:eastAsia="Calibri" w:hint="eastAsia"/>
          <w:rtl/>
        </w:rPr>
        <w:t>ומערך</w:t>
      </w:r>
      <w:r w:rsidRPr="00DC5B13">
        <w:rPr>
          <w:rFonts w:eastAsia="Calibri"/>
          <w:rtl/>
        </w:rPr>
        <w:t xml:space="preserve"> </w:t>
      </w:r>
      <w:r w:rsidRPr="00DC5B13">
        <w:rPr>
          <w:rFonts w:eastAsia="Calibri" w:hint="eastAsia"/>
          <w:rtl/>
        </w:rPr>
        <w:t>שירותים</w:t>
      </w:r>
      <w:r w:rsidRPr="00DC5B13">
        <w:rPr>
          <w:rFonts w:eastAsia="Calibri"/>
          <w:rtl/>
        </w:rPr>
        <w:t xml:space="preserve"> </w:t>
      </w:r>
      <w:r w:rsidRPr="00DC5B13">
        <w:rPr>
          <w:rFonts w:eastAsia="Calibri" w:hint="eastAsia"/>
          <w:rtl/>
        </w:rPr>
        <w:t>ותמיכה</w:t>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המדיניות קראה לשיתוף פעולה בין משרדי הממשלה הרלוונטיים ובין גורמים מחוזיים (</w:t>
      </w:r>
      <w:r w:rsidRPr="00DC5B13">
        <w:rPr>
          <w:rFonts w:eastAsia="Calibri"/>
        </w:rPr>
        <w:t>District</w:t>
      </w:r>
      <w:r w:rsidRPr="00DC5B13">
        <w:rPr>
          <w:rFonts w:eastAsia="Calibri" w:hint="cs"/>
          <w:rtl/>
        </w:rPr>
        <w:t>) ומקומיים (</w:t>
      </w:r>
      <w:r w:rsidRPr="00DC5B13">
        <w:rPr>
          <w:rFonts w:eastAsia="Calibri"/>
        </w:rPr>
        <w:t>Municipal</w:t>
      </w:r>
      <w:r w:rsidRPr="00DC5B13">
        <w:rPr>
          <w:rFonts w:eastAsia="Calibri" w:hint="cs"/>
          <w:rtl/>
        </w:rPr>
        <w:t>)</w:t>
      </w:r>
      <w:r w:rsidRPr="00DC5B13">
        <w:rPr>
          <w:rFonts w:eastAsia="Calibri" w:hint="cs"/>
        </w:rPr>
        <w:t xml:space="preserve"> </w:t>
      </w:r>
      <w:r w:rsidRPr="00DC5B13">
        <w:rPr>
          <w:rFonts w:eastAsia="Calibri" w:hint="cs"/>
          <w:rtl/>
        </w:rPr>
        <w:t>ליצירתם של מרחבים עירוניים בטוחים ונוחים, שישמרו ויעודדו פעילות כלכלית ענפה, יבטיחו תשתיות ציבוריות להתמודדות עם אסונות טבע, ויבטיחו איתנות חברתית בעלת פוטנציאל צמיחה</w:t>
      </w:r>
      <w:r>
        <w:rPr>
          <w:rFonts w:eastAsia="Calibri"/>
          <w:vertAlign w:val="superscript"/>
          <w:rtl/>
        </w:rPr>
        <w:footnoteReference w:id="76"/>
      </w:r>
      <w:r w:rsidRPr="00DC5B13">
        <w:rPr>
          <w:rFonts w:eastAsia="Calibri" w:hint="cs"/>
          <w:rtl/>
        </w:rPr>
        <w:t>. כן תוארה במדיניות שאיפה להענקת עצמאות מרבית לרשויות המקומיות בשימוש יצירתי במשאביהן לשם התמודדות עם האתגרים הרלוונטיים להן</w:t>
      </w:r>
      <w:r>
        <w:rPr>
          <w:rFonts w:eastAsia="Calibri"/>
          <w:vertAlign w:val="superscript"/>
          <w:rtl/>
        </w:rPr>
        <w:footnoteReference w:id="77"/>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המדיניות לא קבעה אזורים מובחנים להתחדשות עירונית, אך הוגדרו בה מאפיינים של אזורים שבהם מומלץ לקדם תהליכים אלה. בין השאר צוינו אזורים של תעשייה כבדה הצפויים להינטש, אזורים הסובבים מוקדי תחבורה ציבורית ואזורים המתאפיינים בבנייה מיושנת.</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יפן נחשבת למדינה שהצליחה להטמיע פתרונות מערכתיים לאתגרים הנוגעים לעתיד הערים בעולם בכלל ובמדינה בפרט, ובהם הגירה מוגברת מאזורי הכפר, התרחבות בלתי מבוקרת של ערים ומספר רב של בעיות סביבתיות</w:t>
      </w:r>
      <w:r>
        <w:rPr>
          <w:rFonts w:eastAsia="Calibri"/>
          <w:b/>
          <w:bCs/>
          <w:vertAlign w:val="superscript"/>
          <w:rtl/>
        </w:rPr>
        <w:footnoteReference w:id="78"/>
      </w:r>
      <w:r w:rsidRPr="00DC5B13">
        <w:rPr>
          <w:rFonts w:eastAsia="Calibri" w:hint="cs"/>
          <w:b/>
          <w:bCs/>
          <w:rtl/>
        </w:rPr>
        <w:t xml:space="preserve">. </w:t>
      </w:r>
      <w:r w:rsidRPr="00DC5B13">
        <w:rPr>
          <w:rFonts w:eastAsia="Calibri" w:hint="eastAsia"/>
          <w:b/>
          <w:bCs/>
          <w:rtl/>
        </w:rPr>
        <w:t>לשם</w:t>
      </w:r>
      <w:r w:rsidRPr="00DC5B13">
        <w:rPr>
          <w:rFonts w:eastAsia="Calibri"/>
          <w:b/>
          <w:bCs/>
          <w:rtl/>
        </w:rPr>
        <w:t xml:space="preserve"> </w:t>
      </w:r>
      <w:r w:rsidRPr="00DC5B13">
        <w:rPr>
          <w:rFonts w:eastAsia="Calibri" w:hint="eastAsia"/>
          <w:b/>
          <w:bCs/>
          <w:rtl/>
        </w:rPr>
        <w:t>כך</w:t>
      </w:r>
      <w:r w:rsidRPr="00DC5B13">
        <w:rPr>
          <w:rFonts w:eastAsia="Calibri"/>
          <w:b/>
          <w:bCs/>
          <w:rtl/>
        </w:rPr>
        <w:t xml:space="preserve"> </w:t>
      </w:r>
      <w:r w:rsidRPr="00DC5B13">
        <w:rPr>
          <w:rFonts w:eastAsia="Calibri" w:hint="eastAsia"/>
          <w:b/>
          <w:bCs/>
          <w:rtl/>
        </w:rPr>
        <w:t>פותחו</w:t>
      </w:r>
      <w:r w:rsidRPr="00DC5B13">
        <w:rPr>
          <w:rFonts w:eastAsia="Calibri"/>
          <w:b/>
          <w:bCs/>
          <w:rtl/>
        </w:rPr>
        <w:t xml:space="preserve"> </w:t>
      </w:r>
      <w:r w:rsidRPr="00DC5B13">
        <w:rPr>
          <w:rFonts w:eastAsia="Calibri" w:hint="eastAsia"/>
          <w:b/>
          <w:bCs/>
          <w:rtl/>
        </w:rPr>
        <w:t>ביפן</w:t>
      </w:r>
      <w:r w:rsidRPr="00DC5B13">
        <w:rPr>
          <w:rFonts w:eastAsia="Calibri"/>
          <w:b/>
          <w:bCs/>
          <w:rtl/>
        </w:rPr>
        <w:t xml:space="preserve"> </w:t>
      </w:r>
      <w:r w:rsidRPr="00DC5B13">
        <w:rPr>
          <w:rFonts w:eastAsia="Calibri" w:hint="eastAsia"/>
          <w:b/>
          <w:bCs/>
          <w:rtl/>
        </w:rPr>
        <w:t>בעשורים</w:t>
      </w:r>
      <w:r w:rsidRPr="00DC5B13">
        <w:rPr>
          <w:rFonts w:eastAsia="Calibri"/>
          <w:b/>
          <w:bCs/>
          <w:rtl/>
        </w:rPr>
        <w:t xml:space="preserve"> </w:t>
      </w:r>
      <w:r w:rsidRPr="00DC5B13">
        <w:rPr>
          <w:rFonts w:eastAsia="Calibri" w:hint="eastAsia"/>
          <w:b/>
          <w:bCs/>
          <w:rtl/>
        </w:rPr>
        <w:t>האחרונים</w:t>
      </w:r>
      <w:r w:rsidRPr="00DC5B13">
        <w:rPr>
          <w:rFonts w:eastAsia="Calibri"/>
          <w:b/>
          <w:bCs/>
          <w:rtl/>
        </w:rPr>
        <w:t xml:space="preserve"> </w:t>
      </w:r>
      <w:r w:rsidRPr="00DC5B13">
        <w:rPr>
          <w:rFonts w:eastAsia="Calibri" w:hint="eastAsia"/>
          <w:b/>
          <w:bCs/>
          <w:rtl/>
        </w:rPr>
        <w:t>שני</w:t>
      </w:r>
      <w:r w:rsidRPr="00DC5B13">
        <w:rPr>
          <w:rFonts w:eastAsia="Calibri"/>
          <w:b/>
          <w:bCs/>
          <w:rtl/>
        </w:rPr>
        <w:t xml:space="preserve"> </w:t>
      </w:r>
      <w:r w:rsidRPr="00DC5B13">
        <w:rPr>
          <w:rFonts w:eastAsia="Calibri" w:hint="eastAsia"/>
          <w:b/>
          <w:bCs/>
          <w:rtl/>
        </w:rPr>
        <w:t>אפיקים</w:t>
      </w:r>
      <w:r w:rsidRPr="00DC5B13">
        <w:rPr>
          <w:rFonts w:eastAsia="Calibri"/>
          <w:b/>
          <w:bCs/>
          <w:rtl/>
        </w:rPr>
        <w:t xml:space="preserve"> </w:t>
      </w:r>
      <w:r w:rsidRPr="00DC5B13">
        <w:rPr>
          <w:rFonts w:eastAsia="Calibri" w:hint="eastAsia"/>
          <w:b/>
          <w:bCs/>
          <w:rtl/>
        </w:rPr>
        <w:t>לקידומה</w:t>
      </w:r>
      <w:r w:rsidRPr="00DC5B13">
        <w:rPr>
          <w:rFonts w:eastAsia="Calibri"/>
          <w:b/>
          <w:bCs/>
          <w:rtl/>
        </w:rPr>
        <w:t xml:space="preserve"> </w:t>
      </w:r>
      <w:r w:rsidRPr="00DC5B13">
        <w:rPr>
          <w:rFonts w:eastAsia="Calibri" w:hint="eastAsia"/>
          <w:b/>
          <w:bCs/>
          <w:rtl/>
        </w:rPr>
        <w:t>של</w:t>
      </w:r>
      <w:r w:rsidRPr="00DC5B13">
        <w:rPr>
          <w:rFonts w:eastAsia="Calibri"/>
          <w:b/>
          <w:bCs/>
          <w:rtl/>
        </w:rPr>
        <w:t xml:space="preserve"> </w:t>
      </w:r>
      <w:r w:rsidRPr="00DC5B13">
        <w:rPr>
          <w:rFonts w:eastAsia="Calibri" w:hint="eastAsia"/>
          <w:b/>
          <w:bCs/>
          <w:rtl/>
        </w:rPr>
        <w:t>התחדשות</w:t>
      </w:r>
      <w:r w:rsidRPr="00DC5B13">
        <w:rPr>
          <w:rFonts w:eastAsia="Calibri"/>
          <w:b/>
          <w:bCs/>
          <w:rtl/>
        </w:rPr>
        <w:t xml:space="preserve"> </w:t>
      </w:r>
      <w:r w:rsidRPr="00DC5B13">
        <w:rPr>
          <w:rFonts w:eastAsia="Calibri" w:hint="eastAsia"/>
          <w:b/>
          <w:bCs/>
          <w:rtl/>
        </w:rPr>
        <w:t>עירונית</w:t>
      </w:r>
      <w:r w:rsidRPr="00DC5B13">
        <w:rPr>
          <w:rFonts w:eastAsia="Calibri"/>
          <w:b/>
          <w:bCs/>
          <w:rtl/>
        </w:rPr>
        <w:t xml:space="preserve">, </w:t>
      </w:r>
      <w:r w:rsidRPr="00DC5B13">
        <w:rPr>
          <w:rFonts w:eastAsia="Calibri" w:hint="eastAsia"/>
          <w:b/>
          <w:bCs/>
          <w:rtl/>
        </w:rPr>
        <w:t>שאפשרו</w:t>
      </w:r>
      <w:r w:rsidRPr="00DC5B13">
        <w:rPr>
          <w:rFonts w:eastAsia="Calibri"/>
          <w:b/>
          <w:bCs/>
          <w:rtl/>
        </w:rPr>
        <w:t xml:space="preserve"> </w:t>
      </w:r>
      <w:r w:rsidRPr="00DC5B13">
        <w:rPr>
          <w:rFonts w:eastAsia="Calibri" w:hint="eastAsia"/>
          <w:b/>
          <w:bCs/>
          <w:rtl/>
        </w:rPr>
        <w:t>למדינה</w:t>
      </w:r>
      <w:r w:rsidRPr="00DC5B13">
        <w:rPr>
          <w:rFonts w:eastAsia="Calibri"/>
          <w:b/>
          <w:bCs/>
          <w:rtl/>
        </w:rPr>
        <w:t xml:space="preserve"> </w:t>
      </w:r>
      <w:r w:rsidRPr="00DC5B13">
        <w:rPr>
          <w:rFonts w:eastAsia="Calibri" w:hint="eastAsia"/>
          <w:b/>
          <w:bCs/>
          <w:rtl/>
        </w:rPr>
        <w:t>לחדש</w:t>
      </w:r>
      <w:r w:rsidRPr="00DC5B13">
        <w:rPr>
          <w:rFonts w:eastAsia="Calibri"/>
          <w:b/>
          <w:bCs/>
          <w:rtl/>
        </w:rPr>
        <w:t xml:space="preserve"> </w:t>
      </w:r>
      <w:r w:rsidRPr="00DC5B13">
        <w:rPr>
          <w:rFonts w:eastAsia="Calibri" w:hint="eastAsia"/>
          <w:b/>
          <w:bCs/>
          <w:rtl/>
        </w:rPr>
        <w:t>את</w:t>
      </w:r>
      <w:r w:rsidRPr="00DC5B13">
        <w:rPr>
          <w:rFonts w:eastAsia="Calibri"/>
          <w:b/>
          <w:bCs/>
          <w:rtl/>
        </w:rPr>
        <w:t xml:space="preserve"> </w:t>
      </w:r>
      <w:r w:rsidRPr="00DC5B13">
        <w:rPr>
          <w:rFonts w:eastAsia="Calibri" w:hint="eastAsia"/>
          <w:b/>
          <w:bCs/>
          <w:rtl/>
        </w:rPr>
        <w:t>המרחבים</w:t>
      </w:r>
      <w:r w:rsidRPr="00DC5B13">
        <w:rPr>
          <w:rFonts w:eastAsia="Calibri"/>
          <w:b/>
          <w:bCs/>
          <w:rtl/>
        </w:rPr>
        <w:t xml:space="preserve"> </w:t>
      </w:r>
      <w:r w:rsidRPr="00DC5B13">
        <w:rPr>
          <w:rFonts w:eastAsia="Calibri" w:hint="eastAsia"/>
          <w:b/>
          <w:bCs/>
          <w:rtl/>
        </w:rPr>
        <w:t>האורבניים</w:t>
      </w:r>
      <w:r w:rsidRPr="00DC5B13">
        <w:rPr>
          <w:rFonts w:eastAsia="Calibri"/>
          <w:b/>
          <w:bCs/>
          <w:rtl/>
        </w:rPr>
        <w:t xml:space="preserve"> </w:t>
      </w:r>
      <w:r w:rsidRPr="00DC5B13">
        <w:rPr>
          <w:rFonts w:eastAsia="Calibri" w:hint="eastAsia"/>
          <w:b/>
          <w:bCs/>
          <w:rtl/>
        </w:rPr>
        <w:t>באופן</w:t>
      </w:r>
      <w:r w:rsidRPr="00DC5B13">
        <w:rPr>
          <w:rFonts w:eastAsia="Calibri"/>
          <w:b/>
          <w:bCs/>
          <w:rtl/>
        </w:rPr>
        <w:t xml:space="preserve"> </w:t>
      </w:r>
      <w:r w:rsidRPr="00DC5B13">
        <w:rPr>
          <w:rFonts w:eastAsia="Calibri" w:hint="eastAsia"/>
          <w:b/>
          <w:bCs/>
          <w:rtl/>
        </w:rPr>
        <w:t>שיאפשר</w:t>
      </w:r>
      <w:r w:rsidRPr="00DC5B13">
        <w:rPr>
          <w:rFonts w:eastAsia="Calibri"/>
          <w:b/>
          <w:bCs/>
          <w:rtl/>
        </w:rPr>
        <w:t xml:space="preserve"> </w:t>
      </w:r>
      <w:r w:rsidRPr="00DC5B13">
        <w:rPr>
          <w:rFonts w:eastAsia="Calibri" w:hint="eastAsia"/>
          <w:b/>
          <w:bCs/>
          <w:rtl/>
        </w:rPr>
        <w:t>המשך</w:t>
      </w:r>
      <w:r w:rsidRPr="00DC5B13">
        <w:rPr>
          <w:rFonts w:eastAsia="Calibri"/>
          <w:b/>
          <w:bCs/>
          <w:rtl/>
        </w:rPr>
        <w:t xml:space="preserve"> </w:t>
      </w:r>
      <w:r w:rsidRPr="00DC5B13">
        <w:rPr>
          <w:rFonts w:eastAsia="Calibri" w:hint="eastAsia"/>
          <w:b/>
          <w:bCs/>
          <w:rtl/>
        </w:rPr>
        <w:t>מיטבי</w:t>
      </w:r>
      <w:r w:rsidRPr="00DC5B13">
        <w:rPr>
          <w:rFonts w:eastAsia="Calibri"/>
          <w:b/>
          <w:bCs/>
          <w:rtl/>
        </w:rPr>
        <w:t xml:space="preserve"> </w:t>
      </w:r>
      <w:r w:rsidRPr="00DC5B13">
        <w:rPr>
          <w:rFonts w:eastAsia="Calibri" w:hint="eastAsia"/>
          <w:b/>
          <w:bCs/>
          <w:rtl/>
        </w:rPr>
        <w:t>של</w:t>
      </w:r>
      <w:r w:rsidRPr="00DC5B13">
        <w:rPr>
          <w:rFonts w:eastAsia="Calibri"/>
          <w:b/>
          <w:bCs/>
          <w:rtl/>
        </w:rPr>
        <w:t xml:space="preserve"> </w:t>
      </w:r>
      <w:r w:rsidRPr="00DC5B13">
        <w:rPr>
          <w:rFonts w:eastAsia="Calibri" w:hint="eastAsia"/>
          <w:b/>
          <w:bCs/>
          <w:rtl/>
        </w:rPr>
        <w:t>צמיחת</w:t>
      </w:r>
      <w:r w:rsidRPr="00DC5B13">
        <w:rPr>
          <w:rFonts w:eastAsia="Calibri"/>
          <w:b/>
          <w:bCs/>
          <w:rtl/>
        </w:rPr>
        <w:t xml:space="preserve"> </w:t>
      </w:r>
      <w:r w:rsidRPr="00DC5B13">
        <w:rPr>
          <w:rFonts w:eastAsia="Calibri" w:hint="eastAsia"/>
          <w:b/>
          <w:bCs/>
          <w:rtl/>
        </w:rPr>
        <w:t>המשק</w:t>
      </w:r>
      <w:r w:rsidRPr="00DC5B13">
        <w:rPr>
          <w:rFonts w:eastAsia="Calibri" w:hint="cs"/>
          <w:b/>
          <w:bCs/>
          <w:rtl/>
        </w:rPr>
        <w:t xml:space="preserve">: </w:t>
      </w:r>
    </w:p>
    <w:p w:rsidR="00DC5B13" w:rsidRPr="00DC5B13" w:rsidP="00C34B23">
      <w:pPr>
        <w:spacing w:line="269" w:lineRule="auto"/>
        <w:ind w:left="-567"/>
        <w:rPr>
          <w:rFonts w:eastAsia="Calibri"/>
          <w:szCs w:val="20"/>
          <w:rtl/>
        </w:rPr>
      </w:pPr>
    </w:p>
    <w:p w:rsidR="00DC5B13" w:rsidP="00C34B23">
      <w:pPr>
        <w:numPr>
          <w:ilvl w:val="0"/>
          <w:numId w:val="13"/>
        </w:numPr>
        <w:spacing w:line="269" w:lineRule="auto"/>
        <w:ind w:left="340" w:hanging="340"/>
        <w:contextualSpacing/>
        <w:rPr>
          <w:rFonts w:eastAsia="Calibri"/>
          <w:b/>
          <w:bCs/>
        </w:rPr>
      </w:pPr>
      <w:r w:rsidRPr="00DC5B13">
        <w:rPr>
          <w:rFonts w:eastAsia="Calibri" w:hint="cs"/>
          <w:b/>
          <w:bCs/>
          <w:rtl/>
        </w:rPr>
        <w:t>החוק להסדרת קרקעות (</w:t>
      </w:r>
      <w:r w:rsidRPr="00DC5B13">
        <w:rPr>
          <w:rFonts w:eastAsia="Calibri"/>
          <w:b/>
          <w:bCs/>
        </w:rPr>
        <w:t>Land Readjustment Law, 1954</w:t>
      </w:r>
      <w:r w:rsidRPr="00DC5B13">
        <w:rPr>
          <w:rFonts w:eastAsia="Calibri" w:hint="cs"/>
          <w:b/>
          <w:bCs/>
          <w:rtl/>
        </w:rPr>
        <w:t>) והתוכנית הפועלת מכוחו - מטרתו העיקרית של החוק היא הקמה של אזורים עירוניים איכותיים לתועלת הציבור וייעול השימוש בקרקע</w:t>
      </w:r>
      <w:r>
        <w:rPr>
          <w:rFonts w:eastAsia="Calibri"/>
          <w:b/>
          <w:bCs/>
          <w:vertAlign w:val="superscript"/>
          <w:rtl/>
        </w:rPr>
        <w:footnoteReference w:id="79"/>
      </w:r>
      <w:r w:rsidRPr="00DC5B13">
        <w:rPr>
          <w:rFonts w:eastAsia="Calibri" w:hint="cs"/>
          <w:b/>
          <w:bCs/>
          <w:rtl/>
        </w:rPr>
        <w:t xml:space="preserve">. </w:t>
      </w:r>
    </w:p>
    <w:p w:rsidR="00037943" w:rsidRPr="00DC5B13" w:rsidP="00037943">
      <w:pPr>
        <w:spacing w:line="269" w:lineRule="auto"/>
        <w:ind w:left="340"/>
        <w:contextualSpacing/>
        <w:rPr>
          <w:rFonts w:eastAsia="Calibri"/>
          <w:b/>
          <w:bCs/>
        </w:rPr>
      </w:pPr>
    </w:p>
    <w:p w:rsidR="00DC5B13" w:rsidRPr="00DC5B13" w:rsidP="00C34B23">
      <w:pPr>
        <w:numPr>
          <w:ilvl w:val="0"/>
          <w:numId w:val="13"/>
        </w:numPr>
        <w:spacing w:line="269" w:lineRule="auto"/>
        <w:ind w:left="340" w:hanging="340"/>
        <w:contextualSpacing/>
        <w:rPr>
          <w:rFonts w:eastAsia="Calibri"/>
          <w:b/>
          <w:bCs/>
          <w:rtl/>
        </w:rPr>
      </w:pPr>
      <w:r w:rsidRPr="00DC5B13">
        <w:rPr>
          <w:rFonts w:eastAsia="Calibri" w:hint="cs"/>
          <w:b/>
          <w:bCs/>
          <w:rtl/>
        </w:rPr>
        <w:t>תוכנית להתחדשות אנכית (</w:t>
      </w:r>
      <w:r w:rsidRPr="00DC5B13">
        <w:rPr>
          <w:rFonts w:eastAsia="Calibri"/>
          <w:b/>
          <w:bCs/>
        </w:rPr>
        <w:t>Urban Renewal</w:t>
      </w:r>
      <w:r w:rsidRPr="00DC5B13">
        <w:rPr>
          <w:rFonts w:eastAsia="Calibri" w:hint="cs"/>
          <w:b/>
          <w:bCs/>
          <w:rtl/>
        </w:rPr>
        <w:t>) המאפשרת איחוד מגרשים ותוספת זכויות בנייה על השטח המאוחד</w:t>
      </w:r>
      <w:r>
        <w:rPr>
          <w:rFonts w:eastAsia="Calibri"/>
          <w:b/>
          <w:bCs/>
          <w:vertAlign w:val="superscript"/>
          <w:rtl/>
        </w:rPr>
        <w:footnoteReference w:id="80"/>
      </w:r>
      <w:r w:rsidRPr="00DC5B13">
        <w:rPr>
          <w:rFonts w:eastAsia="Calibri" w:hint="cs"/>
          <w:b/>
          <w:bCs/>
          <w:rtl/>
        </w:rPr>
        <w:t>. התוכנית מבוססת על החוק היפני להתחדשות עירונית משנת 1969.</w:t>
      </w:r>
    </w:p>
    <w:p w:rsidR="00DC5B13" w:rsidRPr="00DC5B13" w:rsidP="00C34B23">
      <w:pPr>
        <w:spacing w:line="269" w:lineRule="auto"/>
        <w:rPr>
          <w:rFonts w:eastAsia="Calibri"/>
          <w:szCs w:val="20"/>
          <w:rtl/>
        </w:rPr>
      </w:pPr>
    </w:p>
    <w:p w:rsidR="00DC5B13" w:rsidP="00C34B23">
      <w:pPr>
        <w:spacing w:line="269" w:lineRule="auto"/>
        <w:rPr>
          <w:rFonts w:eastAsia="Calibri"/>
          <w:b/>
          <w:bCs/>
          <w:rtl/>
        </w:rPr>
      </w:pPr>
      <w:r w:rsidRPr="00DC5B13">
        <w:rPr>
          <w:rFonts w:eastAsia="Calibri" w:hint="cs"/>
          <w:b/>
          <w:bCs/>
          <w:rtl/>
        </w:rPr>
        <w:t>תוכנית הסדרת הקרקעות ביפן מאפשרת להקים שותפות בין המגזר הפרטי ובין המגזר הציבורי, שבה שני הצדדים נושאים בעלויות הפיתוח וברווחים המופקים מהתהליך של האיחוד, החלוקה והשינוי של ייעודי השימוש במגרשי הקרקע המתחדשים בהתאם לצרכים העכשוויים. תהליך ההתחדשות אומנם כרוך בהפקעת קרקעות פרטיות לצורכי ציבור, אך ערכה של הקרקע שנותרת בידי בעלי הקרקעות עולה בשל קרבתה לתשתיות חדישות ומתאימות יותר</w:t>
      </w:r>
      <w:r>
        <w:rPr>
          <w:rFonts w:eastAsia="Calibri"/>
          <w:b/>
          <w:bCs/>
          <w:vertAlign w:val="superscript"/>
          <w:rtl/>
        </w:rPr>
        <w:footnoteReference w:id="81"/>
      </w:r>
      <w:r w:rsidRPr="00DC5B13">
        <w:rPr>
          <w:rFonts w:eastAsia="Calibri" w:hint="cs"/>
          <w:b/>
          <w:bCs/>
          <w:rtl/>
        </w:rPr>
        <w:t>. הצורך בהשגת הסכמות בין בעלי עניין מקומיים רבים נתפס גם כבעל תרומה להעמקת תחושת האחדות בקהילה המקומית.</w:t>
      </w:r>
    </w:p>
    <w:p w:rsidR="000E4CC0" w:rsidRPr="000E4CC0" w:rsidP="00C34B23">
      <w:pPr>
        <w:spacing w:line="269" w:lineRule="auto"/>
        <w:rPr>
          <w:rFonts w:eastAsia="Calibri"/>
          <w:b/>
          <w:bCs/>
          <w:sz w:val="16"/>
          <w:szCs w:val="20"/>
          <w:rtl/>
        </w:rPr>
      </w:pPr>
    </w:p>
    <w:p w:rsidR="00DC5B13" w:rsidRPr="00DC5B13" w:rsidP="00C34B23">
      <w:pPr>
        <w:keepNext/>
        <w:keepLines/>
        <w:spacing w:line="269" w:lineRule="auto"/>
        <w:outlineLvl w:val="3"/>
        <w:rPr>
          <w:rFonts w:eastAsia="Times New Roman"/>
          <w:bCs/>
          <w:szCs w:val="26"/>
          <w:rtl/>
        </w:rPr>
      </w:pPr>
      <w:r w:rsidRPr="00DC5B13">
        <w:rPr>
          <w:rFonts w:eastAsia="Times New Roman" w:hint="eastAsia"/>
          <w:bCs/>
          <w:szCs w:val="26"/>
          <w:rtl/>
        </w:rPr>
        <w:t>ישראל</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rtl/>
        </w:rPr>
      </w:pPr>
      <w:r w:rsidRPr="00DC5B13">
        <w:rPr>
          <w:rFonts w:eastAsia="Calibri" w:hint="cs"/>
          <w:rtl/>
        </w:rPr>
        <w:t xml:space="preserve">הצורך בהתחדשות עירונית התעורר בישראל כבר בעשורים הראשונים לאחר הקמת המדינה, וזאת בשל הבנייה והאכלוס המהירים שאפיינו את שנותיה הראשונות. בשנות השישים של המאה העשרים נחקק </w:t>
      </w:r>
      <w:hyperlink r:id="rId31" w:history="1">
        <w:r w:rsidRPr="00DC5B13">
          <w:rPr>
            <w:rFonts w:eastAsia="Calibri" w:hint="eastAsia"/>
            <w:rtl/>
          </w:rPr>
          <w:t>חוק</w:t>
        </w:r>
      </w:hyperlink>
      <w:r w:rsidRPr="00DC5B13">
        <w:rPr>
          <w:rFonts w:eastAsia="Calibri" w:hint="cs"/>
          <w:rtl/>
        </w:rPr>
        <w:t xml:space="preserve"> פינוי ובינוי של אזורי שיקום, התשכ"ה-1965 (להלן - חוק פנ"ב), שאפשר למדינה לתכנן בינוי, להפקיע קרקעות ולפנות תושבים בכפייה מביתם כדי לחדש את האזור שבו חיו. כעשור לאחר מכן אומצה מדיניות של שיקום שכונות - הזרמת תקציבים ציבוריים וכספי תרומות לשיקום פיזי וחברתי של אזורים שנתפסו כבעייתיים. בשלהי שנות השמונים של המאה העשרים הונהגה בישראל מדיניות שהתבססה על מודל כלכלי שלפיו המדינה מעניקה זכויות בנייה נוספות במגרשים קיימים, והשוק הפרטי אחראי לחידוש הדירות הקיימות בשטח ולבנייתן של הדירות החדשות ומכירתן.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בשנת 2000 פורסמה תוכנית המתאר הארצית המשולבת לבנייה, לפיתוח ולשימור (להלן - תמ"א 35). התוכנית מכילה מגוון מסמכים ודברי הסבר, לרבות כרך של אמצעי מדיניות, שבו מפורטים אמצעי המדיניות המוצעים בתחום ההתחדשות העירונית וכן יעדים עיקריים וצעדים למימושם. </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color w:val="000000"/>
          <w:rtl/>
        </w:rPr>
      </w:pPr>
      <w:r w:rsidRPr="00DC5B13">
        <w:rPr>
          <w:rFonts w:eastAsia="Calibri" w:hint="cs"/>
          <w:color w:val="000000"/>
          <w:rtl/>
        </w:rPr>
        <w:t>במסגרת תמ"א 35 הוצבו יעדים הנוגעים לאיכות התכנון של הדירות והשכונות, להפחתת השימוש בכלי רכב פרטיים ולפיתוח תשתיות מתקדמות לתחבורה ציבורית ולצורכי ציבור נוספים וכן לפיתוח ערים שופעות הזדמנויות ובעלות דמות ייחודית</w:t>
      </w:r>
      <w:r>
        <w:rPr>
          <w:rFonts w:eastAsia="Calibri"/>
          <w:color w:val="000000"/>
          <w:vertAlign w:val="superscript"/>
          <w:rtl/>
        </w:rPr>
        <w:footnoteReference w:id="82"/>
      </w:r>
      <w:r w:rsidRPr="00DC5B13">
        <w:rPr>
          <w:rFonts w:eastAsia="Calibri" w:hint="cs"/>
          <w:color w:val="000000"/>
          <w:rtl/>
        </w:rPr>
        <w:t>. בין הצעדים המוצעים נכללים כלים סטטוטוריים להכוונת הפיתוח אל מרכזי הערים ולהגדלת הצפיפות בהם; הכרזה על תוכנית לאומית להתחדשות עירונית, קביעת אזורי עדיפות להתחדשות עירונית וריכוז סמכויות בידי משרד ממשלתי אחד שיהיה אחראי לביצועה; נקיטת צעדים לתמרוץ ולתקצוב התחדשות עירונית ובהם הענקת פטור מתשלום היטלי השבחה ואגרות פיתוח; והמלצה על החלטת מועצת מקרקעי ישראל על הענקת פטור מתשלום דמי הסכמה ודמי היתר עבור קרקעות הכלולות בתוכנית.</w:t>
      </w:r>
    </w:p>
    <w:p w:rsidR="00DC5B13" w:rsidRPr="00DC5B13" w:rsidP="00C34B23">
      <w:pPr>
        <w:spacing w:line="269" w:lineRule="auto"/>
        <w:ind w:left="-567"/>
        <w:rPr>
          <w:rFonts w:eastAsia="Calibri"/>
          <w:color w:val="000000"/>
          <w:szCs w:val="20"/>
          <w:rtl/>
        </w:rPr>
      </w:pPr>
    </w:p>
    <w:p w:rsidR="00DC5B13" w:rsidRPr="00DC5B13" w:rsidP="00C34B23">
      <w:pPr>
        <w:spacing w:line="269" w:lineRule="auto"/>
        <w:rPr>
          <w:rFonts w:eastAsia="Calibri"/>
          <w:color w:val="000000"/>
          <w:rtl/>
        </w:rPr>
      </w:pPr>
      <w:r w:rsidRPr="00DC5B13">
        <w:rPr>
          <w:rFonts w:ascii="Rubik" w:eastAsia="Calibri" w:hAnsi="Rubik" w:hint="cs"/>
          <w:color w:val="000000"/>
          <w:shd w:val="clear" w:color="auto" w:fill="FFFFFF"/>
          <w:rtl/>
        </w:rPr>
        <w:t xml:space="preserve">בהחלטת הממשלה מס' 4467 מנובמבר 2005 </w:t>
      </w:r>
      <w:hyperlink r:id="rId32" w:history="1">
        <w:r w:rsidRPr="00DC5B13">
          <w:rPr>
            <w:rFonts w:ascii="Rubik" w:eastAsia="Calibri" w:hAnsi="Rubik" w:hint="cs"/>
            <w:color w:val="000000"/>
            <w:shd w:val="clear" w:color="auto" w:fill="FFFFFF"/>
            <w:rtl/>
          </w:rPr>
          <w:t>נקבע</w:t>
        </w:r>
      </w:hyperlink>
      <w:r w:rsidRPr="00DC5B13">
        <w:rPr>
          <w:rFonts w:ascii="Rubik" w:eastAsia="Calibri" w:hAnsi="Rubik" w:hint="cs"/>
          <w:color w:val="000000"/>
          <w:shd w:val="clear" w:color="auto" w:fill="FFFFFF"/>
          <w:rtl/>
        </w:rPr>
        <w:t xml:space="preserve"> </w:t>
      </w:r>
      <w:r w:rsidRPr="00DC5B13">
        <w:rPr>
          <w:rFonts w:ascii="Rubik" w:eastAsia="Calibri" w:hAnsi="Rubik"/>
          <w:color w:val="000000"/>
          <w:shd w:val="clear" w:color="auto" w:fill="FFFFFF"/>
          <w:rtl/>
        </w:rPr>
        <w:t>כי משרדי הממשלה וגופי הסמך שלה יפעלו ככל הניתן להטמעת אמצעי המדיניות המצורפים לת</w:t>
      </w:r>
      <w:r w:rsidRPr="00DC5B13">
        <w:rPr>
          <w:rFonts w:ascii="Rubik" w:eastAsia="Calibri" w:hAnsi="Rubik" w:hint="cs"/>
          <w:color w:val="000000"/>
          <w:shd w:val="clear" w:color="auto" w:fill="FFFFFF"/>
          <w:rtl/>
        </w:rPr>
        <w:t>מ"א 35</w:t>
      </w:r>
      <w:r w:rsidRPr="00DC5B13">
        <w:rPr>
          <w:rFonts w:ascii="Rubik" w:eastAsia="Calibri" w:hAnsi="Rubik"/>
          <w:color w:val="000000"/>
          <w:shd w:val="clear" w:color="auto" w:fill="FFFFFF"/>
          <w:rtl/>
        </w:rPr>
        <w:t xml:space="preserve"> וידווחו לממשלה </w:t>
      </w:r>
      <w:r w:rsidRPr="00DC5B13">
        <w:rPr>
          <w:rFonts w:ascii="Rubik" w:eastAsia="Calibri" w:hAnsi="Rubik" w:hint="cs"/>
          <w:color w:val="000000"/>
          <w:shd w:val="clear" w:color="auto" w:fill="FFFFFF"/>
          <w:rtl/>
        </w:rPr>
        <w:t>אחת</w:t>
      </w:r>
      <w:r w:rsidRPr="00DC5B13">
        <w:rPr>
          <w:rFonts w:ascii="Rubik" w:eastAsia="Calibri" w:hAnsi="Rubik"/>
          <w:color w:val="000000"/>
          <w:shd w:val="clear" w:color="auto" w:fill="FFFFFF"/>
          <w:rtl/>
        </w:rPr>
        <w:t xml:space="preserve"> </w:t>
      </w:r>
      <w:r w:rsidRPr="00DC5B13">
        <w:rPr>
          <w:rFonts w:ascii="Rubik" w:eastAsia="Calibri" w:hAnsi="Rubik" w:hint="cs"/>
          <w:color w:val="000000"/>
          <w:shd w:val="clear" w:color="auto" w:fill="FFFFFF"/>
          <w:rtl/>
        </w:rPr>
        <w:t>ל</w:t>
      </w:r>
      <w:r w:rsidRPr="00DC5B13">
        <w:rPr>
          <w:rFonts w:ascii="Rubik" w:eastAsia="Calibri" w:hAnsi="Rubik"/>
          <w:color w:val="000000"/>
          <w:shd w:val="clear" w:color="auto" w:fill="FFFFFF"/>
          <w:rtl/>
        </w:rPr>
        <w:t>שנה על יישומם</w:t>
      </w:r>
      <w:r>
        <w:rPr>
          <w:rFonts w:ascii="Rubik" w:eastAsia="Calibri" w:hAnsi="Rubik"/>
          <w:color w:val="000000"/>
          <w:shd w:val="clear" w:color="auto" w:fill="FFFFFF"/>
          <w:vertAlign w:val="superscript"/>
          <w:rtl/>
        </w:rPr>
        <w:footnoteReference w:id="83"/>
      </w:r>
      <w:r w:rsidRPr="00DC5B13">
        <w:rPr>
          <w:rFonts w:ascii="Rubik" w:eastAsia="Calibri" w:hAnsi="Rubik" w:hint="cs"/>
          <w:color w:val="000000"/>
          <w:shd w:val="clear" w:color="auto" w:fill="FFFFFF"/>
          <w:rtl/>
        </w:rPr>
        <w:t>.</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rtl/>
        </w:rPr>
      </w:pPr>
      <w:r w:rsidRPr="00DC5B13">
        <w:rPr>
          <w:rFonts w:eastAsia="Calibri" w:hint="cs"/>
          <w:rtl/>
        </w:rPr>
        <w:t>יישום אמצעי המדיניות להתחדשות עירונית שהוצעו בתמ"א 35 מתבטא בפועל במגוון חוקים, תקנות ואסדרות חוקיות ומינהליות נרחבות - בין השאר דרך התערבות באופי ובהיקף של זכויות הבנייה שיוענקו ופטור ממיסים</w:t>
      </w:r>
      <w:r>
        <w:rPr>
          <w:rFonts w:eastAsia="Calibri"/>
          <w:vertAlign w:val="superscript"/>
          <w:rtl/>
        </w:rPr>
        <w:footnoteReference w:id="84"/>
      </w:r>
      <w:r w:rsidRPr="00DC5B13">
        <w:rPr>
          <w:rFonts w:eastAsia="Calibri" w:hint="cs"/>
          <w:rtl/>
        </w:rPr>
        <w:t>, החלטות הממשלה ומסמכי מדיניות של ארגונים שונים העוסקים בהתחדשות עירונית - חלקם נחקקו או התקבלו לאחר פרסום תוכנית המתאר הארצית.</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rtl/>
        </w:rPr>
      </w:pPr>
      <w:r w:rsidRPr="00DC5B13">
        <w:rPr>
          <w:rFonts w:eastAsia="Calibri"/>
          <w:rtl/>
        </w:rPr>
        <w:t>בדוח מבקר המדינה מ-2016 נכתב בעני</w:t>
      </w:r>
      <w:r w:rsidRPr="00DC5B13">
        <w:rPr>
          <w:rFonts w:eastAsia="Calibri" w:hint="eastAsia"/>
          <w:rtl/>
        </w:rPr>
        <w:t>ין</w:t>
      </w:r>
      <w:r w:rsidRPr="00DC5B13">
        <w:rPr>
          <w:rFonts w:eastAsia="Calibri"/>
          <w:rtl/>
        </w:rPr>
        <w:t xml:space="preserve"> </w:t>
      </w:r>
      <w:r w:rsidRPr="00DC5B13">
        <w:rPr>
          <w:rFonts w:eastAsia="Calibri" w:hint="eastAsia"/>
          <w:rtl/>
        </w:rPr>
        <w:t>זה</w:t>
      </w:r>
      <w:r w:rsidRPr="00DC5B13">
        <w:rPr>
          <w:rFonts w:eastAsia="Calibri"/>
          <w:rtl/>
        </w:rPr>
        <w:t xml:space="preserve">: "מאז הפעלת המסלולים הממשלתיים למימוש ההתחדשות העירונית בסוף שנות התשעים של המאה העשרים, פעלו משרדי הממשלה והגופים השלטוניים הנוגעים בדבר בלי שמונה גורם מטה שתפקידו לבצע אינטגרציה בהתוויית מדיניות </w:t>
      </w:r>
      <w:r w:rsidRPr="00DC5B13">
        <w:rPr>
          <w:rFonts w:eastAsia="Calibri"/>
          <w:rtl/>
        </w:rPr>
        <w:t>ממשלתית ויישומה בתחום ההתחדשות העירונית. הפעולות שנעשו היו מבוזרות בין משרדי הממשלה ומוסדות המדינה השונים, מאחר שטרם הוקמה רשות להתחדשות עירונית; גופים אלה פעלו בלי שגובשה תוכנית עבודה רב-שנתית ובלי שנקבעו יעדי מדיניות הממצים את הפוטנציאל של ההתחדשות העירונית והמתואמים בין כל הגופים הנוגעים לעניין"</w:t>
      </w:r>
      <w:r>
        <w:rPr>
          <w:rFonts w:eastAsia="Calibri"/>
          <w:vertAlign w:val="superscript"/>
          <w:rtl/>
        </w:rPr>
        <w:footnoteReference w:id="85"/>
      </w:r>
      <w:r w:rsidRPr="00DC5B13">
        <w:rPr>
          <w:rFonts w:eastAsia="Calibri" w:hint="cs"/>
          <w:rtl/>
        </w:rPr>
        <w:t>.</w:t>
      </w:r>
      <w:r w:rsidRPr="00DC5B13">
        <w:rPr>
          <w:rFonts w:eastAsia="Calibri"/>
          <w:rtl/>
        </w:rPr>
        <w:t xml:space="preserve"> </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szCs w:val="20"/>
          <w:rtl/>
        </w:rPr>
      </w:pPr>
      <w:r w:rsidRPr="00DC5B13">
        <w:rPr>
          <w:rFonts w:eastAsia="Calibri"/>
          <w:rtl/>
        </w:rPr>
        <w:t>ב-2016 נחקק חוק הרשות הממשלתית להתחדשות עירונית</w:t>
      </w:r>
      <w:r w:rsidRPr="00DC5B13">
        <w:rPr>
          <w:rFonts w:eastAsia="Calibri" w:hint="cs"/>
          <w:rtl/>
        </w:rPr>
        <w:t>;</w:t>
      </w:r>
      <w:r w:rsidRPr="00DC5B13">
        <w:rPr>
          <w:rFonts w:eastAsia="Calibri"/>
          <w:rtl/>
        </w:rPr>
        <w:t xml:space="preserve"> רשות זו אכן הוקמה ב</w:t>
      </w:r>
      <w:r w:rsidRPr="00DC5B13">
        <w:rPr>
          <w:rFonts w:eastAsia="Calibri" w:hint="cs"/>
          <w:rtl/>
        </w:rPr>
        <w:t>משרד</w:t>
      </w:r>
      <w:r w:rsidRPr="00DC5B13">
        <w:rPr>
          <w:rFonts w:eastAsia="Calibri"/>
          <w:rtl/>
        </w:rPr>
        <w:t xml:space="preserve"> השיכון, אך טרם </w:t>
      </w:r>
      <w:r w:rsidRPr="00DC5B13">
        <w:rPr>
          <w:rFonts w:eastAsia="Calibri" w:hint="cs"/>
          <w:rtl/>
        </w:rPr>
        <w:t xml:space="preserve">נעשה התכלול </w:t>
      </w:r>
      <w:r w:rsidRPr="00DC5B13">
        <w:rPr>
          <w:rFonts w:eastAsia="Calibri"/>
          <w:rtl/>
        </w:rPr>
        <w:t xml:space="preserve">בין כלל הגופים העוסקים בהתחדשות עירונית </w:t>
      </w:r>
      <w:r w:rsidRPr="00DC5B13">
        <w:rPr>
          <w:rFonts w:eastAsia="Calibri" w:hint="cs"/>
          <w:rtl/>
        </w:rPr>
        <w:t>- ובהם מינהל התכנון, משרד השיכון, הרשות להתחדשות, משרד המשפטים ורשות מקרקעי ישראל - שיעסקו</w:t>
      </w:r>
      <w:r w:rsidRPr="00DC5B13">
        <w:rPr>
          <w:rFonts w:eastAsia="Calibri"/>
          <w:rtl/>
        </w:rPr>
        <w:t xml:space="preserve"> בהתוויית מדיניות ממשלתית</w:t>
      </w:r>
      <w:r w:rsidRPr="00DC5B13">
        <w:rPr>
          <w:rFonts w:eastAsia="Calibri" w:hint="cs"/>
          <w:rtl/>
        </w:rPr>
        <w:t xml:space="preserve"> אחודה</w:t>
      </w:r>
      <w:r w:rsidRPr="00DC5B13">
        <w:rPr>
          <w:rFonts w:eastAsia="Calibri"/>
          <w:rtl/>
        </w:rPr>
        <w:t xml:space="preserve"> </w:t>
      </w:r>
      <w:r w:rsidRPr="00DC5B13">
        <w:rPr>
          <w:rFonts w:eastAsia="Calibri" w:hint="cs"/>
          <w:rtl/>
        </w:rPr>
        <w:t>ובחלוקת האחריות ל</w:t>
      </w:r>
      <w:r w:rsidRPr="00DC5B13">
        <w:rPr>
          <w:rFonts w:eastAsia="Calibri"/>
          <w:rtl/>
        </w:rPr>
        <w:t xml:space="preserve">יישומה </w:t>
      </w:r>
      <w:r w:rsidRPr="00DC5B13">
        <w:rPr>
          <w:rFonts w:eastAsia="Calibri" w:hint="cs"/>
          <w:rtl/>
        </w:rPr>
        <w:t>בין הגופים השונים.</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sz w:val="24"/>
          <w:rtl/>
        </w:rPr>
      </w:pPr>
      <w:r w:rsidRPr="00DC5B13">
        <w:rPr>
          <w:rFonts w:eastAsia="Calibri" w:hint="cs"/>
          <w:sz w:val="24"/>
          <w:rtl/>
        </w:rPr>
        <w:t>הרשות להתחדשות מסרה בתשובתה כי היא מנהלת שיח שוטף עם כלל הגופים שהוזכרו לעיל וכי מדיניות המקודמת על ידי גופים אלה בתחומי אחריותם ובאופן עצמאי אינה בהכרח שיקוף של צורכי תחום ההתחדשות העירונית כפי שאלו מיוצגים על ידי הרשות להתחדשות.</w:t>
      </w:r>
    </w:p>
    <w:p w:rsidR="00DC5B13" w:rsidRPr="000E4CC0" w:rsidP="00C34B23">
      <w:pPr>
        <w:spacing w:line="269" w:lineRule="auto"/>
        <w:ind w:left="-567"/>
        <w:rPr>
          <w:rFonts w:eastAsia="Calibri"/>
          <w:sz w:val="18"/>
          <w:szCs w:val="18"/>
          <w:rtl/>
        </w:rPr>
      </w:pPr>
    </w:p>
    <w:p w:rsidR="00DC5B13" w:rsidRPr="00DC5B13" w:rsidP="00C34B23">
      <w:pPr>
        <w:spacing w:line="269" w:lineRule="auto"/>
        <w:rPr>
          <w:rFonts w:eastAsia="Calibri"/>
          <w:b/>
          <w:bCs/>
          <w:rtl/>
        </w:rPr>
      </w:pPr>
      <w:r w:rsidRPr="00DC5B13">
        <w:rPr>
          <w:rFonts w:eastAsia="Calibri" w:hint="eastAsia"/>
          <w:b/>
          <w:bCs/>
          <w:rtl/>
        </w:rPr>
        <w:t>עולה</w:t>
      </w:r>
      <w:r w:rsidRPr="00DC5B13">
        <w:rPr>
          <w:rFonts w:eastAsia="Calibri"/>
          <w:b/>
          <w:bCs/>
          <w:rtl/>
        </w:rPr>
        <w:t xml:space="preserve"> אפוא כי על אף קווי המדיניות להתחדשות עירונית בישראל שנקבעו במסגרת אישור תמ"א 35 על ידי הממשלה ועל אף המלצותיו של מבקר המדינה שלעיל, הצעדים למימוש המדיניות לא יושמו במלואם ובפרט לא הוכן מסמך מדיניות לאומי להתחדשות עירונית או תוכנית לאומית אחודה להתחדשות עירונית, אשר יגדירו, בין היתר, יעדים ואמצעים לביצוע המדיניות כאמור, מעבר לקביעת מכסות לבניית יח"ד בהתחדשות עירונית. </w:t>
      </w:r>
    </w:p>
    <w:p w:rsidR="00DC5B13" w:rsidRPr="000E4CC0" w:rsidP="00C34B23">
      <w:pPr>
        <w:spacing w:line="269" w:lineRule="auto"/>
        <w:rPr>
          <w:rFonts w:eastAsia="Calibri"/>
          <w:sz w:val="18"/>
          <w:szCs w:val="18"/>
          <w:rtl/>
        </w:rPr>
      </w:pPr>
    </w:p>
    <w:p w:rsidR="00DC5B13" w:rsidP="00C34B23">
      <w:pPr>
        <w:spacing w:line="269" w:lineRule="auto"/>
        <w:rPr>
          <w:rFonts w:eastAsia="Calibri"/>
          <w:rtl/>
        </w:rPr>
      </w:pPr>
      <w:r w:rsidRPr="00DC5B13">
        <w:rPr>
          <w:rFonts w:eastAsia="Calibri" w:hint="cs"/>
          <w:rtl/>
        </w:rPr>
        <w:t>ה</w:t>
      </w:r>
      <w:r w:rsidRPr="00DC5B13">
        <w:rPr>
          <w:rFonts w:eastAsia="Calibri"/>
          <w:rtl/>
        </w:rPr>
        <w:t>לוח</w:t>
      </w:r>
      <w:r w:rsidRPr="00DC5B13">
        <w:rPr>
          <w:rFonts w:eastAsia="Calibri" w:hint="cs"/>
          <w:rtl/>
        </w:rPr>
        <w:t xml:space="preserve"> </w:t>
      </w:r>
      <w:r w:rsidRPr="00DC5B13">
        <w:rPr>
          <w:rFonts w:eastAsia="Calibri"/>
          <w:rtl/>
        </w:rPr>
        <w:t>שלהלן מציג השוואה בין המדינות שנסקרו ובין ישראל ב</w:t>
      </w:r>
      <w:r w:rsidRPr="00DC5B13">
        <w:rPr>
          <w:rFonts w:eastAsia="Calibri" w:hint="eastAsia"/>
          <w:rtl/>
        </w:rPr>
        <w:t>נוגע</w:t>
      </w:r>
      <w:r w:rsidRPr="00DC5B13">
        <w:rPr>
          <w:rFonts w:eastAsia="Calibri"/>
          <w:rtl/>
        </w:rPr>
        <w:t xml:space="preserve"> </w:t>
      </w:r>
      <w:r w:rsidRPr="00DC5B13">
        <w:rPr>
          <w:rFonts w:eastAsia="Calibri" w:hint="eastAsia"/>
          <w:rtl/>
        </w:rPr>
        <w:t>להיבטים</w:t>
      </w:r>
      <w:r w:rsidRPr="00DC5B13">
        <w:rPr>
          <w:rFonts w:eastAsia="Calibri"/>
          <w:rtl/>
        </w:rPr>
        <w:t xml:space="preserve"> </w:t>
      </w:r>
      <w:r w:rsidRPr="00DC5B13">
        <w:rPr>
          <w:rFonts w:eastAsia="Calibri" w:hint="eastAsia"/>
          <w:rtl/>
        </w:rPr>
        <w:t>שונים</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המדיניות</w:t>
      </w:r>
      <w:r w:rsidRPr="00DC5B13">
        <w:rPr>
          <w:rFonts w:eastAsia="Calibri"/>
          <w:rtl/>
        </w:rPr>
        <w:t xml:space="preserve"> </w:t>
      </w:r>
      <w:r w:rsidRPr="00DC5B13">
        <w:rPr>
          <w:rFonts w:eastAsia="Calibri" w:hint="eastAsia"/>
          <w:rtl/>
        </w:rPr>
        <w:t>להתחדשות</w:t>
      </w:r>
      <w:r w:rsidRPr="00DC5B13">
        <w:rPr>
          <w:rFonts w:eastAsia="Calibri"/>
          <w:rtl/>
        </w:rPr>
        <w:t xml:space="preserve"> </w:t>
      </w:r>
      <w:r w:rsidRPr="00DC5B13">
        <w:rPr>
          <w:rFonts w:eastAsia="Calibri" w:hint="eastAsia"/>
          <w:rtl/>
        </w:rPr>
        <w:t>עירונית</w:t>
      </w:r>
      <w:r w:rsidRPr="00DC5B13">
        <w:rPr>
          <w:rFonts w:eastAsia="Calibri" w:hint="cs"/>
          <w:rtl/>
        </w:rPr>
        <w:t>.</w:t>
      </w:r>
    </w:p>
    <w:p w:rsidR="00037943" w:rsidRPr="000E4CC0" w:rsidP="00C34B23">
      <w:pPr>
        <w:spacing w:line="269" w:lineRule="auto"/>
        <w:rPr>
          <w:rFonts w:eastAsia="Calibri"/>
          <w:sz w:val="16"/>
          <w:szCs w:val="20"/>
          <w:rtl/>
        </w:rPr>
      </w:pPr>
    </w:p>
    <w:p w:rsidR="00DC5B13" w:rsidRPr="00DC5B13" w:rsidP="00C34B23">
      <w:pPr>
        <w:keepNext/>
        <w:keepLines/>
        <w:spacing w:line="269" w:lineRule="auto"/>
        <w:jc w:val="center"/>
        <w:rPr>
          <w:rFonts w:eastAsia="Calibri"/>
          <w:rtl/>
        </w:rPr>
      </w:pPr>
      <w:r w:rsidRPr="00DC5B13">
        <w:rPr>
          <w:rFonts w:eastAsia="Calibri" w:hint="eastAsia"/>
          <w:rtl/>
        </w:rPr>
        <w:t>לוח</w:t>
      </w:r>
      <w:r w:rsidRPr="00DC5B13">
        <w:rPr>
          <w:rFonts w:eastAsia="Calibri"/>
          <w:rtl/>
        </w:rPr>
        <w:t xml:space="preserve"> 3: </w:t>
      </w:r>
      <w:r w:rsidRPr="00DC5B13">
        <w:rPr>
          <w:rFonts w:eastAsia="Calibri" w:hint="eastAsia"/>
          <w:b/>
          <w:bCs/>
          <w:rtl/>
        </w:rPr>
        <w:t>מדיניות</w:t>
      </w:r>
      <w:r w:rsidRPr="00DC5B13">
        <w:rPr>
          <w:rFonts w:eastAsia="Calibri"/>
          <w:b/>
          <w:bCs/>
          <w:rtl/>
        </w:rPr>
        <w:t xml:space="preserve"> לאומית להתחדשות עירונית </w:t>
      </w:r>
      <w:r w:rsidRPr="00DC5B13">
        <w:rPr>
          <w:rFonts w:eastAsia="Calibri" w:hint="cs"/>
          <w:b/>
          <w:bCs/>
          <w:rtl/>
        </w:rPr>
        <w:t>-</w:t>
      </w:r>
      <w:r w:rsidRPr="00DC5B13">
        <w:rPr>
          <w:rFonts w:eastAsia="Calibri"/>
          <w:b/>
          <w:bCs/>
          <w:rtl/>
        </w:rPr>
        <w:t xml:space="preserve"> השוואה בין בריטניה, הולנד, יפן וישראל</w:t>
      </w:r>
    </w:p>
    <w:tbl>
      <w:tblPr>
        <w:tblStyle w:val="5-11"/>
        <w:bidiVisual/>
        <w:tblW w:w="8310" w:type="dxa"/>
        <w:tblInd w:w="50" w:type="dxa"/>
        <w:tblLook w:val="04A0"/>
      </w:tblPr>
      <w:tblGrid>
        <w:gridCol w:w="1634"/>
        <w:gridCol w:w="1633"/>
        <w:gridCol w:w="1633"/>
        <w:gridCol w:w="1633"/>
        <w:gridCol w:w="1777"/>
      </w:tblGrid>
      <w:tr w:rsidTr="000E4CC0">
        <w:tblPrEx>
          <w:tblW w:w="8310" w:type="dxa"/>
          <w:tblInd w:w="50" w:type="dxa"/>
          <w:tblLook w:val="04A0"/>
        </w:tblPrEx>
        <w:trPr>
          <w:trHeight w:val="413"/>
          <w:tblHeader/>
        </w:trPr>
        <w:tc>
          <w:tcPr>
            <w:tcW w:w="1634" w:type="dxa"/>
          </w:tcPr>
          <w:p w:rsidR="00DC5B13" w:rsidRPr="00DC5B13" w:rsidP="00C34B23">
            <w:pPr>
              <w:spacing w:line="269" w:lineRule="auto"/>
              <w:jc w:val="left"/>
              <w:rPr>
                <w:rFonts w:eastAsia="Calibri"/>
                <w:sz w:val="18"/>
                <w:szCs w:val="22"/>
                <w:rtl/>
              </w:rPr>
            </w:pPr>
          </w:p>
        </w:tc>
        <w:tc>
          <w:tcPr>
            <w:tcW w:w="1633" w:type="dxa"/>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בריטניה</w:t>
            </w:r>
          </w:p>
        </w:tc>
        <w:tc>
          <w:tcPr>
            <w:tcW w:w="1633" w:type="dxa"/>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הולנד</w:t>
            </w:r>
          </w:p>
        </w:tc>
        <w:tc>
          <w:tcPr>
            <w:tcW w:w="1633" w:type="dxa"/>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יפן</w:t>
            </w:r>
          </w:p>
        </w:tc>
        <w:tc>
          <w:tcPr>
            <w:tcW w:w="1777" w:type="dxa"/>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ישראל</w:t>
            </w:r>
          </w:p>
        </w:tc>
      </w:tr>
      <w:tr w:rsidTr="000E4CC0">
        <w:tblPrEx>
          <w:tblW w:w="8310" w:type="dxa"/>
          <w:tblInd w:w="50" w:type="dxa"/>
          <w:tblLook w:val="04A0"/>
        </w:tblPrEx>
        <w:tc>
          <w:tcPr>
            <w:tcW w:w="1634" w:type="dxa"/>
          </w:tcPr>
          <w:p w:rsidR="00DC5B13" w:rsidRPr="00DC5B13" w:rsidP="00C34B23">
            <w:pPr>
              <w:spacing w:line="269" w:lineRule="auto"/>
              <w:jc w:val="left"/>
              <w:rPr>
                <w:rFonts w:eastAsia="Calibri"/>
                <w:sz w:val="18"/>
                <w:szCs w:val="22"/>
                <w:rtl/>
              </w:rPr>
            </w:pPr>
            <w:r w:rsidRPr="00DC5B13">
              <w:rPr>
                <w:rFonts w:eastAsia="Calibri" w:hint="cs"/>
                <w:sz w:val="18"/>
                <w:szCs w:val="22"/>
                <w:rtl/>
              </w:rPr>
              <w:t>האם קיים מסמך מדיניות לאומית להתחדשות עירונית</w:t>
            </w:r>
          </w:p>
        </w:tc>
        <w:tc>
          <w:tcPr>
            <w:tcW w:w="1633" w:type="dxa"/>
            <w:vAlign w:val="center"/>
          </w:tcPr>
          <w:p w:rsidR="00DC5B13" w:rsidRPr="00DC5B13" w:rsidP="00C34B23">
            <w:pPr>
              <w:spacing w:line="269" w:lineRule="auto"/>
              <w:jc w:val="center"/>
              <w:rPr>
                <w:rFonts w:eastAsia="Calibri"/>
                <w:szCs w:val="20"/>
                <w:rtl/>
              </w:rPr>
            </w:pPr>
            <w:r w:rsidRPr="00DC5B13">
              <w:rPr>
                <w:rFonts w:eastAsia="Calibri" w:hint="cs"/>
                <w:sz w:val="18"/>
                <w:szCs w:val="22"/>
                <w:rtl/>
              </w:rPr>
              <w:t xml:space="preserve">כן - </w:t>
            </w:r>
            <w:r w:rsidRPr="00DC5B13">
              <w:rPr>
                <w:rFonts w:eastAsia="Calibri" w:hint="cs"/>
                <w:szCs w:val="20"/>
              </w:rPr>
              <w:t>L</w:t>
            </w:r>
            <w:r w:rsidRPr="00DC5B13">
              <w:rPr>
                <w:rFonts w:eastAsia="Calibri"/>
                <w:szCs w:val="20"/>
              </w:rPr>
              <w:t>evelling Up and Regeneration</w:t>
            </w:r>
          </w:p>
        </w:tc>
        <w:tc>
          <w:tcPr>
            <w:tcW w:w="1633" w:type="dxa"/>
            <w:vAlign w:val="center"/>
          </w:tcPr>
          <w:p w:rsidR="00DC5B13" w:rsidRPr="00DC5B13" w:rsidP="00C34B23">
            <w:pPr>
              <w:spacing w:line="269" w:lineRule="auto"/>
              <w:jc w:val="center"/>
              <w:rPr>
                <w:rFonts w:eastAsia="Calibri"/>
                <w:szCs w:val="20"/>
                <w:rtl/>
              </w:rPr>
            </w:pPr>
            <w:r w:rsidRPr="00DC5B13">
              <w:rPr>
                <w:rFonts w:eastAsia="Calibri" w:hint="cs"/>
                <w:sz w:val="18"/>
                <w:szCs w:val="22"/>
                <w:rtl/>
              </w:rPr>
              <w:t>לא</w:t>
            </w:r>
          </w:p>
        </w:tc>
        <w:tc>
          <w:tcPr>
            <w:tcW w:w="1633" w:type="dxa"/>
            <w:vAlign w:val="center"/>
          </w:tcPr>
          <w:p w:rsidR="00DC5B13" w:rsidRPr="00DC5B13" w:rsidP="00C34B23">
            <w:pPr>
              <w:spacing w:line="269" w:lineRule="auto"/>
              <w:jc w:val="center"/>
              <w:rPr>
                <w:rFonts w:eastAsia="Calibri"/>
                <w:szCs w:val="20"/>
                <w:rtl/>
              </w:rPr>
            </w:pPr>
            <w:r w:rsidRPr="00DC5B13">
              <w:rPr>
                <w:rFonts w:eastAsia="Calibri" w:hint="cs"/>
                <w:sz w:val="18"/>
                <w:szCs w:val="22"/>
                <w:rtl/>
              </w:rPr>
              <w:t xml:space="preserve">כן - </w:t>
            </w:r>
            <w:r w:rsidRPr="00DC5B13">
              <w:rPr>
                <w:rFonts w:eastAsia="Calibri"/>
                <w:szCs w:val="20"/>
              </w:rPr>
              <w:t>Urban Renaissance Promotion</w:t>
            </w:r>
          </w:p>
        </w:tc>
        <w:tc>
          <w:tcPr>
            <w:tcW w:w="1777" w:type="dxa"/>
            <w:vAlign w:val="center"/>
          </w:tcPr>
          <w:p w:rsidR="00DC5B13" w:rsidRPr="00DC5B13" w:rsidP="00C34B23">
            <w:pPr>
              <w:spacing w:line="269" w:lineRule="auto"/>
              <w:jc w:val="center"/>
              <w:rPr>
                <w:rFonts w:eastAsia="Calibri"/>
                <w:szCs w:val="20"/>
                <w:rtl/>
              </w:rPr>
            </w:pPr>
            <w:r w:rsidRPr="00DC5B13">
              <w:rPr>
                <w:rFonts w:eastAsia="Calibri" w:hint="cs"/>
                <w:sz w:val="18"/>
                <w:szCs w:val="22"/>
                <w:rtl/>
              </w:rPr>
              <w:t>לא</w:t>
            </w:r>
          </w:p>
        </w:tc>
      </w:tr>
      <w:tr w:rsidTr="000E4CC0">
        <w:tblPrEx>
          <w:tblW w:w="8310" w:type="dxa"/>
          <w:tblInd w:w="50" w:type="dxa"/>
          <w:tblLook w:val="04A0"/>
        </w:tblPrEx>
        <w:tc>
          <w:tcPr>
            <w:tcW w:w="1634" w:type="dxa"/>
            <w:shd w:val="clear" w:color="auto" w:fill="DBE5F1"/>
          </w:tcPr>
          <w:p w:rsidR="00DC5B13" w:rsidRPr="00DC5B13" w:rsidP="00C34B23">
            <w:pPr>
              <w:spacing w:line="269" w:lineRule="auto"/>
              <w:jc w:val="left"/>
              <w:rPr>
                <w:rFonts w:eastAsia="Calibri"/>
                <w:sz w:val="18"/>
                <w:szCs w:val="22"/>
                <w:rtl/>
              </w:rPr>
            </w:pPr>
            <w:r w:rsidRPr="00DC5B13">
              <w:rPr>
                <w:rFonts w:eastAsia="Calibri" w:hint="cs"/>
                <w:sz w:val="18"/>
                <w:szCs w:val="22"/>
                <w:rtl/>
              </w:rPr>
              <w:t>שנת ההכרזה על המדיניות</w:t>
            </w:r>
          </w:p>
        </w:tc>
        <w:tc>
          <w:tcPr>
            <w:tcW w:w="1633" w:type="dxa"/>
          </w:tcPr>
          <w:p w:rsidR="00DC5B13" w:rsidRPr="00DC5B13" w:rsidP="00C34B23">
            <w:pPr>
              <w:spacing w:line="269" w:lineRule="auto"/>
              <w:jc w:val="center"/>
              <w:rPr>
                <w:rFonts w:eastAsia="Calibri"/>
                <w:szCs w:val="20"/>
                <w:rtl/>
              </w:rPr>
            </w:pPr>
            <w:r w:rsidRPr="00DC5B13">
              <w:rPr>
                <w:rFonts w:eastAsia="Calibri" w:hint="cs"/>
                <w:szCs w:val="20"/>
                <w:rtl/>
              </w:rPr>
              <w:t>2022</w:t>
            </w:r>
          </w:p>
        </w:tc>
        <w:tc>
          <w:tcPr>
            <w:tcW w:w="1633" w:type="dxa"/>
          </w:tcPr>
          <w:p w:rsidR="00DC5B13" w:rsidRPr="00DC5B13" w:rsidP="00C34B23">
            <w:pPr>
              <w:spacing w:line="269" w:lineRule="auto"/>
              <w:jc w:val="center"/>
              <w:rPr>
                <w:rFonts w:eastAsia="Calibri"/>
                <w:szCs w:val="20"/>
              </w:rPr>
            </w:pPr>
            <w:r w:rsidRPr="00DC5B13">
              <w:rPr>
                <w:rFonts w:eastAsia="Calibri" w:hint="cs"/>
                <w:szCs w:val="20"/>
                <w:rtl/>
              </w:rPr>
              <w:t>2011*</w:t>
            </w:r>
          </w:p>
        </w:tc>
        <w:tc>
          <w:tcPr>
            <w:tcW w:w="1633" w:type="dxa"/>
          </w:tcPr>
          <w:p w:rsidR="00DC5B13" w:rsidRPr="00DC5B13" w:rsidP="00C34B23">
            <w:pPr>
              <w:spacing w:line="269" w:lineRule="auto"/>
              <w:jc w:val="center"/>
              <w:rPr>
                <w:rFonts w:eastAsia="Calibri"/>
                <w:szCs w:val="20"/>
                <w:rtl/>
              </w:rPr>
            </w:pPr>
            <w:r w:rsidRPr="00DC5B13">
              <w:rPr>
                <w:rFonts w:eastAsia="Calibri" w:hint="cs"/>
                <w:szCs w:val="20"/>
                <w:rtl/>
              </w:rPr>
              <w:t>2004</w:t>
            </w:r>
          </w:p>
        </w:tc>
        <w:tc>
          <w:tcPr>
            <w:tcW w:w="1777" w:type="dxa"/>
          </w:tcPr>
          <w:p w:rsidR="00DC5B13" w:rsidRPr="00DC5B13" w:rsidP="00C34B23">
            <w:pPr>
              <w:spacing w:line="269" w:lineRule="auto"/>
              <w:jc w:val="center"/>
              <w:rPr>
                <w:rFonts w:eastAsia="Calibri"/>
                <w:szCs w:val="20"/>
                <w:rtl/>
              </w:rPr>
            </w:pPr>
            <w:r>
              <w:rPr>
                <w:rFonts w:eastAsia="Calibri" w:hint="cs"/>
                <w:szCs w:val="20"/>
                <w:rtl/>
              </w:rPr>
              <w:t>לא רלוונטי</w:t>
            </w:r>
          </w:p>
        </w:tc>
      </w:tr>
      <w:tr w:rsidTr="000E4CC0">
        <w:tblPrEx>
          <w:tblW w:w="8310" w:type="dxa"/>
          <w:tblInd w:w="50" w:type="dxa"/>
          <w:tblLook w:val="04A0"/>
        </w:tblPrEx>
        <w:tc>
          <w:tcPr>
            <w:tcW w:w="1634" w:type="dxa"/>
          </w:tcPr>
          <w:p w:rsidR="00DC5B13" w:rsidRPr="00DC5B13" w:rsidP="00C34B23">
            <w:pPr>
              <w:spacing w:line="269" w:lineRule="auto"/>
              <w:jc w:val="left"/>
              <w:rPr>
                <w:rFonts w:eastAsia="Calibri"/>
                <w:sz w:val="18"/>
                <w:szCs w:val="22"/>
                <w:rtl/>
              </w:rPr>
            </w:pPr>
            <w:r w:rsidRPr="00DC5B13">
              <w:rPr>
                <w:rFonts w:eastAsia="Calibri" w:hint="cs"/>
                <w:sz w:val="18"/>
                <w:szCs w:val="22"/>
                <w:rtl/>
              </w:rPr>
              <w:t>אמצעים עיקריים ליישום המדיניות ולקידום התחדשות עירונית</w:t>
            </w:r>
          </w:p>
        </w:tc>
        <w:tc>
          <w:tcPr>
            <w:tcW w:w="1633" w:type="dxa"/>
          </w:tcPr>
          <w:p w:rsidR="00DC5B13" w:rsidRPr="00DC5B13" w:rsidP="00C34B23">
            <w:pPr>
              <w:bidi w:val="0"/>
              <w:spacing w:line="269" w:lineRule="auto"/>
              <w:jc w:val="right"/>
              <w:rPr>
                <w:rFonts w:eastAsia="Calibri"/>
                <w:szCs w:val="20"/>
                <w:rtl/>
              </w:rPr>
            </w:pPr>
            <w:r w:rsidRPr="00DC5B13">
              <w:rPr>
                <w:rFonts w:eastAsia="Calibri" w:hint="cs"/>
                <w:szCs w:val="20"/>
                <w:rtl/>
              </w:rPr>
              <w:t>חוק:</w:t>
            </w:r>
          </w:p>
          <w:p w:rsidR="00DC5B13" w:rsidRPr="00DC5B13" w:rsidP="00C34B23">
            <w:pPr>
              <w:bidi w:val="0"/>
              <w:spacing w:line="269" w:lineRule="auto"/>
              <w:rPr>
                <w:rFonts w:eastAsia="Calibri"/>
                <w:szCs w:val="20"/>
              </w:rPr>
            </w:pPr>
            <w:r w:rsidRPr="00DC5B13">
              <w:rPr>
                <w:rFonts w:eastAsia="Calibri"/>
                <w:szCs w:val="20"/>
              </w:rPr>
              <w:t>Levelling-up and Regeneration Act 2023</w:t>
            </w:r>
          </w:p>
          <w:p w:rsidR="00DC5B13" w:rsidRPr="00DC5B13" w:rsidP="00C34B23">
            <w:pPr>
              <w:bidi w:val="0"/>
              <w:spacing w:line="269" w:lineRule="auto"/>
              <w:jc w:val="right"/>
              <w:rPr>
                <w:rFonts w:eastAsia="Calibri"/>
                <w:szCs w:val="20"/>
                <w:rtl/>
              </w:rPr>
            </w:pPr>
          </w:p>
        </w:tc>
        <w:tc>
          <w:tcPr>
            <w:tcW w:w="1633" w:type="dxa"/>
          </w:tcPr>
          <w:p w:rsidR="00DC5B13" w:rsidRPr="00DC5B13" w:rsidP="00C34B23">
            <w:pPr>
              <w:spacing w:line="269" w:lineRule="auto"/>
              <w:jc w:val="left"/>
              <w:rPr>
                <w:rFonts w:eastAsia="Calibri"/>
                <w:szCs w:val="20"/>
                <w:rtl/>
              </w:rPr>
            </w:pPr>
            <w:r w:rsidRPr="00DC5B13">
              <w:rPr>
                <w:rFonts w:eastAsia="Calibri" w:hint="cs"/>
                <w:szCs w:val="20"/>
                <w:rtl/>
              </w:rPr>
              <w:t>חוק:</w:t>
            </w:r>
          </w:p>
          <w:p w:rsidR="00DC5B13" w:rsidRPr="00DC5B13" w:rsidP="00C34B23">
            <w:pPr>
              <w:spacing w:line="269" w:lineRule="auto"/>
              <w:jc w:val="left"/>
              <w:rPr>
                <w:rFonts w:eastAsia="Calibri"/>
                <w:szCs w:val="20"/>
              </w:rPr>
            </w:pPr>
            <w:r w:rsidRPr="00DC5B13">
              <w:rPr>
                <w:rFonts w:eastAsia="Calibri" w:hint="cs"/>
                <w:szCs w:val="20"/>
              </w:rPr>
              <w:t>S</w:t>
            </w:r>
            <w:r w:rsidRPr="00DC5B13">
              <w:rPr>
                <w:rFonts w:eastAsia="Calibri"/>
                <w:szCs w:val="20"/>
              </w:rPr>
              <w:t>patial Planning Act</w:t>
            </w:r>
          </w:p>
          <w:p w:rsidR="00DC5B13" w:rsidRPr="00DC5B13" w:rsidP="00C34B23">
            <w:pPr>
              <w:spacing w:line="269" w:lineRule="auto"/>
              <w:jc w:val="left"/>
              <w:rPr>
                <w:rFonts w:eastAsia="Calibri"/>
                <w:szCs w:val="20"/>
                <w:rtl/>
              </w:rPr>
            </w:pPr>
            <w:r w:rsidRPr="00DC5B13">
              <w:rPr>
                <w:rFonts w:eastAsia="Calibri" w:hint="cs"/>
                <w:szCs w:val="20"/>
                <w:rtl/>
              </w:rPr>
              <w:t>חוק משני:</w:t>
            </w:r>
          </w:p>
          <w:p w:rsidR="00DC5B13" w:rsidRPr="00DC5B13" w:rsidP="00C34B23">
            <w:pPr>
              <w:spacing w:line="269" w:lineRule="auto"/>
              <w:jc w:val="left"/>
              <w:rPr>
                <w:rFonts w:eastAsia="Calibri"/>
                <w:szCs w:val="20"/>
              </w:rPr>
            </w:pPr>
            <w:r w:rsidRPr="00DC5B13">
              <w:rPr>
                <w:rFonts w:eastAsia="Calibri"/>
                <w:szCs w:val="20"/>
              </w:rPr>
              <w:t>Spatial Planning Decree</w:t>
            </w:r>
          </w:p>
        </w:tc>
        <w:tc>
          <w:tcPr>
            <w:tcW w:w="1633" w:type="dxa"/>
          </w:tcPr>
          <w:p w:rsidR="00DC5B13" w:rsidRPr="00DC5B13" w:rsidP="00C34B23">
            <w:pPr>
              <w:spacing w:line="269" w:lineRule="auto"/>
              <w:jc w:val="left"/>
              <w:rPr>
                <w:rFonts w:eastAsia="Calibri"/>
                <w:szCs w:val="20"/>
                <w:rtl/>
              </w:rPr>
            </w:pPr>
            <w:r w:rsidRPr="00DC5B13">
              <w:rPr>
                <w:rFonts w:eastAsia="Calibri"/>
                <w:szCs w:val="20"/>
                <w:rtl/>
              </w:rPr>
              <w:t xml:space="preserve">תוכניות </w:t>
            </w:r>
            <w:r w:rsidRPr="00DC5B13">
              <w:rPr>
                <w:rFonts w:eastAsia="Calibri"/>
                <w:szCs w:val="20"/>
              </w:rPr>
              <w:t>Land Readjustment</w:t>
            </w:r>
            <w:r w:rsidRPr="00DC5B13">
              <w:rPr>
                <w:rFonts w:eastAsia="Calibri"/>
                <w:szCs w:val="20"/>
                <w:rtl/>
              </w:rPr>
              <w:t xml:space="preserve"> ו</w:t>
            </w:r>
            <w:r w:rsidRPr="00DC5B13">
              <w:rPr>
                <w:rFonts w:eastAsia="Calibri" w:hint="cs"/>
                <w:szCs w:val="20"/>
                <w:rtl/>
              </w:rPr>
              <w:t>-</w:t>
            </w:r>
            <w:r w:rsidRPr="00DC5B13">
              <w:rPr>
                <w:rFonts w:eastAsia="Calibri"/>
                <w:szCs w:val="20"/>
                <w:rtl/>
              </w:rPr>
              <w:t xml:space="preserve"> </w:t>
            </w:r>
            <w:r w:rsidRPr="00DC5B13">
              <w:rPr>
                <w:rFonts w:eastAsia="Calibri"/>
                <w:szCs w:val="20"/>
              </w:rPr>
              <w:t>Urban Renewal</w:t>
            </w:r>
            <w:r w:rsidRPr="00DC5B13">
              <w:rPr>
                <w:rFonts w:eastAsia="Calibri" w:hint="cs"/>
                <w:szCs w:val="20"/>
                <w:rtl/>
              </w:rPr>
              <w:t>;</w:t>
            </w:r>
            <w:r w:rsidRPr="00DC5B13">
              <w:rPr>
                <w:rFonts w:eastAsia="Calibri"/>
                <w:szCs w:val="20"/>
                <w:rtl/>
              </w:rPr>
              <w:t xml:space="preserve"> חוק </w:t>
            </w:r>
            <w:r w:rsidRPr="00DC5B13">
              <w:rPr>
                <w:rFonts w:eastAsia="Calibri" w:hint="cs"/>
                <w:szCs w:val="20"/>
                <w:rtl/>
              </w:rPr>
              <w:t>(</w:t>
            </w:r>
            <w:r w:rsidRPr="00DC5B13">
              <w:rPr>
                <w:rFonts w:eastAsia="Calibri"/>
                <w:szCs w:val="20"/>
                <w:rtl/>
              </w:rPr>
              <w:t>2002</w:t>
            </w:r>
            <w:r w:rsidRPr="00DC5B13">
              <w:rPr>
                <w:rFonts w:eastAsia="Calibri" w:hint="cs"/>
                <w:szCs w:val="20"/>
                <w:rtl/>
              </w:rPr>
              <w:t>)</w:t>
            </w:r>
            <w:r w:rsidRPr="00DC5B13">
              <w:rPr>
                <w:rFonts w:eastAsia="Calibri"/>
                <w:szCs w:val="20"/>
                <w:rtl/>
              </w:rPr>
              <w:t xml:space="preserve"> </w:t>
            </w:r>
            <w:r w:rsidRPr="00DC5B13">
              <w:rPr>
                <w:rFonts w:eastAsia="Calibri"/>
                <w:szCs w:val="20"/>
              </w:rPr>
              <w:t>UR Special Measure Law</w:t>
            </w:r>
          </w:p>
        </w:tc>
        <w:tc>
          <w:tcPr>
            <w:tcW w:w="1777" w:type="dxa"/>
          </w:tcPr>
          <w:p w:rsidR="00DC5B13" w:rsidRPr="00DC5B13" w:rsidP="00C34B23">
            <w:pPr>
              <w:spacing w:line="269" w:lineRule="auto"/>
              <w:jc w:val="left"/>
              <w:rPr>
                <w:rFonts w:eastAsia="Calibri"/>
                <w:szCs w:val="20"/>
                <w:rtl/>
              </w:rPr>
            </w:pPr>
            <w:r w:rsidRPr="00DC5B13">
              <w:rPr>
                <w:rFonts w:eastAsia="Calibri" w:hint="cs"/>
                <w:szCs w:val="20"/>
                <w:rtl/>
              </w:rPr>
              <w:t xml:space="preserve">הצעה לאמצעי מדיניות לקידום התחדשות עירונית בתמ"א 35 (2005); </w:t>
            </w:r>
          </w:p>
          <w:p w:rsidR="00DC5B13" w:rsidRPr="00DC5B13" w:rsidP="00C34B23">
            <w:pPr>
              <w:spacing w:line="269" w:lineRule="auto"/>
              <w:jc w:val="left"/>
              <w:rPr>
                <w:rFonts w:eastAsia="Calibri"/>
                <w:szCs w:val="20"/>
                <w:rtl/>
              </w:rPr>
            </w:pPr>
            <w:r w:rsidRPr="00DC5B13">
              <w:rPr>
                <w:rFonts w:eastAsia="Calibri" w:hint="cs"/>
                <w:szCs w:val="20"/>
                <w:rtl/>
              </w:rPr>
              <w:t xml:space="preserve">הקמת רשות ממשלתית להתחדשות עירונית (2018); </w:t>
            </w:r>
          </w:p>
          <w:p w:rsidR="00DC5B13" w:rsidRPr="00DC5B13" w:rsidP="00C34B23">
            <w:pPr>
              <w:spacing w:line="269" w:lineRule="auto"/>
              <w:jc w:val="left"/>
              <w:rPr>
                <w:rFonts w:eastAsia="Calibri"/>
                <w:szCs w:val="20"/>
                <w:rtl/>
              </w:rPr>
            </w:pPr>
            <w:r w:rsidRPr="00DC5B13">
              <w:rPr>
                <w:rFonts w:eastAsia="Calibri" w:hint="cs"/>
                <w:szCs w:val="20"/>
                <w:rtl/>
              </w:rPr>
              <w:t>תוכנית אסטרטגית לדיור (כולל יעדים כמותיים עד 2050); אסדרה נרחבת על מערכת התכנון והביצוע</w:t>
            </w:r>
          </w:p>
        </w:tc>
      </w:tr>
      <w:tr w:rsidTr="000E4CC0">
        <w:tblPrEx>
          <w:tblW w:w="8310" w:type="dxa"/>
          <w:tblInd w:w="50" w:type="dxa"/>
          <w:tblLook w:val="04A0"/>
        </w:tblPrEx>
        <w:tc>
          <w:tcPr>
            <w:tcW w:w="1634" w:type="dxa"/>
            <w:shd w:val="clear" w:color="auto" w:fill="DBE5F1"/>
          </w:tcPr>
          <w:p w:rsidR="00DC5B13" w:rsidRPr="00DC5B13" w:rsidP="00C34B23">
            <w:pPr>
              <w:spacing w:line="269" w:lineRule="auto"/>
              <w:jc w:val="left"/>
              <w:rPr>
                <w:rFonts w:eastAsia="Calibri"/>
                <w:sz w:val="18"/>
                <w:szCs w:val="22"/>
                <w:rtl/>
              </w:rPr>
            </w:pPr>
            <w:r w:rsidRPr="00DC5B13">
              <w:rPr>
                <w:rFonts w:eastAsia="Calibri" w:hint="cs"/>
                <w:sz w:val="18"/>
                <w:szCs w:val="22"/>
                <w:rtl/>
              </w:rPr>
              <w:t>יעדים עיקריים לקידום ולביצוע התחדשות עירונית</w:t>
            </w:r>
          </w:p>
        </w:tc>
        <w:tc>
          <w:tcPr>
            <w:tcW w:w="1633" w:type="dxa"/>
          </w:tcPr>
          <w:p w:rsidR="00DC5B13" w:rsidRPr="00DC5B13" w:rsidP="00C34B23">
            <w:pPr>
              <w:spacing w:line="269" w:lineRule="auto"/>
              <w:jc w:val="left"/>
              <w:rPr>
                <w:rFonts w:eastAsia="Calibri"/>
                <w:szCs w:val="20"/>
                <w:rtl/>
              </w:rPr>
            </w:pPr>
            <w:r w:rsidRPr="00DC5B13">
              <w:rPr>
                <w:rFonts w:eastAsia="Calibri" w:hint="cs"/>
                <w:szCs w:val="20"/>
                <w:rtl/>
              </w:rPr>
              <w:t>ביזור</w:t>
            </w:r>
            <w:r w:rsidRPr="00DC5B13">
              <w:rPr>
                <w:rFonts w:eastAsia="Calibri"/>
                <w:szCs w:val="20"/>
                <w:rtl/>
              </w:rPr>
              <w:t xml:space="preserve"> סמכויות לרשויות </w:t>
            </w:r>
            <w:r w:rsidRPr="00DC5B13">
              <w:rPr>
                <w:rFonts w:eastAsia="Calibri" w:hint="cs"/>
                <w:szCs w:val="20"/>
                <w:rtl/>
              </w:rPr>
              <w:t>ה</w:t>
            </w:r>
            <w:r w:rsidRPr="00DC5B13">
              <w:rPr>
                <w:rFonts w:eastAsia="Calibri"/>
                <w:szCs w:val="20"/>
                <w:rtl/>
              </w:rPr>
              <w:t>מקומיות</w:t>
            </w:r>
            <w:r w:rsidRPr="00DC5B13">
              <w:rPr>
                <w:rFonts w:eastAsia="Calibri" w:hint="cs"/>
                <w:szCs w:val="20"/>
                <w:rtl/>
              </w:rPr>
              <w:t xml:space="preserve"> והעצמה של מקבלי ההחלטות ברמה המקומית;</w:t>
            </w:r>
          </w:p>
          <w:p w:rsidR="00DC5B13" w:rsidRPr="00DC5B13" w:rsidP="00C34B23">
            <w:pPr>
              <w:spacing w:line="269" w:lineRule="auto"/>
              <w:jc w:val="left"/>
              <w:rPr>
                <w:rFonts w:eastAsia="Calibri"/>
                <w:szCs w:val="20"/>
                <w:rtl/>
              </w:rPr>
            </w:pPr>
            <w:r w:rsidRPr="00DC5B13">
              <w:rPr>
                <w:rFonts w:eastAsia="Calibri" w:hint="cs"/>
                <w:szCs w:val="20"/>
                <w:rtl/>
              </w:rPr>
              <w:t xml:space="preserve">קידום התחדשות עירונית תוך התמקדות בעיצוב </w:t>
            </w:r>
            <w:r w:rsidRPr="00DC5B13">
              <w:rPr>
                <w:rFonts w:eastAsia="Calibri" w:hint="cs"/>
                <w:szCs w:val="20"/>
                <w:rtl/>
              </w:rPr>
              <w:t>העיר ובתכנון מקיים;</w:t>
            </w:r>
          </w:p>
          <w:p w:rsidR="00DC5B13" w:rsidRPr="00DC5B13" w:rsidP="00C34B23">
            <w:pPr>
              <w:spacing w:line="269" w:lineRule="auto"/>
              <w:jc w:val="left"/>
              <w:rPr>
                <w:rFonts w:eastAsia="Calibri"/>
                <w:szCs w:val="20"/>
                <w:rtl/>
              </w:rPr>
            </w:pPr>
            <w:r w:rsidRPr="00DC5B13">
              <w:rPr>
                <w:rFonts w:eastAsia="Calibri" w:hint="cs"/>
                <w:szCs w:val="20"/>
                <w:rtl/>
              </w:rPr>
              <w:t>ייעול ופישוט של מערכת התכנון;</w:t>
            </w:r>
          </w:p>
          <w:p w:rsidR="00DC5B13" w:rsidRPr="00DC5B13" w:rsidP="00C34B23">
            <w:pPr>
              <w:spacing w:line="269" w:lineRule="auto"/>
              <w:jc w:val="left"/>
              <w:rPr>
                <w:rFonts w:eastAsia="Calibri"/>
                <w:szCs w:val="20"/>
                <w:rtl/>
              </w:rPr>
            </w:pPr>
            <w:r w:rsidRPr="00DC5B13">
              <w:rPr>
                <w:rFonts w:eastAsia="Calibri" w:hint="cs"/>
                <w:szCs w:val="20"/>
                <w:rtl/>
              </w:rPr>
              <w:t>עידוד השקעה לחיזוק מוקדים כלכליים ולהקטנת הפערים החברתיים</w:t>
            </w:r>
          </w:p>
        </w:tc>
        <w:tc>
          <w:tcPr>
            <w:tcW w:w="1633" w:type="dxa"/>
          </w:tcPr>
          <w:p w:rsidR="00DC5B13" w:rsidRPr="00DC5B13" w:rsidP="00C34B23">
            <w:pPr>
              <w:spacing w:line="269" w:lineRule="auto"/>
              <w:jc w:val="left"/>
              <w:rPr>
                <w:rFonts w:eastAsia="Calibri"/>
                <w:szCs w:val="20"/>
                <w:rtl/>
              </w:rPr>
            </w:pPr>
            <w:r w:rsidRPr="00DC5B13">
              <w:rPr>
                <w:rFonts w:eastAsia="Calibri" w:hint="cs"/>
                <w:szCs w:val="20"/>
                <w:rtl/>
              </w:rPr>
              <w:t>ביזור</w:t>
            </w:r>
            <w:r w:rsidRPr="00DC5B13">
              <w:rPr>
                <w:rFonts w:eastAsia="Calibri"/>
                <w:szCs w:val="20"/>
                <w:rtl/>
              </w:rPr>
              <w:t xml:space="preserve"> סמכויות לרשויות </w:t>
            </w:r>
            <w:r w:rsidRPr="00DC5B13">
              <w:rPr>
                <w:rFonts w:eastAsia="Calibri" w:hint="cs"/>
                <w:szCs w:val="20"/>
                <w:rtl/>
              </w:rPr>
              <w:t>ה</w:t>
            </w:r>
            <w:r w:rsidRPr="00DC5B13">
              <w:rPr>
                <w:rFonts w:eastAsia="Calibri"/>
                <w:szCs w:val="20"/>
                <w:rtl/>
              </w:rPr>
              <w:t>מקומיות</w:t>
            </w:r>
            <w:r w:rsidRPr="00DC5B13">
              <w:rPr>
                <w:rFonts w:eastAsia="Calibri" w:hint="cs"/>
                <w:szCs w:val="20"/>
                <w:rtl/>
              </w:rPr>
              <w:t>;</w:t>
            </w:r>
          </w:p>
          <w:p w:rsidR="00DC5B13" w:rsidRPr="00DC5B13" w:rsidP="00C34B23">
            <w:pPr>
              <w:spacing w:line="269" w:lineRule="auto"/>
              <w:jc w:val="left"/>
              <w:rPr>
                <w:rFonts w:eastAsia="Calibri"/>
                <w:szCs w:val="20"/>
                <w:rtl/>
              </w:rPr>
            </w:pPr>
            <w:r w:rsidRPr="00DC5B13">
              <w:rPr>
                <w:rFonts w:eastAsia="Calibri" w:hint="cs"/>
                <w:szCs w:val="20"/>
                <w:rtl/>
              </w:rPr>
              <w:t>עידוד השקעה פרטית במוקדים כלכליים מצליחים</w:t>
            </w:r>
          </w:p>
        </w:tc>
        <w:tc>
          <w:tcPr>
            <w:tcW w:w="1633" w:type="dxa"/>
          </w:tcPr>
          <w:p w:rsidR="00DC5B13" w:rsidRPr="00DC5B13" w:rsidP="00C34B23">
            <w:pPr>
              <w:spacing w:line="269" w:lineRule="auto"/>
              <w:jc w:val="left"/>
              <w:rPr>
                <w:rFonts w:eastAsia="Calibri"/>
                <w:szCs w:val="20"/>
                <w:rtl/>
              </w:rPr>
            </w:pPr>
            <w:r w:rsidRPr="00DC5B13">
              <w:rPr>
                <w:rFonts w:eastAsia="Calibri"/>
                <w:szCs w:val="20"/>
                <w:rtl/>
              </w:rPr>
              <w:t>תכנון</w:t>
            </w:r>
            <w:r w:rsidRPr="00DC5B13">
              <w:rPr>
                <w:rFonts w:eastAsia="Calibri" w:hint="cs"/>
                <w:szCs w:val="20"/>
                <w:rtl/>
              </w:rPr>
              <w:t xml:space="preserve"> מוטה תחבורה (</w:t>
            </w:r>
            <w:r w:rsidRPr="00DC5B13">
              <w:rPr>
                <w:rFonts w:eastAsia="Calibri"/>
                <w:szCs w:val="20"/>
              </w:rPr>
              <w:t>TOD</w:t>
            </w:r>
            <w:r w:rsidRPr="00DC5B13">
              <w:rPr>
                <w:rFonts w:eastAsia="Calibri" w:hint="cs"/>
                <w:szCs w:val="20"/>
                <w:rtl/>
              </w:rPr>
              <w:t>);</w:t>
            </w:r>
            <w:r w:rsidRPr="00DC5B13">
              <w:rPr>
                <w:rFonts w:eastAsia="Calibri"/>
                <w:szCs w:val="20"/>
                <w:rtl/>
              </w:rPr>
              <w:t xml:space="preserve"> </w:t>
            </w:r>
          </w:p>
          <w:p w:rsidR="00DC5B13" w:rsidRPr="00DC5B13" w:rsidP="00C34B23">
            <w:pPr>
              <w:spacing w:line="269" w:lineRule="auto"/>
              <w:jc w:val="left"/>
              <w:rPr>
                <w:rFonts w:eastAsia="Calibri"/>
                <w:szCs w:val="20"/>
                <w:rtl/>
              </w:rPr>
            </w:pPr>
            <w:r w:rsidRPr="00DC5B13">
              <w:rPr>
                <w:rFonts w:eastAsia="Calibri" w:hint="cs"/>
                <w:szCs w:val="20"/>
                <w:rtl/>
              </w:rPr>
              <w:t>מנגנון להמרת</w:t>
            </w:r>
            <w:r w:rsidRPr="00DC5B13">
              <w:rPr>
                <w:rFonts w:eastAsia="Calibri"/>
                <w:szCs w:val="20"/>
                <w:rtl/>
              </w:rPr>
              <w:t xml:space="preserve"> זכויות</w:t>
            </w:r>
            <w:r w:rsidRPr="00DC5B13">
              <w:rPr>
                <w:rFonts w:eastAsia="Calibri" w:hint="cs"/>
                <w:szCs w:val="20"/>
                <w:rtl/>
              </w:rPr>
              <w:t xml:space="preserve"> בעלים</w:t>
            </w:r>
            <w:r w:rsidRPr="00DC5B13">
              <w:rPr>
                <w:rFonts w:eastAsia="Calibri"/>
                <w:szCs w:val="20"/>
                <w:rtl/>
              </w:rPr>
              <w:t xml:space="preserve"> </w:t>
            </w:r>
            <w:r w:rsidRPr="00DC5B13">
              <w:rPr>
                <w:rFonts w:eastAsia="Calibri" w:hint="cs"/>
                <w:szCs w:val="20"/>
                <w:rtl/>
              </w:rPr>
              <w:t xml:space="preserve">לשטחים מבונים </w:t>
            </w:r>
            <w:r w:rsidRPr="00DC5B13">
              <w:rPr>
                <w:rFonts w:eastAsia="Calibri"/>
                <w:szCs w:val="20"/>
                <w:rtl/>
              </w:rPr>
              <w:t xml:space="preserve">על </w:t>
            </w:r>
            <w:r w:rsidRPr="00DC5B13">
              <w:rPr>
                <w:rFonts w:eastAsia="Calibri" w:hint="cs"/>
                <w:szCs w:val="20"/>
                <w:rtl/>
              </w:rPr>
              <w:t>ה</w:t>
            </w:r>
            <w:r w:rsidRPr="00DC5B13">
              <w:rPr>
                <w:rFonts w:eastAsia="Calibri"/>
                <w:szCs w:val="20"/>
                <w:rtl/>
              </w:rPr>
              <w:t>קרקע</w:t>
            </w:r>
            <w:r w:rsidRPr="00DC5B13">
              <w:rPr>
                <w:rFonts w:eastAsia="Calibri" w:hint="cs"/>
                <w:szCs w:val="20"/>
                <w:rtl/>
              </w:rPr>
              <w:t xml:space="preserve"> שנרכשה;</w:t>
            </w:r>
          </w:p>
          <w:p w:rsidR="00DC5B13" w:rsidRPr="00DC5B13" w:rsidP="00C34B23">
            <w:pPr>
              <w:spacing w:line="269" w:lineRule="auto"/>
              <w:jc w:val="left"/>
              <w:rPr>
                <w:rFonts w:eastAsia="Calibri"/>
                <w:szCs w:val="20"/>
                <w:rtl/>
              </w:rPr>
            </w:pPr>
            <w:r w:rsidRPr="00DC5B13">
              <w:rPr>
                <w:rFonts w:eastAsia="Calibri" w:hint="cs"/>
                <w:szCs w:val="20"/>
                <w:rtl/>
              </w:rPr>
              <w:t xml:space="preserve">הגדרת חמישה נושאי ליבה לביצוע התחדשות עירונית: </w:t>
            </w:r>
          </w:p>
          <w:p w:rsidR="00DC5B13" w:rsidRPr="00DC5B13" w:rsidP="00C34B23">
            <w:pPr>
              <w:spacing w:line="269" w:lineRule="auto"/>
              <w:jc w:val="left"/>
              <w:rPr>
                <w:rFonts w:eastAsia="Calibri" w:hint="cs"/>
                <w:szCs w:val="20"/>
                <w:rtl/>
              </w:rPr>
            </w:pPr>
            <w:r w:rsidRPr="00DC5B13">
              <w:rPr>
                <w:rFonts w:eastAsia="Calibri" w:hint="eastAsia"/>
                <w:szCs w:val="20"/>
                <w:rtl/>
              </w:rPr>
              <w:t>הגבלת</w:t>
            </w:r>
            <w:r w:rsidRPr="00DC5B13">
              <w:rPr>
                <w:rFonts w:eastAsia="Calibri"/>
                <w:szCs w:val="20"/>
                <w:rtl/>
              </w:rPr>
              <w:t xml:space="preserve"> </w:t>
            </w:r>
            <w:r w:rsidRPr="00DC5B13">
              <w:rPr>
                <w:rFonts w:eastAsia="Calibri" w:hint="eastAsia"/>
                <w:szCs w:val="20"/>
                <w:rtl/>
              </w:rPr>
              <w:t>התפשטות</w:t>
            </w:r>
            <w:r w:rsidRPr="00DC5B13">
              <w:rPr>
                <w:rFonts w:eastAsia="Calibri"/>
                <w:szCs w:val="20"/>
                <w:rtl/>
              </w:rPr>
              <w:t xml:space="preserve"> </w:t>
            </w:r>
            <w:r w:rsidRPr="00DC5B13">
              <w:rPr>
                <w:rFonts w:eastAsia="Calibri" w:hint="eastAsia"/>
                <w:szCs w:val="20"/>
                <w:rtl/>
              </w:rPr>
              <w:t>הערים</w:t>
            </w:r>
            <w:r w:rsidRPr="00DC5B13">
              <w:rPr>
                <w:rFonts w:eastAsia="Calibri"/>
                <w:szCs w:val="20"/>
                <w:rtl/>
              </w:rPr>
              <w:t xml:space="preserve">; </w:t>
            </w:r>
            <w:r w:rsidRPr="00DC5B13">
              <w:rPr>
                <w:rFonts w:eastAsia="Calibri" w:hint="eastAsia"/>
                <w:szCs w:val="20"/>
                <w:rtl/>
              </w:rPr>
              <w:t>חיזוק</w:t>
            </w:r>
            <w:r w:rsidRPr="00DC5B13">
              <w:rPr>
                <w:rFonts w:eastAsia="Calibri"/>
                <w:szCs w:val="20"/>
                <w:rtl/>
              </w:rPr>
              <w:t xml:space="preserve"> </w:t>
            </w:r>
            <w:r w:rsidRPr="00DC5B13">
              <w:rPr>
                <w:rFonts w:eastAsia="Calibri" w:hint="eastAsia"/>
                <w:szCs w:val="20"/>
                <w:rtl/>
              </w:rPr>
              <w:t>מבנים</w:t>
            </w:r>
            <w:r w:rsidRPr="00DC5B13">
              <w:rPr>
                <w:rFonts w:eastAsia="Calibri"/>
                <w:szCs w:val="20"/>
                <w:rtl/>
              </w:rPr>
              <w:t xml:space="preserve"> </w:t>
            </w:r>
            <w:r w:rsidRPr="00DC5B13">
              <w:rPr>
                <w:rFonts w:eastAsia="Calibri" w:hint="eastAsia"/>
                <w:szCs w:val="20"/>
                <w:rtl/>
              </w:rPr>
              <w:t>מפני</w:t>
            </w:r>
            <w:r w:rsidRPr="00DC5B13">
              <w:rPr>
                <w:rFonts w:eastAsia="Calibri"/>
                <w:szCs w:val="20"/>
                <w:rtl/>
              </w:rPr>
              <w:t xml:space="preserve"> </w:t>
            </w:r>
            <w:r w:rsidRPr="00DC5B13">
              <w:rPr>
                <w:rFonts w:eastAsia="Calibri" w:hint="eastAsia"/>
                <w:szCs w:val="20"/>
                <w:rtl/>
              </w:rPr>
              <w:t>רעידות</w:t>
            </w:r>
            <w:r w:rsidRPr="00DC5B13">
              <w:rPr>
                <w:rFonts w:eastAsia="Calibri"/>
                <w:szCs w:val="20"/>
                <w:rtl/>
              </w:rPr>
              <w:t xml:space="preserve"> </w:t>
            </w:r>
            <w:r w:rsidRPr="00DC5B13">
              <w:rPr>
                <w:rFonts w:eastAsia="Calibri" w:hint="eastAsia"/>
                <w:szCs w:val="20"/>
                <w:rtl/>
              </w:rPr>
              <w:t>אדמה</w:t>
            </w:r>
            <w:r w:rsidRPr="00DC5B13">
              <w:rPr>
                <w:rFonts w:eastAsia="Calibri" w:hint="cs"/>
                <w:szCs w:val="20"/>
                <w:rtl/>
              </w:rPr>
              <w:t>;</w:t>
            </w:r>
            <w:r w:rsidRPr="00DC5B13">
              <w:rPr>
                <w:rFonts w:eastAsia="Calibri"/>
                <w:szCs w:val="20"/>
                <w:rtl/>
              </w:rPr>
              <w:t xml:space="preserve"> </w:t>
            </w:r>
            <w:r w:rsidRPr="00DC5B13">
              <w:rPr>
                <w:rFonts w:eastAsia="Calibri" w:hint="cs"/>
                <w:szCs w:val="20"/>
                <w:rtl/>
              </w:rPr>
              <w:t xml:space="preserve">הפחתת </w:t>
            </w:r>
            <w:r w:rsidRPr="00DC5B13">
              <w:rPr>
                <w:rFonts w:eastAsia="Calibri" w:hint="eastAsia"/>
                <w:szCs w:val="20"/>
                <w:rtl/>
              </w:rPr>
              <w:t>עומסי</w:t>
            </w:r>
            <w:r w:rsidRPr="00DC5B13">
              <w:rPr>
                <w:rFonts w:eastAsia="Calibri"/>
                <w:szCs w:val="20"/>
                <w:rtl/>
              </w:rPr>
              <w:t xml:space="preserve"> </w:t>
            </w:r>
            <w:r w:rsidRPr="00DC5B13">
              <w:rPr>
                <w:rFonts w:eastAsia="Calibri" w:hint="cs"/>
                <w:szCs w:val="20"/>
                <w:rtl/>
              </w:rPr>
              <w:t>ה</w:t>
            </w:r>
            <w:r w:rsidRPr="00DC5B13">
              <w:rPr>
                <w:rFonts w:eastAsia="Calibri" w:hint="eastAsia"/>
                <w:szCs w:val="20"/>
                <w:rtl/>
              </w:rPr>
              <w:t>תחבורה</w:t>
            </w:r>
            <w:r w:rsidRPr="00DC5B13">
              <w:rPr>
                <w:rFonts w:eastAsia="Calibri"/>
                <w:szCs w:val="20"/>
                <w:rtl/>
              </w:rPr>
              <w:t xml:space="preserve"> </w:t>
            </w:r>
            <w:r w:rsidRPr="00DC5B13">
              <w:rPr>
                <w:rFonts w:eastAsia="Calibri" w:hint="eastAsia"/>
                <w:szCs w:val="20"/>
                <w:rtl/>
              </w:rPr>
              <w:t>ותאונות</w:t>
            </w:r>
            <w:r w:rsidRPr="00DC5B13">
              <w:rPr>
                <w:rFonts w:eastAsia="Calibri"/>
                <w:szCs w:val="20"/>
                <w:rtl/>
              </w:rPr>
              <w:t xml:space="preserve"> </w:t>
            </w:r>
            <w:r w:rsidRPr="00DC5B13">
              <w:rPr>
                <w:rFonts w:eastAsia="Calibri" w:hint="cs"/>
                <w:szCs w:val="20"/>
                <w:rtl/>
              </w:rPr>
              <w:t>ה</w:t>
            </w:r>
            <w:r w:rsidRPr="00DC5B13">
              <w:rPr>
                <w:rFonts w:eastAsia="Calibri" w:hint="eastAsia"/>
                <w:szCs w:val="20"/>
                <w:rtl/>
              </w:rPr>
              <w:t>דרכים</w:t>
            </w:r>
            <w:r w:rsidRPr="00DC5B13">
              <w:rPr>
                <w:rFonts w:eastAsia="Calibri"/>
                <w:szCs w:val="20"/>
                <w:rtl/>
              </w:rPr>
              <w:t xml:space="preserve">; </w:t>
            </w:r>
          </w:p>
          <w:p w:rsidR="00DC5B13" w:rsidRPr="00DC5B13" w:rsidP="00C34B23">
            <w:pPr>
              <w:spacing w:line="269" w:lineRule="auto"/>
              <w:jc w:val="left"/>
              <w:rPr>
                <w:rFonts w:eastAsia="Calibri"/>
                <w:szCs w:val="20"/>
                <w:rtl/>
              </w:rPr>
            </w:pPr>
            <w:r w:rsidRPr="00DC5B13">
              <w:rPr>
                <w:rFonts w:eastAsia="Calibri" w:hint="eastAsia"/>
                <w:szCs w:val="20"/>
                <w:rtl/>
              </w:rPr>
              <w:t>יצירת</w:t>
            </w:r>
            <w:r w:rsidRPr="00DC5B13">
              <w:rPr>
                <w:rFonts w:eastAsia="Calibri"/>
                <w:szCs w:val="20"/>
                <w:rtl/>
              </w:rPr>
              <w:t xml:space="preserve"> </w:t>
            </w:r>
            <w:r w:rsidRPr="00DC5B13">
              <w:rPr>
                <w:rFonts w:eastAsia="Calibri" w:hint="cs"/>
                <w:szCs w:val="20"/>
                <w:rtl/>
              </w:rPr>
              <w:t>"</w:t>
            </w:r>
            <w:r w:rsidRPr="00DC5B13">
              <w:rPr>
                <w:rFonts w:eastAsia="Calibri"/>
                <w:szCs w:val="20"/>
                <w:rtl/>
              </w:rPr>
              <w:t xml:space="preserve">ערים </w:t>
            </w:r>
            <w:r w:rsidRPr="00DC5B13">
              <w:rPr>
                <w:rFonts w:eastAsia="Calibri" w:hint="eastAsia"/>
                <w:szCs w:val="20"/>
                <w:rtl/>
              </w:rPr>
              <w:t>בי</w:t>
            </w:r>
            <w:r w:rsidRPr="00DC5B13">
              <w:rPr>
                <w:rFonts w:eastAsia="Calibri" w:hint="cs"/>
                <w:szCs w:val="20"/>
                <w:rtl/>
              </w:rPr>
              <w:t>ן-</w:t>
            </w:r>
            <w:r w:rsidRPr="00DC5B13">
              <w:rPr>
                <w:rFonts w:eastAsia="Calibri" w:hint="eastAsia"/>
                <w:szCs w:val="20"/>
                <w:rtl/>
              </w:rPr>
              <w:t>לאומיות</w:t>
            </w:r>
            <w:r w:rsidRPr="00DC5B13">
              <w:rPr>
                <w:rFonts w:eastAsia="Calibri" w:hint="cs"/>
                <w:szCs w:val="20"/>
                <w:rtl/>
              </w:rPr>
              <w:t>"</w:t>
            </w:r>
            <w:r w:rsidRPr="00DC5B13">
              <w:rPr>
                <w:rFonts w:eastAsia="Calibri"/>
                <w:szCs w:val="20"/>
                <w:rtl/>
              </w:rPr>
              <w:t xml:space="preserve"> </w:t>
            </w:r>
            <w:r w:rsidRPr="00DC5B13">
              <w:rPr>
                <w:rFonts w:eastAsia="Calibri" w:hint="eastAsia"/>
                <w:szCs w:val="20"/>
                <w:rtl/>
              </w:rPr>
              <w:t>שיהיו</w:t>
            </w:r>
            <w:r w:rsidRPr="00DC5B13">
              <w:rPr>
                <w:rFonts w:eastAsia="Calibri"/>
                <w:szCs w:val="20"/>
                <w:rtl/>
              </w:rPr>
              <w:t xml:space="preserve"> </w:t>
            </w:r>
            <w:r w:rsidRPr="00DC5B13">
              <w:rPr>
                <w:rFonts w:eastAsia="Calibri" w:hint="eastAsia"/>
                <w:szCs w:val="20"/>
                <w:rtl/>
              </w:rPr>
              <w:t>בית</w:t>
            </w:r>
            <w:r w:rsidRPr="00DC5B13">
              <w:rPr>
                <w:rFonts w:eastAsia="Calibri"/>
                <w:szCs w:val="20"/>
                <w:rtl/>
              </w:rPr>
              <w:t xml:space="preserve"> </w:t>
            </w:r>
            <w:r w:rsidRPr="00DC5B13">
              <w:rPr>
                <w:rFonts w:eastAsia="Calibri" w:hint="eastAsia"/>
                <w:szCs w:val="20"/>
                <w:rtl/>
              </w:rPr>
              <w:t>למגוון</w:t>
            </w:r>
            <w:r w:rsidRPr="00DC5B13">
              <w:rPr>
                <w:rFonts w:eastAsia="Calibri"/>
                <w:szCs w:val="20"/>
                <w:rtl/>
              </w:rPr>
              <w:t xml:space="preserve"> </w:t>
            </w:r>
            <w:r w:rsidRPr="00DC5B13">
              <w:rPr>
                <w:rFonts w:eastAsia="Calibri" w:hint="eastAsia"/>
                <w:szCs w:val="20"/>
                <w:rtl/>
              </w:rPr>
              <w:t>רב</w:t>
            </w:r>
            <w:r w:rsidRPr="00DC5B13">
              <w:rPr>
                <w:rFonts w:eastAsia="Calibri"/>
                <w:szCs w:val="20"/>
                <w:rtl/>
              </w:rPr>
              <w:t xml:space="preserve"> </w:t>
            </w:r>
            <w:r w:rsidRPr="00DC5B13">
              <w:rPr>
                <w:rFonts w:eastAsia="Calibri" w:hint="eastAsia"/>
                <w:szCs w:val="20"/>
                <w:rtl/>
              </w:rPr>
              <w:t>של</w:t>
            </w:r>
            <w:r w:rsidRPr="00DC5B13">
              <w:rPr>
                <w:rFonts w:eastAsia="Calibri"/>
                <w:szCs w:val="20"/>
                <w:rtl/>
              </w:rPr>
              <w:t xml:space="preserve"> </w:t>
            </w:r>
            <w:r w:rsidRPr="00DC5B13">
              <w:rPr>
                <w:rFonts w:eastAsia="Calibri" w:hint="eastAsia"/>
                <w:szCs w:val="20"/>
                <w:rtl/>
              </w:rPr>
              <w:t>אנשים</w:t>
            </w:r>
            <w:r w:rsidRPr="00DC5B13">
              <w:rPr>
                <w:rFonts w:eastAsia="Calibri"/>
                <w:szCs w:val="20"/>
                <w:rtl/>
              </w:rPr>
              <w:t xml:space="preserve">; </w:t>
            </w:r>
            <w:r w:rsidRPr="00DC5B13">
              <w:rPr>
                <w:rFonts w:eastAsia="Calibri" w:hint="eastAsia"/>
                <w:szCs w:val="20"/>
                <w:rtl/>
              </w:rPr>
              <w:t>ארגון</w:t>
            </w:r>
            <w:r w:rsidRPr="00DC5B13">
              <w:rPr>
                <w:rFonts w:eastAsia="Calibri"/>
                <w:szCs w:val="20"/>
                <w:rtl/>
              </w:rPr>
              <w:t xml:space="preserve"> </w:t>
            </w:r>
            <w:r w:rsidRPr="00DC5B13">
              <w:rPr>
                <w:rFonts w:eastAsia="Calibri" w:hint="eastAsia"/>
                <w:szCs w:val="20"/>
                <w:rtl/>
              </w:rPr>
              <w:t>מחדש</w:t>
            </w:r>
            <w:r w:rsidRPr="00DC5B13">
              <w:rPr>
                <w:rFonts w:eastAsia="Calibri"/>
                <w:szCs w:val="20"/>
                <w:rtl/>
              </w:rPr>
              <w:t xml:space="preserve"> </w:t>
            </w:r>
            <w:r w:rsidRPr="00DC5B13">
              <w:rPr>
                <w:rFonts w:eastAsia="Calibri" w:hint="eastAsia"/>
                <w:szCs w:val="20"/>
                <w:rtl/>
              </w:rPr>
              <w:t>של</w:t>
            </w:r>
            <w:r w:rsidRPr="00DC5B13">
              <w:rPr>
                <w:rFonts w:eastAsia="Calibri"/>
                <w:szCs w:val="20"/>
                <w:rtl/>
              </w:rPr>
              <w:t xml:space="preserve"> </w:t>
            </w:r>
            <w:r w:rsidRPr="00DC5B13">
              <w:rPr>
                <w:rFonts w:eastAsia="Calibri" w:hint="eastAsia"/>
                <w:szCs w:val="20"/>
                <w:rtl/>
              </w:rPr>
              <w:t>התשתיות</w:t>
            </w:r>
            <w:r w:rsidRPr="00DC5B13">
              <w:rPr>
                <w:rFonts w:eastAsia="Calibri"/>
                <w:szCs w:val="20"/>
                <w:rtl/>
              </w:rPr>
              <w:t xml:space="preserve"> </w:t>
            </w:r>
            <w:r w:rsidRPr="00DC5B13">
              <w:rPr>
                <w:rFonts w:eastAsia="Calibri" w:hint="eastAsia"/>
                <w:szCs w:val="20"/>
                <w:rtl/>
              </w:rPr>
              <w:t>הציבוריות</w:t>
            </w:r>
            <w:r w:rsidRPr="00DC5B13">
              <w:rPr>
                <w:rFonts w:eastAsia="Calibri"/>
                <w:szCs w:val="20"/>
                <w:rtl/>
              </w:rPr>
              <w:t xml:space="preserve"> </w:t>
            </w:r>
            <w:r w:rsidRPr="00DC5B13">
              <w:rPr>
                <w:rFonts w:eastAsia="Calibri" w:hint="eastAsia"/>
                <w:szCs w:val="20"/>
                <w:rtl/>
              </w:rPr>
              <w:t>תוך</w:t>
            </w:r>
            <w:r w:rsidRPr="00DC5B13">
              <w:rPr>
                <w:rFonts w:eastAsia="Calibri"/>
                <w:szCs w:val="20"/>
                <w:rtl/>
              </w:rPr>
              <w:t xml:space="preserve"> </w:t>
            </w:r>
            <w:r w:rsidRPr="00DC5B13">
              <w:rPr>
                <w:rFonts w:eastAsia="Calibri" w:hint="eastAsia"/>
                <w:szCs w:val="20"/>
                <w:rtl/>
              </w:rPr>
              <w:t>ניצול</w:t>
            </w:r>
            <w:r w:rsidRPr="00DC5B13">
              <w:rPr>
                <w:rFonts w:eastAsia="Calibri"/>
                <w:szCs w:val="20"/>
                <w:rtl/>
              </w:rPr>
              <w:t xml:space="preserve"> </w:t>
            </w:r>
            <w:r w:rsidRPr="00DC5B13">
              <w:rPr>
                <w:rFonts w:eastAsia="Calibri" w:hint="eastAsia"/>
                <w:szCs w:val="20"/>
                <w:rtl/>
              </w:rPr>
              <w:t>רווחים</w:t>
            </w:r>
            <w:r w:rsidRPr="00DC5B13">
              <w:rPr>
                <w:rFonts w:eastAsia="Calibri"/>
                <w:szCs w:val="20"/>
                <w:rtl/>
              </w:rPr>
              <w:t xml:space="preserve"> </w:t>
            </w:r>
            <w:r w:rsidRPr="00DC5B13">
              <w:rPr>
                <w:rFonts w:eastAsia="Calibri" w:hint="eastAsia"/>
                <w:szCs w:val="20"/>
                <w:rtl/>
              </w:rPr>
              <w:t>ממכירת</w:t>
            </w:r>
            <w:r w:rsidRPr="00DC5B13">
              <w:rPr>
                <w:rFonts w:eastAsia="Calibri"/>
                <w:szCs w:val="20"/>
                <w:rtl/>
              </w:rPr>
              <w:t xml:space="preserve"> </w:t>
            </w:r>
            <w:r w:rsidRPr="00DC5B13">
              <w:rPr>
                <w:rFonts w:eastAsia="Calibri" w:hint="cs"/>
                <w:szCs w:val="20"/>
                <w:rtl/>
              </w:rPr>
              <w:t>ה</w:t>
            </w:r>
            <w:r w:rsidRPr="00DC5B13">
              <w:rPr>
                <w:rFonts w:eastAsia="Calibri" w:hint="eastAsia"/>
                <w:szCs w:val="20"/>
                <w:rtl/>
              </w:rPr>
              <w:t>קרקעות</w:t>
            </w:r>
            <w:r w:rsidRPr="00DC5B13">
              <w:rPr>
                <w:rFonts w:eastAsia="Calibri"/>
                <w:szCs w:val="20"/>
                <w:rtl/>
              </w:rPr>
              <w:t>;</w:t>
            </w:r>
            <w:r w:rsidRPr="00DC5B13">
              <w:rPr>
                <w:rFonts w:eastAsia="Calibri" w:hint="cs"/>
                <w:szCs w:val="20"/>
                <w:rtl/>
              </w:rPr>
              <w:t xml:space="preserve"> </w:t>
            </w:r>
          </w:p>
          <w:p w:rsidR="00DC5B13" w:rsidRPr="00DC5B13" w:rsidP="00C34B23">
            <w:pPr>
              <w:spacing w:line="269" w:lineRule="auto"/>
              <w:jc w:val="left"/>
              <w:rPr>
                <w:rFonts w:eastAsia="Calibri"/>
                <w:szCs w:val="20"/>
                <w:rtl/>
              </w:rPr>
            </w:pPr>
            <w:r w:rsidRPr="00DC5B13">
              <w:rPr>
                <w:rFonts w:eastAsia="Calibri" w:hint="eastAsia"/>
                <w:szCs w:val="20"/>
                <w:rtl/>
              </w:rPr>
              <w:t>השקעה</w:t>
            </w:r>
            <w:r w:rsidRPr="00DC5B13">
              <w:rPr>
                <w:rFonts w:eastAsia="Calibri"/>
                <w:szCs w:val="20"/>
                <w:rtl/>
              </w:rPr>
              <w:t xml:space="preserve"> </w:t>
            </w:r>
            <w:r w:rsidRPr="00DC5B13">
              <w:rPr>
                <w:rFonts w:eastAsia="Calibri" w:hint="eastAsia"/>
                <w:szCs w:val="20"/>
                <w:rtl/>
              </w:rPr>
              <w:t>באיכות</w:t>
            </w:r>
            <w:r w:rsidRPr="00DC5B13">
              <w:rPr>
                <w:rFonts w:eastAsia="Calibri"/>
                <w:szCs w:val="20"/>
                <w:rtl/>
              </w:rPr>
              <w:t xml:space="preserve"> </w:t>
            </w:r>
            <w:r w:rsidRPr="00DC5B13">
              <w:rPr>
                <w:rFonts w:eastAsia="Calibri" w:hint="eastAsia"/>
                <w:szCs w:val="20"/>
                <w:rtl/>
              </w:rPr>
              <w:t>חיי</w:t>
            </w:r>
            <w:r w:rsidRPr="00DC5B13">
              <w:rPr>
                <w:rFonts w:eastAsia="Calibri"/>
                <w:szCs w:val="20"/>
                <w:rtl/>
              </w:rPr>
              <w:t xml:space="preserve"> </w:t>
            </w:r>
            <w:r w:rsidRPr="00DC5B13">
              <w:rPr>
                <w:rFonts w:eastAsia="Calibri" w:hint="eastAsia"/>
                <w:szCs w:val="20"/>
                <w:rtl/>
              </w:rPr>
              <w:t>התושבים</w:t>
            </w:r>
            <w:r w:rsidRPr="00DC5B13">
              <w:rPr>
                <w:rFonts w:eastAsia="Calibri"/>
                <w:szCs w:val="20"/>
                <w:rtl/>
              </w:rPr>
              <w:t xml:space="preserve"> </w:t>
            </w:r>
            <w:r w:rsidRPr="00DC5B13">
              <w:rPr>
                <w:rFonts w:eastAsia="Calibri" w:hint="eastAsia"/>
                <w:szCs w:val="20"/>
                <w:rtl/>
              </w:rPr>
              <w:t>בעזרת</w:t>
            </w:r>
            <w:r w:rsidRPr="00DC5B13">
              <w:rPr>
                <w:rFonts w:eastAsia="Calibri"/>
                <w:szCs w:val="20"/>
                <w:rtl/>
              </w:rPr>
              <w:t xml:space="preserve"> </w:t>
            </w:r>
            <w:r w:rsidRPr="00DC5B13">
              <w:rPr>
                <w:rFonts w:eastAsia="Calibri" w:hint="eastAsia"/>
                <w:szCs w:val="20"/>
                <w:rtl/>
              </w:rPr>
              <w:t>פיתוח</w:t>
            </w:r>
            <w:r w:rsidRPr="00DC5B13">
              <w:rPr>
                <w:rFonts w:eastAsia="Calibri"/>
                <w:szCs w:val="20"/>
                <w:rtl/>
              </w:rPr>
              <w:t xml:space="preserve"> </w:t>
            </w:r>
            <w:r w:rsidRPr="00DC5B13">
              <w:rPr>
                <w:rFonts w:eastAsia="Calibri" w:hint="eastAsia"/>
                <w:szCs w:val="20"/>
                <w:rtl/>
              </w:rPr>
              <w:t>תעשיות</w:t>
            </w:r>
            <w:r w:rsidRPr="00DC5B13">
              <w:rPr>
                <w:rFonts w:eastAsia="Calibri"/>
                <w:szCs w:val="20"/>
                <w:rtl/>
              </w:rPr>
              <w:t xml:space="preserve"> </w:t>
            </w:r>
            <w:r w:rsidRPr="00DC5B13">
              <w:rPr>
                <w:rFonts w:eastAsia="Calibri" w:hint="eastAsia"/>
                <w:szCs w:val="20"/>
                <w:rtl/>
              </w:rPr>
              <w:t>מתקדמות</w:t>
            </w:r>
            <w:r w:rsidRPr="00DC5B13">
              <w:rPr>
                <w:rFonts w:eastAsia="Calibri"/>
                <w:szCs w:val="20"/>
                <w:rtl/>
              </w:rPr>
              <w:t xml:space="preserve"> </w:t>
            </w:r>
            <w:r w:rsidRPr="00DC5B13">
              <w:rPr>
                <w:rFonts w:eastAsia="Calibri" w:hint="eastAsia"/>
                <w:szCs w:val="20"/>
                <w:rtl/>
              </w:rPr>
              <w:t>ומערך</w:t>
            </w:r>
            <w:r w:rsidRPr="00DC5B13">
              <w:rPr>
                <w:rFonts w:eastAsia="Calibri"/>
                <w:szCs w:val="20"/>
                <w:rtl/>
              </w:rPr>
              <w:t xml:space="preserve"> </w:t>
            </w:r>
            <w:r w:rsidRPr="00DC5B13">
              <w:rPr>
                <w:rFonts w:eastAsia="Calibri" w:hint="eastAsia"/>
                <w:szCs w:val="20"/>
                <w:rtl/>
              </w:rPr>
              <w:t>שירותים</w:t>
            </w:r>
            <w:r w:rsidRPr="00DC5B13">
              <w:rPr>
                <w:rFonts w:eastAsia="Calibri"/>
                <w:szCs w:val="20"/>
                <w:rtl/>
              </w:rPr>
              <w:t xml:space="preserve"> </w:t>
            </w:r>
            <w:r w:rsidRPr="00DC5B13">
              <w:rPr>
                <w:rFonts w:eastAsia="Calibri" w:hint="eastAsia"/>
                <w:szCs w:val="20"/>
                <w:rtl/>
              </w:rPr>
              <w:t>ותמיכה</w:t>
            </w:r>
          </w:p>
        </w:tc>
        <w:tc>
          <w:tcPr>
            <w:tcW w:w="1777" w:type="dxa"/>
          </w:tcPr>
          <w:p w:rsidR="00DC5B13" w:rsidRPr="00DC5B13" w:rsidP="00C34B23">
            <w:pPr>
              <w:spacing w:line="269" w:lineRule="auto"/>
              <w:jc w:val="left"/>
              <w:rPr>
                <w:rFonts w:eastAsia="Calibri"/>
                <w:szCs w:val="20"/>
                <w:rtl/>
              </w:rPr>
            </w:pPr>
            <w:r w:rsidRPr="00DC5B13">
              <w:rPr>
                <w:rFonts w:eastAsia="Calibri" w:hint="cs"/>
                <w:szCs w:val="20"/>
                <w:rtl/>
              </w:rPr>
              <w:t>יעדים כמותיים למספר יחידות הדיור המאושרות בתוכניות להתחדשות עירונית ולמספר הדירות שייבנו במיזמים אלה בכל שנה;</w:t>
            </w:r>
          </w:p>
          <w:p w:rsidR="00DC5B13" w:rsidRPr="00DC5B13" w:rsidP="00C34B23">
            <w:pPr>
              <w:spacing w:line="269" w:lineRule="auto"/>
              <w:jc w:val="left"/>
              <w:rPr>
                <w:rFonts w:eastAsia="Calibri"/>
                <w:szCs w:val="20"/>
                <w:rtl/>
              </w:rPr>
            </w:pPr>
            <w:r w:rsidRPr="00DC5B13">
              <w:rPr>
                <w:rFonts w:eastAsia="Calibri" w:hint="cs"/>
                <w:szCs w:val="20"/>
                <w:rtl/>
              </w:rPr>
              <w:t>הסרת חסמים וסיוע לקידום התכנון והביצוע של מתחמי התחדשות עירונית</w:t>
            </w:r>
          </w:p>
        </w:tc>
      </w:tr>
      <w:tr w:rsidTr="000E4CC0">
        <w:tblPrEx>
          <w:tblW w:w="8310" w:type="dxa"/>
          <w:tblInd w:w="50" w:type="dxa"/>
          <w:tblLook w:val="04A0"/>
        </w:tblPrEx>
        <w:tc>
          <w:tcPr>
            <w:tcW w:w="1634" w:type="dxa"/>
          </w:tcPr>
          <w:p w:rsidR="00DC5B13" w:rsidRPr="00DC5B13" w:rsidP="00C34B23">
            <w:pPr>
              <w:spacing w:line="269" w:lineRule="auto"/>
              <w:jc w:val="left"/>
              <w:rPr>
                <w:rFonts w:eastAsia="Calibri"/>
                <w:sz w:val="18"/>
                <w:szCs w:val="22"/>
                <w:rtl/>
              </w:rPr>
            </w:pPr>
            <w:r w:rsidRPr="00DC5B13">
              <w:rPr>
                <w:rFonts w:eastAsia="Calibri" w:hint="cs"/>
                <w:sz w:val="18"/>
                <w:szCs w:val="22"/>
                <w:rtl/>
              </w:rPr>
              <w:t>ביזור סמכויות לרשויות המקומיות במסגרת המדיניות</w:t>
            </w:r>
          </w:p>
        </w:tc>
        <w:tc>
          <w:tcPr>
            <w:tcW w:w="1633" w:type="dxa"/>
          </w:tcPr>
          <w:p w:rsidR="00DC5B13" w:rsidRPr="00DC5B13" w:rsidP="00C34B23">
            <w:pPr>
              <w:spacing w:line="269" w:lineRule="auto"/>
              <w:jc w:val="left"/>
              <w:rPr>
                <w:rFonts w:eastAsia="Calibri"/>
                <w:szCs w:val="20"/>
                <w:rtl/>
              </w:rPr>
            </w:pPr>
            <w:r w:rsidRPr="00DC5B13">
              <w:rPr>
                <w:rFonts w:eastAsia="Calibri" w:hint="cs"/>
                <w:szCs w:val="20"/>
                <w:rtl/>
              </w:rPr>
              <w:t>האצלת סמכויות תכנון, הפקעה, אכיפה ופיקוח וסמכות להשית עיצומים</w:t>
            </w:r>
          </w:p>
        </w:tc>
        <w:tc>
          <w:tcPr>
            <w:tcW w:w="1633" w:type="dxa"/>
          </w:tcPr>
          <w:p w:rsidR="00DC5B13" w:rsidRPr="00DC5B13" w:rsidP="00C34B23">
            <w:pPr>
              <w:spacing w:line="269" w:lineRule="auto"/>
              <w:jc w:val="left"/>
              <w:rPr>
                <w:rFonts w:eastAsia="Calibri"/>
                <w:szCs w:val="20"/>
                <w:rtl/>
              </w:rPr>
            </w:pPr>
            <w:r w:rsidRPr="00DC5B13">
              <w:rPr>
                <w:rFonts w:eastAsia="Calibri" w:hint="cs"/>
                <w:szCs w:val="20"/>
                <w:rtl/>
              </w:rPr>
              <w:t>האצלת סמכויות תכנון, הפחתת האסדרה מטעם המדינה</w:t>
            </w:r>
          </w:p>
        </w:tc>
        <w:tc>
          <w:tcPr>
            <w:tcW w:w="1633" w:type="dxa"/>
          </w:tcPr>
          <w:p w:rsidR="00DC5B13" w:rsidRPr="00DC5B13" w:rsidP="00C34B23">
            <w:pPr>
              <w:spacing w:line="269" w:lineRule="auto"/>
              <w:jc w:val="left"/>
              <w:rPr>
                <w:rFonts w:eastAsia="Calibri"/>
                <w:szCs w:val="20"/>
                <w:rtl/>
              </w:rPr>
            </w:pPr>
            <w:r w:rsidRPr="00DC5B13">
              <w:rPr>
                <w:rFonts w:eastAsia="Calibri" w:hint="cs"/>
                <w:szCs w:val="20"/>
                <w:rtl/>
              </w:rPr>
              <w:t>תיעדוף של "עצמאות מוניציפלית להעצמת היצירתיות בניצול משאביהן".</w:t>
            </w:r>
          </w:p>
        </w:tc>
        <w:tc>
          <w:tcPr>
            <w:tcW w:w="1777" w:type="dxa"/>
          </w:tcPr>
          <w:p w:rsidR="00DC5B13" w:rsidRPr="00DC5B13" w:rsidP="00C34B23">
            <w:pPr>
              <w:spacing w:line="269" w:lineRule="auto"/>
              <w:jc w:val="left"/>
              <w:rPr>
                <w:rFonts w:eastAsia="Calibri"/>
                <w:szCs w:val="20"/>
                <w:rtl/>
              </w:rPr>
            </w:pPr>
            <w:r w:rsidRPr="00DC5B13">
              <w:rPr>
                <w:rFonts w:eastAsia="Calibri" w:hint="cs"/>
                <w:szCs w:val="20"/>
                <w:rtl/>
              </w:rPr>
              <w:t>הענקת סמכויות לוועדות מקומיות במעמד ועדה עצמאית מיוחדת** לאישור תוכניות לפינוי ובינוי.</w:t>
            </w:r>
          </w:p>
        </w:tc>
      </w:tr>
    </w:tbl>
    <w:p w:rsidR="00DC5B13" w:rsidRPr="00DC5B13" w:rsidP="00C34B23">
      <w:pPr>
        <w:spacing w:line="269" w:lineRule="auto"/>
        <w:rPr>
          <w:rFonts w:eastAsia="Calibri"/>
          <w:szCs w:val="20"/>
          <w:rtl/>
        </w:rPr>
      </w:pPr>
      <w:r w:rsidRPr="00DC5B13">
        <w:rPr>
          <w:rFonts w:eastAsia="Calibri"/>
          <w:szCs w:val="20"/>
          <w:rtl/>
        </w:rPr>
        <w:t xml:space="preserve">* </w:t>
      </w:r>
      <w:r w:rsidRPr="00DC5B13">
        <w:rPr>
          <w:rFonts w:eastAsia="Calibri" w:hint="eastAsia"/>
          <w:szCs w:val="20"/>
          <w:rtl/>
        </w:rPr>
        <w:t>לגבי</w:t>
      </w:r>
      <w:r w:rsidRPr="00DC5B13">
        <w:rPr>
          <w:rFonts w:eastAsia="Calibri"/>
          <w:szCs w:val="20"/>
          <w:rtl/>
        </w:rPr>
        <w:t xml:space="preserve"> </w:t>
      </w:r>
      <w:r w:rsidRPr="00DC5B13">
        <w:rPr>
          <w:rFonts w:eastAsia="Calibri" w:hint="eastAsia"/>
          <w:szCs w:val="20"/>
          <w:rtl/>
        </w:rPr>
        <w:t>הולנד</w:t>
      </w:r>
      <w:r w:rsidRPr="00DC5B13">
        <w:rPr>
          <w:rFonts w:eastAsia="Calibri"/>
          <w:szCs w:val="20"/>
          <w:rtl/>
        </w:rPr>
        <w:t xml:space="preserve"> </w:t>
      </w:r>
      <w:r w:rsidRPr="00DC5B13">
        <w:rPr>
          <w:rFonts w:eastAsia="Calibri" w:hint="eastAsia"/>
          <w:szCs w:val="20"/>
          <w:rtl/>
        </w:rPr>
        <w:t>מצוינת</w:t>
      </w:r>
      <w:r w:rsidRPr="00DC5B13">
        <w:rPr>
          <w:rFonts w:eastAsia="Calibri"/>
          <w:szCs w:val="20"/>
          <w:rtl/>
        </w:rPr>
        <w:t xml:space="preserve"> </w:t>
      </w:r>
      <w:r w:rsidRPr="00DC5B13">
        <w:rPr>
          <w:rFonts w:eastAsia="Calibri" w:hint="eastAsia"/>
          <w:szCs w:val="20"/>
          <w:rtl/>
        </w:rPr>
        <w:t>השנה</w:t>
      </w:r>
      <w:r w:rsidRPr="00DC5B13">
        <w:rPr>
          <w:rFonts w:eastAsia="Calibri"/>
          <w:szCs w:val="20"/>
          <w:rtl/>
        </w:rPr>
        <w:t xml:space="preserve"> </w:t>
      </w:r>
      <w:r w:rsidRPr="00DC5B13">
        <w:rPr>
          <w:rFonts w:eastAsia="Calibri" w:hint="eastAsia"/>
          <w:szCs w:val="20"/>
          <w:rtl/>
        </w:rPr>
        <w:t>שבה</w:t>
      </w:r>
      <w:r w:rsidRPr="00DC5B13">
        <w:rPr>
          <w:rFonts w:eastAsia="Calibri"/>
          <w:szCs w:val="20"/>
          <w:rtl/>
        </w:rPr>
        <w:t xml:space="preserve"> </w:t>
      </w:r>
      <w:r w:rsidRPr="00DC5B13">
        <w:rPr>
          <w:rFonts w:eastAsia="Calibri" w:hint="eastAsia"/>
          <w:szCs w:val="20"/>
          <w:rtl/>
        </w:rPr>
        <w:t>חל</w:t>
      </w:r>
      <w:r w:rsidRPr="00DC5B13">
        <w:rPr>
          <w:rFonts w:eastAsia="Calibri"/>
          <w:szCs w:val="20"/>
          <w:rtl/>
        </w:rPr>
        <w:t xml:space="preserve"> </w:t>
      </w:r>
      <w:r w:rsidRPr="00DC5B13">
        <w:rPr>
          <w:rFonts w:eastAsia="Calibri" w:hint="eastAsia"/>
          <w:szCs w:val="20"/>
          <w:rtl/>
        </w:rPr>
        <w:t>שינוי</w:t>
      </w:r>
      <w:r w:rsidRPr="00DC5B13">
        <w:rPr>
          <w:rFonts w:eastAsia="Calibri"/>
          <w:szCs w:val="20"/>
          <w:rtl/>
        </w:rPr>
        <w:t xml:space="preserve"> </w:t>
      </w:r>
      <w:r w:rsidRPr="00DC5B13">
        <w:rPr>
          <w:rFonts w:eastAsia="Calibri" w:hint="eastAsia"/>
          <w:szCs w:val="20"/>
          <w:rtl/>
        </w:rPr>
        <w:t>במדיניות</w:t>
      </w:r>
      <w:r w:rsidRPr="00DC5B13">
        <w:rPr>
          <w:rFonts w:eastAsia="Calibri"/>
          <w:szCs w:val="20"/>
          <w:rtl/>
        </w:rPr>
        <w:t xml:space="preserve"> </w:t>
      </w:r>
      <w:r w:rsidRPr="00DC5B13">
        <w:rPr>
          <w:rFonts w:eastAsia="Calibri" w:hint="eastAsia"/>
          <w:szCs w:val="20"/>
          <w:rtl/>
        </w:rPr>
        <w:t>הממשלה</w:t>
      </w:r>
      <w:r w:rsidRPr="00DC5B13">
        <w:rPr>
          <w:rFonts w:eastAsia="Calibri"/>
          <w:szCs w:val="20"/>
          <w:rtl/>
        </w:rPr>
        <w:t xml:space="preserve"> </w:t>
      </w:r>
      <w:r w:rsidRPr="00DC5B13">
        <w:rPr>
          <w:rFonts w:eastAsia="Calibri" w:hint="eastAsia"/>
          <w:szCs w:val="20"/>
          <w:rtl/>
        </w:rPr>
        <w:t>בהתבסס</w:t>
      </w:r>
      <w:r w:rsidRPr="00DC5B13">
        <w:rPr>
          <w:rFonts w:eastAsia="Calibri"/>
          <w:szCs w:val="20"/>
          <w:rtl/>
        </w:rPr>
        <w:t xml:space="preserve"> </w:t>
      </w:r>
      <w:r w:rsidRPr="00DC5B13">
        <w:rPr>
          <w:rFonts w:eastAsia="Calibri" w:hint="eastAsia"/>
          <w:szCs w:val="20"/>
          <w:rtl/>
        </w:rPr>
        <w:t>על</w:t>
      </w:r>
      <w:r w:rsidRPr="00DC5B13">
        <w:rPr>
          <w:rFonts w:eastAsia="Calibri"/>
          <w:szCs w:val="20"/>
          <w:rtl/>
        </w:rPr>
        <w:t xml:space="preserve"> </w:t>
      </w:r>
      <w:r w:rsidRPr="00DC5B13">
        <w:rPr>
          <w:rFonts w:eastAsia="Calibri" w:hint="eastAsia"/>
          <w:szCs w:val="20"/>
          <w:rtl/>
        </w:rPr>
        <w:t>המחקרים</w:t>
      </w:r>
      <w:r w:rsidRPr="00DC5B13">
        <w:rPr>
          <w:rFonts w:eastAsia="Calibri"/>
          <w:szCs w:val="20"/>
          <w:rtl/>
        </w:rPr>
        <w:t xml:space="preserve"> </w:t>
      </w:r>
      <w:r w:rsidRPr="00DC5B13">
        <w:rPr>
          <w:rFonts w:eastAsia="Calibri" w:hint="eastAsia"/>
          <w:szCs w:val="20"/>
          <w:rtl/>
        </w:rPr>
        <w:t>שתוארו</w:t>
      </w:r>
      <w:r w:rsidRPr="00DC5B13">
        <w:rPr>
          <w:rFonts w:eastAsia="Calibri"/>
          <w:szCs w:val="20"/>
          <w:rtl/>
        </w:rPr>
        <w:t xml:space="preserve"> </w:t>
      </w:r>
      <w:r w:rsidRPr="00DC5B13">
        <w:rPr>
          <w:rFonts w:eastAsia="Calibri" w:hint="eastAsia"/>
          <w:szCs w:val="20"/>
          <w:rtl/>
        </w:rPr>
        <w:t>לעיל</w:t>
      </w:r>
      <w:r w:rsidRPr="00DC5B13">
        <w:rPr>
          <w:rFonts w:eastAsia="Calibri"/>
          <w:szCs w:val="20"/>
          <w:rtl/>
        </w:rPr>
        <w:t xml:space="preserve">. </w:t>
      </w:r>
    </w:p>
    <w:p w:rsidR="00DC5B13" w:rsidRPr="00DC5B13" w:rsidP="00C34B23">
      <w:pPr>
        <w:spacing w:line="269" w:lineRule="auto"/>
        <w:rPr>
          <w:rFonts w:eastAsia="Calibri"/>
          <w:szCs w:val="20"/>
          <w:rtl/>
        </w:rPr>
      </w:pPr>
      <w:r w:rsidRPr="00DC5B13">
        <w:rPr>
          <w:rFonts w:eastAsia="Calibri" w:hint="cs"/>
          <w:szCs w:val="20"/>
          <w:rtl/>
        </w:rPr>
        <w:t>** ועדה מקומית עצמאית מיוחדת היא ועדה מקומית בעלת סמכויות תכנון נוספות על אלה של ועדה מקומית רגילה, המוענקות לה מכוח עמידתה בדרישות המפורטות בסעיף 31א(א) לחוק התכנון והבנייה. בין הסמכויות הנוספות נכללת הסמכות לאשר תוכניות לפינוי ולבינוי במתחמים שהוכרזו על ידי הרשות להתחדשות או לאזור בשטח המיועד לבינוי לפי תוכנית שקבעה הוועדה המחוזית לעניין זה.</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rtl/>
        </w:rPr>
      </w:pPr>
      <w:r w:rsidRPr="00DC5B13">
        <w:rPr>
          <w:rFonts w:eastAsia="Calibri" w:hint="eastAsia"/>
          <w:rtl/>
        </w:rPr>
        <w:t>מההשוואה</w:t>
      </w:r>
      <w:r w:rsidRPr="00DC5B13">
        <w:rPr>
          <w:rFonts w:eastAsia="Calibri"/>
          <w:rtl/>
        </w:rPr>
        <w:t xml:space="preserve"> </w:t>
      </w:r>
      <w:r w:rsidRPr="00DC5B13">
        <w:rPr>
          <w:rFonts w:eastAsia="Calibri" w:hint="eastAsia"/>
          <w:rtl/>
        </w:rPr>
        <w:t>שהוצגה</w:t>
      </w:r>
      <w:r w:rsidRPr="00DC5B13">
        <w:rPr>
          <w:rFonts w:eastAsia="Calibri"/>
          <w:rtl/>
        </w:rPr>
        <w:t xml:space="preserve"> </w:t>
      </w:r>
      <w:r w:rsidRPr="00DC5B13">
        <w:rPr>
          <w:rFonts w:eastAsia="Calibri" w:hint="eastAsia"/>
          <w:rtl/>
        </w:rPr>
        <w:t>לעיל</w:t>
      </w:r>
      <w:r w:rsidRPr="00DC5B13">
        <w:rPr>
          <w:rFonts w:eastAsia="Calibri"/>
          <w:rtl/>
        </w:rPr>
        <w:t xml:space="preserve"> </w:t>
      </w:r>
      <w:r w:rsidRPr="00DC5B13">
        <w:rPr>
          <w:rFonts w:eastAsia="Calibri" w:hint="eastAsia"/>
          <w:rtl/>
        </w:rPr>
        <w:t>עולה</w:t>
      </w:r>
      <w:r w:rsidRPr="00DC5B13">
        <w:rPr>
          <w:rFonts w:eastAsia="Calibri"/>
          <w:rtl/>
        </w:rPr>
        <w:t xml:space="preserve"> </w:t>
      </w:r>
      <w:r w:rsidRPr="00DC5B13">
        <w:rPr>
          <w:rFonts w:eastAsia="Calibri" w:hint="eastAsia"/>
          <w:rtl/>
        </w:rPr>
        <w:t>כי</w:t>
      </w:r>
      <w:r w:rsidRPr="00DC5B13">
        <w:rPr>
          <w:rFonts w:eastAsia="Calibri"/>
          <w:rtl/>
        </w:rPr>
        <w:t xml:space="preserve"> </w:t>
      </w:r>
      <w:r w:rsidRPr="00DC5B13">
        <w:rPr>
          <w:rFonts w:eastAsia="Calibri" w:hint="eastAsia"/>
          <w:rtl/>
        </w:rPr>
        <w:t>למרות</w:t>
      </w:r>
      <w:r w:rsidRPr="00DC5B13">
        <w:rPr>
          <w:rFonts w:eastAsia="Calibri"/>
          <w:rtl/>
        </w:rPr>
        <w:t xml:space="preserve"> </w:t>
      </w:r>
      <w:r w:rsidRPr="00DC5B13">
        <w:rPr>
          <w:rFonts w:eastAsia="Calibri" w:hint="eastAsia"/>
          <w:rtl/>
        </w:rPr>
        <w:t>קווי</w:t>
      </w:r>
      <w:r w:rsidRPr="00DC5B13">
        <w:rPr>
          <w:rFonts w:eastAsia="Calibri"/>
          <w:rtl/>
        </w:rPr>
        <w:t xml:space="preserve"> </w:t>
      </w:r>
      <w:r w:rsidRPr="00DC5B13">
        <w:rPr>
          <w:rFonts w:eastAsia="Calibri" w:hint="eastAsia"/>
          <w:rtl/>
        </w:rPr>
        <w:t>הדמיון</w:t>
      </w:r>
      <w:r w:rsidRPr="00DC5B13">
        <w:rPr>
          <w:rFonts w:eastAsia="Calibri"/>
          <w:rtl/>
        </w:rPr>
        <w:t xml:space="preserve"> </w:t>
      </w:r>
      <w:r w:rsidRPr="00DC5B13">
        <w:rPr>
          <w:rFonts w:eastAsia="Calibri" w:hint="eastAsia"/>
          <w:rtl/>
        </w:rPr>
        <w:t>בין</w:t>
      </w:r>
      <w:r w:rsidRPr="00DC5B13">
        <w:rPr>
          <w:rFonts w:eastAsia="Calibri"/>
          <w:rtl/>
        </w:rPr>
        <w:t xml:space="preserve"> </w:t>
      </w:r>
      <w:r w:rsidRPr="00DC5B13">
        <w:rPr>
          <w:rFonts w:eastAsia="Calibri" w:hint="eastAsia"/>
          <w:rtl/>
        </w:rPr>
        <w:t>המטרות</w:t>
      </w:r>
      <w:r w:rsidRPr="00DC5B13">
        <w:rPr>
          <w:rFonts w:eastAsia="Calibri"/>
          <w:rtl/>
        </w:rPr>
        <w:t xml:space="preserve"> </w:t>
      </w:r>
      <w:r w:rsidRPr="00DC5B13">
        <w:rPr>
          <w:rFonts w:eastAsia="Calibri" w:hint="eastAsia"/>
          <w:rtl/>
        </w:rPr>
        <w:t>לקידום</w:t>
      </w:r>
      <w:r w:rsidRPr="00DC5B13">
        <w:rPr>
          <w:rFonts w:eastAsia="Calibri"/>
          <w:rtl/>
        </w:rPr>
        <w:t xml:space="preserve"> </w:t>
      </w:r>
      <w:r w:rsidRPr="00DC5B13">
        <w:rPr>
          <w:rFonts w:eastAsia="Calibri" w:hint="eastAsia"/>
          <w:rtl/>
        </w:rPr>
        <w:t>מדיניות</w:t>
      </w:r>
      <w:r w:rsidRPr="00DC5B13">
        <w:rPr>
          <w:rFonts w:eastAsia="Calibri"/>
          <w:rtl/>
        </w:rPr>
        <w:t xml:space="preserve"> </w:t>
      </w:r>
      <w:r w:rsidRPr="00DC5B13">
        <w:rPr>
          <w:rFonts w:eastAsia="Calibri" w:hint="eastAsia"/>
          <w:rtl/>
        </w:rPr>
        <w:t>להתחדשות</w:t>
      </w:r>
      <w:r w:rsidRPr="00DC5B13">
        <w:rPr>
          <w:rFonts w:eastAsia="Calibri"/>
          <w:rtl/>
        </w:rPr>
        <w:t xml:space="preserve"> </w:t>
      </w:r>
      <w:r w:rsidRPr="00DC5B13">
        <w:rPr>
          <w:rFonts w:eastAsia="Calibri" w:hint="eastAsia"/>
          <w:rtl/>
        </w:rPr>
        <w:t>עירונית</w:t>
      </w:r>
      <w:r w:rsidRPr="00DC5B13">
        <w:rPr>
          <w:rFonts w:eastAsia="Calibri"/>
          <w:rtl/>
        </w:rPr>
        <w:t xml:space="preserve"> </w:t>
      </w:r>
      <w:r w:rsidRPr="00DC5B13">
        <w:rPr>
          <w:rFonts w:eastAsia="Calibri" w:hint="eastAsia"/>
          <w:rtl/>
        </w:rPr>
        <w:t>במדינות</w:t>
      </w:r>
      <w:r w:rsidRPr="00DC5B13">
        <w:rPr>
          <w:rFonts w:eastAsia="Calibri"/>
          <w:rtl/>
        </w:rPr>
        <w:t xml:space="preserve"> </w:t>
      </w:r>
      <w:r w:rsidRPr="00DC5B13">
        <w:rPr>
          <w:rFonts w:eastAsia="Calibri" w:hint="eastAsia"/>
          <w:rtl/>
        </w:rPr>
        <w:t>שנסקרו</w:t>
      </w:r>
      <w:r w:rsidRPr="00DC5B13">
        <w:rPr>
          <w:rFonts w:eastAsia="Calibri"/>
          <w:rtl/>
        </w:rPr>
        <w:t xml:space="preserve">, </w:t>
      </w:r>
      <w:r w:rsidRPr="00DC5B13">
        <w:rPr>
          <w:rFonts w:eastAsia="Calibri" w:hint="eastAsia"/>
          <w:rtl/>
        </w:rPr>
        <w:t>האמצעים</w:t>
      </w:r>
      <w:r w:rsidRPr="00DC5B13">
        <w:rPr>
          <w:rFonts w:eastAsia="Calibri"/>
          <w:rtl/>
        </w:rPr>
        <w:t xml:space="preserve"> </w:t>
      </w:r>
      <w:r w:rsidRPr="00DC5B13">
        <w:rPr>
          <w:rFonts w:eastAsia="Calibri" w:hint="eastAsia"/>
          <w:rtl/>
        </w:rPr>
        <w:t>שנבחרו</w:t>
      </w:r>
      <w:r w:rsidRPr="00DC5B13">
        <w:rPr>
          <w:rFonts w:eastAsia="Calibri"/>
          <w:rtl/>
        </w:rPr>
        <w:t xml:space="preserve"> </w:t>
      </w:r>
      <w:r w:rsidRPr="00DC5B13">
        <w:rPr>
          <w:rFonts w:eastAsia="Calibri" w:hint="eastAsia"/>
          <w:rtl/>
        </w:rPr>
        <w:t>ליישומה</w:t>
      </w:r>
      <w:r w:rsidRPr="00DC5B13">
        <w:rPr>
          <w:rFonts w:eastAsia="Calibri"/>
          <w:rtl/>
        </w:rPr>
        <w:t xml:space="preserve"> </w:t>
      </w:r>
      <w:r w:rsidRPr="00DC5B13">
        <w:rPr>
          <w:rFonts w:eastAsia="Calibri" w:hint="eastAsia"/>
          <w:rtl/>
        </w:rPr>
        <w:t>שונים</w:t>
      </w:r>
      <w:r w:rsidRPr="00DC5B13">
        <w:rPr>
          <w:rFonts w:eastAsia="Calibri"/>
          <w:rtl/>
        </w:rPr>
        <w:t xml:space="preserve"> </w:t>
      </w:r>
      <w:r w:rsidRPr="00DC5B13">
        <w:rPr>
          <w:rFonts w:eastAsia="Calibri" w:hint="eastAsia"/>
          <w:rtl/>
        </w:rPr>
        <w:t>ועשויים</w:t>
      </w:r>
      <w:r w:rsidRPr="00DC5B13">
        <w:rPr>
          <w:rFonts w:eastAsia="Calibri"/>
          <w:rtl/>
        </w:rPr>
        <w:t xml:space="preserve"> </w:t>
      </w:r>
      <w:r w:rsidRPr="00DC5B13">
        <w:rPr>
          <w:rFonts w:eastAsia="Calibri" w:hint="eastAsia"/>
          <w:rtl/>
        </w:rPr>
        <w:t>להניב</w:t>
      </w:r>
      <w:r w:rsidRPr="00DC5B13">
        <w:rPr>
          <w:rFonts w:eastAsia="Calibri"/>
          <w:rtl/>
        </w:rPr>
        <w:t xml:space="preserve"> </w:t>
      </w:r>
      <w:r w:rsidRPr="00DC5B13">
        <w:rPr>
          <w:rFonts w:eastAsia="Calibri" w:hint="eastAsia"/>
          <w:rtl/>
        </w:rPr>
        <w:t>תוצאות</w:t>
      </w:r>
      <w:r w:rsidRPr="00DC5B13">
        <w:rPr>
          <w:rFonts w:eastAsia="Calibri"/>
          <w:rtl/>
        </w:rPr>
        <w:t xml:space="preserve"> </w:t>
      </w:r>
      <w:r w:rsidRPr="00DC5B13">
        <w:rPr>
          <w:rFonts w:eastAsia="Calibri" w:hint="eastAsia"/>
          <w:rtl/>
        </w:rPr>
        <w:t>שונות</w:t>
      </w:r>
      <w:r w:rsidRPr="00DC5B13">
        <w:rPr>
          <w:rFonts w:eastAsia="Calibri"/>
          <w:rtl/>
        </w:rPr>
        <w:t xml:space="preserve">. </w:t>
      </w:r>
      <w:r w:rsidRPr="00DC5B13">
        <w:rPr>
          <w:rFonts w:eastAsia="Calibri" w:hint="eastAsia"/>
          <w:rtl/>
        </w:rPr>
        <w:t>בהשוואה</w:t>
      </w:r>
      <w:r w:rsidRPr="00DC5B13">
        <w:rPr>
          <w:rFonts w:eastAsia="Calibri"/>
          <w:rtl/>
        </w:rPr>
        <w:t xml:space="preserve"> </w:t>
      </w:r>
      <w:r w:rsidRPr="00DC5B13">
        <w:rPr>
          <w:rFonts w:eastAsia="Calibri" w:hint="eastAsia"/>
          <w:rtl/>
        </w:rPr>
        <w:t>לישראל</w:t>
      </w:r>
      <w:r w:rsidRPr="00DC5B13">
        <w:rPr>
          <w:rFonts w:eastAsia="Calibri"/>
          <w:rtl/>
        </w:rPr>
        <w:t xml:space="preserve">, </w:t>
      </w:r>
      <w:r w:rsidRPr="00DC5B13">
        <w:rPr>
          <w:rFonts w:eastAsia="Calibri" w:hint="eastAsia"/>
          <w:rtl/>
        </w:rPr>
        <w:t>לשתיים</w:t>
      </w:r>
      <w:r w:rsidRPr="00DC5B13">
        <w:rPr>
          <w:rFonts w:eastAsia="Calibri"/>
          <w:rtl/>
        </w:rPr>
        <w:t xml:space="preserve"> </w:t>
      </w:r>
      <w:r w:rsidRPr="00DC5B13">
        <w:rPr>
          <w:rFonts w:eastAsia="Calibri" w:hint="eastAsia"/>
          <w:rtl/>
        </w:rPr>
        <w:t>מתוך</w:t>
      </w:r>
      <w:r w:rsidRPr="00DC5B13">
        <w:rPr>
          <w:rFonts w:eastAsia="Calibri"/>
          <w:rtl/>
        </w:rPr>
        <w:t xml:space="preserve"> </w:t>
      </w:r>
      <w:r w:rsidRPr="00DC5B13">
        <w:rPr>
          <w:rFonts w:eastAsia="Calibri" w:hint="eastAsia"/>
          <w:rtl/>
        </w:rPr>
        <w:t>שלוש</w:t>
      </w:r>
      <w:r w:rsidRPr="00DC5B13">
        <w:rPr>
          <w:rFonts w:eastAsia="Calibri"/>
          <w:rtl/>
        </w:rPr>
        <w:t xml:space="preserve"> </w:t>
      </w:r>
      <w:r w:rsidRPr="00DC5B13">
        <w:rPr>
          <w:rFonts w:eastAsia="Calibri" w:hint="eastAsia"/>
          <w:rtl/>
        </w:rPr>
        <w:t>המדינות</w:t>
      </w:r>
      <w:r w:rsidRPr="00DC5B13">
        <w:rPr>
          <w:rFonts w:eastAsia="Calibri"/>
          <w:rtl/>
        </w:rPr>
        <w:t xml:space="preserve"> </w:t>
      </w:r>
      <w:r w:rsidRPr="00DC5B13">
        <w:rPr>
          <w:rFonts w:eastAsia="Calibri" w:hint="eastAsia"/>
          <w:rtl/>
        </w:rPr>
        <w:t>שנסקרו</w:t>
      </w:r>
      <w:r w:rsidRPr="00DC5B13">
        <w:rPr>
          <w:rFonts w:eastAsia="Calibri"/>
          <w:rtl/>
        </w:rPr>
        <w:t xml:space="preserve"> - </w:t>
      </w:r>
      <w:r w:rsidRPr="00DC5B13">
        <w:rPr>
          <w:rFonts w:eastAsia="Calibri" w:hint="eastAsia"/>
          <w:rtl/>
        </w:rPr>
        <w:t>בריטניה</w:t>
      </w:r>
      <w:r w:rsidRPr="00DC5B13">
        <w:rPr>
          <w:rFonts w:eastAsia="Calibri"/>
          <w:rtl/>
        </w:rPr>
        <w:t xml:space="preserve"> </w:t>
      </w:r>
      <w:r w:rsidRPr="00DC5B13">
        <w:rPr>
          <w:rFonts w:eastAsia="Calibri" w:hint="eastAsia"/>
          <w:rtl/>
        </w:rPr>
        <w:t>ויפן</w:t>
      </w:r>
      <w:r w:rsidRPr="00DC5B13">
        <w:rPr>
          <w:rFonts w:eastAsia="Calibri"/>
          <w:rtl/>
        </w:rPr>
        <w:t xml:space="preserve"> - </w:t>
      </w:r>
      <w:r w:rsidRPr="00DC5B13">
        <w:rPr>
          <w:rFonts w:eastAsia="Calibri" w:hint="eastAsia"/>
          <w:rtl/>
        </w:rPr>
        <w:t>יש</w:t>
      </w:r>
      <w:r w:rsidRPr="00DC5B13">
        <w:rPr>
          <w:rFonts w:eastAsia="Calibri"/>
          <w:rtl/>
        </w:rPr>
        <w:t xml:space="preserve"> </w:t>
      </w:r>
      <w:r w:rsidRPr="00DC5B13">
        <w:rPr>
          <w:rFonts w:eastAsia="Calibri" w:hint="eastAsia"/>
          <w:rtl/>
        </w:rPr>
        <w:t>מדיניות</w:t>
      </w:r>
      <w:r w:rsidRPr="00DC5B13">
        <w:rPr>
          <w:rFonts w:eastAsia="Calibri"/>
          <w:rtl/>
        </w:rPr>
        <w:t xml:space="preserve"> </w:t>
      </w:r>
      <w:r w:rsidRPr="00DC5B13">
        <w:rPr>
          <w:rFonts w:eastAsia="Calibri" w:hint="eastAsia"/>
          <w:rtl/>
        </w:rPr>
        <w:t>כתובה</w:t>
      </w:r>
      <w:r w:rsidRPr="00DC5B13">
        <w:rPr>
          <w:rFonts w:eastAsia="Calibri"/>
          <w:rtl/>
        </w:rPr>
        <w:t xml:space="preserve"> </w:t>
      </w:r>
      <w:r w:rsidRPr="00DC5B13">
        <w:rPr>
          <w:rFonts w:eastAsia="Calibri" w:hint="eastAsia"/>
          <w:rtl/>
        </w:rPr>
        <w:t>ומוגדרת</w:t>
      </w:r>
      <w:r w:rsidRPr="00DC5B13">
        <w:rPr>
          <w:rFonts w:eastAsia="Calibri"/>
          <w:rtl/>
        </w:rPr>
        <w:t xml:space="preserve"> </w:t>
      </w:r>
      <w:r w:rsidRPr="00DC5B13">
        <w:rPr>
          <w:rFonts w:eastAsia="Calibri" w:hint="eastAsia"/>
          <w:rtl/>
        </w:rPr>
        <w:t>בנושא</w:t>
      </w:r>
      <w:r w:rsidRPr="00DC5B13">
        <w:rPr>
          <w:rFonts w:eastAsia="Calibri"/>
          <w:rtl/>
        </w:rPr>
        <w:t xml:space="preserve"> </w:t>
      </w:r>
      <w:r w:rsidRPr="00DC5B13">
        <w:rPr>
          <w:rFonts w:eastAsia="Calibri" w:hint="eastAsia"/>
          <w:rtl/>
        </w:rPr>
        <w:t>התחדשות</w:t>
      </w:r>
      <w:r w:rsidRPr="00DC5B13">
        <w:rPr>
          <w:rFonts w:eastAsia="Calibri"/>
          <w:rtl/>
        </w:rPr>
        <w:t xml:space="preserve"> </w:t>
      </w:r>
      <w:r w:rsidRPr="00DC5B13">
        <w:rPr>
          <w:rFonts w:eastAsia="Calibri" w:hint="eastAsia"/>
          <w:rtl/>
        </w:rPr>
        <w:t>עירונית</w:t>
      </w:r>
      <w:r w:rsidRPr="00DC5B13">
        <w:rPr>
          <w:rFonts w:eastAsia="Calibri"/>
          <w:rtl/>
        </w:rPr>
        <w:t xml:space="preserve">, </w:t>
      </w:r>
      <w:r w:rsidRPr="00DC5B13">
        <w:rPr>
          <w:rFonts w:eastAsia="Calibri" w:hint="eastAsia"/>
          <w:rtl/>
        </w:rPr>
        <w:t>המציגה</w:t>
      </w:r>
      <w:r w:rsidRPr="00DC5B13">
        <w:rPr>
          <w:rFonts w:eastAsia="Calibri"/>
          <w:rtl/>
        </w:rPr>
        <w:t xml:space="preserve"> </w:t>
      </w:r>
      <w:r w:rsidRPr="00DC5B13">
        <w:rPr>
          <w:rFonts w:eastAsia="Calibri" w:hint="eastAsia"/>
          <w:rtl/>
        </w:rPr>
        <w:t>את</w:t>
      </w:r>
      <w:r w:rsidRPr="00DC5B13">
        <w:rPr>
          <w:rFonts w:eastAsia="Calibri"/>
          <w:rtl/>
        </w:rPr>
        <w:t xml:space="preserve"> </w:t>
      </w:r>
      <w:r w:rsidRPr="00DC5B13">
        <w:rPr>
          <w:rFonts w:eastAsia="Calibri" w:hint="eastAsia"/>
          <w:rtl/>
        </w:rPr>
        <w:t>המטרות</w:t>
      </w:r>
      <w:r w:rsidRPr="00DC5B13">
        <w:rPr>
          <w:rFonts w:eastAsia="Calibri"/>
          <w:rtl/>
        </w:rPr>
        <w:t xml:space="preserve"> </w:t>
      </w:r>
      <w:r w:rsidRPr="00DC5B13">
        <w:rPr>
          <w:rFonts w:eastAsia="Calibri" w:hint="eastAsia"/>
          <w:rtl/>
        </w:rPr>
        <w:t>הלאומיות</w:t>
      </w:r>
      <w:r w:rsidRPr="00DC5B13">
        <w:rPr>
          <w:rFonts w:eastAsia="Calibri"/>
          <w:rtl/>
        </w:rPr>
        <w:t xml:space="preserve"> </w:t>
      </w:r>
      <w:r w:rsidRPr="00DC5B13">
        <w:rPr>
          <w:rFonts w:eastAsia="Calibri" w:hint="eastAsia"/>
          <w:rtl/>
        </w:rPr>
        <w:t>ואת</w:t>
      </w:r>
      <w:r w:rsidRPr="00DC5B13">
        <w:rPr>
          <w:rFonts w:eastAsia="Calibri"/>
          <w:rtl/>
        </w:rPr>
        <w:t xml:space="preserve"> </w:t>
      </w:r>
      <w:r w:rsidRPr="00DC5B13">
        <w:rPr>
          <w:rFonts w:eastAsia="Calibri" w:hint="eastAsia"/>
          <w:rtl/>
        </w:rPr>
        <w:t>מערך</w:t>
      </w:r>
      <w:r w:rsidRPr="00DC5B13">
        <w:rPr>
          <w:rFonts w:eastAsia="Calibri"/>
          <w:rtl/>
        </w:rPr>
        <w:t xml:space="preserve"> </w:t>
      </w:r>
      <w:r w:rsidRPr="00DC5B13">
        <w:rPr>
          <w:rFonts w:eastAsia="Calibri" w:hint="eastAsia"/>
          <w:rtl/>
        </w:rPr>
        <w:t>היחסים</w:t>
      </w:r>
      <w:r w:rsidRPr="00DC5B13">
        <w:rPr>
          <w:rFonts w:eastAsia="Calibri"/>
          <w:rtl/>
        </w:rPr>
        <w:t xml:space="preserve"> </w:t>
      </w:r>
      <w:r w:rsidRPr="00DC5B13">
        <w:rPr>
          <w:rFonts w:eastAsia="Calibri" w:hint="eastAsia"/>
          <w:rtl/>
        </w:rPr>
        <w:t>בין</w:t>
      </w:r>
      <w:r w:rsidRPr="00DC5B13">
        <w:rPr>
          <w:rFonts w:eastAsia="Calibri"/>
          <w:rtl/>
        </w:rPr>
        <w:t xml:space="preserve"> </w:t>
      </w:r>
      <w:r w:rsidRPr="00DC5B13">
        <w:rPr>
          <w:rFonts w:eastAsia="Calibri" w:hint="eastAsia"/>
          <w:rtl/>
        </w:rPr>
        <w:t>דרגי</w:t>
      </w:r>
      <w:r w:rsidRPr="00DC5B13">
        <w:rPr>
          <w:rFonts w:eastAsia="Calibri"/>
          <w:rtl/>
        </w:rPr>
        <w:t xml:space="preserve"> </w:t>
      </w:r>
      <w:r w:rsidRPr="00DC5B13">
        <w:rPr>
          <w:rFonts w:eastAsia="Calibri" w:hint="eastAsia"/>
          <w:rtl/>
        </w:rPr>
        <w:t>השלטון</w:t>
      </w:r>
      <w:r w:rsidRPr="00DC5B13">
        <w:rPr>
          <w:rFonts w:eastAsia="Calibri"/>
          <w:rtl/>
        </w:rPr>
        <w:t xml:space="preserve"> </w:t>
      </w:r>
      <w:r w:rsidRPr="00DC5B13">
        <w:rPr>
          <w:rFonts w:eastAsia="Calibri" w:hint="eastAsia"/>
          <w:rtl/>
        </w:rPr>
        <w:t>במאמץ</w:t>
      </w:r>
      <w:r w:rsidRPr="00DC5B13">
        <w:rPr>
          <w:rFonts w:eastAsia="Calibri"/>
          <w:rtl/>
        </w:rPr>
        <w:t xml:space="preserve"> </w:t>
      </w:r>
      <w:r w:rsidRPr="00DC5B13">
        <w:rPr>
          <w:rFonts w:eastAsia="Calibri" w:hint="eastAsia"/>
          <w:rtl/>
        </w:rPr>
        <w:t>להשגתן</w:t>
      </w:r>
      <w:r w:rsidRPr="00DC5B13">
        <w:rPr>
          <w:rFonts w:eastAsia="Calibri"/>
          <w:rtl/>
        </w:rPr>
        <w:t>.</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rtl/>
        </w:rPr>
      </w:pPr>
      <w:r w:rsidRPr="00DC5B13">
        <w:rPr>
          <w:rFonts w:eastAsia="Calibri" w:hint="cs"/>
          <w:rtl/>
        </w:rPr>
        <w:t>עוד עולה כי בשלוש המדינות שנסקרו ניכרת ההבנה שכדי לקדם תהליך התחדשות יעיל נדרשים שיתוף פעולה בין המגזר הציבורי והמגזר הפרטי והעצמה של הסמכויות המוקנות לדרג השלטון המקומי בעיצוב תהליכי ההתחדשות ובניהולם. במיוחד ב</w:t>
      </w:r>
      <w:r w:rsidRPr="00DC5B13">
        <w:rPr>
          <w:rFonts w:eastAsia="Calibri" w:hint="eastAsia"/>
          <w:rtl/>
        </w:rPr>
        <w:t>הולנד</w:t>
      </w:r>
      <w:r w:rsidRPr="00DC5B13">
        <w:rPr>
          <w:rFonts w:eastAsia="Calibri" w:hint="cs"/>
          <w:rtl/>
        </w:rPr>
        <w:t xml:space="preserve"> מיושמת מדיניות שפישטה את האסדרה של השלטון המרכזי על מערכת התכנון ושהביאה לידי גידול ניכר במספר יחידות הדיור שנבנו במסגרת התחדשות עירונית ולהפחתת הבנייה בשטחים פתוחים. גם המדיניות ב</w:t>
      </w:r>
      <w:r w:rsidRPr="00DC5B13">
        <w:rPr>
          <w:rFonts w:eastAsia="Calibri" w:hint="eastAsia"/>
          <w:rtl/>
        </w:rPr>
        <w:t>בריטניה</w:t>
      </w:r>
      <w:r w:rsidRPr="00DC5B13">
        <w:rPr>
          <w:rFonts w:eastAsia="Calibri" w:hint="cs"/>
          <w:rtl/>
        </w:rPr>
        <w:t xml:space="preserve"> כוללת העברה של סמכויות לידי השלטון המקומי, אך תוצאותיה של מדיניות זו טרם ניכרות בשטח בשל הזמן המועט שחלף מכינונה.</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b/>
          <w:bCs/>
          <w:rtl/>
        </w:rPr>
      </w:pPr>
      <w:r w:rsidRPr="00DC5B13">
        <w:rPr>
          <w:rFonts w:eastAsia="Calibri" w:hint="cs"/>
          <w:b/>
          <w:bCs/>
          <w:rtl/>
        </w:rPr>
        <w:t xml:space="preserve">בהשוואה לישראל, לשתיים מתוך שלוש המדינות שנסקרו - בריטניה ויפן - יש מדיניות כתובה ומוגדרת בנושא התחדשות עירונית, המציגה את המטרות הלאומיות ואת מערך היחסים בין דרגי השלטון במאמץ להשגתן. במדינה השלישית שנסקרה - הולנד - החליטה הממשלה על ביזור סמכויות ועל הפחתת הרגולציה כדי להעניק עצמאות רבה יותר לדרג השלטון המקומי בקידום מיזמי התחדשות עירונית. בישראל נוסחו קווי מדיניות מומלצים בתמ"א 35, הוקמו מוסדות ייעודיים ונחקקו חוקים לקידום התחדשות עירונית. עם זאת, ועל אף המלצותיו של מבקר </w:t>
      </w:r>
      <w:r w:rsidRPr="00DC5B13">
        <w:rPr>
          <w:rFonts w:eastAsia="Calibri" w:hint="cs"/>
          <w:b/>
          <w:bCs/>
          <w:rtl/>
        </w:rPr>
        <w:t>המדינה בעבר, הצעדים למימוש המדיניות לא יושמו במלואם ובפרט לא הוכן מסמך מדיניות לאומי להתחדשות עירונית או תוכנית לאומית אחודה להתחדשות עירונית.</w:t>
      </w:r>
    </w:p>
    <w:p w:rsidR="00DC5B13" w:rsidRPr="000E4CC0" w:rsidP="00C34B23">
      <w:pPr>
        <w:spacing w:line="269" w:lineRule="auto"/>
        <w:rPr>
          <w:rFonts w:eastAsia="Calibri"/>
          <w:b/>
          <w:bCs/>
          <w:sz w:val="14"/>
          <w:szCs w:val="18"/>
          <w:rtl/>
        </w:rPr>
      </w:pPr>
    </w:p>
    <w:p w:rsidR="00DC5B13" w:rsidRPr="00DC5B13" w:rsidP="00C34B23">
      <w:pPr>
        <w:spacing w:line="269" w:lineRule="auto"/>
        <w:rPr>
          <w:rFonts w:eastAsia="Calibri"/>
          <w:rtl/>
        </w:rPr>
      </w:pPr>
      <w:r w:rsidRPr="00DC5B13">
        <w:rPr>
          <w:rFonts w:eastAsia="Calibri" w:hint="cs"/>
          <w:rtl/>
        </w:rPr>
        <w:t>הרשות להתחדשות מסרה בתשובתה כי העובדה שאין מסמך אחד המאגד את המדיניות הלאומית בתחום ההתחדשות העירונית אין פירושה שאין מדיניות כאמור. המדיניות באה לידי ביטוי במכלול של חוקים, תקנות, החלטות ממשלה, מסמכי מדיניות, הטבות מס והנחיות שונות.</w:t>
      </w:r>
    </w:p>
    <w:p w:rsidR="00DC5B13" w:rsidRPr="000E4CC0" w:rsidP="00C34B23">
      <w:pPr>
        <w:spacing w:line="269" w:lineRule="auto"/>
        <w:ind w:left="-567"/>
        <w:rPr>
          <w:rFonts w:eastAsia="Calibri"/>
          <w:sz w:val="16"/>
          <w:szCs w:val="16"/>
          <w:rtl/>
        </w:rPr>
      </w:pPr>
    </w:p>
    <w:p w:rsidR="00DC5B13" w:rsidRPr="00DC5B13" w:rsidP="00C34B23">
      <w:pPr>
        <w:spacing w:line="269" w:lineRule="auto"/>
        <w:rPr>
          <w:rFonts w:eastAsia="Calibri"/>
          <w:rtl/>
        </w:rPr>
      </w:pPr>
      <w:r w:rsidRPr="00DC5B13">
        <w:rPr>
          <w:rFonts w:eastAsia="Calibri" w:hint="cs"/>
          <w:rtl/>
        </w:rPr>
        <w:t xml:space="preserve">מינהל התכנון מסר בתשובתו כי </w:t>
      </w:r>
      <w:r w:rsidRPr="00DC5B13">
        <w:rPr>
          <w:rFonts w:eastAsia="Calibri"/>
          <w:rtl/>
        </w:rPr>
        <w:t>א</w:t>
      </w:r>
      <w:r w:rsidRPr="00DC5B13">
        <w:rPr>
          <w:rFonts w:eastAsia="Calibri" w:hint="cs"/>
          <w:rtl/>
        </w:rPr>
        <w:t>ו</w:t>
      </w:r>
      <w:r w:rsidRPr="00DC5B13">
        <w:rPr>
          <w:rFonts w:eastAsia="Calibri"/>
          <w:rtl/>
        </w:rPr>
        <w:t xml:space="preserve">מנם אין מסמך </w:t>
      </w:r>
      <w:r w:rsidRPr="00DC5B13">
        <w:rPr>
          <w:rFonts w:eastAsia="Calibri" w:hint="cs"/>
          <w:rtl/>
        </w:rPr>
        <w:t xml:space="preserve">מדיניות </w:t>
      </w:r>
      <w:r w:rsidRPr="00DC5B13">
        <w:rPr>
          <w:rFonts w:eastAsia="Calibri"/>
          <w:rtl/>
        </w:rPr>
        <w:t>מרכז</w:t>
      </w:r>
      <w:r w:rsidRPr="00DC5B13">
        <w:rPr>
          <w:rFonts w:eastAsia="Calibri" w:hint="cs"/>
          <w:rtl/>
        </w:rPr>
        <w:t>,</w:t>
      </w:r>
      <w:r w:rsidRPr="00DC5B13">
        <w:rPr>
          <w:rFonts w:eastAsia="Calibri"/>
          <w:rtl/>
        </w:rPr>
        <w:t xml:space="preserve"> אך </w:t>
      </w:r>
      <w:r w:rsidRPr="00DC5B13">
        <w:rPr>
          <w:rFonts w:eastAsia="Calibri" w:hint="cs"/>
          <w:rtl/>
        </w:rPr>
        <w:t xml:space="preserve">קיימים </w:t>
      </w:r>
      <w:r w:rsidRPr="00DC5B13">
        <w:rPr>
          <w:rFonts w:eastAsia="Calibri"/>
          <w:rtl/>
        </w:rPr>
        <w:t xml:space="preserve">חקיקה ומסמכי מדיניות </w:t>
      </w:r>
      <w:r w:rsidRPr="00DC5B13">
        <w:rPr>
          <w:rFonts w:eastAsia="Calibri" w:hint="cs"/>
          <w:rtl/>
        </w:rPr>
        <w:t xml:space="preserve">נושאיים, וכי </w:t>
      </w:r>
      <w:r w:rsidRPr="00DC5B13">
        <w:rPr>
          <w:rFonts w:eastAsia="Calibri"/>
          <w:rtl/>
        </w:rPr>
        <w:t>כל נושא סמכויות</w:t>
      </w:r>
      <w:r w:rsidRPr="00DC5B13">
        <w:rPr>
          <w:rFonts w:eastAsia="Calibri" w:hint="cs"/>
          <w:rtl/>
        </w:rPr>
        <w:t xml:space="preserve"> </w:t>
      </w:r>
      <w:r w:rsidRPr="00DC5B13">
        <w:rPr>
          <w:rFonts w:eastAsia="Calibri"/>
          <w:rtl/>
        </w:rPr>
        <w:t xml:space="preserve">מוסדות התכנון מוסדר בחוק </w:t>
      </w:r>
      <w:r w:rsidRPr="00DC5B13">
        <w:rPr>
          <w:rFonts w:eastAsia="Calibri" w:hint="cs"/>
          <w:rtl/>
        </w:rPr>
        <w:t xml:space="preserve">התכנון והבנייה. </w:t>
      </w:r>
      <w:r w:rsidRPr="00DC5B13">
        <w:rPr>
          <w:rFonts w:eastAsia="Calibri"/>
          <w:rtl/>
        </w:rPr>
        <w:t>היעדים להיקפי ההתחדשות</w:t>
      </w:r>
      <w:r w:rsidRPr="00DC5B13">
        <w:rPr>
          <w:rFonts w:eastAsia="Calibri" w:hint="cs"/>
          <w:rtl/>
        </w:rPr>
        <w:t xml:space="preserve"> </w:t>
      </w:r>
      <w:r w:rsidRPr="00DC5B13">
        <w:rPr>
          <w:rFonts w:eastAsia="Calibri"/>
          <w:rtl/>
        </w:rPr>
        <w:t>העירונית עד</w:t>
      </w:r>
      <w:r w:rsidRPr="00DC5B13">
        <w:rPr>
          <w:rFonts w:eastAsia="Calibri" w:hint="cs"/>
          <w:rtl/>
        </w:rPr>
        <w:t xml:space="preserve"> שנת</w:t>
      </w:r>
      <w:r w:rsidRPr="00DC5B13">
        <w:rPr>
          <w:rFonts w:eastAsia="Calibri"/>
          <w:rtl/>
        </w:rPr>
        <w:t xml:space="preserve"> 2050 ופריסתם נקבעו בת</w:t>
      </w:r>
      <w:r w:rsidRPr="00DC5B13">
        <w:rPr>
          <w:rFonts w:eastAsia="Calibri" w:hint="cs"/>
          <w:rtl/>
        </w:rPr>
        <w:t>ו</w:t>
      </w:r>
      <w:r w:rsidRPr="00DC5B13">
        <w:rPr>
          <w:rFonts w:eastAsia="Calibri"/>
          <w:rtl/>
        </w:rPr>
        <w:t>כנית האסטרטגית של המועצה הלאומית</w:t>
      </w:r>
      <w:r w:rsidRPr="00DC5B13">
        <w:rPr>
          <w:rFonts w:eastAsia="Calibri" w:hint="cs"/>
          <w:rtl/>
        </w:rPr>
        <w:t xml:space="preserve"> </w:t>
      </w:r>
      <w:r w:rsidRPr="00DC5B13">
        <w:rPr>
          <w:rFonts w:eastAsia="Calibri"/>
          <w:rtl/>
        </w:rPr>
        <w:t xml:space="preserve">לכלכלה. </w:t>
      </w:r>
      <w:r w:rsidRPr="00DC5B13">
        <w:rPr>
          <w:rFonts w:eastAsia="Calibri" w:hint="cs"/>
          <w:rtl/>
        </w:rPr>
        <w:t xml:space="preserve">לדברי מינהל התכנון </w:t>
      </w:r>
      <w:r w:rsidRPr="00DC5B13">
        <w:rPr>
          <w:rFonts w:eastAsia="Calibri"/>
          <w:rtl/>
        </w:rPr>
        <w:t xml:space="preserve">חשוב לבחון בכובד ראש </w:t>
      </w:r>
      <w:r w:rsidRPr="00DC5B13">
        <w:rPr>
          <w:rFonts w:eastAsia="Calibri" w:hint="cs"/>
          <w:rtl/>
        </w:rPr>
        <w:t>מהם</w:t>
      </w:r>
      <w:r w:rsidRPr="00DC5B13">
        <w:rPr>
          <w:rFonts w:eastAsia="Calibri"/>
          <w:rtl/>
        </w:rPr>
        <w:t xml:space="preserve"> </w:t>
      </w:r>
      <w:r w:rsidRPr="00DC5B13">
        <w:rPr>
          <w:rFonts w:eastAsia="Calibri" w:hint="cs"/>
          <w:rtl/>
        </w:rPr>
        <w:t>ה</w:t>
      </w:r>
      <w:r w:rsidRPr="00DC5B13">
        <w:rPr>
          <w:rFonts w:eastAsia="Calibri"/>
          <w:rtl/>
        </w:rPr>
        <w:t>נושאים</w:t>
      </w:r>
      <w:r w:rsidRPr="00DC5B13">
        <w:rPr>
          <w:rFonts w:eastAsia="Calibri" w:hint="cs"/>
          <w:rtl/>
        </w:rPr>
        <w:t xml:space="preserve"> שהחקיקה והנהלים הקיימים אינם עוסקים בהם כלל </w:t>
      </w:r>
      <w:r w:rsidRPr="00DC5B13">
        <w:rPr>
          <w:rFonts w:eastAsia="Calibri"/>
          <w:rtl/>
        </w:rPr>
        <w:t xml:space="preserve">ואם המענה הנכון </w:t>
      </w:r>
      <w:r w:rsidRPr="00DC5B13">
        <w:rPr>
          <w:rFonts w:eastAsia="Calibri" w:hint="cs"/>
          <w:rtl/>
        </w:rPr>
        <w:t>הוא</w:t>
      </w:r>
      <w:r w:rsidRPr="00DC5B13">
        <w:rPr>
          <w:rFonts w:eastAsia="Calibri"/>
          <w:rtl/>
        </w:rPr>
        <w:t xml:space="preserve"> </w:t>
      </w:r>
      <w:r w:rsidRPr="00DC5B13">
        <w:rPr>
          <w:rFonts w:eastAsia="Calibri" w:hint="cs"/>
          <w:rtl/>
        </w:rPr>
        <w:t xml:space="preserve">הכנת </w:t>
      </w:r>
      <w:r w:rsidRPr="00DC5B13">
        <w:rPr>
          <w:rFonts w:eastAsia="Calibri"/>
          <w:rtl/>
        </w:rPr>
        <w:t>מסמך מדיניות לאומי.</w:t>
      </w:r>
    </w:p>
    <w:p w:rsidR="00DC5B13" w:rsidRPr="000E4CC0" w:rsidP="00C34B23">
      <w:pPr>
        <w:spacing w:line="269" w:lineRule="auto"/>
        <w:ind w:left="-567"/>
        <w:rPr>
          <w:rFonts w:eastAsia="Calibri"/>
          <w:sz w:val="18"/>
          <w:szCs w:val="18"/>
          <w:rtl/>
        </w:rPr>
      </w:pPr>
    </w:p>
    <w:p w:rsidR="00DC5B13" w:rsidRPr="00DC5B13" w:rsidP="00C34B23">
      <w:pPr>
        <w:spacing w:line="269" w:lineRule="auto"/>
        <w:rPr>
          <w:rFonts w:eastAsia="Calibri"/>
          <w:rtl/>
        </w:rPr>
      </w:pPr>
      <w:r w:rsidRPr="00DC5B13">
        <w:rPr>
          <w:rFonts w:eastAsia="Calibri" w:hint="cs"/>
          <w:rtl/>
        </w:rPr>
        <w:t>משרד ראש הממשלה ציין בתשובתו כי ייאות להשתתף בתהליך ניסוח מדיניות לאומית בתחום ההתחדשות העירונית.</w:t>
      </w:r>
    </w:p>
    <w:p w:rsidR="00DC5B13" w:rsidRPr="000E4CC0" w:rsidP="00C34B23">
      <w:pPr>
        <w:spacing w:line="269" w:lineRule="auto"/>
        <w:ind w:left="-567"/>
        <w:rPr>
          <w:rFonts w:eastAsia="Calibri"/>
          <w:sz w:val="16"/>
          <w:szCs w:val="16"/>
          <w:rtl/>
        </w:rPr>
      </w:pPr>
    </w:p>
    <w:p w:rsidR="00DC5B13" w:rsidRPr="00DC5B13" w:rsidP="00C34B23">
      <w:pPr>
        <w:spacing w:line="269" w:lineRule="auto"/>
        <w:rPr>
          <w:rFonts w:eastAsia="Calibri"/>
          <w:rtl/>
        </w:rPr>
      </w:pPr>
      <w:r w:rsidRPr="00DC5B13">
        <w:rPr>
          <w:rFonts w:eastAsia="Calibri" w:hint="cs"/>
          <w:rtl/>
        </w:rPr>
        <w:t>משרד השיכון מסר בתשובתו למשרד מבקר המדינה ממאי 2026</w:t>
      </w:r>
      <w:r w:rsidRPr="00DC5B13">
        <w:rPr>
          <w:rFonts w:eastAsia="Calibri" w:hint="cs"/>
        </w:rPr>
        <w:t xml:space="preserve"> </w:t>
      </w:r>
      <w:r w:rsidRPr="00DC5B13">
        <w:rPr>
          <w:rFonts w:eastAsia="Calibri" w:hint="cs"/>
          <w:rtl/>
        </w:rPr>
        <w:t xml:space="preserve">כי הוא דוחה את </w:t>
      </w:r>
      <w:r w:rsidRPr="00DC5B13">
        <w:rPr>
          <w:rFonts w:eastAsia="Calibri"/>
          <w:rtl/>
        </w:rPr>
        <w:t xml:space="preserve">הטענה כי </w:t>
      </w:r>
      <w:r w:rsidRPr="00DC5B13">
        <w:rPr>
          <w:rFonts w:eastAsia="Calibri" w:hint="cs"/>
          <w:rtl/>
        </w:rPr>
        <w:t>היעדר</w:t>
      </w:r>
      <w:r w:rsidRPr="00DC5B13">
        <w:rPr>
          <w:rFonts w:eastAsia="Calibri"/>
          <w:rtl/>
        </w:rPr>
        <w:t xml:space="preserve"> מסמך מדיניות לאומי </w:t>
      </w:r>
      <w:r w:rsidRPr="00DC5B13">
        <w:rPr>
          <w:rFonts w:eastAsia="Calibri" w:hint="cs"/>
          <w:rtl/>
        </w:rPr>
        <w:t>מרכז</w:t>
      </w:r>
      <w:r w:rsidRPr="00DC5B13">
        <w:rPr>
          <w:rFonts w:eastAsia="Calibri"/>
          <w:rtl/>
        </w:rPr>
        <w:t xml:space="preserve"> ואחוד </w:t>
      </w:r>
      <w:r w:rsidRPr="00DC5B13">
        <w:rPr>
          <w:rFonts w:eastAsia="Calibri" w:hint="cs"/>
          <w:rtl/>
        </w:rPr>
        <w:t>מוביל ל</w:t>
      </w:r>
      <w:r w:rsidRPr="00DC5B13">
        <w:rPr>
          <w:rFonts w:eastAsia="Calibri"/>
          <w:rtl/>
        </w:rPr>
        <w:t>היעדר מדיניות</w:t>
      </w:r>
      <w:r w:rsidRPr="00DC5B13">
        <w:rPr>
          <w:rFonts w:eastAsia="Calibri" w:hint="cs"/>
          <w:rtl/>
        </w:rPr>
        <w:t xml:space="preserve"> </w:t>
      </w:r>
      <w:r w:rsidRPr="00DC5B13">
        <w:rPr>
          <w:rFonts w:eastAsia="Calibri"/>
          <w:rtl/>
        </w:rPr>
        <w:t>רוחבית ומוסדרת בתחום. בפועל, תחום ההתחדשות העירונית בישראל מושתת על מסגרת חוקית ו</w:t>
      </w:r>
      <w:r w:rsidRPr="00DC5B13">
        <w:rPr>
          <w:rFonts w:eastAsia="Calibri" w:hint="cs"/>
          <w:rtl/>
        </w:rPr>
        <w:t xml:space="preserve">על </w:t>
      </w:r>
      <w:r w:rsidRPr="00DC5B13">
        <w:rPr>
          <w:rFonts w:eastAsia="Calibri"/>
          <w:rtl/>
        </w:rPr>
        <w:t>אסדרה נרחבת,</w:t>
      </w:r>
      <w:r w:rsidRPr="00DC5B13">
        <w:rPr>
          <w:rFonts w:eastAsia="Calibri" w:hint="cs"/>
          <w:rtl/>
        </w:rPr>
        <w:t xml:space="preserve"> </w:t>
      </w:r>
      <w:r w:rsidRPr="00DC5B13">
        <w:rPr>
          <w:rFonts w:eastAsia="Calibri"/>
          <w:rtl/>
        </w:rPr>
        <w:t>הכוללת מכלול של חוקים ייעודיים והחלטות ממשלה, אשר מגדירים כללים ברורים וידועים לכלל הגורמים הפועלים</w:t>
      </w:r>
      <w:r w:rsidRPr="00DC5B13">
        <w:rPr>
          <w:rFonts w:eastAsia="Calibri" w:hint="cs"/>
          <w:rtl/>
        </w:rPr>
        <w:t xml:space="preserve"> </w:t>
      </w:r>
      <w:r w:rsidRPr="00DC5B13">
        <w:rPr>
          <w:rFonts w:eastAsia="Calibri"/>
          <w:rtl/>
        </w:rPr>
        <w:t xml:space="preserve">בשטח. מסגרת ענפה זו, הכוללת בין היתר את תמ"א 35, </w:t>
      </w:r>
      <w:r w:rsidRPr="00DC5B13">
        <w:rPr>
          <w:rFonts w:eastAsia="Calibri" w:hint="cs"/>
          <w:rtl/>
        </w:rPr>
        <w:t xml:space="preserve">את </w:t>
      </w:r>
      <w:r w:rsidRPr="00DC5B13">
        <w:rPr>
          <w:rFonts w:eastAsia="Calibri"/>
          <w:rtl/>
        </w:rPr>
        <w:t>חוק הרשות הממשלתית להתחדשות עירונית ו</w:t>
      </w:r>
      <w:r w:rsidRPr="00DC5B13">
        <w:rPr>
          <w:rFonts w:eastAsia="Calibri" w:hint="cs"/>
          <w:rtl/>
        </w:rPr>
        <w:t xml:space="preserve">את </w:t>
      </w:r>
      <w:r w:rsidRPr="00DC5B13">
        <w:rPr>
          <w:rFonts w:eastAsia="Calibri"/>
          <w:rtl/>
        </w:rPr>
        <w:t>חוק פינוי ובינוי</w:t>
      </w:r>
      <w:r w:rsidRPr="00DC5B13">
        <w:rPr>
          <w:rFonts w:eastAsia="Calibri" w:hint="cs"/>
          <w:rtl/>
        </w:rPr>
        <w:t>-</w:t>
      </w:r>
      <w:r w:rsidRPr="00DC5B13">
        <w:rPr>
          <w:rFonts w:eastAsia="Calibri"/>
          <w:rtl/>
        </w:rPr>
        <w:t xml:space="preserve"> קובעת חלוקת תפקידים ברורה בין המדינה, הרשויות המקומיות והיזמים ומגדירה היטב את מטרות התחום, גם אם</w:t>
      </w:r>
      <w:r w:rsidRPr="00DC5B13">
        <w:rPr>
          <w:rFonts w:eastAsia="Calibri" w:hint="cs"/>
          <w:rtl/>
        </w:rPr>
        <w:t xml:space="preserve"> מכלול הנורמות הרלוונטיות </w:t>
      </w:r>
      <w:r w:rsidRPr="00DC5B13">
        <w:rPr>
          <w:rFonts w:eastAsia="Calibri"/>
          <w:rtl/>
        </w:rPr>
        <w:t>אי</w:t>
      </w:r>
      <w:r w:rsidRPr="00DC5B13">
        <w:rPr>
          <w:rFonts w:eastAsia="Calibri" w:hint="cs"/>
          <w:rtl/>
        </w:rPr>
        <w:t>נו</w:t>
      </w:r>
      <w:r w:rsidRPr="00DC5B13">
        <w:rPr>
          <w:rFonts w:eastAsia="Calibri"/>
          <w:rtl/>
        </w:rPr>
        <w:t xml:space="preserve"> מאוגד </w:t>
      </w:r>
      <w:r w:rsidRPr="00DC5B13">
        <w:rPr>
          <w:rFonts w:eastAsia="Calibri" w:hint="cs"/>
          <w:rtl/>
        </w:rPr>
        <w:t>במסגרת</w:t>
      </w:r>
      <w:r w:rsidRPr="00DC5B13">
        <w:rPr>
          <w:rFonts w:eastAsia="Calibri"/>
          <w:rtl/>
        </w:rPr>
        <w:t xml:space="preserve"> מסמך רציף אחד.</w:t>
      </w:r>
    </w:p>
    <w:p w:rsidR="00DC5B13" w:rsidRPr="000E4CC0" w:rsidP="00C34B23">
      <w:pPr>
        <w:spacing w:line="269" w:lineRule="auto"/>
        <w:ind w:left="-567"/>
        <w:rPr>
          <w:rFonts w:eastAsia="Calibri"/>
          <w:sz w:val="16"/>
          <w:szCs w:val="16"/>
          <w:rtl/>
        </w:rPr>
      </w:pPr>
    </w:p>
    <w:p w:rsidR="00DC5B13" w:rsidRPr="00DC5B13" w:rsidP="00C34B23">
      <w:pPr>
        <w:spacing w:line="269" w:lineRule="auto"/>
        <w:rPr>
          <w:rFonts w:eastAsia="Calibri"/>
          <w:rtl/>
        </w:rPr>
      </w:pPr>
      <w:r w:rsidRPr="00DC5B13">
        <w:rPr>
          <w:rFonts w:eastAsia="Calibri" w:hint="cs"/>
          <w:rtl/>
        </w:rPr>
        <w:t xml:space="preserve">עוד מסר משרד השיכון כי </w:t>
      </w:r>
      <w:r w:rsidRPr="00DC5B13">
        <w:rPr>
          <w:rFonts w:eastAsia="Calibri"/>
          <w:rtl/>
        </w:rPr>
        <w:t>בתחום התכנון המרחבי קיימת ופועלת "התוכנית האסטרטגית לדיור"</w:t>
      </w:r>
      <w:r w:rsidRPr="00DC5B13">
        <w:rPr>
          <w:rFonts w:eastAsia="Calibri" w:hint="cs"/>
          <w:rtl/>
        </w:rPr>
        <w:t>,</w:t>
      </w:r>
      <w:r w:rsidRPr="00DC5B13">
        <w:rPr>
          <w:rFonts w:eastAsia="Calibri"/>
          <w:rtl/>
        </w:rPr>
        <w:t xml:space="preserve"> שאומצה ועודכנה בהחלטות הממשלה </w:t>
      </w:r>
      <w:r w:rsidRPr="00DC5B13">
        <w:rPr>
          <w:rFonts w:eastAsia="Calibri" w:hint="cs"/>
          <w:rtl/>
        </w:rPr>
        <w:t>ו</w:t>
      </w:r>
      <w:r w:rsidRPr="00DC5B13">
        <w:rPr>
          <w:rFonts w:eastAsia="Calibri"/>
          <w:rtl/>
        </w:rPr>
        <w:t>גובשה במינהל התכנון והמועצה הלאומית לכלכלה. תוכנית זו מגדירה יעדים לאומיים ברורים</w:t>
      </w:r>
      <w:r w:rsidRPr="00DC5B13">
        <w:rPr>
          <w:rFonts w:eastAsia="Calibri" w:hint="cs"/>
          <w:rtl/>
        </w:rPr>
        <w:t xml:space="preserve"> </w:t>
      </w:r>
      <w:r w:rsidRPr="00DC5B13">
        <w:rPr>
          <w:rFonts w:eastAsia="Calibri"/>
          <w:rtl/>
        </w:rPr>
        <w:t>לתכנון ולבנייה של יחידות דיור בכל רחבי הארץ עד שנת 2040</w:t>
      </w:r>
      <w:r w:rsidRPr="00DC5B13">
        <w:rPr>
          <w:rFonts w:eastAsia="Calibri" w:hint="cs"/>
          <w:rtl/>
        </w:rPr>
        <w:t>,</w:t>
      </w:r>
      <w:r w:rsidRPr="00DC5B13">
        <w:rPr>
          <w:rFonts w:eastAsia="Calibri"/>
          <w:rtl/>
        </w:rPr>
        <w:t xml:space="preserve"> לרבות יעדים ומכסות </w:t>
      </w:r>
      <w:r w:rsidRPr="00DC5B13">
        <w:rPr>
          <w:rFonts w:eastAsia="Calibri" w:hint="cs"/>
          <w:rtl/>
        </w:rPr>
        <w:t>מוגדרים</w:t>
      </w:r>
      <w:r w:rsidRPr="00DC5B13">
        <w:rPr>
          <w:rFonts w:eastAsia="Calibri"/>
          <w:rtl/>
        </w:rPr>
        <w:t xml:space="preserve"> להתחדשות עירונית.</w:t>
      </w:r>
      <w:r w:rsidRPr="00DC5B13">
        <w:rPr>
          <w:rFonts w:eastAsia="Calibri" w:hint="cs"/>
          <w:rtl/>
        </w:rPr>
        <w:t xml:space="preserve"> המשרד מסר ש</w:t>
      </w:r>
      <w:r w:rsidRPr="00DC5B13">
        <w:rPr>
          <w:rFonts w:eastAsia="Calibri"/>
          <w:rtl/>
        </w:rPr>
        <w:t>הרשות להתחדשות מציינת כי יעדים אלו הושגו במלואם נכון להיום, ואף מעבר לכך. על כן, הכלים, המדיניות והיעדים הלאומיים</w:t>
      </w:r>
      <w:r w:rsidRPr="00DC5B13">
        <w:rPr>
          <w:rFonts w:eastAsia="Calibri" w:hint="cs"/>
          <w:rtl/>
        </w:rPr>
        <w:t xml:space="preserve"> </w:t>
      </w:r>
      <w:r w:rsidRPr="00DC5B13">
        <w:rPr>
          <w:rFonts w:eastAsia="Calibri"/>
          <w:rtl/>
        </w:rPr>
        <w:t>שרירים, קיימים ומיושמים בהצלחה רבה הלכה למעשה.</w:t>
      </w:r>
    </w:p>
    <w:p w:rsidR="00DC5B13" w:rsidRPr="000E4CC0" w:rsidP="00C34B23">
      <w:pPr>
        <w:spacing w:line="269" w:lineRule="auto"/>
        <w:ind w:left="-567"/>
        <w:rPr>
          <w:rFonts w:eastAsia="Calibri"/>
          <w:sz w:val="16"/>
          <w:szCs w:val="16"/>
          <w:rtl/>
        </w:rPr>
      </w:pPr>
    </w:p>
    <w:p w:rsidR="00DC5B13" w:rsidRPr="00DC5B13" w:rsidP="00C34B23">
      <w:pPr>
        <w:spacing w:line="269" w:lineRule="auto"/>
        <w:rPr>
          <w:rFonts w:eastAsia="Calibri"/>
          <w:b/>
          <w:bCs/>
          <w:rtl/>
        </w:rPr>
      </w:pPr>
      <w:r w:rsidRPr="00DC5B13">
        <w:rPr>
          <w:rFonts w:eastAsia="Calibri" w:hint="cs"/>
          <w:b/>
          <w:bCs/>
          <w:rtl/>
        </w:rPr>
        <w:t xml:space="preserve">בשל מאפייניה הגיאו-פיזיים והגיאו-פוליטיים המיוחדים של מדינת ישראל, תהליכי ההתחדשות העירונית ממלאים בה תפקידים לאומיים נרחבים, ודחיפותם משתנה בהתאם </w:t>
      </w:r>
      <w:r w:rsidRPr="00DC5B13">
        <w:rPr>
          <w:rFonts w:eastAsia="Calibri" w:hint="eastAsia"/>
          <w:b/>
          <w:bCs/>
          <w:rtl/>
        </w:rPr>
        <w:t>לסיכונים</w:t>
      </w:r>
      <w:r w:rsidRPr="00DC5B13">
        <w:rPr>
          <w:rFonts w:eastAsia="Calibri" w:hint="cs"/>
          <w:b/>
          <w:bCs/>
          <w:rtl/>
        </w:rPr>
        <w:t xml:space="preserve"> להתרחשות אסונות טבע כמו רעידות אדמה, ולאיומי מלחמה. בדומה לנעשה במדינות אחרות ובהמשך לדוח מבקר המדינה מ-2016, מומלץ לרשות להתחדשות עירונית לפעול בהתאם למדיניות המוצעת בתמ"א 35 - וזאת בשיתוף משרד הפנים, משרד השיכון, משרד ראש הממשלה ומשרד המשפטים - ולהכין מסמך מדיניות לאומי להתחדשות עירונית, אשר </w:t>
      </w:r>
      <w:r w:rsidRPr="00DC5B13">
        <w:rPr>
          <w:rFonts w:eastAsia="Calibri"/>
          <w:b/>
          <w:bCs/>
          <w:rtl/>
        </w:rPr>
        <w:t>ירכז את כלל ההיבטים הנוגעים לקיום ההליכים</w:t>
      </w:r>
      <w:r w:rsidRPr="00DC5B13">
        <w:rPr>
          <w:rFonts w:eastAsia="Calibri" w:hint="cs"/>
          <w:b/>
          <w:bCs/>
          <w:rtl/>
        </w:rPr>
        <w:t xml:space="preserve"> הנוגעים להתחדשות עירונית ואת</w:t>
      </w:r>
      <w:r w:rsidRPr="00DC5B13">
        <w:rPr>
          <w:rFonts w:eastAsia="Calibri"/>
          <w:b/>
          <w:bCs/>
          <w:rtl/>
        </w:rPr>
        <w:t xml:space="preserve"> השגת יעדיהם </w:t>
      </w:r>
      <w:r w:rsidRPr="00DC5B13">
        <w:rPr>
          <w:rFonts w:eastAsia="Calibri" w:hint="cs"/>
          <w:b/>
          <w:bCs/>
          <w:rtl/>
        </w:rPr>
        <w:t>ו</w:t>
      </w:r>
      <w:r w:rsidRPr="00DC5B13">
        <w:rPr>
          <w:rFonts w:eastAsia="Calibri"/>
          <w:b/>
          <w:bCs/>
          <w:rtl/>
        </w:rPr>
        <w:t xml:space="preserve">מטרותיהם </w:t>
      </w:r>
      <w:r w:rsidRPr="00DC5B13">
        <w:rPr>
          <w:rFonts w:eastAsia="Calibri" w:hint="eastAsia"/>
          <w:b/>
          <w:bCs/>
          <w:rtl/>
        </w:rPr>
        <w:t>באופן</w:t>
      </w:r>
      <w:r w:rsidRPr="00DC5B13">
        <w:rPr>
          <w:rFonts w:eastAsia="Calibri"/>
          <w:b/>
          <w:bCs/>
          <w:rtl/>
        </w:rPr>
        <w:t xml:space="preserve"> שיאפשר </w:t>
      </w:r>
      <w:r w:rsidRPr="00DC5B13">
        <w:rPr>
          <w:rFonts w:eastAsia="Calibri" w:hint="eastAsia"/>
          <w:b/>
          <w:bCs/>
          <w:rtl/>
        </w:rPr>
        <w:t>סנכרון</w:t>
      </w:r>
      <w:r w:rsidRPr="00DC5B13">
        <w:rPr>
          <w:rFonts w:eastAsia="Calibri"/>
          <w:b/>
          <w:bCs/>
          <w:rtl/>
        </w:rPr>
        <w:t xml:space="preserve"> מלא בין כל אלה</w:t>
      </w:r>
      <w:r w:rsidRPr="00DC5B13">
        <w:rPr>
          <w:rFonts w:eastAsia="Calibri" w:hint="cs"/>
          <w:b/>
          <w:bCs/>
          <w:rtl/>
        </w:rPr>
        <w:t>.</w:t>
      </w:r>
    </w:p>
    <w:p w:rsidR="00DC5B13" w:rsidRPr="000E4CC0" w:rsidP="00C34B23">
      <w:pPr>
        <w:spacing w:line="269" w:lineRule="auto"/>
        <w:ind w:left="-567"/>
        <w:rPr>
          <w:rFonts w:eastAsia="Calibri"/>
          <w:sz w:val="18"/>
          <w:szCs w:val="18"/>
          <w:rtl/>
        </w:rPr>
      </w:pPr>
    </w:p>
    <w:p w:rsidR="00DC5B13" w:rsidRPr="000E4CC0" w:rsidP="00C34B23">
      <w:pPr>
        <w:spacing w:line="269" w:lineRule="auto"/>
        <w:rPr>
          <w:rFonts w:eastAsia="Times New Roman"/>
          <w:bCs/>
          <w:sz w:val="14"/>
          <w:szCs w:val="22"/>
          <w:rtl/>
        </w:rPr>
      </w:pPr>
      <w:r w:rsidRPr="00DC5B13">
        <w:rPr>
          <w:rFonts w:eastAsia="Calibri" w:hint="cs"/>
          <w:b/>
          <w:bCs/>
          <w:rtl/>
        </w:rPr>
        <w:t>מומלץ כי מסמך המדיניות יגדיר, בין השאר, מטרות לאומיות לפריסה, לקידום ולביצוע התחדשות עירונית בהתייחס למאפיינים ולצרכים של אזורים שונים; אזורי עדיפות לקידום התחדשות עירונית; יעדי ביצוע למדיניות; ומתווה למערכת היחסים בין הגורמים העוסקים בהתחדשות העירונית בישראל, לרבות אופני שיתוף הפעולה בין הגורמים ואת תפקידי הרשויות המקומיות בנושא זה.</w:t>
      </w:r>
    </w:p>
    <w:p w:rsidR="00DC5B13" w:rsidRPr="00DC5B13" w:rsidP="00C34B23">
      <w:pPr>
        <w:spacing w:line="269" w:lineRule="auto"/>
        <w:jc w:val="center"/>
        <w:rPr>
          <w:rFonts w:ascii="Arial" w:eastAsia="Calibri" w:hAnsi="Arial" w:cs="Arial"/>
          <w:sz w:val="36"/>
          <w:rtl/>
        </w:rPr>
      </w:pPr>
      <w:r w:rsidRPr="00DC5B13">
        <w:rPr>
          <w:rFonts w:ascii="Segoe UI Symbol" w:eastAsia="Calibri" w:hAnsi="Segoe UI Symbol" w:cs="Segoe UI Symbol" w:hint="cs"/>
          <w:sz w:val="36"/>
          <w:rtl/>
        </w:rPr>
        <w:t>✰</w:t>
      </w:r>
    </w:p>
    <w:p w:rsidR="00DC5B13" w:rsidRPr="000E4CC0" w:rsidP="00C34B23">
      <w:pPr>
        <w:spacing w:line="269" w:lineRule="auto"/>
        <w:rPr>
          <w:rFonts w:eastAsia="Calibri"/>
          <w:sz w:val="18"/>
          <w:szCs w:val="18"/>
          <w:rtl/>
        </w:rPr>
      </w:pPr>
    </w:p>
    <w:p w:rsidR="00DC5B13" w:rsidRPr="00DC5B13" w:rsidP="00C34B23">
      <w:pPr>
        <w:spacing w:line="269" w:lineRule="auto"/>
        <w:rPr>
          <w:rFonts w:eastAsia="Calibri"/>
          <w:b/>
          <w:bCs/>
          <w:rtl/>
        </w:rPr>
      </w:pPr>
      <w:r w:rsidRPr="00DC5B13">
        <w:rPr>
          <w:rFonts w:eastAsia="Calibri" w:hint="cs"/>
          <w:b/>
          <w:bCs/>
          <w:rtl/>
        </w:rPr>
        <w:t>מהסקירה הבין-לאומית שלעיל עולות שתי גישות עיקריות לקידום מדיניות לאומית להתחדשות עירונית, המדגישות את חשיבות השלטון המקומי בקידום וביישום של המדיניות והמקנות לשלטון המקומי סמכויות נוספות כדי שיוכל למלא את תפקידו כראוי. בישראל כאמור טרם נכתב מסמך מדיניות לאומית כוללת להתחדשות עירונית שיקבע מטרות לאומיות ויעדי ביצוע ויתווה את דרכי הפעולה המומלצות.</w:t>
      </w:r>
    </w:p>
    <w:p w:rsidR="00DC5B13" w:rsidRPr="00DC5B13" w:rsidP="00C34B23">
      <w:pPr>
        <w:keepNext/>
        <w:keepLines/>
        <w:spacing w:line="269" w:lineRule="auto"/>
        <w:jc w:val="center"/>
        <w:outlineLvl w:val="1"/>
        <w:rPr>
          <w:rFonts w:eastAsia="Times New Roman"/>
          <w:bCs/>
          <w:szCs w:val="32"/>
          <w:rtl/>
        </w:rPr>
      </w:pPr>
      <w:r w:rsidRPr="00DC5B13">
        <w:rPr>
          <w:rFonts w:eastAsia="Times New Roman" w:hint="cs"/>
          <w:bCs/>
          <w:szCs w:val="32"/>
          <w:rtl/>
        </w:rPr>
        <w:t>התכנון והקידום של התחדשות עירונית ברשויות שנבדקו</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אחת הדרכים המרכזיות לתכנון וקידום התחדשות עירונית ברשויות המקומיות היא באמצעות מינהלות עירוניות, כפי שיפורט להלן. </w:t>
      </w:r>
    </w:p>
    <w:p w:rsidR="00DC5B13" w:rsidRPr="00DC5B13" w:rsidP="00C34B23">
      <w:pPr>
        <w:spacing w:line="269" w:lineRule="auto"/>
        <w:rPr>
          <w:rFonts w:eastAsia="Calibri"/>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bCs/>
          <w:szCs w:val="28"/>
          <w:u w:val="single"/>
          <w:rtl/>
        </w:rPr>
        <w:t xml:space="preserve">הקמת מינהלות עירוניות להתחדשות עירונית ותפקידן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לפי סעיף 2 לחוק הרשות להתחדשות, מינהלת עירונית היא </w:t>
      </w:r>
      <w:r w:rsidRPr="00DC5B13">
        <w:rPr>
          <w:rFonts w:eastAsia="Calibri"/>
          <w:rtl/>
        </w:rPr>
        <w:t>יחידה ארגונית הפועלת בתחום</w:t>
      </w:r>
      <w:r w:rsidRPr="00DC5B13">
        <w:rPr>
          <w:rFonts w:eastAsia="Calibri" w:hint="cs"/>
          <w:rtl/>
        </w:rPr>
        <w:t xml:space="preserve"> של </w:t>
      </w:r>
      <w:r w:rsidRPr="00DC5B13">
        <w:rPr>
          <w:rFonts w:eastAsia="Calibri"/>
          <w:rtl/>
        </w:rPr>
        <w:t>רשות מקומית או בתאגיד עירונ</w:t>
      </w:r>
      <w:r w:rsidRPr="00DC5B13">
        <w:rPr>
          <w:rFonts w:eastAsia="Calibri" w:hint="cs"/>
          <w:rtl/>
        </w:rPr>
        <w:t xml:space="preserve">י, </w:t>
      </w:r>
      <w:r w:rsidRPr="00DC5B13">
        <w:rPr>
          <w:rFonts w:eastAsia="Calibri"/>
          <w:rtl/>
        </w:rPr>
        <w:t xml:space="preserve">שמטרתה קידום </w:t>
      </w:r>
      <w:r w:rsidRPr="00DC5B13">
        <w:rPr>
          <w:rFonts w:eastAsia="Calibri" w:hint="cs"/>
          <w:rtl/>
        </w:rPr>
        <w:t>ה</w:t>
      </w:r>
      <w:r w:rsidRPr="00DC5B13">
        <w:rPr>
          <w:rFonts w:eastAsia="Calibri"/>
          <w:rtl/>
        </w:rPr>
        <w:t>התחדשות</w:t>
      </w:r>
      <w:r w:rsidRPr="00DC5B13">
        <w:rPr>
          <w:rFonts w:eastAsia="Calibri" w:hint="cs"/>
          <w:rtl/>
        </w:rPr>
        <w:t xml:space="preserve"> ה</w:t>
      </w:r>
      <w:r w:rsidRPr="00DC5B13">
        <w:rPr>
          <w:rFonts w:eastAsia="Calibri"/>
          <w:rtl/>
        </w:rPr>
        <w:t>עירונית בתחום הרשות המקומית</w:t>
      </w:r>
      <w:r w:rsidRPr="00DC5B13">
        <w:rPr>
          <w:rFonts w:eastAsia="Calibri" w:hint="cs"/>
          <w:rtl/>
        </w:rPr>
        <w:t xml:space="preserve"> (להלן בדוח זה - מינהלת). מטרת המינהלת היא לפעול</w:t>
      </w:r>
      <w:r w:rsidRPr="00DC5B13">
        <w:rPr>
          <w:rFonts w:eastAsia="Calibri"/>
          <w:rtl/>
        </w:rPr>
        <w:t xml:space="preserve"> אל מול הגורמים</w:t>
      </w:r>
      <w:r w:rsidRPr="00DC5B13">
        <w:rPr>
          <w:rFonts w:eastAsia="Calibri" w:hint="cs"/>
          <w:rtl/>
        </w:rPr>
        <w:t xml:space="preserve"> </w:t>
      </w:r>
      <w:r w:rsidRPr="00DC5B13">
        <w:rPr>
          <w:rFonts w:eastAsia="Calibri"/>
          <w:rtl/>
        </w:rPr>
        <w:t>השונים המעורבים בתהליך</w:t>
      </w:r>
      <w:r w:rsidRPr="00DC5B13">
        <w:rPr>
          <w:rFonts w:eastAsia="Calibri" w:hint="cs"/>
          <w:rtl/>
        </w:rPr>
        <w:t xml:space="preserve"> ההתחדשות</w:t>
      </w:r>
      <w:r w:rsidRPr="00DC5B13">
        <w:rPr>
          <w:rFonts w:eastAsia="Calibri"/>
          <w:rtl/>
        </w:rPr>
        <w:t xml:space="preserve"> </w:t>
      </w:r>
      <w:r w:rsidRPr="00DC5B13">
        <w:rPr>
          <w:rFonts w:eastAsia="Calibri" w:hint="cs"/>
          <w:rtl/>
        </w:rPr>
        <w:t>-</w:t>
      </w:r>
      <w:r w:rsidRPr="00DC5B13">
        <w:rPr>
          <w:rFonts w:eastAsia="Calibri"/>
          <w:rtl/>
        </w:rPr>
        <w:t xml:space="preserve"> בעלי</w:t>
      </w:r>
      <w:r w:rsidRPr="00DC5B13">
        <w:rPr>
          <w:rFonts w:eastAsia="Calibri" w:hint="cs"/>
          <w:rtl/>
        </w:rPr>
        <w:t xml:space="preserve"> </w:t>
      </w:r>
      <w:r w:rsidRPr="00DC5B13">
        <w:rPr>
          <w:rFonts w:eastAsia="Calibri"/>
          <w:rtl/>
        </w:rPr>
        <w:t xml:space="preserve">דירות, יזמים, הרשות המקומית </w:t>
      </w:r>
      <w:r w:rsidRPr="00DC5B13">
        <w:rPr>
          <w:rFonts w:eastAsia="Calibri" w:hint="cs"/>
          <w:rtl/>
        </w:rPr>
        <w:t xml:space="preserve">על אגפיה </w:t>
      </w:r>
      <w:r w:rsidRPr="00DC5B13">
        <w:rPr>
          <w:rFonts w:eastAsia="Calibri"/>
          <w:rtl/>
        </w:rPr>
        <w:t>ומוסדות התכנון</w:t>
      </w:r>
      <w:r w:rsidRPr="00DC5B13">
        <w:rPr>
          <w:rFonts w:eastAsia="Calibri" w:hint="cs"/>
          <w:rtl/>
        </w:rPr>
        <w:t xml:space="preserve"> -</w:t>
      </w:r>
      <w:r w:rsidRPr="00DC5B13">
        <w:rPr>
          <w:rFonts w:eastAsia="Calibri"/>
          <w:rtl/>
        </w:rPr>
        <w:t xml:space="preserve"> ו</w:t>
      </w:r>
      <w:r w:rsidRPr="00DC5B13">
        <w:rPr>
          <w:rFonts w:eastAsia="Calibri" w:hint="cs"/>
          <w:rtl/>
        </w:rPr>
        <w:t>לסייע ב</w:t>
      </w:r>
      <w:r w:rsidRPr="00DC5B13">
        <w:rPr>
          <w:rFonts w:eastAsia="Calibri"/>
          <w:rtl/>
        </w:rPr>
        <w:t>האצת תהליכים מורכבים אל</w:t>
      </w:r>
      <w:r w:rsidRPr="00DC5B13">
        <w:rPr>
          <w:rFonts w:eastAsia="Calibri" w:hint="cs"/>
          <w:rtl/>
        </w:rPr>
        <w:t xml:space="preserve">ה </w:t>
      </w:r>
      <w:r w:rsidRPr="00DC5B13">
        <w:rPr>
          <w:rFonts w:eastAsia="Calibri"/>
          <w:rtl/>
        </w:rPr>
        <w:t>בתחומי הרשות המקומית</w:t>
      </w:r>
      <w:r w:rsidRPr="00DC5B13">
        <w:rPr>
          <w:rFonts w:eastAsia="Calibri" w:hint="cs"/>
          <w:rtl/>
        </w:rPr>
        <w:t xml:space="preserve">. הרשות להתחדשות מסייעת לרשויות המקומיות בהקמת מינהלות, שכן היא סבורה שפעילותן מגבירה את האמון של כלל בעלי העניין בתהליכי ההתחדשות העירונית, ממקדת את המאמץ של כל הגורמים הרלוונטיים בקידום תהליכים אלה, ומסייעת למימוש פוטנציאל ההתחדשות העירונית בתחומי הרשויות המקומיות.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w:t>
      </w:r>
      <w:r w:rsidRPr="00DC5B13">
        <w:rPr>
          <w:rFonts w:eastAsia="Calibri"/>
          <w:rtl/>
        </w:rPr>
        <w:t>מינהל</w:t>
      </w:r>
      <w:r w:rsidRPr="00DC5B13">
        <w:rPr>
          <w:rFonts w:eastAsia="Calibri" w:hint="cs"/>
          <w:rtl/>
        </w:rPr>
        <w:t>ו</w:t>
      </w:r>
      <w:r w:rsidRPr="00DC5B13">
        <w:rPr>
          <w:rFonts w:eastAsia="Calibri"/>
          <w:rtl/>
        </w:rPr>
        <w:t xml:space="preserve">ת </w:t>
      </w:r>
      <w:r w:rsidRPr="00DC5B13">
        <w:rPr>
          <w:rFonts w:eastAsia="Calibri" w:hint="cs"/>
          <w:rtl/>
        </w:rPr>
        <w:t>ה</w:t>
      </w:r>
      <w:r w:rsidRPr="00DC5B13">
        <w:rPr>
          <w:rFonts w:eastAsia="Calibri"/>
          <w:rtl/>
        </w:rPr>
        <w:t>עירוני</w:t>
      </w:r>
      <w:r w:rsidRPr="00DC5B13">
        <w:rPr>
          <w:rFonts w:eastAsia="Calibri" w:hint="cs"/>
          <w:rtl/>
        </w:rPr>
        <w:t>ו</w:t>
      </w:r>
      <w:r w:rsidRPr="00DC5B13">
        <w:rPr>
          <w:rFonts w:eastAsia="Calibri"/>
          <w:rtl/>
        </w:rPr>
        <w:t xml:space="preserve">ת </w:t>
      </w:r>
      <w:r w:rsidRPr="00DC5B13">
        <w:rPr>
          <w:rFonts w:eastAsia="Calibri" w:hint="cs"/>
          <w:rtl/>
        </w:rPr>
        <w:t xml:space="preserve">הוקמו כדי להיות </w:t>
      </w:r>
      <w:r w:rsidRPr="00DC5B13">
        <w:rPr>
          <w:rFonts w:eastAsia="Calibri"/>
          <w:rtl/>
        </w:rPr>
        <w:t>"חוד החנית" של הרשו</w:t>
      </w:r>
      <w:r w:rsidRPr="00DC5B13">
        <w:rPr>
          <w:rFonts w:eastAsia="Calibri" w:hint="cs"/>
          <w:rtl/>
        </w:rPr>
        <w:t>יו</w:t>
      </w:r>
      <w:r w:rsidRPr="00DC5B13">
        <w:rPr>
          <w:rFonts w:eastAsia="Calibri"/>
          <w:rtl/>
        </w:rPr>
        <w:t>ת המקומי</w:t>
      </w:r>
      <w:r w:rsidRPr="00DC5B13">
        <w:rPr>
          <w:rFonts w:eastAsia="Calibri" w:hint="cs"/>
          <w:rtl/>
        </w:rPr>
        <w:t>ו</w:t>
      </w:r>
      <w:r w:rsidRPr="00DC5B13">
        <w:rPr>
          <w:rFonts w:eastAsia="Calibri"/>
          <w:rtl/>
        </w:rPr>
        <w:t>ת בקידום מיזמים של התחדשות עירונית</w:t>
      </w:r>
      <w:r w:rsidRPr="00DC5B13">
        <w:rPr>
          <w:rFonts w:eastAsia="Calibri" w:hint="cs"/>
          <w:rtl/>
        </w:rPr>
        <w:t xml:space="preserve">. בין היתר </w:t>
      </w:r>
      <w:r w:rsidRPr="00DC5B13">
        <w:rPr>
          <w:rFonts w:eastAsia="Calibri"/>
          <w:rtl/>
        </w:rPr>
        <w:t>ה</w:t>
      </w:r>
      <w:r w:rsidRPr="00DC5B13">
        <w:rPr>
          <w:rFonts w:eastAsia="Calibri" w:hint="cs"/>
          <w:rtl/>
        </w:rPr>
        <w:t>ן</w:t>
      </w:r>
      <w:r w:rsidRPr="00DC5B13">
        <w:rPr>
          <w:rFonts w:eastAsia="Calibri"/>
          <w:rtl/>
        </w:rPr>
        <w:t xml:space="preserve"> </w:t>
      </w:r>
      <w:r w:rsidRPr="00DC5B13">
        <w:rPr>
          <w:rFonts w:eastAsia="Calibri" w:hint="cs"/>
          <w:rtl/>
        </w:rPr>
        <w:t>אמורות</w:t>
      </w:r>
      <w:r w:rsidRPr="00DC5B13">
        <w:rPr>
          <w:rFonts w:eastAsia="Calibri"/>
          <w:rtl/>
        </w:rPr>
        <w:t xml:space="preserve"> </w:t>
      </w:r>
      <w:r w:rsidRPr="00DC5B13">
        <w:rPr>
          <w:rFonts w:eastAsia="Calibri" w:hint="cs"/>
          <w:rtl/>
        </w:rPr>
        <w:t>לסייע באופן ישיר בפתרון</w:t>
      </w:r>
      <w:r w:rsidRPr="00DC5B13">
        <w:rPr>
          <w:rFonts w:eastAsia="Calibri"/>
          <w:rtl/>
        </w:rPr>
        <w:t xml:space="preserve"> חסמים מרכזיים</w:t>
      </w:r>
      <w:r w:rsidRPr="00DC5B13">
        <w:rPr>
          <w:rFonts w:eastAsia="Calibri" w:hint="cs"/>
          <w:rtl/>
        </w:rPr>
        <w:t xml:space="preserve"> בתהליך</w:t>
      </w:r>
      <w:r w:rsidRPr="00DC5B13">
        <w:rPr>
          <w:rFonts w:eastAsia="Calibri"/>
          <w:rtl/>
        </w:rPr>
        <w:t>: היעדר מידע ו</w:t>
      </w:r>
      <w:r w:rsidRPr="00DC5B13">
        <w:rPr>
          <w:rFonts w:eastAsia="Calibri" w:hint="cs"/>
          <w:rtl/>
        </w:rPr>
        <w:t xml:space="preserve">היעדר </w:t>
      </w:r>
      <w:r w:rsidRPr="00DC5B13">
        <w:rPr>
          <w:rFonts w:eastAsia="Calibri"/>
          <w:rtl/>
        </w:rPr>
        <w:t>בהירות, בירוקרטיה ועיכובים</w:t>
      </w:r>
      <w:r w:rsidRPr="00DC5B13">
        <w:rPr>
          <w:rFonts w:eastAsia="Calibri" w:hint="cs"/>
          <w:rtl/>
        </w:rPr>
        <w:t>,</w:t>
      </w:r>
      <w:r w:rsidRPr="00DC5B13">
        <w:rPr>
          <w:rFonts w:eastAsia="Calibri"/>
          <w:rtl/>
        </w:rPr>
        <w:t xml:space="preserve"> </w:t>
      </w:r>
      <w:r w:rsidRPr="00DC5B13">
        <w:rPr>
          <w:rFonts w:eastAsia="Calibri" w:hint="cs"/>
          <w:rtl/>
        </w:rPr>
        <w:t xml:space="preserve">וכן לצמצם את </w:t>
      </w:r>
      <w:r w:rsidRPr="00DC5B13">
        <w:rPr>
          <w:rFonts w:eastAsia="Calibri"/>
          <w:rtl/>
        </w:rPr>
        <w:t>פער</w:t>
      </w:r>
      <w:r w:rsidRPr="00DC5B13">
        <w:rPr>
          <w:rFonts w:eastAsia="Calibri" w:hint="cs"/>
          <w:rtl/>
        </w:rPr>
        <w:t>י</w:t>
      </w:r>
      <w:r w:rsidRPr="00DC5B13">
        <w:rPr>
          <w:rFonts w:eastAsia="Calibri"/>
          <w:rtl/>
        </w:rPr>
        <w:t xml:space="preserve"> </w:t>
      </w:r>
      <w:r w:rsidRPr="00DC5B13">
        <w:rPr>
          <w:rFonts w:eastAsia="Calibri" w:hint="cs"/>
          <w:rtl/>
        </w:rPr>
        <w:t>ה</w:t>
      </w:r>
      <w:r w:rsidRPr="00DC5B13">
        <w:rPr>
          <w:rFonts w:eastAsia="Calibri"/>
          <w:rtl/>
        </w:rPr>
        <w:t xml:space="preserve">מידע </w:t>
      </w:r>
      <w:r w:rsidRPr="00DC5B13">
        <w:rPr>
          <w:rFonts w:eastAsia="Calibri" w:hint="cs"/>
          <w:rtl/>
        </w:rPr>
        <w:t>בין הרשויות המקומיות לבין ה</w:t>
      </w:r>
      <w:r w:rsidRPr="00DC5B13">
        <w:rPr>
          <w:rFonts w:eastAsia="Calibri"/>
          <w:rtl/>
        </w:rPr>
        <w:t>שלטון המרכזי</w:t>
      </w:r>
      <w:r w:rsidRPr="00DC5B13">
        <w:rPr>
          <w:rFonts w:eastAsia="Calibri" w:hint="cs"/>
          <w:rtl/>
        </w:rPr>
        <w:t xml:space="preserve">. תפיסה זו היא נדבך מרכזי במערך המינהלות ומיוצגת בקולות הקוראים שיוזכרו להלן. </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hint="cs"/>
          <w:rtl/>
        </w:rPr>
        <w:t>הרשות להתחדשות מסייעת במימון חלקי של הפעלתן השוטפת של המינהלות ברשויות המקומיות כנגד השלמת תקציב מצד הרשות המקומית. כמו כן היא משתתפת ב</w:t>
      </w:r>
      <w:r w:rsidRPr="00DC5B13">
        <w:rPr>
          <w:rFonts w:eastAsia="Calibri"/>
          <w:rtl/>
        </w:rPr>
        <w:t xml:space="preserve">הליכי </w:t>
      </w:r>
      <w:r w:rsidRPr="00DC5B13">
        <w:rPr>
          <w:rFonts w:eastAsia="Calibri" w:hint="cs"/>
          <w:rtl/>
        </w:rPr>
        <w:t>ה</w:t>
      </w:r>
      <w:r w:rsidRPr="00DC5B13">
        <w:rPr>
          <w:rFonts w:eastAsia="Calibri"/>
          <w:rtl/>
        </w:rPr>
        <w:t>איתור ו</w:t>
      </w:r>
      <w:r w:rsidRPr="00DC5B13">
        <w:rPr>
          <w:rFonts w:eastAsia="Calibri" w:hint="cs"/>
          <w:rtl/>
        </w:rPr>
        <w:t>ה</w:t>
      </w:r>
      <w:r w:rsidRPr="00DC5B13">
        <w:rPr>
          <w:rFonts w:eastAsia="Calibri"/>
          <w:rtl/>
        </w:rPr>
        <w:t>גיוס</w:t>
      </w:r>
      <w:r w:rsidRPr="00DC5B13">
        <w:rPr>
          <w:rFonts w:eastAsia="Calibri" w:hint="cs"/>
          <w:rtl/>
        </w:rPr>
        <w:t xml:space="preserve"> </w:t>
      </w:r>
      <w:r w:rsidRPr="00DC5B13">
        <w:rPr>
          <w:rFonts w:eastAsia="Calibri"/>
          <w:rtl/>
        </w:rPr>
        <w:t>של כוח אדם מקצועי</w:t>
      </w:r>
      <w:r w:rsidRPr="00DC5B13">
        <w:rPr>
          <w:rFonts w:eastAsia="Calibri" w:hint="cs"/>
          <w:rtl/>
        </w:rPr>
        <w:t xml:space="preserve"> לאיוש המינהלות ובארגון </w:t>
      </w:r>
      <w:r w:rsidRPr="00DC5B13">
        <w:rPr>
          <w:rFonts w:eastAsia="Calibri"/>
          <w:rtl/>
        </w:rPr>
        <w:t>הכשרות</w:t>
      </w:r>
      <w:r w:rsidRPr="00DC5B13">
        <w:rPr>
          <w:rFonts w:eastAsia="Calibri" w:hint="cs"/>
          <w:rtl/>
        </w:rPr>
        <w:t xml:space="preserve"> </w:t>
      </w:r>
      <w:r w:rsidRPr="00DC5B13">
        <w:rPr>
          <w:rFonts w:eastAsia="Calibri"/>
          <w:rtl/>
        </w:rPr>
        <w:t>מקצועיות לעובדי</w:t>
      </w:r>
      <w:r w:rsidRPr="00DC5B13">
        <w:rPr>
          <w:rFonts w:eastAsia="Calibri" w:hint="cs"/>
          <w:rtl/>
        </w:rPr>
        <w:t xml:space="preserve">הן. הרשות גם </w:t>
      </w:r>
      <w:r w:rsidRPr="00DC5B13">
        <w:rPr>
          <w:rFonts w:eastAsia="Calibri"/>
          <w:rtl/>
        </w:rPr>
        <w:t>מספקת</w:t>
      </w:r>
      <w:r w:rsidRPr="00DC5B13">
        <w:rPr>
          <w:rFonts w:eastAsia="Calibri" w:hint="cs"/>
          <w:rtl/>
        </w:rPr>
        <w:t xml:space="preserve"> למינהלות </w:t>
      </w:r>
      <w:r w:rsidRPr="00DC5B13">
        <w:rPr>
          <w:rFonts w:eastAsia="Calibri"/>
          <w:rtl/>
        </w:rPr>
        <w:t xml:space="preserve">ליווי מקצועי שוטף ומסייעת בהתאמת פעילותן לצרכים הייחודיים של </w:t>
      </w:r>
      <w:r w:rsidRPr="00DC5B13">
        <w:rPr>
          <w:rFonts w:eastAsia="Calibri" w:hint="cs"/>
          <w:rtl/>
        </w:rPr>
        <w:t>הרשויות המקומיות שבהן הן פועלות</w:t>
      </w:r>
      <w:r w:rsidRPr="00DC5B13">
        <w:rPr>
          <w:rFonts w:eastAsia="Calibri"/>
          <w:rtl/>
        </w:rPr>
        <w:t>.</w:t>
      </w:r>
    </w:p>
    <w:p w:rsidR="000E4CC0" w:rsidRPr="00DC5B13" w:rsidP="00C34B23">
      <w:pPr>
        <w:spacing w:line="269" w:lineRule="auto"/>
        <w:rPr>
          <w:rFonts w:eastAsia="Calibri"/>
          <w:rtl/>
        </w:rPr>
      </w:pPr>
    </w:p>
    <w:p w:rsidR="00DC5B13" w:rsidRPr="00DC5B13" w:rsidP="00C34B23">
      <w:pPr>
        <w:keepNext/>
        <w:keepLines/>
        <w:spacing w:line="269" w:lineRule="auto"/>
        <w:outlineLvl w:val="3"/>
        <w:rPr>
          <w:rFonts w:eastAsia="Times New Roman"/>
          <w:bCs/>
          <w:szCs w:val="26"/>
          <w:rtl/>
        </w:rPr>
      </w:pPr>
      <w:r w:rsidRPr="00DC5B13">
        <w:rPr>
          <w:rFonts w:eastAsia="Times New Roman" w:hint="cs"/>
          <w:bCs/>
          <w:szCs w:val="26"/>
          <w:rtl/>
        </w:rPr>
        <w:t xml:space="preserve">הקמת מערך המינהלות ופריסתו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משרד השיכון יזם את הקמת המינהלות הראשונות במסגרת </w:t>
      </w:r>
      <w:r w:rsidRPr="00DC5B13">
        <w:rPr>
          <w:rFonts w:eastAsia="Calibri"/>
          <w:rtl/>
        </w:rPr>
        <w:t>קול קורא לרשויות מקומיות המבקשות להניע תהליכי התחדשות עירונית לקבלת סיוע במימון מינהלות עירוניות להתחדשות עירונית</w:t>
      </w:r>
      <w:r w:rsidRPr="00DC5B13">
        <w:rPr>
          <w:rFonts w:eastAsia="Calibri" w:hint="cs"/>
          <w:rtl/>
        </w:rPr>
        <w:t xml:space="preserve"> - קול קורא מספר </w:t>
      </w:r>
      <w:r w:rsidRPr="00DC5B13">
        <w:rPr>
          <w:rFonts w:eastAsia="Calibri"/>
          <w:rtl/>
        </w:rPr>
        <w:t>4/2016</w:t>
      </w:r>
      <w:r w:rsidRPr="00DC5B13">
        <w:rPr>
          <w:rFonts w:eastAsia="Calibri" w:hint="cs"/>
          <w:rtl/>
        </w:rPr>
        <w:t xml:space="preserve"> מאוקטובר 2016 (להלן - קול קורא 4/2016). הקול הקורא יושם על ידי הרשות להתחדשות עם הקמתה בינואר 2017. באוגוסט 2018 הפיצה הרשות להתחדשות קול קורא נוסף מספר 3</w:t>
      </w:r>
      <w:r w:rsidRPr="00DC5B13">
        <w:rPr>
          <w:rFonts w:eastAsia="Calibri"/>
          <w:rtl/>
        </w:rPr>
        <w:t>/201</w:t>
      </w:r>
      <w:r w:rsidRPr="00DC5B13">
        <w:rPr>
          <w:rFonts w:eastAsia="Calibri" w:hint="cs"/>
          <w:rtl/>
        </w:rPr>
        <w:t xml:space="preserve">8 (להלן - קול קורא 3/2018), אשר יועד </w:t>
      </w:r>
      <w:r w:rsidRPr="00DC5B13">
        <w:rPr>
          <w:rFonts w:eastAsia="Calibri"/>
          <w:rtl/>
        </w:rPr>
        <w:t>לרשויות מקומיות בעלות פוטנציאל כלכלי למימוש מיידי של</w:t>
      </w:r>
      <w:r w:rsidRPr="00DC5B13">
        <w:rPr>
          <w:rFonts w:eastAsia="Calibri" w:hint="cs"/>
          <w:rtl/>
        </w:rPr>
        <w:t xml:space="preserve"> </w:t>
      </w:r>
      <w:r w:rsidRPr="00DC5B13">
        <w:rPr>
          <w:rFonts w:eastAsia="Calibri"/>
          <w:rtl/>
        </w:rPr>
        <w:t>מיזמים להתחדשות עירונית</w:t>
      </w:r>
      <w:r w:rsidRPr="00DC5B13">
        <w:rPr>
          <w:rFonts w:eastAsia="Calibri" w:hint="cs"/>
          <w:rtl/>
        </w:rPr>
        <w:t>,</w:t>
      </w:r>
      <w:r w:rsidRPr="00DC5B13">
        <w:rPr>
          <w:rFonts w:eastAsia="Calibri"/>
          <w:rtl/>
        </w:rPr>
        <w:t xml:space="preserve"> ל</w:t>
      </w:r>
      <w:r w:rsidRPr="00DC5B13">
        <w:rPr>
          <w:rFonts w:eastAsia="Calibri" w:hint="cs"/>
          <w:rtl/>
        </w:rPr>
        <w:t xml:space="preserve">שם </w:t>
      </w:r>
      <w:r w:rsidRPr="00DC5B13">
        <w:rPr>
          <w:rFonts w:eastAsia="Calibri"/>
          <w:rtl/>
        </w:rPr>
        <w:t>קבלת סיוע</w:t>
      </w:r>
      <w:r w:rsidRPr="00DC5B13">
        <w:rPr>
          <w:rFonts w:eastAsia="Calibri" w:hint="cs"/>
          <w:rtl/>
        </w:rPr>
        <w:t xml:space="preserve"> </w:t>
      </w:r>
      <w:r w:rsidRPr="00DC5B13">
        <w:rPr>
          <w:rFonts w:eastAsia="Calibri"/>
          <w:rtl/>
        </w:rPr>
        <w:t xml:space="preserve">במימון </w:t>
      </w:r>
      <w:r w:rsidRPr="00DC5B13">
        <w:rPr>
          <w:rFonts w:eastAsia="Calibri" w:hint="cs"/>
          <w:rtl/>
        </w:rPr>
        <w:t>ה</w:t>
      </w:r>
      <w:r w:rsidRPr="00DC5B13">
        <w:rPr>
          <w:rFonts w:eastAsia="Calibri"/>
          <w:rtl/>
        </w:rPr>
        <w:t xml:space="preserve">הפעלה של </w:t>
      </w:r>
      <w:r w:rsidRPr="00DC5B13">
        <w:rPr>
          <w:rFonts w:eastAsia="Calibri" w:hint="cs"/>
          <w:rtl/>
        </w:rPr>
        <w:t>ה</w:t>
      </w:r>
      <w:r w:rsidRPr="00DC5B13">
        <w:rPr>
          <w:rFonts w:eastAsia="Calibri"/>
          <w:rtl/>
        </w:rPr>
        <w:t>מינהלות</w:t>
      </w:r>
      <w:r w:rsidRPr="00DC5B13">
        <w:rPr>
          <w:rFonts w:eastAsia="Calibri" w:hint="cs"/>
          <w:rtl/>
        </w:rPr>
        <w:t xml:space="preserve"> ה</w:t>
      </w:r>
      <w:r w:rsidRPr="00DC5B13">
        <w:rPr>
          <w:rFonts w:eastAsia="Calibri"/>
          <w:rtl/>
        </w:rPr>
        <w:t>עירוניות להתחדשות עירונית</w:t>
      </w:r>
      <w:r w:rsidRPr="00DC5B13">
        <w:rPr>
          <w:rFonts w:eastAsia="Calibri" w:hint="cs"/>
          <w:rtl/>
        </w:rPr>
        <w:t>. הרשויות המקומיות שזכו בקולות הקוראים חתמו על הסכם התקשרות עם הרשות להתחדשות לתקופה של חמש שנים לכל היותר.</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לקראת פקיעתה של תקופת ההתקשרות במסגרת הקולות הקוראים האמורים הפיצה הרשות להתחדשות קול קורא חדש </w:t>
      </w:r>
      <w:r w:rsidRPr="00DC5B13">
        <w:rPr>
          <w:rFonts w:eastAsia="Calibri"/>
          <w:rtl/>
        </w:rPr>
        <w:t xml:space="preserve">לרשויות </w:t>
      </w:r>
      <w:r w:rsidRPr="00DC5B13">
        <w:rPr>
          <w:rFonts w:eastAsia="Calibri" w:hint="cs"/>
          <w:rtl/>
        </w:rPr>
        <w:t>ה</w:t>
      </w:r>
      <w:r w:rsidRPr="00DC5B13">
        <w:rPr>
          <w:rFonts w:eastAsia="Calibri"/>
          <w:rtl/>
        </w:rPr>
        <w:t>מקומיות</w:t>
      </w:r>
      <w:r w:rsidRPr="00DC5B13">
        <w:rPr>
          <w:rFonts w:eastAsia="Calibri" w:hint="cs"/>
          <w:rtl/>
        </w:rPr>
        <w:t xml:space="preserve"> </w:t>
      </w:r>
      <w:r w:rsidRPr="00DC5B13">
        <w:rPr>
          <w:rFonts w:eastAsia="Calibri"/>
          <w:rtl/>
        </w:rPr>
        <w:t>להשתתפות במימון הפעלת</w:t>
      </w:r>
      <w:r w:rsidRPr="00DC5B13">
        <w:rPr>
          <w:rFonts w:eastAsia="Calibri" w:hint="cs"/>
          <w:rtl/>
        </w:rPr>
        <w:t>ן של</w:t>
      </w:r>
      <w:r w:rsidRPr="00DC5B13">
        <w:rPr>
          <w:rFonts w:eastAsia="Calibri"/>
          <w:rtl/>
        </w:rPr>
        <w:t xml:space="preserve"> מינהלות עירוניות להתחדשות עירונית</w:t>
      </w:r>
      <w:r w:rsidRPr="00DC5B13">
        <w:rPr>
          <w:rFonts w:eastAsia="Calibri" w:hint="cs"/>
          <w:rtl/>
        </w:rPr>
        <w:t xml:space="preserve"> - קול קורא מספר 7</w:t>
      </w:r>
      <w:r w:rsidRPr="00DC5B13">
        <w:rPr>
          <w:rFonts w:eastAsia="Calibri"/>
          <w:rtl/>
        </w:rPr>
        <w:t>/20</w:t>
      </w:r>
      <w:r w:rsidRPr="00DC5B13">
        <w:rPr>
          <w:rFonts w:eastAsia="Calibri" w:hint="cs"/>
          <w:rtl/>
        </w:rPr>
        <w:t xml:space="preserve">22 מיולי 2022 (להלן - קול קורא 7/2022). הקול הקורא המשיך את הקולות הקודמים ופנה לרשויות המקומיות </w:t>
      </w:r>
      <w:r w:rsidRPr="00DC5B13">
        <w:rPr>
          <w:rFonts w:eastAsia="Calibri"/>
          <w:rtl/>
        </w:rPr>
        <w:t xml:space="preserve">בין </w:t>
      </w:r>
      <w:r w:rsidRPr="00DC5B13">
        <w:rPr>
          <w:rFonts w:eastAsia="Calibri" w:hint="cs"/>
          <w:rtl/>
        </w:rPr>
        <w:t>ש</w:t>
      </w:r>
      <w:r w:rsidRPr="00DC5B13">
        <w:rPr>
          <w:rFonts w:eastAsia="Calibri"/>
          <w:rtl/>
        </w:rPr>
        <w:t xml:space="preserve">התקשרו </w:t>
      </w:r>
      <w:r w:rsidRPr="00DC5B13">
        <w:rPr>
          <w:rFonts w:eastAsia="Calibri" w:hint="cs"/>
          <w:rtl/>
        </w:rPr>
        <w:t>במסגרתם</w:t>
      </w:r>
      <w:r w:rsidRPr="00DC5B13">
        <w:rPr>
          <w:rFonts w:eastAsia="Calibri"/>
          <w:rtl/>
        </w:rPr>
        <w:t xml:space="preserve"> ובין </w:t>
      </w:r>
      <w:r w:rsidRPr="00DC5B13">
        <w:rPr>
          <w:rFonts w:eastAsia="Calibri" w:hint="cs"/>
          <w:rtl/>
        </w:rPr>
        <w:t>שלא</w:t>
      </w:r>
      <w:r w:rsidRPr="00DC5B13">
        <w:rPr>
          <w:rFonts w:eastAsia="Calibri"/>
          <w:rtl/>
        </w:rPr>
        <w:t>.</w:t>
      </w:r>
      <w:r w:rsidRPr="00DC5B13">
        <w:rPr>
          <w:rFonts w:eastAsia="Calibri" w:hint="cs"/>
          <w:rtl/>
        </w:rPr>
        <w:t xml:space="preserve">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תנאי הסף להגשה לקולות הקוראים השונים מפורטים בלוח שלהלן:</w:t>
      </w:r>
    </w:p>
    <w:p w:rsidR="00DC5B13" w:rsidRPr="00DC5B13" w:rsidP="00C34B23">
      <w:pPr>
        <w:spacing w:line="269" w:lineRule="auto"/>
        <w:ind w:left="-567"/>
        <w:rPr>
          <w:rFonts w:eastAsia="Calibri"/>
          <w:szCs w:val="20"/>
          <w:rtl/>
        </w:rPr>
      </w:pPr>
    </w:p>
    <w:p w:rsidR="000E4CC0">
      <w:pPr>
        <w:bidi w:val="0"/>
        <w:spacing w:after="200" w:line="276" w:lineRule="auto"/>
        <w:rPr>
          <w:rFonts w:eastAsia="Calibri"/>
          <w:rtl/>
        </w:rPr>
      </w:pPr>
      <w:r>
        <w:rPr>
          <w:rFonts w:eastAsia="Calibri"/>
          <w:rtl/>
        </w:rPr>
        <w:br w:type="page"/>
      </w:r>
    </w:p>
    <w:p w:rsidR="00DC5B13" w:rsidRPr="00DC5B13" w:rsidP="00C34B23">
      <w:pPr>
        <w:spacing w:line="269" w:lineRule="auto"/>
        <w:jc w:val="center"/>
        <w:rPr>
          <w:rFonts w:eastAsia="Calibri"/>
          <w:rtl/>
        </w:rPr>
      </w:pPr>
      <w:r w:rsidRPr="00DC5B13">
        <w:rPr>
          <w:rFonts w:eastAsia="Calibri" w:hint="cs"/>
          <w:rtl/>
        </w:rPr>
        <w:t>לוח 4:</w:t>
      </w:r>
      <w:r w:rsidRPr="00DC5B13">
        <w:rPr>
          <w:rFonts w:eastAsia="Calibri" w:hint="cs"/>
        </w:rPr>
        <w:t xml:space="preserve"> </w:t>
      </w:r>
      <w:r w:rsidRPr="00DC5B13">
        <w:rPr>
          <w:rFonts w:eastAsia="Calibri" w:hint="cs"/>
          <w:b/>
          <w:bCs/>
          <w:rtl/>
        </w:rPr>
        <w:t>תנאי הסף לקולות הקוראים להקמת מ</w:t>
      </w:r>
      <w:r w:rsidRPr="00DC5B13">
        <w:rPr>
          <w:rFonts w:eastAsia="Calibri" w:hint="eastAsia"/>
          <w:b/>
          <w:bCs/>
          <w:rtl/>
        </w:rPr>
        <w:t>י</w:t>
      </w:r>
      <w:r w:rsidRPr="00DC5B13">
        <w:rPr>
          <w:rFonts w:eastAsia="Calibri" w:hint="cs"/>
          <w:b/>
          <w:bCs/>
          <w:rtl/>
        </w:rPr>
        <w:t>נהלות עירונית</w:t>
      </w:r>
    </w:p>
    <w:tbl>
      <w:tblPr>
        <w:tblStyle w:val="5-11"/>
        <w:bidiVisual/>
        <w:tblW w:w="8357" w:type="dxa"/>
        <w:tblInd w:w="5" w:type="dxa"/>
        <w:tblLook w:val="04A0"/>
      </w:tblPr>
      <w:tblGrid>
        <w:gridCol w:w="1766"/>
        <w:gridCol w:w="2022"/>
        <w:gridCol w:w="1949"/>
        <w:gridCol w:w="2620"/>
      </w:tblGrid>
      <w:tr w:rsidTr="00DC5B13">
        <w:tblPrEx>
          <w:tblW w:w="8357" w:type="dxa"/>
          <w:tblInd w:w="5" w:type="dxa"/>
          <w:tblLook w:val="04A0"/>
        </w:tblPrEx>
        <w:tc>
          <w:tcPr>
            <w:tcW w:w="1766" w:type="dxa"/>
            <w:shd w:val="clear" w:color="auto" w:fill="DBE5F1"/>
          </w:tcPr>
          <w:p w:rsidR="00DC5B13" w:rsidRPr="000E4CC0" w:rsidP="00C34B23">
            <w:pPr>
              <w:spacing w:line="269" w:lineRule="auto"/>
              <w:jc w:val="left"/>
              <w:rPr>
                <w:rFonts w:eastAsia="Calibri"/>
                <w:sz w:val="21"/>
                <w:szCs w:val="21"/>
                <w:rtl/>
              </w:rPr>
            </w:pPr>
            <w:r w:rsidRPr="000E4CC0">
              <w:rPr>
                <w:rFonts w:eastAsia="Calibri" w:hint="cs"/>
                <w:sz w:val="21"/>
                <w:szCs w:val="21"/>
                <w:rtl/>
              </w:rPr>
              <w:t>הקול הקורא</w:t>
            </w:r>
          </w:p>
        </w:tc>
        <w:tc>
          <w:tcPr>
            <w:tcW w:w="2022" w:type="dxa"/>
            <w:shd w:val="clear" w:color="auto" w:fill="DBE5F1"/>
          </w:tcPr>
          <w:p w:rsidR="00DC5B13" w:rsidRPr="000E4CC0" w:rsidP="00C34B23">
            <w:pPr>
              <w:spacing w:line="269" w:lineRule="auto"/>
              <w:jc w:val="center"/>
              <w:rPr>
                <w:rFonts w:eastAsia="Calibri"/>
                <w:sz w:val="21"/>
                <w:szCs w:val="21"/>
                <w:rtl/>
              </w:rPr>
            </w:pPr>
            <w:r w:rsidRPr="000E4CC0">
              <w:rPr>
                <w:rFonts w:eastAsia="Calibri"/>
                <w:sz w:val="21"/>
                <w:szCs w:val="21"/>
                <w:rtl/>
              </w:rPr>
              <w:t>4/2016</w:t>
            </w:r>
          </w:p>
        </w:tc>
        <w:tc>
          <w:tcPr>
            <w:tcW w:w="1949" w:type="dxa"/>
            <w:shd w:val="clear" w:color="auto" w:fill="DBE5F1"/>
          </w:tcPr>
          <w:p w:rsidR="00DC5B13" w:rsidRPr="000E4CC0" w:rsidP="00C34B23">
            <w:pPr>
              <w:spacing w:line="269" w:lineRule="auto"/>
              <w:jc w:val="center"/>
              <w:rPr>
                <w:rFonts w:eastAsia="Calibri"/>
                <w:sz w:val="21"/>
                <w:szCs w:val="21"/>
                <w:rtl/>
              </w:rPr>
            </w:pPr>
            <w:r w:rsidRPr="000E4CC0">
              <w:rPr>
                <w:rFonts w:eastAsia="Calibri"/>
                <w:sz w:val="21"/>
                <w:szCs w:val="21"/>
                <w:rtl/>
              </w:rPr>
              <w:t>3/2018</w:t>
            </w:r>
          </w:p>
        </w:tc>
        <w:tc>
          <w:tcPr>
            <w:tcW w:w="2620" w:type="dxa"/>
            <w:shd w:val="clear" w:color="auto" w:fill="DBE5F1"/>
          </w:tcPr>
          <w:p w:rsidR="00DC5B13" w:rsidRPr="000E4CC0" w:rsidP="00C34B23">
            <w:pPr>
              <w:spacing w:line="269" w:lineRule="auto"/>
              <w:jc w:val="center"/>
              <w:rPr>
                <w:rFonts w:eastAsia="Calibri"/>
                <w:sz w:val="21"/>
                <w:szCs w:val="21"/>
                <w:rtl/>
              </w:rPr>
            </w:pPr>
            <w:r w:rsidRPr="000E4CC0">
              <w:rPr>
                <w:rFonts w:eastAsia="Calibri"/>
                <w:sz w:val="21"/>
                <w:szCs w:val="21"/>
                <w:rtl/>
              </w:rPr>
              <w:t>7/2022</w:t>
            </w:r>
          </w:p>
        </w:tc>
      </w:tr>
      <w:tr w:rsidTr="00DC5B13">
        <w:tblPrEx>
          <w:tblW w:w="8357" w:type="dxa"/>
          <w:tblInd w:w="5" w:type="dxa"/>
          <w:tblLook w:val="04A0"/>
        </w:tblPrEx>
        <w:tc>
          <w:tcPr>
            <w:tcW w:w="1766" w:type="dxa"/>
            <w:shd w:val="clear" w:color="auto" w:fill="DBE5F1"/>
          </w:tcPr>
          <w:p w:rsidR="00DC5B13" w:rsidRPr="000E4CC0" w:rsidP="00C34B23">
            <w:pPr>
              <w:spacing w:line="269" w:lineRule="auto"/>
              <w:jc w:val="left"/>
              <w:rPr>
                <w:rFonts w:eastAsia="Calibri"/>
                <w:sz w:val="21"/>
                <w:szCs w:val="21"/>
                <w:rtl/>
              </w:rPr>
            </w:pPr>
            <w:r w:rsidRPr="000E4CC0">
              <w:rPr>
                <w:rFonts w:eastAsia="Calibri" w:hint="eastAsia"/>
                <w:sz w:val="21"/>
                <w:szCs w:val="21"/>
                <w:rtl/>
              </w:rPr>
              <w:t>תנאי</w:t>
            </w:r>
            <w:r w:rsidRPr="000E4CC0">
              <w:rPr>
                <w:rFonts w:eastAsia="Calibri"/>
                <w:sz w:val="21"/>
                <w:szCs w:val="21"/>
                <w:rtl/>
              </w:rPr>
              <w:t xml:space="preserve"> הסף להגשה </w:t>
            </w:r>
          </w:p>
        </w:tc>
        <w:tc>
          <w:tcPr>
            <w:tcW w:w="2022" w:type="dxa"/>
            <w:shd w:val="clear" w:color="auto" w:fill="DBE5F1"/>
          </w:tcPr>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sz w:val="21"/>
                <w:szCs w:val="21"/>
                <w:rtl/>
              </w:rPr>
              <w:t>הרשות המקומית מדורגת באשכולות 1 - 6 בדירוג החברתי-כלכלי של הלמ"ס.</w:t>
            </w:r>
          </w:p>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hint="eastAsia"/>
                <w:sz w:val="21"/>
                <w:szCs w:val="21"/>
                <w:rtl/>
              </w:rPr>
              <w:t>הרשות</w:t>
            </w:r>
            <w:r w:rsidRPr="000E4CC0">
              <w:rPr>
                <w:rFonts w:eastAsia="Calibri"/>
                <w:sz w:val="21"/>
                <w:szCs w:val="21"/>
                <w:rtl/>
              </w:rPr>
              <w:t xml:space="preserve"> </w:t>
            </w:r>
            <w:r w:rsidRPr="000E4CC0">
              <w:rPr>
                <w:rFonts w:eastAsia="Calibri" w:hint="eastAsia"/>
                <w:sz w:val="21"/>
                <w:szCs w:val="21"/>
                <w:rtl/>
              </w:rPr>
              <w:t>המקומית</w:t>
            </w:r>
            <w:r w:rsidRPr="000E4CC0">
              <w:rPr>
                <w:rFonts w:eastAsia="Calibri"/>
                <w:sz w:val="21"/>
                <w:szCs w:val="21"/>
                <w:rtl/>
              </w:rPr>
              <w:t xml:space="preserve"> </w:t>
            </w:r>
            <w:r w:rsidRPr="000E4CC0">
              <w:rPr>
                <w:rFonts w:eastAsia="Calibri" w:hint="eastAsia"/>
                <w:sz w:val="21"/>
                <w:szCs w:val="21"/>
                <w:rtl/>
              </w:rPr>
              <w:t>הוקמה</w:t>
            </w:r>
            <w:r w:rsidRPr="000E4CC0">
              <w:rPr>
                <w:rFonts w:eastAsia="Calibri"/>
                <w:sz w:val="21"/>
                <w:szCs w:val="21"/>
                <w:rtl/>
              </w:rPr>
              <w:t xml:space="preserve"> </w:t>
            </w:r>
            <w:r w:rsidRPr="000E4CC0">
              <w:rPr>
                <w:rFonts w:eastAsia="Calibri" w:hint="eastAsia"/>
                <w:sz w:val="21"/>
                <w:szCs w:val="21"/>
                <w:rtl/>
              </w:rPr>
              <w:t>קודם</w:t>
            </w:r>
            <w:r w:rsidRPr="000E4CC0">
              <w:rPr>
                <w:rFonts w:eastAsia="Calibri"/>
                <w:sz w:val="21"/>
                <w:szCs w:val="21"/>
                <w:rtl/>
              </w:rPr>
              <w:t xml:space="preserve"> </w:t>
            </w:r>
            <w:r w:rsidRPr="000E4CC0">
              <w:rPr>
                <w:rFonts w:eastAsia="Calibri" w:hint="eastAsia"/>
                <w:sz w:val="21"/>
                <w:szCs w:val="21"/>
                <w:rtl/>
              </w:rPr>
              <w:t>לשנת</w:t>
            </w:r>
            <w:r w:rsidRPr="000E4CC0">
              <w:rPr>
                <w:rFonts w:eastAsia="Calibri"/>
                <w:sz w:val="21"/>
                <w:szCs w:val="21"/>
                <w:rtl/>
              </w:rPr>
              <w:t xml:space="preserve"> 1975.</w:t>
            </w:r>
          </w:p>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sz w:val="21"/>
                <w:szCs w:val="21"/>
                <w:rtl/>
              </w:rPr>
              <w:t xml:space="preserve">מחיר מכירה ממוצע לבנייה חדשה למגורים: 10,000 ש"ח - 13,000 </w:t>
            </w:r>
            <w:r w:rsidRPr="000E4CC0">
              <w:rPr>
                <w:rFonts w:eastAsia="Calibri" w:hint="eastAsia"/>
                <w:sz w:val="21"/>
                <w:szCs w:val="21"/>
                <w:rtl/>
              </w:rPr>
              <w:t>ש</w:t>
            </w:r>
            <w:r w:rsidRPr="000E4CC0">
              <w:rPr>
                <w:rFonts w:eastAsia="Calibri"/>
                <w:sz w:val="21"/>
                <w:szCs w:val="21"/>
                <w:rtl/>
              </w:rPr>
              <w:t>"ח למ"ר.</w:t>
            </w:r>
          </w:p>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sz w:val="21"/>
                <w:szCs w:val="21"/>
                <w:rtl/>
              </w:rPr>
              <w:t xml:space="preserve">מספר </w:t>
            </w:r>
            <w:r w:rsidRPr="000E4CC0">
              <w:rPr>
                <w:rFonts w:eastAsia="Calibri" w:hint="eastAsia"/>
                <w:sz w:val="21"/>
                <w:szCs w:val="21"/>
                <w:rtl/>
              </w:rPr>
              <w:t>ה</w:t>
            </w:r>
            <w:r w:rsidRPr="000E4CC0">
              <w:rPr>
                <w:rFonts w:eastAsia="Calibri"/>
                <w:sz w:val="21"/>
                <w:szCs w:val="21"/>
                <w:rtl/>
              </w:rPr>
              <w:t>מבנים בבנייה רוויה שנבנו קודם ל</w:t>
            </w:r>
            <w:r w:rsidRPr="000E4CC0">
              <w:rPr>
                <w:rFonts w:eastAsia="Calibri" w:hint="eastAsia"/>
                <w:sz w:val="21"/>
                <w:szCs w:val="21"/>
                <w:rtl/>
              </w:rPr>
              <w:t>שנת</w:t>
            </w:r>
            <w:r w:rsidRPr="000E4CC0">
              <w:rPr>
                <w:rFonts w:eastAsia="Calibri"/>
                <w:sz w:val="21"/>
                <w:szCs w:val="21"/>
                <w:rtl/>
              </w:rPr>
              <w:t xml:space="preserve"> 1984: </w:t>
            </w:r>
            <w:r w:rsidRPr="000E4CC0">
              <w:rPr>
                <w:rFonts w:eastAsia="Calibri" w:hint="eastAsia"/>
                <w:sz w:val="21"/>
                <w:szCs w:val="21"/>
                <w:rtl/>
              </w:rPr>
              <w:t>ל</w:t>
            </w:r>
            <w:r w:rsidRPr="000E4CC0">
              <w:rPr>
                <w:rFonts w:eastAsia="Calibri"/>
                <w:sz w:val="21"/>
                <w:szCs w:val="21"/>
                <w:rtl/>
              </w:rPr>
              <w:t>פחות 300.</w:t>
            </w:r>
          </w:p>
          <w:p w:rsidR="00DC5B13" w:rsidRPr="000E4CC0" w:rsidP="00C34B23">
            <w:pPr>
              <w:spacing w:line="269" w:lineRule="auto"/>
              <w:ind w:left="311" w:hanging="224"/>
              <w:jc w:val="center"/>
              <w:rPr>
                <w:rFonts w:eastAsia="Calibri"/>
                <w:sz w:val="21"/>
                <w:szCs w:val="21"/>
                <w:rtl/>
              </w:rPr>
            </w:pPr>
          </w:p>
        </w:tc>
        <w:tc>
          <w:tcPr>
            <w:tcW w:w="1949" w:type="dxa"/>
            <w:shd w:val="clear" w:color="auto" w:fill="DBE5F1"/>
          </w:tcPr>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sz w:val="21"/>
                <w:szCs w:val="21"/>
                <w:rtl/>
              </w:rPr>
              <w:t>הרשות המקומית מדורגת באשכולות 1 - 8 בדירוג החברתי-כלכלי של הלמ"ס.</w:t>
            </w:r>
          </w:p>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hint="eastAsia"/>
                <w:sz w:val="21"/>
                <w:szCs w:val="21"/>
                <w:rtl/>
              </w:rPr>
              <w:t>הרשות</w:t>
            </w:r>
            <w:r w:rsidRPr="000E4CC0">
              <w:rPr>
                <w:rFonts w:eastAsia="Calibri"/>
                <w:sz w:val="21"/>
                <w:szCs w:val="21"/>
                <w:rtl/>
              </w:rPr>
              <w:t xml:space="preserve"> </w:t>
            </w:r>
            <w:r w:rsidRPr="000E4CC0">
              <w:rPr>
                <w:rFonts w:eastAsia="Calibri" w:hint="eastAsia"/>
                <w:sz w:val="21"/>
                <w:szCs w:val="21"/>
                <w:rtl/>
              </w:rPr>
              <w:t>המקומית</w:t>
            </w:r>
            <w:r w:rsidRPr="000E4CC0">
              <w:rPr>
                <w:rFonts w:eastAsia="Calibri"/>
                <w:sz w:val="21"/>
                <w:szCs w:val="21"/>
                <w:rtl/>
              </w:rPr>
              <w:t xml:space="preserve"> </w:t>
            </w:r>
            <w:r w:rsidRPr="000E4CC0">
              <w:rPr>
                <w:rFonts w:eastAsia="Calibri" w:hint="eastAsia"/>
                <w:sz w:val="21"/>
                <w:szCs w:val="21"/>
                <w:rtl/>
              </w:rPr>
              <w:t>הוקמה</w:t>
            </w:r>
            <w:r w:rsidRPr="000E4CC0">
              <w:rPr>
                <w:rFonts w:eastAsia="Calibri"/>
                <w:sz w:val="21"/>
                <w:szCs w:val="21"/>
                <w:rtl/>
              </w:rPr>
              <w:t xml:space="preserve"> </w:t>
            </w:r>
            <w:r w:rsidRPr="000E4CC0">
              <w:rPr>
                <w:rFonts w:eastAsia="Calibri" w:hint="eastAsia"/>
                <w:sz w:val="21"/>
                <w:szCs w:val="21"/>
                <w:rtl/>
              </w:rPr>
              <w:t>קודם</w:t>
            </w:r>
            <w:r w:rsidRPr="000E4CC0">
              <w:rPr>
                <w:rFonts w:eastAsia="Calibri"/>
                <w:sz w:val="21"/>
                <w:szCs w:val="21"/>
                <w:rtl/>
              </w:rPr>
              <w:t xml:space="preserve"> </w:t>
            </w:r>
            <w:r w:rsidRPr="000E4CC0">
              <w:rPr>
                <w:rFonts w:eastAsia="Calibri" w:hint="eastAsia"/>
                <w:sz w:val="21"/>
                <w:szCs w:val="21"/>
                <w:rtl/>
              </w:rPr>
              <w:t>לשנת</w:t>
            </w:r>
            <w:r w:rsidRPr="000E4CC0">
              <w:rPr>
                <w:rFonts w:eastAsia="Calibri"/>
                <w:sz w:val="21"/>
                <w:szCs w:val="21"/>
                <w:rtl/>
              </w:rPr>
              <w:t xml:space="preserve"> 1975.</w:t>
            </w:r>
          </w:p>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sz w:val="21"/>
                <w:szCs w:val="21"/>
                <w:rtl/>
              </w:rPr>
              <w:t xml:space="preserve">מחיר מכירה ממוצע בדירות יד שנייה: לא </w:t>
            </w:r>
            <w:r w:rsidRPr="000E4CC0">
              <w:rPr>
                <w:rFonts w:eastAsia="Calibri" w:hint="eastAsia"/>
                <w:sz w:val="21"/>
                <w:szCs w:val="21"/>
                <w:rtl/>
              </w:rPr>
              <w:t>פחות</w:t>
            </w:r>
            <w:r w:rsidRPr="000E4CC0">
              <w:rPr>
                <w:rFonts w:eastAsia="Calibri"/>
                <w:sz w:val="21"/>
                <w:szCs w:val="21"/>
                <w:rtl/>
              </w:rPr>
              <w:t xml:space="preserve"> מ- 15,000 ש"ח למ"ר.</w:t>
            </w:r>
          </w:p>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sz w:val="21"/>
                <w:szCs w:val="21"/>
                <w:rtl/>
              </w:rPr>
              <w:t xml:space="preserve">מספר </w:t>
            </w:r>
            <w:r w:rsidRPr="000E4CC0">
              <w:rPr>
                <w:rFonts w:eastAsia="Calibri" w:hint="eastAsia"/>
                <w:sz w:val="21"/>
                <w:szCs w:val="21"/>
                <w:rtl/>
              </w:rPr>
              <w:t>ה</w:t>
            </w:r>
            <w:r w:rsidRPr="000E4CC0">
              <w:rPr>
                <w:rFonts w:eastAsia="Calibri"/>
                <w:sz w:val="21"/>
                <w:szCs w:val="21"/>
                <w:rtl/>
              </w:rPr>
              <w:t>מבנים בבנייה רוויה שנבנו קודם ל</w:t>
            </w:r>
            <w:r w:rsidRPr="000E4CC0">
              <w:rPr>
                <w:rFonts w:eastAsia="Calibri" w:hint="eastAsia"/>
                <w:sz w:val="21"/>
                <w:szCs w:val="21"/>
                <w:rtl/>
              </w:rPr>
              <w:t>שנת</w:t>
            </w:r>
            <w:r w:rsidRPr="000E4CC0">
              <w:rPr>
                <w:rFonts w:eastAsia="Calibri"/>
                <w:sz w:val="21"/>
                <w:szCs w:val="21"/>
                <w:rtl/>
              </w:rPr>
              <w:t xml:space="preserve"> 1984: </w:t>
            </w:r>
            <w:r w:rsidRPr="000E4CC0">
              <w:rPr>
                <w:rFonts w:eastAsia="Calibri" w:hint="eastAsia"/>
                <w:sz w:val="21"/>
                <w:szCs w:val="21"/>
                <w:rtl/>
              </w:rPr>
              <w:t>לפחות</w:t>
            </w:r>
            <w:r w:rsidRPr="000E4CC0">
              <w:rPr>
                <w:rFonts w:eastAsia="Calibri"/>
                <w:sz w:val="21"/>
                <w:szCs w:val="21"/>
                <w:rtl/>
              </w:rPr>
              <w:t xml:space="preserve"> 300.</w:t>
            </w:r>
          </w:p>
          <w:p w:rsidR="00DC5B13" w:rsidRPr="00AE0DA2" w:rsidP="00AE0DA2">
            <w:pPr>
              <w:numPr>
                <w:ilvl w:val="0"/>
                <w:numId w:val="12"/>
              </w:numPr>
              <w:spacing w:after="120" w:line="269" w:lineRule="auto"/>
              <w:ind w:left="312" w:hanging="227"/>
              <w:jc w:val="left"/>
              <w:rPr>
                <w:rFonts w:eastAsia="Calibri"/>
                <w:sz w:val="21"/>
                <w:szCs w:val="21"/>
                <w:rtl/>
              </w:rPr>
            </w:pPr>
            <w:r w:rsidRPr="000E4CC0">
              <w:rPr>
                <w:rFonts w:eastAsia="Calibri"/>
                <w:sz w:val="21"/>
                <w:szCs w:val="21"/>
                <w:rtl/>
              </w:rPr>
              <w:t>גביית ארנונה לנפש: ל</w:t>
            </w:r>
            <w:r w:rsidRPr="000E4CC0">
              <w:rPr>
                <w:rFonts w:eastAsia="Calibri" w:hint="eastAsia"/>
                <w:sz w:val="21"/>
                <w:szCs w:val="21"/>
                <w:rtl/>
              </w:rPr>
              <w:t>כל</w:t>
            </w:r>
            <w:r w:rsidRPr="000E4CC0">
              <w:rPr>
                <w:rFonts w:eastAsia="Calibri"/>
                <w:sz w:val="21"/>
                <w:szCs w:val="21"/>
                <w:rtl/>
              </w:rPr>
              <w:t xml:space="preserve"> </w:t>
            </w:r>
            <w:r w:rsidRPr="000E4CC0">
              <w:rPr>
                <w:rFonts w:eastAsia="Calibri" w:hint="eastAsia"/>
                <w:sz w:val="21"/>
                <w:szCs w:val="21"/>
                <w:rtl/>
              </w:rPr>
              <w:t>היותר</w:t>
            </w:r>
            <w:r w:rsidRPr="000E4CC0">
              <w:rPr>
                <w:rFonts w:eastAsia="Calibri"/>
                <w:sz w:val="21"/>
                <w:szCs w:val="21"/>
                <w:rtl/>
              </w:rPr>
              <w:t xml:space="preserve"> 5,000 ש"ח.</w:t>
            </w:r>
          </w:p>
        </w:tc>
        <w:tc>
          <w:tcPr>
            <w:tcW w:w="2620" w:type="dxa"/>
            <w:shd w:val="clear" w:color="auto" w:fill="DBE5F1"/>
          </w:tcPr>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hint="eastAsia"/>
                <w:sz w:val="21"/>
                <w:szCs w:val="21"/>
                <w:rtl/>
              </w:rPr>
              <w:t>הרשות</w:t>
            </w:r>
            <w:r w:rsidRPr="000E4CC0">
              <w:rPr>
                <w:rFonts w:eastAsia="Calibri"/>
                <w:sz w:val="21"/>
                <w:szCs w:val="21"/>
                <w:rtl/>
              </w:rPr>
              <w:t xml:space="preserve"> </w:t>
            </w:r>
            <w:r w:rsidRPr="000E4CC0">
              <w:rPr>
                <w:rFonts w:eastAsia="Calibri" w:hint="eastAsia"/>
                <w:sz w:val="21"/>
                <w:szCs w:val="21"/>
                <w:rtl/>
              </w:rPr>
              <w:t>המקומית</w:t>
            </w:r>
            <w:r w:rsidRPr="000E4CC0">
              <w:rPr>
                <w:rFonts w:eastAsia="Calibri"/>
                <w:sz w:val="21"/>
                <w:szCs w:val="21"/>
                <w:rtl/>
              </w:rPr>
              <w:t xml:space="preserve"> </w:t>
            </w:r>
            <w:r w:rsidRPr="000E4CC0">
              <w:rPr>
                <w:rFonts w:eastAsia="Calibri" w:hint="eastAsia"/>
                <w:sz w:val="21"/>
                <w:szCs w:val="21"/>
                <w:rtl/>
              </w:rPr>
              <w:t>היא</w:t>
            </w:r>
            <w:r w:rsidRPr="000E4CC0">
              <w:rPr>
                <w:rFonts w:eastAsia="Calibri"/>
                <w:sz w:val="21"/>
                <w:szCs w:val="21"/>
                <w:rtl/>
              </w:rPr>
              <w:t xml:space="preserve"> </w:t>
            </w:r>
            <w:r w:rsidRPr="000E4CC0">
              <w:rPr>
                <w:rFonts w:eastAsia="Calibri" w:hint="eastAsia"/>
                <w:sz w:val="21"/>
                <w:szCs w:val="21"/>
                <w:rtl/>
              </w:rPr>
              <w:t>במעמד</w:t>
            </w:r>
            <w:r w:rsidRPr="000E4CC0">
              <w:rPr>
                <w:rFonts w:eastAsia="Calibri"/>
                <w:sz w:val="21"/>
                <w:szCs w:val="21"/>
                <w:rtl/>
              </w:rPr>
              <w:t xml:space="preserve"> </w:t>
            </w:r>
            <w:r w:rsidRPr="000E4CC0">
              <w:rPr>
                <w:rFonts w:eastAsia="Calibri" w:hint="eastAsia"/>
                <w:sz w:val="21"/>
                <w:szCs w:val="21"/>
                <w:rtl/>
              </w:rPr>
              <w:t>עיר</w:t>
            </w:r>
            <w:r w:rsidRPr="000E4CC0">
              <w:rPr>
                <w:rFonts w:eastAsia="Calibri"/>
                <w:sz w:val="21"/>
                <w:szCs w:val="21"/>
                <w:rtl/>
              </w:rPr>
              <w:t>.</w:t>
            </w:r>
          </w:p>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hint="eastAsia"/>
                <w:sz w:val="21"/>
                <w:szCs w:val="21"/>
                <w:rtl/>
              </w:rPr>
              <w:t>הרשות</w:t>
            </w:r>
            <w:r w:rsidRPr="000E4CC0">
              <w:rPr>
                <w:rFonts w:eastAsia="Calibri"/>
                <w:sz w:val="21"/>
                <w:szCs w:val="21"/>
                <w:rtl/>
              </w:rPr>
              <w:t xml:space="preserve"> </w:t>
            </w:r>
            <w:r w:rsidRPr="000E4CC0">
              <w:rPr>
                <w:rFonts w:eastAsia="Calibri" w:hint="eastAsia"/>
                <w:sz w:val="21"/>
                <w:szCs w:val="21"/>
                <w:rtl/>
              </w:rPr>
              <w:t>המקומית</w:t>
            </w:r>
            <w:r w:rsidRPr="000E4CC0">
              <w:rPr>
                <w:rFonts w:eastAsia="Calibri"/>
                <w:sz w:val="21"/>
                <w:szCs w:val="21"/>
                <w:rtl/>
              </w:rPr>
              <w:t xml:space="preserve"> </w:t>
            </w:r>
            <w:r w:rsidRPr="000E4CC0">
              <w:rPr>
                <w:rFonts w:eastAsia="Calibri" w:hint="eastAsia"/>
                <w:sz w:val="21"/>
                <w:szCs w:val="21"/>
                <w:rtl/>
              </w:rPr>
              <w:t>הוקמה</w:t>
            </w:r>
            <w:r w:rsidRPr="000E4CC0">
              <w:rPr>
                <w:rFonts w:eastAsia="Calibri"/>
                <w:sz w:val="21"/>
                <w:szCs w:val="21"/>
                <w:rtl/>
              </w:rPr>
              <w:t xml:space="preserve"> </w:t>
            </w:r>
            <w:r w:rsidRPr="000E4CC0">
              <w:rPr>
                <w:rFonts w:eastAsia="Calibri" w:hint="eastAsia"/>
                <w:sz w:val="21"/>
                <w:szCs w:val="21"/>
                <w:rtl/>
              </w:rPr>
              <w:t>קודם</w:t>
            </w:r>
            <w:r w:rsidRPr="000E4CC0">
              <w:rPr>
                <w:rFonts w:eastAsia="Calibri"/>
                <w:sz w:val="21"/>
                <w:szCs w:val="21"/>
                <w:rtl/>
              </w:rPr>
              <w:t xml:space="preserve"> </w:t>
            </w:r>
            <w:r w:rsidRPr="000E4CC0">
              <w:rPr>
                <w:rFonts w:eastAsia="Calibri" w:hint="eastAsia"/>
                <w:sz w:val="21"/>
                <w:szCs w:val="21"/>
                <w:rtl/>
              </w:rPr>
              <w:t>לשנת</w:t>
            </w:r>
            <w:r w:rsidRPr="000E4CC0">
              <w:rPr>
                <w:rFonts w:eastAsia="Calibri"/>
                <w:sz w:val="21"/>
                <w:szCs w:val="21"/>
                <w:rtl/>
              </w:rPr>
              <w:t xml:space="preserve"> 1975.</w:t>
            </w:r>
          </w:p>
          <w:p w:rsidR="00DC5B13" w:rsidRPr="000E4CC0" w:rsidP="00C34B23">
            <w:pPr>
              <w:numPr>
                <w:ilvl w:val="0"/>
                <w:numId w:val="12"/>
              </w:numPr>
              <w:spacing w:line="269" w:lineRule="auto"/>
              <w:ind w:left="311" w:hanging="224"/>
              <w:contextualSpacing/>
              <w:jc w:val="left"/>
              <w:rPr>
                <w:rFonts w:eastAsia="Calibri"/>
                <w:sz w:val="21"/>
                <w:szCs w:val="21"/>
              </w:rPr>
            </w:pPr>
            <w:r w:rsidRPr="000E4CC0">
              <w:rPr>
                <w:rFonts w:eastAsia="Calibri" w:hint="eastAsia"/>
                <w:sz w:val="21"/>
                <w:szCs w:val="21"/>
                <w:rtl/>
              </w:rPr>
              <w:t>בתחום</w:t>
            </w:r>
            <w:r w:rsidRPr="000E4CC0">
              <w:rPr>
                <w:rFonts w:eastAsia="Calibri"/>
                <w:sz w:val="21"/>
                <w:szCs w:val="21"/>
                <w:rtl/>
              </w:rPr>
              <w:t xml:space="preserve"> </w:t>
            </w:r>
            <w:r w:rsidRPr="000E4CC0">
              <w:rPr>
                <w:rFonts w:eastAsia="Calibri" w:hint="eastAsia"/>
                <w:sz w:val="21"/>
                <w:szCs w:val="21"/>
                <w:rtl/>
              </w:rPr>
              <w:t>שיפוטה</w:t>
            </w:r>
            <w:r w:rsidRPr="000E4CC0">
              <w:rPr>
                <w:rFonts w:eastAsia="Calibri"/>
                <w:sz w:val="21"/>
                <w:szCs w:val="21"/>
                <w:rtl/>
              </w:rPr>
              <w:t xml:space="preserve"> מקודמות לפחות שתי ת</w:t>
            </w:r>
            <w:r w:rsidRPr="000E4CC0">
              <w:rPr>
                <w:rFonts w:eastAsia="Calibri" w:hint="eastAsia"/>
                <w:sz w:val="21"/>
                <w:szCs w:val="21"/>
                <w:rtl/>
              </w:rPr>
              <w:t>ו</w:t>
            </w:r>
            <w:r w:rsidRPr="000E4CC0">
              <w:rPr>
                <w:rFonts w:eastAsia="Calibri"/>
                <w:sz w:val="21"/>
                <w:szCs w:val="21"/>
                <w:rtl/>
              </w:rPr>
              <w:t xml:space="preserve">כניות פינוי-בינוי (או אחת, אם יש בה </w:t>
            </w:r>
            <w:r w:rsidRPr="000E4CC0">
              <w:rPr>
                <w:rFonts w:eastAsia="Calibri" w:hint="eastAsia"/>
                <w:sz w:val="21"/>
                <w:szCs w:val="21"/>
                <w:rtl/>
              </w:rPr>
              <w:t>יותר</w:t>
            </w:r>
            <w:r w:rsidRPr="000E4CC0">
              <w:rPr>
                <w:rFonts w:eastAsia="Calibri"/>
                <w:sz w:val="21"/>
                <w:szCs w:val="21"/>
                <w:rtl/>
              </w:rPr>
              <w:t xml:space="preserve"> </w:t>
            </w:r>
            <w:r w:rsidRPr="000E4CC0">
              <w:rPr>
                <w:rFonts w:eastAsia="Calibri" w:hint="eastAsia"/>
                <w:sz w:val="21"/>
                <w:szCs w:val="21"/>
                <w:rtl/>
              </w:rPr>
              <w:t>מ</w:t>
            </w:r>
            <w:r w:rsidRPr="000E4CC0">
              <w:rPr>
                <w:rFonts w:eastAsia="Calibri"/>
                <w:sz w:val="21"/>
                <w:szCs w:val="21"/>
                <w:rtl/>
              </w:rPr>
              <w:t xml:space="preserve">-100,000 </w:t>
            </w:r>
            <w:r w:rsidRPr="000E4CC0">
              <w:rPr>
                <w:rFonts w:eastAsia="Calibri" w:hint="eastAsia"/>
                <w:sz w:val="21"/>
                <w:szCs w:val="21"/>
                <w:rtl/>
              </w:rPr>
              <w:t>תושבים</w:t>
            </w:r>
            <w:r w:rsidRPr="000E4CC0">
              <w:rPr>
                <w:rFonts w:eastAsia="Calibri"/>
                <w:sz w:val="21"/>
                <w:szCs w:val="21"/>
                <w:rtl/>
              </w:rPr>
              <w:t>).</w:t>
            </w:r>
          </w:p>
          <w:p w:rsidR="00DC5B13" w:rsidRPr="000E4CC0" w:rsidP="00C34B23">
            <w:pPr>
              <w:numPr>
                <w:ilvl w:val="0"/>
                <w:numId w:val="12"/>
              </w:numPr>
              <w:spacing w:line="269" w:lineRule="auto"/>
              <w:ind w:left="311" w:hanging="224"/>
              <w:contextualSpacing/>
              <w:jc w:val="left"/>
              <w:rPr>
                <w:rFonts w:eastAsia="Calibri"/>
                <w:sz w:val="21"/>
                <w:szCs w:val="21"/>
                <w:rtl/>
              </w:rPr>
            </w:pPr>
            <w:r w:rsidRPr="000E4CC0">
              <w:rPr>
                <w:rFonts w:eastAsia="Calibri"/>
                <w:sz w:val="21"/>
                <w:szCs w:val="21"/>
                <w:rtl/>
              </w:rPr>
              <w:t>הת</w:t>
            </w:r>
            <w:r w:rsidRPr="000E4CC0">
              <w:rPr>
                <w:rFonts w:eastAsia="Calibri" w:hint="eastAsia"/>
                <w:sz w:val="21"/>
                <w:szCs w:val="21"/>
                <w:rtl/>
              </w:rPr>
              <w:t>ו</w:t>
            </w:r>
            <w:r w:rsidRPr="000E4CC0">
              <w:rPr>
                <w:rFonts w:eastAsia="Calibri"/>
                <w:sz w:val="21"/>
                <w:szCs w:val="21"/>
                <w:rtl/>
              </w:rPr>
              <w:t xml:space="preserve">כניות </w:t>
            </w:r>
            <w:r w:rsidRPr="000E4CC0">
              <w:rPr>
                <w:rFonts w:eastAsia="Calibri" w:hint="eastAsia"/>
                <w:sz w:val="21"/>
                <w:szCs w:val="21"/>
                <w:rtl/>
              </w:rPr>
              <w:t>האלה</w:t>
            </w:r>
            <w:r w:rsidRPr="000E4CC0">
              <w:rPr>
                <w:rFonts w:eastAsia="Calibri"/>
                <w:sz w:val="21"/>
                <w:szCs w:val="21"/>
                <w:rtl/>
              </w:rPr>
              <w:t xml:space="preserve"> עמדו בתנאי הסף של גופי התכנון אך טרם הופקדו לצורך פרסום ברשומות.</w:t>
            </w:r>
          </w:p>
        </w:tc>
      </w:tr>
    </w:tbl>
    <w:p w:rsidR="00DC5B13" w:rsidRPr="00DC5B13" w:rsidP="00C34B23">
      <w:pPr>
        <w:spacing w:line="269" w:lineRule="auto"/>
        <w:rPr>
          <w:rFonts w:eastAsia="Calibri"/>
          <w:szCs w:val="20"/>
          <w:rtl/>
        </w:rPr>
      </w:pPr>
      <w:r w:rsidRPr="00DC5B13">
        <w:rPr>
          <w:rFonts w:eastAsia="Calibri" w:hint="cs"/>
          <w:szCs w:val="20"/>
          <w:rtl/>
        </w:rPr>
        <w:t>על פי האמור בקולות הקוראים 4/2016, 3/2018 ו-7/2022, בעיבוד משרד מבקר המדינה.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לעניין הסיוע במימון הפעלת המינהלת, עלה כי במסגרת קול קורא </w:t>
      </w:r>
      <w:r w:rsidRPr="00DC5B13">
        <w:rPr>
          <w:rFonts w:eastAsia="Calibri"/>
          <w:rtl/>
        </w:rPr>
        <w:t xml:space="preserve">4/2016 העריך משרד השיכון את עלות ההפעלה של </w:t>
      </w:r>
      <w:r w:rsidRPr="00DC5B13">
        <w:rPr>
          <w:rFonts w:eastAsia="Calibri" w:hint="eastAsia"/>
          <w:rtl/>
        </w:rPr>
        <w:t>המינהלת</w:t>
      </w:r>
      <w:r w:rsidRPr="00DC5B13">
        <w:rPr>
          <w:rFonts w:eastAsia="Calibri"/>
          <w:rtl/>
        </w:rPr>
        <w:t xml:space="preserve"> </w:t>
      </w:r>
      <w:r w:rsidRPr="00DC5B13">
        <w:rPr>
          <w:rFonts w:eastAsia="Calibri" w:hint="eastAsia"/>
          <w:rtl/>
        </w:rPr>
        <w:t>בכ</w:t>
      </w:r>
      <w:r w:rsidRPr="00DC5B13">
        <w:rPr>
          <w:rFonts w:eastAsia="Calibri"/>
          <w:rtl/>
        </w:rPr>
        <w:t xml:space="preserve">-1.8 עד 2 </w:t>
      </w:r>
      <w:r w:rsidRPr="00DC5B13">
        <w:rPr>
          <w:rFonts w:eastAsia="Calibri" w:hint="eastAsia"/>
          <w:rtl/>
        </w:rPr>
        <w:t>מלש</w:t>
      </w:r>
      <w:r w:rsidRPr="00DC5B13">
        <w:rPr>
          <w:rFonts w:eastAsia="Calibri"/>
          <w:rtl/>
        </w:rPr>
        <w:t>"ח מדי שנה, ו</w:t>
      </w:r>
      <w:r w:rsidRPr="00DC5B13">
        <w:rPr>
          <w:rFonts w:eastAsia="Calibri" w:hint="eastAsia"/>
          <w:rtl/>
        </w:rPr>
        <w:t>המשרד</w:t>
      </w:r>
      <w:r w:rsidRPr="00DC5B13">
        <w:rPr>
          <w:rFonts w:eastAsia="Calibri"/>
          <w:rtl/>
        </w:rPr>
        <w:t xml:space="preserve"> </w:t>
      </w:r>
      <w:r w:rsidRPr="00DC5B13">
        <w:rPr>
          <w:rFonts w:eastAsia="Calibri" w:hint="eastAsia"/>
          <w:rtl/>
        </w:rPr>
        <w:t>ה</w:t>
      </w:r>
      <w:r w:rsidRPr="00DC5B13">
        <w:rPr>
          <w:rFonts w:eastAsia="Calibri"/>
          <w:rtl/>
        </w:rPr>
        <w:t xml:space="preserve">שתתף במימון </w:t>
      </w:r>
      <w:r w:rsidRPr="00DC5B13">
        <w:rPr>
          <w:rFonts w:eastAsia="Calibri" w:hint="eastAsia"/>
          <w:rtl/>
        </w:rPr>
        <w:t>בשיעור</w:t>
      </w:r>
      <w:r w:rsidRPr="00DC5B13">
        <w:rPr>
          <w:rFonts w:eastAsia="Calibri"/>
          <w:rtl/>
        </w:rPr>
        <w:t xml:space="preserve"> של 35% עד 75% מתוך סכום זה</w:t>
      </w:r>
      <w:r>
        <w:rPr>
          <w:rFonts w:eastAsia="Calibri"/>
          <w:vertAlign w:val="superscript"/>
          <w:rtl/>
        </w:rPr>
        <w:footnoteReference w:id="86"/>
      </w:r>
      <w:r w:rsidRPr="00DC5B13">
        <w:rPr>
          <w:rFonts w:eastAsia="Calibri" w:hint="cs"/>
          <w:rtl/>
        </w:rPr>
        <w:t>.</w:t>
      </w:r>
      <w:r w:rsidRPr="00DC5B13">
        <w:rPr>
          <w:rFonts w:eastAsia="Calibri" w:hint="cs"/>
          <w:rtl/>
        </w:rPr>
        <w:t xml:space="preserve"> </w:t>
      </w:r>
      <w:r w:rsidRPr="00DC5B13">
        <w:rPr>
          <w:rFonts w:eastAsia="Calibri" w:hint="cs"/>
          <w:rtl/>
        </w:rPr>
        <w:t>את המימון המשלים ל</w:t>
      </w:r>
      <w:r w:rsidRPr="00DC5B13">
        <w:rPr>
          <w:rFonts w:eastAsia="Calibri" w:hint="eastAsia"/>
          <w:rtl/>
        </w:rPr>
        <w:t>הפעלת</w:t>
      </w:r>
      <w:r w:rsidRPr="00DC5B13">
        <w:rPr>
          <w:rFonts w:eastAsia="Calibri"/>
          <w:rtl/>
        </w:rPr>
        <w:t xml:space="preserve"> </w:t>
      </w:r>
      <w:r w:rsidRPr="00DC5B13">
        <w:rPr>
          <w:rFonts w:eastAsia="Calibri" w:hint="eastAsia"/>
          <w:rtl/>
        </w:rPr>
        <w:t>המינהלת</w:t>
      </w:r>
      <w:r w:rsidRPr="00DC5B13">
        <w:rPr>
          <w:rFonts w:eastAsia="Calibri"/>
          <w:rtl/>
        </w:rPr>
        <w:t xml:space="preserve"> </w:t>
      </w:r>
      <w:r w:rsidRPr="00DC5B13">
        <w:rPr>
          <w:rFonts w:eastAsia="Calibri" w:hint="eastAsia"/>
          <w:rtl/>
        </w:rPr>
        <w:t>נדרשה</w:t>
      </w:r>
      <w:r w:rsidRPr="00DC5B13">
        <w:rPr>
          <w:rFonts w:eastAsia="Calibri"/>
          <w:rtl/>
        </w:rPr>
        <w:t xml:space="preserve"> הרשות המקומית להעמיד </w:t>
      </w:r>
      <w:r w:rsidRPr="00DC5B13">
        <w:rPr>
          <w:rFonts w:eastAsia="Calibri" w:hint="eastAsia"/>
          <w:rtl/>
        </w:rPr>
        <w:t>בעצמה</w:t>
      </w:r>
      <w:r w:rsidRPr="00DC5B13">
        <w:rPr>
          <w:rFonts w:eastAsia="Calibri" w:hint="cs"/>
          <w:rtl/>
        </w:rPr>
        <w:t xml:space="preserve">. במסגרת קול קורא 7/2022, הגדילה הרשות להתחדשות את טווח </w:t>
      </w:r>
      <w:r w:rsidRPr="00DC5B13">
        <w:rPr>
          <w:rFonts w:eastAsia="Calibri" w:hint="eastAsia"/>
          <w:rtl/>
        </w:rPr>
        <w:t>שיעור</w:t>
      </w:r>
      <w:r w:rsidRPr="00DC5B13">
        <w:rPr>
          <w:rFonts w:eastAsia="Calibri"/>
          <w:rtl/>
        </w:rPr>
        <w:t xml:space="preserve"> ההשתתפות שלה במימון באופן גורף</w:t>
      </w:r>
      <w:r w:rsidRPr="00DC5B13">
        <w:rPr>
          <w:rFonts w:eastAsia="Calibri" w:hint="cs"/>
          <w:rtl/>
        </w:rPr>
        <w:t xml:space="preserve"> </w:t>
      </w:r>
      <w:r w:rsidRPr="00DC5B13">
        <w:rPr>
          <w:rFonts w:eastAsia="Calibri" w:hint="eastAsia"/>
          <w:rtl/>
        </w:rPr>
        <w:t>באופן</w:t>
      </w:r>
      <w:r w:rsidRPr="00DC5B13">
        <w:rPr>
          <w:rFonts w:eastAsia="Calibri"/>
          <w:rtl/>
        </w:rPr>
        <w:t xml:space="preserve"> </w:t>
      </w:r>
      <w:r w:rsidRPr="00DC5B13">
        <w:rPr>
          <w:rFonts w:eastAsia="Calibri" w:hint="eastAsia"/>
          <w:rtl/>
        </w:rPr>
        <w:t>שהשיעור</w:t>
      </w:r>
      <w:r w:rsidRPr="00DC5B13">
        <w:rPr>
          <w:rFonts w:eastAsia="Calibri"/>
          <w:rtl/>
        </w:rPr>
        <w:t xml:space="preserve"> המינימלי </w:t>
      </w:r>
      <w:r w:rsidRPr="00DC5B13">
        <w:rPr>
          <w:rFonts w:eastAsia="Calibri" w:hint="eastAsia"/>
          <w:rtl/>
        </w:rPr>
        <w:t>היה</w:t>
      </w:r>
      <w:r w:rsidRPr="00DC5B13">
        <w:rPr>
          <w:rFonts w:eastAsia="Calibri"/>
          <w:rtl/>
        </w:rPr>
        <w:t xml:space="preserve"> 45%, והמקסימלי - 80%</w:t>
      </w:r>
      <w:r>
        <w:rPr>
          <w:rFonts w:eastAsia="Calibri"/>
          <w:vertAlign w:val="superscript"/>
          <w:rtl/>
        </w:rPr>
        <w:footnoteReference w:id="87"/>
      </w:r>
      <w:r w:rsidRPr="00DC5B13">
        <w:rPr>
          <w:rFonts w:eastAsia="Calibri" w:hint="cs"/>
          <w:rtl/>
        </w:rPr>
        <w:t>.</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מספר המינהלות אשר הוקמו במסגרת הקולות הקוראים ותקופות ההתקשרות</w:t>
      </w:r>
      <w:r w:rsidRPr="00DC5B13">
        <w:rPr>
          <w:rFonts w:eastAsia="Calibri"/>
          <w:rtl/>
        </w:rPr>
        <w:t xml:space="preserve"> </w:t>
      </w:r>
      <w:r w:rsidRPr="00DC5B13">
        <w:rPr>
          <w:rFonts w:eastAsia="Calibri" w:hint="cs"/>
          <w:rtl/>
        </w:rPr>
        <w:t>בכל קול קורא מתוארים בלוח שלהלן.</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b/>
          <w:bCs/>
          <w:rtl/>
        </w:rPr>
      </w:pPr>
      <w:r w:rsidRPr="00DC5B13">
        <w:rPr>
          <w:rFonts w:ascii="David" w:eastAsia="Calibri" w:hAnsi="David"/>
          <w:sz w:val="24"/>
          <w:rtl/>
        </w:rPr>
        <w:t xml:space="preserve">לוח </w:t>
      </w:r>
      <w:r w:rsidRPr="00DC5B13">
        <w:rPr>
          <w:rFonts w:ascii="David" w:eastAsia="Calibri" w:hAnsi="David" w:hint="cs"/>
          <w:sz w:val="24"/>
          <w:rtl/>
        </w:rPr>
        <w:t>5</w:t>
      </w:r>
      <w:r w:rsidRPr="00DC5B13">
        <w:rPr>
          <w:rFonts w:ascii="David" w:eastAsia="Calibri" w:hAnsi="David"/>
          <w:sz w:val="24"/>
          <w:rtl/>
        </w:rPr>
        <w:t>:</w:t>
      </w:r>
      <w:r w:rsidRPr="00DC5B13">
        <w:rPr>
          <w:rFonts w:eastAsia="Calibri"/>
          <w:b/>
          <w:bCs/>
          <w:rtl/>
        </w:rPr>
        <w:t xml:space="preserve"> </w:t>
      </w:r>
      <w:r w:rsidRPr="00DC5B13">
        <w:rPr>
          <w:rFonts w:eastAsia="Calibri" w:hint="eastAsia"/>
          <w:b/>
          <w:bCs/>
          <w:rtl/>
        </w:rPr>
        <w:t>הקולות</w:t>
      </w:r>
      <w:r w:rsidRPr="00DC5B13">
        <w:rPr>
          <w:rFonts w:eastAsia="Calibri" w:hint="cs"/>
          <w:b/>
          <w:bCs/>
          <w:rtl/>
        </w:rPr>
        <w:t xml:space="preserve"> הקוראים להקמת מינהלות עירוניות*</w:t>
      </w:r>
    </w:p>
    <w:tbl>
      <w:tblPr>
        <w:tblStyle w:val="5-11"/>
        <w:bidiVisual/>
        <w:tblW w:w="8357" w:type="dxa"/>
        <w:tblLook w:val="04A0"/>
      </w:tblPr>
      <w:tblGrid>
        <w:gridCol w:w="1752"/>
        <w:gridCol w:w="2074"/>
        <w:gridCol w:w="1945"/>
        <w:gridCol w:w="2586"/>
      </w:tblGrid>
      <w:tr w:rsidTr="00DC5B13">
        <w:tblPrEx>
          <w:tblW w:w="8357" w:type="dxa"/>
          <w:tblLook w:val="04A0"/>
        </w:tblPrEx>
        <w:tc>
          <w:tcPr>
            <w:tcW w:w="1752" w:type="dxa"/>
            <w:shd w:val="clear" w:color="auto" w:fill="DBE5F1"/>
          </w:tcPr>
          <w:p w:rsidR="00DC5B13" w:rsidRPr="000E4CC0" w:rsidP="00C34B23">
            <w:pPr>
              <w:spacing w:line="269" w:lineRule="auto"/>
              <w:jc w:val="left"/>
              <w:rPr>
                <w:rFonts w:eastAsia="Calibri"/>
                <w:sz w:val="21"/>
                <w:szCs w:val="21"/>
                <w:rtl/>
              </w:rPr>
            </w:pPr>
            <w:r w:rsidRPr="000E4CC0">
              <w:rPr>
                <w:rFonts w:eastAsia="Calibri" w:hint="cs"/>
                <w:sz w:val="21"/>
                <w:szCs w:val="21"/>
                <w:rtl/>
              </w:rPr>
              <w:t>הקול הקורא</w:t>
            </w:r>
          </w:p>
        </w:tc>
        <w:tc>
          <w:tcPr>
            <w:tcW w:w="2074" w:type="dxa"/>
            <w:shd w:val="clear" w:color="auto" w:fill="DBE5F1"/>
          </w:tcPr>
          <w:p w:rsidR="00DC5B13" w:rsidRPr="000E4CC0" w:rsidP="00C34B23">
            <w:pPr>
              <w:spacing w:line="269" w:lineRule="auto"/>
              <w:jc w:val="center"/>
              <w:rPr>
                <w:rFonts w:eastAsia="Calibri"/>
                <w:sz w:val="21"/>
                <w:szCs w:val="21"/>
                <w:rtl/>
              </w:rPr>
            </w:pPr>
            <w:r w:rsidRPr="000E4CC0">
              <w:rPr>
                <w:rFonts w:eastAsia="Calibri"/>
                <w:sz w:val="21"/>
                <w:szCs w:val="21"/>
                <w:rtl/>
              </w:rPr>
              <w:t>4/2016</w:t>
            </w:r>
          </w:p>
        </w:tc>
        <w:tc>
          <w:tcPr>
            <w:tcW w:w="1945" w:type="dxa"/>
            <w:shd w:val="clear" w:color="auto" w:fill="DBE5F1"/>
          </w:tcPr>
          <w:p w:rsidR="00DC5B13" w:rsidRPr="000E4CC0" w:rsidP="00C34B23">
            <w:pPr>
              <w:spacing w:line="269" w:lineRule="auto"/>
              <w:jc w:val="center"/>
              <w:rPr>
                <w:rFonts w:eastAsia="Calibri"/>
                <w:sz w:val="21"/>
                <w:szCs w:val="21"/>
                <w:rtl/>
              </w:rPr>
            </w:pPr>
            <w:r w:rsidRPr="000E4CC0">
              <w:rPr>
                <w:rFonts w:eastAsia="Calibri"/>
                <w:sz w:val="21"/>
                <w:szCs w:val="21"/>
                <w:rtl/>
              </w:rPr>
              <w:t>3/2018</w:t>
            </w:r>
          </w:p>
        </w:tc>
        <w:tc>
          <w:tcPr>
            <w:tcW w:w="2586" w:type="dxa"/>
            <w:shd w:val="clear" w:color="auto" w:fill="DBE5F1"/>
          </w:tcPr>
          <w:p w:rsidR="00DC5B13" w:rsidRPr="000E4CC0" w:rsidP="00C34B23">
            <w:pPr>
              <w:spacing w:line="269" w:lineRule="auto"/>
              <w:jc w:val="center"/>
              <w:rPr>
                <w:rFonts w:eastAsia="Calibri"/>
                <w:sz w:val="21"/>
                <w:szCs w:val="21"/>
                <w:rtl/>
              </w:rPr>
            </w:pPr>
            <w:r w:rsidRPr="000E4CC0">
              <w:rPr>
                <w:rFonts w:eastAsia="Calibri"/>
                <w:sz w:val="21"/>
                <w:szCs w:val="21"/>
                <w:rtl/>
              </w:rPr>
              <w:t>7/2022</w:t>
            </w:r>
          </w:p>
        </w:tc>
      </w:tr>
      <w:tr w:rsidTr="00DC5B13">
        <w:tblPrEx>
          <w:tblW w:w="8357" w:type="dxa"/>
          <w:tblLook w:val="04A0"/>
        </w:tblPrEx>
        <w:tc>
          <w:tcPr>
            <w:tcW w:w="1752" w:type="dxa"/>
            <w:shd w:val="clear" w:color="auto" w:fill="DBE5F1"/>
          </w:tcPr>
          <w:p w:rsidR="00DC5B13" w:rsidRPr="000E4CC0" w:rsidP="00C34B23">
            <w:pPr>
              <w:spacing w:line="269" w:lineRule="auto"/>
              <w:jc w:val="left"/>
              <w:rPr>
                <w:rFonts w:eastAsia="Calibri"/>
                <w:sz w:val="21"/>
                <w:szCs w:val="21"/>
                <w:rtl/>
              </w:rPr>
            </w:pPr>
            <w:r w:rsidRPr="000E4CC0">
              <w:rPr>
                <w:rFonts w:eastAsia="Calibri" w:hint="cs"/>
                <w:sz w:val="21"/>
                <w:szCs w:val="21"/>
                <w:rtl/>
              </w:rPr>
              <w:t>מספר המינהלות שהוקמו במסגרתו</w:t>
            </w:r>
          </w:p>
        </w:tc>
        <w:tc>
          <w:tcPr>
            <w:tcW w:w="2074" w:type="dxa"/>
            <w:shd w:val="clear" w:color="auto" w:fill="DBE5F1"/>
          </w:tcPr>
          <w:p w:rsidR="00DC5B13" w:rsidRPr="000E4CC0" w:rsidP="00C34B23">
            <w:pPr>
              <w:spacing w:line="269" w:lineRule="auto"/>
              <w:jc w:val="center"/>
              <w:rPr>
                <w:rFonts w:eastAsia="Calibri"/>
                <w:b/>
                <w:bCs/>
                <w:sz w:val="21"/>
                <w:szCs w:val="21"/>
                <w:rtl/>
              </w:rPr>
            </w:pPr>
            <w:r w:rsidRPr="000E4CC0">
              <w:rPr>
                <w:rFonts w:eastAsia="Calibri" w:hint="cs"/>
                <w:b/>
                <w:bCs/>
                <w:sz w:val="21"/>
                <w:szCs w:val="21"/>
                <w:rtl/>
              </w:rPr>
              <w:t>16</w:t>
            </w:r>
          </w:p>
        </w:tc>
        <w:tc>
          <w:tcPr>
            <w:tcW w:w="1945" w:type="dxa"/>
            <w:shd w:val="clear" w:color="auto" w:fill="DBE5F1"/>
          </w:tcPr>
          <w:p w:rsidR="00DC5B13" w:rsidRPr="000E4CC0" w:rsidP="00C34B23">
            <w:pPr>
              <w:spacing w:line="269" w:lineRule="auto"/>
              <w:jc w:val="center"/>
              <w:rPr>
                <w:rFonts w:eastAsia="Calibri"/>
                <w:b/>
                <w:bCs/>
                <w:sz w:val="21"/>
                <w:szCs w:val="21"/>
                <w:rtl/>
              </w:rPr>
            </w:pPr>
            <w:r w:rsidRPr="000E4CC0">
              <w:rPr>
                <w:rFonts w:eastAsia="Calibri" w:hint="cs"/>
                <w:b/>
                <w:bCs/>
                <w:sz w:val="21"/>
                <w:szCs w:val="21"/>
                <w:rtl/>
              </w:rPr>
              <w:t>9</w:t>
            </w:r>
          </w:p>
        </w:tc>
        <w:tc>
          <w:tcPr>
            <w:tcW w:w="2586" w:type="dxa"/>
            <w:shd w:val="clear" w:color="auto" w:fill="DBE5F1"/>
          </w:tcPr>
          <w:p w:rsidR="00DC5B13" w:rsidRPr="000E4CC0" w:rsidP="00C34B23">
            <w:pPr>
              <w:spacing w:line="269" w:lineRule="auto"/>
              <w:jc w:val="center"/>
              <w:rPr>
                <w:rFonts w:eastAsia="Calibri"/>
                <w:b/>
                <w:bCs/>
                <w:sz w:val="21"/>
                <w:szCs w:val="21"/>
                <w:rtl/>
              </w:rPr>
            </w:pPr>
            <w:r w:rsidRPr="000E4CC0">
              <w:rPr>
                <w:rFonts w:eastAsia="Calibri" w:hint="cs"/>
                <w:b/>
                <w:bCs/>
                <w:sz w:val="21"/>
                <w:szCs w:val="21"/>
                <w:rtl/>
              </w:rPr>
              <w:t xml:space="preserve"> 10*</w:t>
            </w:r>
          </w:p>
        </w:tc>
      </w:tr>
      <w:tr w:rsidTr="00DC5B13">
        <w:tblPrEx>
          <w:tblW w:w="8357" w:type="dxa"/>
          <w:tblLook w:val="04A0"/>
        </w:tblPrEx>
        <w:tc>
          <w:tcPr>
            <w:tcW w:w="1752" w:type="dxa"/>
            <w:shd w:val="clear" w:color="auto" w:fill="DBE5F1"/>
          </w:tcPr>
          <w:p w:rsidR="00DC5B13" w:rsidRPr="000E4CC0" w:rsidP="00C34B23">
            <w:pPr>
              <w:spacing w:line="269" w:lineRule="auto"/>
              <w:jc w:val="left"/>
              <w:rPr>
                <w:rFonts w:eastAsia="Calibri"/>
                <w:sz w:val="21"/>
                <w:szCs w:val="21"/>
                <w:rtl/>
              </w:rPr>
            </w:pPr>
            <w:r w:rsidRPr="000E4CC0">
              <w:rPr>
                <w:rFonts w:eastAsia="Calibri" w:hint="cs"/>
                <w:sz w:val="21"/>
                <w:szCs w:val="21"/>
                <w:rtl/>
              </w:rPr>
              <w:t xml:space="preserve">השנים שבהן הוקמו </w:t>
            </w:r>
          </w:p>
        </w:tc>
        <w:tc>
          <w:tcPr>
            <w:tcW w:w="2074" w:type="dxa"/>
          </w:tcPr>
          <w:p w:rsidR="00DC5B13" w:rsidRPr="000E4CC0" w:rsidP="00C34B23">
            <w:pPr>
              <w:spacing w:line="269" w:lineRule="auto"/>
              <w:jc w:val="center"/>
              <w:rPr>
                <w:rFonts w:eastAsia="Calibri"/>
                <w:sz w:val="21"/>
                <w:szCs w:val="21"/>
                <w:rtl/>
              </w:rPr>
            </w:pPr>
            <w:r w:rsidRPr="000E4CC0">
              <w:rPr>
                <w:rFonts w:eastAsia="Calibri" w:hint="cs"/>
                <w:sz w:val="21"/>
                <w:szCs w:val="21"/>
                <w:rtl/>
              </w:rPr>
              <w:t>2017 - 2018</w:t>
            </w:r>
          </w:p>
        </w:tc>
        <w:tc>
          <w:tcPr>
            <w:tcW w:w="1945" w:type="dxa"/>
          </w:tcPr>
          <w:p w:rsidR="00DC5B13" w:rsidRPr="000E4CC0" w:rsidP="00C34B23">
            <w:pPr>
              <w:spacing w:line="269" w:lineRule="auto"/>
              <w:jc w:val="center"/>
              <w:rPr>
                <w:rFonts w:eastAsia="Calibri"/>
                <w:sz w:val="21"/>
                <w:szCs w:val="21"/>
                <w:rtl/>
              </w:rPr>
            </w:pPr>
            <w:r w:rsidRPr="000E4CC0">
              <w:rPr>
                <w:rFonts w:eastAsia="Calibri" w:hint="cs"/>
                <w:sz w:val="21"/>
                <w:szCs w:val="21"/>
                <w:rtl/>
              </w:rPr>
              <w:t>2019 - 2021</w:t>
            </w:r>
          </w:p>
        </w:tc>
        <w:tc>
          <w:tcPr>
            <w:tcW w:w="2586" w:type="dxa"/>
          </w:tcPr>
          <w:p w:rsidR="00DC5B13" w:rsidRPr="000E4CC0" w:rsidP="00C34B23">
            <w:pPr>
              <w:spacing w:line="269" w:lineRule="auto"/>
              <w:jc w:val="center"/>
              <w:rPr>
                <w:rFonts w:eastAsia="Calibri"/>
                <w:sz w:val="21"/>
                <w:szCs w:val="21"/>
                <w:rtl/>
              </w:rPr>
            </w:pPr>
            <w:r w:rsidRPr="000E4CC0">
              <w:rPr>
                <w:rFonts w:eastAsia="Calibri" w:hint="cs"/>
                <w:sz w:val="21"/>
                <w:szCs w:val="21"/>
                <w:rtl/>
              </w:rPr>
              <w:t xml:space="preserve">2023 </w:t>
            </w:r>
            <w:r w:rsidR="005941B0">
              <w:rPr>
                <w:rFonts w:eastAsia="Calibri" w:hint="cs"/>
                <w:sz w:val="21"/>
                <w:szCs w:val="21"/>
                <w:rtl/>
              </w:rPr>
              <w:t>-</w:t>
            </w:r>
            <w:r w:rsidRPr="000E4CC0">
              <w:rPr>
                <w:rFonts w:eastAsia="Calibri" w:hint="cs"/>
                <w:sz w:val="21"/>
                <w:szCs w:val="21"/>
                <w:rtl/>
              </w:rPr>
              <w:t xml:space="preserve"> 2028</w:t>
            </w:r>
          </w:p>
        </w:tc>
      </w:tr>
      <w:tr w:rsidTr="00DC5B13">
        <w:tblPrEx>
          <w:tblW w:w="8357" w:type="dxa"/>
          <w:tblLook w:val="04A0"/>
        </w:tblPrEx>
        <w:tc>
          <w:tcPr>
            <w:tcW w:w="1752" w:type="dxa"/>
            <w:shd w:val="clear" w:color="auto" w:fill="DBE5F1"/>
          </w:tcPr>
          <w:p w:rsidR="00DC5B13" w:rsidRPr="000E4CC0" w:rsidP="00C34B23">
            <w:pPr>
              <w:spacing w:line="269" w:lineRule="auto"/>
              <w:jc w:val="left"/>
              <w:rPr>
                <w:rFonts w:eastAsia="Calibri"/>
                <w:sz w:val="21"/>
                <w:szCs w:val="21"/>
                <w:rtl/>
              </w:rPr>
            </w:pPr>
            <w:r w:rsidRPr="000E4CC0">
              <w:rPr>
                <w:rFonts w:eastAsia="Calibri" w:hint="cs"/>
                <w:sz w:val="21"/>
                <w:szCs w:val="21"/>
                <w:rtl/>
              </w:rPr>
              <w:t>תקופת ההתקשרות בין הרשות להתחדשות לבין הרשות המקומית</w:t>
            </w:r>
          </w:p>
        </w:tc>
        <w:tc>
          <w:tcPr>
            <w:tcW w:w="2074" w:type="dxa"/>
            <w:shd w:val="clear" w:color="auto" w:fill="DBE5F1"/>
          </w:tcPr>
          <w:p w:rsidR="00DC5B13" w:rsidRPr="000E4CC0" w:rsidP="00C34B23">
            <w:pPr>
              <w:spacing w:line="269" w:lineRule="auto"/>
              <w:jc w:val="left"/>
              <w:rPr>
                <w:rFonts w:eastAsia="Calibri"/>
                <w:sz w:val="21"/>
                <w:szCs w:val="21"/>
                <w:rtl/>
              </w:rPr>
            </w:pPr>
            <w:r w:rsidRPr="000E4CC0">
              <w:rPr>
                <w:rFonts w:eastAsia="Calibri"/>
                <w:sz w:val="21"/>
                <w:szCs w:val="21"/>
                <w:rtl/>
              </w:rPr>
              <w:t xml:space="preserve">תקופת </w:t>
            </w:r>
            <w:r w:rsidRPr="000E4CC0">
              <w:rPr>
                <w:rFonts w:eastAsia="Calibri" w:hint="cs"/>
                <w:sz w:val="21"/>
                <w:szCs w:val="21"/>
                <w:rtl/>
              </w:rPr>
              <w:t>ה</w:t>
            </w:r>
            <w:r w:rsidRPr="000E4CC0">
              <w:rPr>
                <w:rFonts w:eastAsia="Calibri"/>
                <w:sz w:val="21"/>
                <w:szCs w:val="21"/>
                <w:rtl/>
              </w:rPr>
              <w:t xml:space="preserve">התקשרות </w:t>
            </w:r>
            <w:r w:rsidRPr="000E4CC0">
              <w:rPr>
                <w:rFonts w:eastAsia="Calibri" w:hint="cs"/>
                <w:sz w:val="21"/>
                <w:szCs w:val="21"/>
                <w:rtl/>
              </w:rPr>
              <w:t>ה</w:t>
            </w:r>
            <w:r w:rsidRPr="000E4CC0">
              <w:rPr>
                <w:rFonts w:eastAsia="Calibri"/>
                <w:sz w:val="21"/>
                <w:szCs w:val="21"/>
                <w:rtl/>
              </w:rPr>
              <w:t xml:space="preserve">ראשונית: </w:t>
            </w:r>
            <w:r w:rsidRPr="000E4CC0">
              <w:rPr>
                <w:rFonts w:eastAsia="Calibri"/>
                <w:sz w:val="21"/>
                <w:szCs w:val="21"/>
                <w:u w:val="single"/>
                <w:rtl/>
              </w:rPr>
              <w:t>3 שנים</w:t>
            </w:r>
            <w:r w:rsidRPr="000E4CC0">
              <w:rPr>
                <w:rFonts w:eastAsia="Calibri"/>
                <w:sz w:val="21"/>
                <w:szCs w:val="21"/>
                <w:rtl/>
              </w:rPr>
              <w:t xml:space="preserve">, </w:t>
            </w:r>
            <w:r w:rsidRPr="000E4CC0">
              <w:rPr>
                <w:rFonts w:eastAsia="Calibri" w:hint="eastAsia"/>
                <w:sz w:val="21"/>
                <w:szCs w:val="21"/>
                <w:rtl/>
              </w:rPr>
              <w:t>לרבות</w:t>
            </w:r>
            <w:r w:rsidRPr="000E4CC0">
              <w:rPr>
                <w:rFonts w:eastAsia="Calibri"/>
                <w:sz w:val="21"/>
                <w:szCs w:val="21"/>
                <w:rtl/>
              </w:rPr>
              <w:t xml:space="preserve"> אופציה </w:t>
            </w:r>
            <w:r w:rsidRPr="000E4CC0">
              <w:rPr>
                <w:rFonts w:eastAsia="Calibri"/>
                <w:sz w:val="21"/>
                <w:szCs w:val="21"/>
                <w:u w:val="single"/>
                <w:rtl/>
              </w:rPr>
              <w:t>לשנתיים</w:t>
            </w:r>
            <w:r w:rsidRPr="000E4CC0">
              <w:rPr>
                <w:rFonts w:eastAsia="Calibri"/>
                <w:sz w:val="21"/>
                <w:szCs w:val="21"/>
                <w:rtl/>
              </w:rPr>
              <w:t xml:space="preserve"> נוספות</w:t>
            </w:r>
            <w:r w:rsidRPr="000E4CC0">
              <w:rPr>
                <w:rFonts w:eastAsia="Calibri" w:hint="cs"/>
                <w:sz w:val="21"/>
                <w:szCs w:val="21"/>
                <w:rtl/>
              </w:rPr>
              <w:t>.</w:t>
            </w:r>
          </w:p>
        </w:tc>
        <w:tc>
          <w:tcPr>
            <w:tcW w:w="1945" w:type="dxa"/>
            <w:shd w:val="clear" w:color="auto" w:fill="DBE5F1"/>
          </w:tcPr>
          <w:p w:rsidR="00DC5B13" w:rsidRPr="000E4CC0" w:rsidP="00C34B23">
            <w:pPr>
              <w:spacing w:line="269" w:lineRule="auto"/>
              <w:jc w:val="left"/>
              <w:rPr>
                <w:rFonts w:eastAsia="Calibri"/>
                <w:sz w:val="21"/>
                <w:szCs w:val="21"/>
                <w:rtl/>
              </w:rPr>
            </w:pPr>
            <w:r w:rsidRPr="000E4CC0">
              <w:rPr>
                <w:rFonts w:eastAsia="Calibri"/>
                <w:sz w:val="21"/>
                <w:szCs w:val="21"/>
                <w:rtl/>
              </w:rPr>
              <w:t xml:space="preserve">תקופת </w:t>
            </w:r>
            <w:r w:rsidRPr="000E4CC0">
              <w:rPr>
                <w:rFonts w:eastAsia="Calibri" w:hint="cs"/>
                <w:sz w:val="21"/>
                <w:szCs w:val="21"/>
                <w:rtl/>
              </w:rPr>
              <w:t>ה</w:t>
            </w:r>
            <w:r w:rsidRPr="000E4CC0">
              <w:rPr>
                <w:rFonts w:eastAsia="Calibri"/>
                <w:sz w:val="21"/>
                <w:szCs w:val="21"/>
                <w:rtl/>
              </w:rPr>
              <w:t xml:space="preserve">התקשרות </w:t>
            </w:r>
            <w:r w:rsidRPr="000E4CC0">
              <w:rPr>
                <w:rFonts w:eastAsia="Calibri" w:hint="eastAsia"/>
                <w:sz w:val="21"/>
                <w:szCs w:val="21"/>
                <w:rtl/>
              </w:rPr>
              <w:t>ה</w:t>
            </w:r>
            <w:r w:rsidRPr="000E4CC0">
              <w:rPr>
                <w:rFonts w:eastAsia="Calibri"/>
                <w:sz w:val="21"/>
                <w:szCs w:val="21"/>
                <w:rtl/>
              </w:rPr>
              <w:t xml:space="preserve">ראשונית: </w:t>
            </w:r>
            <w:r w:rsidRPr="000E4CC0">
              <w:rPr>
                <w:rFonts w:eastAsia="Calibri"/>
                <w:sz w:val="21"/>
                <w:szCs w:val="21"/>
                <w:u w:val="single"/>
                <w:rtl/>
              </w:rPr>
              <w:t>שנה אחת</w:t>
            </w:r>
            <w:r w:rsidRPr="000E4CC0">
              <w:rPr>
                <w:rFonts w:eastAsia="Calibri"/>
                <w:sz w:val="21"/>
                <w:szCs w:val="21"/>
                <w:rtl/>
              </w:rPr>
              <w:t xml:space="preserve">, </w:t>
            </w:r>
            <w:r w:rsidRPr="000E4CC0">
              <w:rPr>
                <w:rFonts w:eastAsia="Calibri" w:hint="eastAsia"/>
                <w:sz w:val="21"/>
                <w:szCs w:val="21"/>
                <w:rtl/>
              </w:rPr>
              <w:t>לרבות</w:t>
            </w:r>
            <w:r w:rsidRPr="000E4CC0">
              <w:rPr>
                <w:rFonts w:eastAsia="Calibri"/>
                <w:sz w:val="21"/>
                <w:szCs w:val="21"/>
                <w:rtl/>
              </w:rPr>
              <w:t xml:space="preserve"> אופציה </w:t>
            </w:r>
            <w:r w:rsidRPr="000E4CC0">
              <w:rPr>
                <w:rFonts w:eastAsia="Calibri"/>
                <w:sz w:val="21"/>
                <w:szCs w:val="21"/>
                <w:u w:val="single"/>
                <w:rtl/>
              </w:rPr>
              <w:t>לארבע</w:t>
            </w:r>
            <w:r w:rsidRPr="000E4CC0">
              <w:rPr>
                <w:rFonts w:eastAsia="Calibri"/>
                <w:sz w:val="21"/>
                <w:szCs w:val="21"/>
                <w:rtl/>
              </w:rPr>
              <w:t xml:space="preserve"> תקופות נוספות </w:t>
            </w:r>
            <w:r w:rsidRPr="000E4CC0">
              <w:rPr>
                <w:rFonts w:eastAsia="Calibri" w:hint="eastAsia"/>
                <w:sz w:val="21"/>
                <w:szCs w:val="21"/>
                <w:rtl/>
              </w:rPr>
              <w:t>של</w:t>
            </w:r>
            <w:r w:rsidRPr="000E4CC0">
              <w:rPr>
                <w:rFonts w:eastAsia="Calibri"/>
                <w:sz w:val="21"/>
                <w:szCs w:val="21"/>
                <w:rtl/>
              </w:rPr>
              <w:t xml:space="preserve"> שנה כל אחת</w:t>
            </w:r>
            <w:r w:rsidRPr="000E4CC0">
              <w:rPr>
                <w:rFonts w:eastAsia="Calibri" w:hint="cs"/>
                <w:sz w:val="21"/>
                <w:szCs w:val="21"/>
                <w:rtl/>
              </w:rPr>
              <w:t>.</w:t>
            </w:r>
          </w:p>
        </w:tc>
        <w:tc>
          <w:tcPr>
            <w:tcW w:w="2586" w:type="dxa"/>
            <w:shd w:val="clear" w:color="auto" w:fill="DBE5F1"/>
          </w:tcPr>
          <w:p w:rsidR="00DC5B13" w:rsidRPr="000E4CC0" w:rsidP="00C34B23">
            <w:pPr>
              <w:spacing w:line="269" w:lineRule="auto"/>
              <w:jc w:val="left"/>
              <w:rPr>
                <w:rFonts w:eastAsia="Calibri"/>
                <w:sz w:val="21"/>
                <w:szCs w:val="21"/>
                <w:rtl/>
              </w:rPr>
            </w:pPr>
            <w:r w:rsidRPr="000E4CC0">
              <w:rPr>
                <w:rFonts w:eastAsia="Calibri"/>
                <w:sz w:val="21"/>
                <w:szCs w:val="21"/>
                <w:rtl/>
              </w:rPr>
              <w:t xml:space="preserve">תקופת </w:t>
            </w:r>
            <w:r w:rsidRPr="000E4CC0">
              <w:rPr>
                <w:rFonts w:eastAsia="Calibri" w:hint="eastAsia"/>
                <w:sz w:val="21"/>
                <w:szCs w:val="21"/>
                <w:rtl/>
              </w:rPr>
              <w:t>ה</w:t>
            </w:r>
            <w:r w:rsidRPr="000E4CC0">
              <w:rPr>
                <w:rFonts w:eastAsia="Calibri"/>
                <w:sz w:val="21"/>
                <w:szCs w:val="21"/>
                <w:rtl/>
              </w:rPr>
              <w:t xml:space="preserve">התקשרות </w:t>
            </w:r>
            <w:r w:rsidRPr="000E4CC0">
              <w:rPr>
                <w:rFonts w:eastAsia="Calibri" w:hint="eastAsia"/>
                <w:sz w:val="21"/>
                <w:szCs w:val="21"/>
                <w:rtl/>
              </w:rPr>
              <w:t>ה</w:t>
            </w:r>
            <w:r w:rsidRPr="000E4CC0">
              <w:rPr>
                <w:rFonts w:eastAsia="Calibri"/>
                <w:sz w:val="21"/>
                <w:szCs w:val="21"/>
                <w:rtl/>
              </w:rPr>
              <w:t xml:space="preserve">ראשונית: </w:t>
            </w:r>
            <w:r w:rsidRPr="000E4CC0">
              <w:rPr>
                <w:rFonts w:eastAsia="Calibri"/>
                <w:sz w:val="21"/>
                <w:szCs w:val="21"/>
                <w:u w:val="single"/>
                <w:rtl/>
              </w:rPr>
              <w:t>שנה אחת</w:t>
            </w:r>
            <w:r w:rsidRPr="000E4CC0">
              <w:rPr>
                <w:rFonts w:eastAsia="Calibri"/>
                <w:sz w:val="21"/>
                <w:szCs w:val="21"/>
                <w:rtl/>
              </w:rPr>
              <w:t xml:space="preserve">, </w:t>
            </w:r>
            <w:r w:rsidRPr="000E4CC0">
              <w:rPr>
                <w:rFonts w:eastAsia="Calibri" w:hint="eastAsia"/>
                <w:sz w:val="21"/>
                <w:szCs w:val="21"/>
                <w:rtl/>
              </w:rPr>
              <w:t>לרבות</w:t>
            </w:r>
            <w:r w:rsidRPr="000E4CC0">
              <w:rPr>
                <w:rFonts w:eastAsia="Calibri" w:hint="cs"/>
                <w:sz w:val="21"/>
                <w:szCs w:val="21"/>
                <w:rtl/>
              </w:rPr>
              <w:t xml:space="preserve"> </w:t>
            </w:r>
            <w:r w:rsidRPr="000E4CC0">
              <w:rPr>
                <w:rFonts w:eastAsia="Calibri"/>
                <w:sz w:val="21"/>
                <w:szCs w:val="21"/>
                <w:rtl/>
              </w:rPr>
              <w:t xml:space="preserve">אופציה </w:t>
            </w:r>
            <w:r w:rsidRPr="000E4CC0">
              <w:rPr>
                <w:rFonts w:eastAsia="Calibri"/>
                <w:sz w:val="21"/>
                <w:szCs w:val="21"/>
                <w:u w:val="single"/>
                <w:rtl/>
              </w:rPr>
              <w:t>לחמש</w:t>
            </w:r>
            <w:r w:rsidRPr="000E4CC0">
              <w:rPr>
                <w:rFonts w:eastAsia="Calibri"/>
                <w:sz w:val="21"/>
                <w:szCs w:val="21"/>
                <w:rtl/>
              </w:rPr>
              <w:t xml:space="preserve"> תקופות נוספות </w:t>
            </w:r>
            <w:r w:rsidRPr="000E4CC0">
              <w:rPr>
                <w:rFonts w:eastAsia="Calibri" w:hint="eastAsia"/>
                <w:sz w:val="21"/>
                <w:szCs w:val="21"/>
                <w:rtl/>
              </w:rPr>
              <w:t>של</w:t>
            </w:r>
            <w:r w:rsidRPr="000E4CC0">
              <w:rPr>
                <w:rFonts w:eastAsia="Calibri"/>
                <w:sz w:val="21"/>
                <w:szCs w:val="21"/>
                <w:rtl/>
              </w:rPr>
              <w:t xml:space="preserve"> שנה כל אחת</w:t>
            </w:r>
            <w:r w:rsidRPr="000E4CC0">
              <w:rPr>
                <w:rFonts w:eastAsia="Calibri" w:hint="cs"/>
                <w:sz w:val="21"/>
                <w:szCs w:val="21"/>
                <w:rtl/>
              </w:rPr>
              <w:t>.</w:t>
            </w:r>
          </w:p>
        </w:tc>
      </w:tr>
    </w:tbl>
    <w:p w:rsidR="00DC5B13" w:rsidRPr="00DC5B13" w:rsidP="00C34B23">
      <w:pPr>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w:t>
      </w:r>
      <w:r w:rsidRPr="00DC5B13">
        <w:rPr>
          <w:rFonts w:eastAsia="Calibri" w:hint="eastAsia"/>
          <w:szCs w:val="20"/>
          <w:rtl/>
        </w:rPr>
        <w:t>פי</w:t>
      </w:r>
      <w:r w:rsidRPr="00DC5B13">
        <w:rPr>
          <w:rFonts w:eastAsia="Calibri"/>
          <w:szCs w:val="20"/>
          <w:rtl/>
        </w:rPr>
        <w:t xml:space="preserve"> </w:t>
      </w:r>
      <w:r w:rsidRPr="00DC5B13">
        <w:rPr>
          <w:rFonts w:eastAsia="Calibri" w:hint="eastAsia"/>
          <w:szCs w:val="20"/>
          <w:rtl/>
        </w:rPr>
        <w:t>קולות</w:t>
      </w:r>
      <w:r w:rsidRPr="00DC5B13">
        <w:rPr>
          <w:rFonts w:eastAsia="Calibri"/>
          <w:szCs w:val="20"/>
          <w:rtl/>
        </w:rPr>
        <w:t xml:space="preserve"> </w:t>
      </w:r>
      <w:r w:rsidRPr="00DC5B13">
        <w:rPr>
          <w:rFonts w:eastAsia="Calibri" w:hint="eastAsia"/>
          <w:szCs w:val="20"/>
          <w:rtl/>
        </w:rPr>
        <w:t>קוראים</w:t>
      </w:r>
      <w:r w:rsidRPr="00DC5B13">
        <w:rPr>
          <w:rFonts w:eastAsia="Calibri"/>
          <w:szCs w:val="20"/>
          <w:rtl/>
        </w:rPr>
        <w:t xml:space="preserve"> 4/2016, 3/2018 </w:t>
      </w:r>
      <w:r w:rsidRPr="00DC5B13">
        <w:rPr>
          <w:rFonts w:eastAsia="Calibri" w:hint="eastAsia"/>
          <w:szCs w:val="20"/>
          <w:rtl/>
        </w:rPr>
        <w:t>ו</w:t>
      </w:r>
      <w:r w:rsidRPr="00DC5B13">
        <w:rPr>
          <w:rFonts w:eastAsia="Calibri"/>
          <w:szCs w:val="20"/>
          <w:rtl/>
        </w:rPr>
        <w:t>-7/2022 ומידע שמסרה הרשות להתחדשות לצוות הביקורת, בעיבוד משרד מבקר המדינה.</w:t>
      </w:r>
    </w:p>
    <w:p w:rsidR="00DC5B13" w:rsidRPr="00DC5B13" w:rsidP="00C34B23">
      <w:pPr>
        <w:spacing w:line="269" w:lineRule="auto"/>
        <w:rPr>
          <w:rFonts w:eastAsia="Calibri"/>
          <w:szCs w:val="20"/>
          <w:rtl/>
        </w:rPr>
      </w:pPr>
      <w:r w:rsidRPr="00DC5B13">
        <w:rPr>
          <w:rFonts w:eastAsia="Calibri" w:hint="cs"/>
          <w:szCs w:val="20"/>
          <w:rtl/>
        </w:rPr>
        <w:t>* הנתונים על מועדי ההקמה של המינהלות והקול הקורא שבמסגרתו הוקמו לקוחים מתוך טבלת מועדי ההקמה של המינהלות העירוניות, הרשות הממשלתית להתחדשות עירונית, קובץ עדכני לנובמבר 2025.</w:t>
      </w:r>
    </w:p>
    <w:p w:rsidR="00DC5B13" w:rsidRPr="00DC5B13" w:rsidP="00C34B23">
      <w:pPr>
        <w:spacing w:line="269" w:lineRule="auto"/>
        <w:rPr>
          <w:rFonts w:eastAsia="Calibri"/>
          <w:rtl/>
        </w:rPr>
      </w:pPr>
      <w:r w:rsidRPr="00DC5B13">
        <w:rPr>
          <w:rFonts w:eastAsia="Calibri" w:hint="eastAsia"/>
          <w:rtl/>
        </w:rPr>
        <w:t>בשנת</w:t>
      </w:r>
      <w:r w:rsidRPr="00DC5B13">
        <w:rPr>
          <w:rFonts w:eastAsia="Calibri"/>
          <w:rtl/>
        </w:rPr>
        <w:t xml:space="preserve"> 2022 </w:t>
      </w:r>
      <w:r w:rsidRPr="00DC5B13">
        <w:rPr>
          <w:rFonts w:eastAsia="Calibri" w:hint="cs"/>
          <w:rtl/>
        </w:rPr>
        <w:t xml:space="preserve">הדגישה </w:t>
      </w:r>
      <w:r w:rsidRPr="00DC5B13">
        <w:rPr>
          <w:rFonts w:eastAsia="Calibri" w:hint="eastAsia"/>
          <w:rtl/>
        </w:rPr>
        <w:t>הרשות</w:t>
      </w:r>
      <w:r w:rsidRPr="00DC5B13">
        <w:rPr>
          <w:rFonts w:eastAsia="Calibri"/>
          <w:rtl/>
        </w:rPr>
        <w:t xml:space="preserve"> </w:t>
      </w:r>
      <w:r w:rsidRPr="00DC5B13">
        <w:rPr>
          <w:rFonts w:eastAsia="Calibri" w:hint="eastAsia"/>
          <w:rtl/>
        </w:rPr>
        <w:t>להתחדשות</w:t>
      </w:r>
      <w:r w:rsidRPr="00DC5B13">
        <w:rPr>
          <w:rFonts w:eastAsia="Calibri"/>
          <w:rtl/>
        </w:rPr>
        <w:t xml:space="preserve"> </w:t>
      </w:r>
      <w:r w:rsidRPr="00DC5B13">
        <w:rPr>
          <w:rFonts w:eastAsia="Calibri" w:hint="cs"/>
          <w:rtl/>
        </w:rPr>
        <w:t>את החשיבות הרבה ב</w:t>
      </w:r>
      <w:r w:rsidRPr="00DC5B13">
        <w:rPr>
          <w:rFonts w:eastAsia="Calibri" w:hint="eastAsia"/>
          <w:rtl/>
        </w:rPr>
        <w:t>קידום</w:t>
      </w:r>
      <w:r w:rsidRPr="00DC5B13">
        <w:rPr>
          <w:rFonts w:eastAsia="Calibri"/>
          <w:rtl/>
        </w:rPr>
        <w:t xml:space="preserve"> </w:t>
      </w:r>
      <w:r w:rsidRPr="00DC5B13">
        <w:rPr>
          <w:rFonts w:eastAsia="Calibri" w:hint="eastAsia"/>
          <w:rtl/>
        </w:rPr>
        <w:t>ההתחדשות</w:t>
      </w:r>
      <w:r w:rsidRPr="00DC5B13">
        <w:rPr>
          <w:rFonts w:eastAsia="Calibri"/>
          <w:rtl/>
        </w:rPr>
        <w:t xml:space="preserve"> </w:t>
      </w:r>
      <w:r w:rsidRPr="00DC5B13">
        <w:rPr>
          <w:rFonts w:eastAsia="Calibri" w:hint="eastAsia"/>
          <w:rtl/>
        </w:rPr>
        <w:t>העירונית</w:t>
      </w:r>
      <w:r w:rsidRPr="00DC5B13">
        <w:rPr>
          <w:rFonts w:eastAsia="Calibri"/>
          <w:rtl/>
        </w:rPr>
        <w:t xml:space="preserve"> </w:t>
      </w:r>
      <w:r w:rsidRPr="00DC5B13">
        <w:rPr>
          <w:rFonts w:eastAsia="Calibri" w:hint="eastAsia"/>
          <w:rtl/>
        </w:rPr>
        <w:t>בפריפריה</w:t>
      </w:r>
      <w:r w:rsidRPr="00DC5B13">
        <w:rPr>
          <w:rFonts w:eastAsia="Calibri" w:hint="cs"/>
          <w:rtl/>
        </w:rPr>
        <w:t xml:space="preserve">. </w:t>
      </w:r>
      <w:r w:rsidRPr="00DC5B13">
        <w:rPr>
          <w:rFonts w:eastAsia="Calibri" w:hint="eastAsia"/>
          <w:rtl/>
        </w:rPr>
        <w:t>במסגרת</w:t>
      </w:r>
      <w:r w:rsidRPr="00DC5B13">
        <w:rPr>
          <w:rFonts w:eastAsia="Calibri"/>
          <w:rtl/>
        </w:rPr>
        <w:t xml:space="preserve"> </w:t>
      </w:r>
      <w:r w:rsidRPr="00DC5B13">
        <w:rPr>
          <w:rFonts w:eastAsia="Calibri" w:hint="cs"/>
          <w:rtl/>
        </w:rPr>
        <w:t>ה</w:t>
      </w:r>
      <w:r w:rsidRPr="00DC5B13">
        <w:rPr>
          <w:rFonts w:eastAsia="Calibri" w:hint="eastAsia"/>
          <w:rtl/>
        </w:rPr>
        <w:t>קול</w:t>
      </w:r>
      <w:r w:rsidRPr="00DC5B13">
        <w:rPr>
          <w:rFonts w:eastAsia="Calibri"/>
          <w:rtl/>
        </w:rPr>
        <w:t xml:space="preserve"> </w:t>
      </w:r>
      <w:r w:rsidRPr="00DC5B13">
        <w:rPr>
          <w:rFonts w:eastAsia="Calibri" w:hint="cs"/>
          <w:rtl/>
        </w:rPr>
        <w:t>ה</w:t>
      </w:r>
      <w:r w:rsidRPr="00DC5B13">
        <w:rPr>
          <w:rFonts w:eastAsia="Calibri" w:hint="eastAsia"/>
          <w:rtl/>
        </w:rPr>
        <w:t>קורא</w:t>
      </w:r>
      <w:r w:rsidRPr="00DC5B13">
        <w:rPr>
          <w:rFonts w:eastAsia="Calibri"/>
          <w:rtl/>
        </w:rPr>
        <w:t xml:space="preserve"> </w:t>
      </w:r>
      <w:r w:rsidRPr="00DC5B13">
        <w:rPr>
          <w:rFonts w:eastAsia="Calibri" w:hint="cs"/>
          <w:rtl/>
        </w:rPr>
        <w:t>בשנה זו היא</w:t>
      </w:r>
      <w:r w:rsidRPr="00DC5B13">
        <w:rPr>
          <w:rFonts w:eastAsia="Calibri"/>
          <w:rtl/>
        </w:rPr>
        <w:t xml:space="preserve"> </w:t>
      </w:r>
      <w:r w:rsidRPr="00DC5B13">
        <w:rPr>
          <w:rFonts w:eastAsia="Calibri" w:hint="eastAsia"/>
          <w:rtl/>
        </w:rPr>
        <w:t>פנתה</w:t>
      </w:r>
      <w:r w:rsidRPr="00DC5B13">
        <w:rPr>
          <w:rFonts w:eastAsia="Calibri"/>
          <w:rtl/>
        </w:rPr>
        <w:t xml:space="preserve"> למגוון רחב של רשויות מקומיות להקים </w:t>
      </w:r>
      <w:r w:rsidRPr="00DC5B13">
        <w:rPr>
          <w:rFonts w:eastAsia="Calibri" w:hint="eastAsia"/>
          <w:rtl/>
        </w:rPr>
        <w:t>מינהלות</w:t>
      </w:r>
      <w:r w:rsidRPr="00DC5B13">
        <w:rPr>
          <w:rFonts w:eastAsia="Calibri" w:hint="cs"/>
          <w:rtl/>
        </w:rPr>
        <w:t xml:space="preserve">, וזאת גם ברשויות שאין בהן בהכרח כדאיות כלכלית לביצוע התחדשות עירונית.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הרשות להתחדשות פרסמה שני קולות קוראים נוספים שנועדו לרשויות המקומיות אשר לא זכו או לא עמדו בתנאים של קול קורא 7/2022: קול קורא מספר 18/2022 מנובמבר 2022 (להלן - קול קורא 18/2022), שאליו יכלו לגשת גם מועצות מקומיות, העמיד לטובת הזוכות תקן להעסקת מנהל מיזמים לקידום התחדשות אשר העסקתו מומנה על ידי הרשות להתחדשות, הסדר זה כונה "מיני מינהלת" על ידי הרשות להתחדשות. שמונה רשויות מקומיות זכו בקול הקורא וגייסו מנהלי מיזמים. </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hint="cs"/>
          <w:rtl/>
        </w:rPr>
        <w:t>הקול הקורא השני הזמין רשויות מקומיות לקבל</w:t>
      </w:r>
      <w:r w:rsidRPr="00DC5B13">
        <w:rPr>
          <w:rFonts w:eastAsia="Calibri"/>
          <w:rtl/>
        </w:rPr>
        <w:t xml:space="preserve"> שירותי ייעוץ לקידום תהליכי התחדשות עירונית</w:t>
      </w:r>
      <w:r w:rsidRPr="00DC5B13">
        <w:rPr>
          <w:rFonts w:eastAsia="Calibri" w:hint="cs"/>
          <w:rtl/>
        </w:rPr>
        <w:t xml:space="preserve"> - קול קורא מספר 2/2023 ממרץ 2023 (להלן - קול קורא 2/2023), ונועד להציע פתרונות לרשויות מקומיות אשר לא זכו בקול קורא 18/2022, ואשר יש בהן </w:t>
      </w:r>
      <w:r w:rsidRPr="00DC5B13">
        <w:rPr>
          <w:rFonts w:eastAsia="Calibri"/>
          <w:rtl/>
        </w:rPr>
        <w:t>פעילות מוגבלת יחסית</w:t>
      </w:r>
      <w:r w:rsidRPr="00DC5B13">
        <w:rPr>
          <w:rFonts w:eastAsia="Calibri" w:hint="cs"/>
          <w:rtl/>
        </w:rPr>
        <w:t xml:space="preserve"> </w:t>
      </w:r>
      <w:r w:rsidRPr="00DC5B13">
        <w:rPr>
          <w:rFonts w:eastAsia="Calibri"/>
          <w:rtl/>
        </w:rPr>
        <w:t>של התחדשות עירונית</w:t>
      </w:r>
      <w:r w:rsidRPr="00DC5B13">
        <w:rPr>
          <w:rFonts w:eastAsia="Calibri" w:hint="cs"/>
          <w:rtl/>
        </w:rPr>
        <w:t>. במסגרתו העמידה הרשות להתחדשות שירותי ייעוץ חברתי או שירותי ניהול מיזמים מטעם חברות שעימן התקשרה, וזאת לפי הצורך ברשות המקומית הזוכה בקידום התחדשות עירונית. במסגרת קול קורא זה זכו שש רשויות מקומיות במהלך 2023 - 2024. הסדר זה כונה ברשות להתחדשות "מינהלות אזוריות"</w:t>
      </w:r>
      <w:r>
        <w:rPr>
          <w:rFonts w:eastAsia="Calibri"/>
          <w:vertAlign w:val="superscript"/>
          <w:rtl/>
        </w:rPr>
        <w:footnoteReference w:id="88"/>
      </w:r>
      <w:r w:rsidRPr="00DC5B13">
        <w:rPr>
          <w:rFonts w:eastAsia="Calibri" w:hint="cs"/>
          <w:rtl/>
        </w:rPr>
        <w:t>. בתרשים הבא מוצגים מספר המינהלות וסוגיהן לפי שנת הקמתן.</w:t>
      </w:r>
    </w:p>
    <w:p w:rsidR="009132C8" w:rsidRPr="00DC5B13" w:rsidP="00C34B23">
      <w:pPr>
        <w:spacing w:line="269" w:lineRule="auto"/>
        <w:rPr>
          <w:rFonts w:eastAsia="Calibri"/>
          <w:rtl/>
        </w:rPr>
      </w:pPr>
    </w:p>
    <w:p w:rsidR="00DC5B13" w:rsidRPr="00DC5B13" w:rsidP="00C34B23">
      <w:pPr>
        <w:keepNext/>
        <w:keepLines/>
        <w:spacing w:line="269" w:lineRule="auto"/>
        <w:jc w:val="center"/>
        <w:rPr>
          <w:rFonts w:eastAsia="Calibri"/>
          <w:rtl/>
        </w:rPr>
      </w:pPr>
      <w:r w:rsidRPr="00DC5B13">
        <w:rPr>
          <w:rFonts w:eastAsia="Calibri"/>
          <w:noProof/>
        </w:rPr>
        <w:drawing>
          <wp:anchor distT="0" distB="0" distL="114300" distR="114300" simplePos="0" relativeHeight="251686912" behindDoc="0" locked="0" layoutInCell="1" allowOverlap="1">
            <wp:simplePos x="0" y="0"/>
            <wp:positionH relativeFrom="column">
              <wp:posOffset>3077</wp:posOffset>
            </wp:positionH>
            <wp:positionV relativeFrom="paragraph">
              <wp:posOffset>181219</wp:posOffset>
            </wp:positionV>
            <wp:extent cx="5219700" cy="3790315"/>
            <wp:effectExtent l="0" t="0" r="0" b="635"/>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790315"/>
                    </a:xfrm>
                    <a:prstGeom prst="rect">
                      <a:avLst/>
                    </a:prstGeom>
                    <a:noFill/>
                  </pic:spPr>
                </pic:pic>
              </a:graphicData>
            </a:graphic>
            <wp14:sizeRelH relativeFrom="page">
              <wp14:pctWidth>0</wp14:pctWidth>
            </wp14:sizeRelH>
            <wp14:sizeRelV relativeFrom="page">
              <wp14:pctHeight>0</wp14:pctHeight>
            </wp14:sizeRelV>
          </wp:anchor>
        </w:drawing>
      </w:r>
      <w:r w:rsidRPr="00DC5B13">
        <w:rPr>
          <w:rFonts w:eastAsia="Calibri" w:hint="eastAsia"/>
          <w:rtl/>
        </w:rPr>
        <w:t>תרשים</w:t>
      </w:r>
      <w:r w:rsidRPr="00DC5B13">
        <w:rPr>
          <w:rFonts w:eastAsia="Calibri"/>
          <w:rtl/>
        </w:rPr>
        <w:t xml:space="preserve"> </w:t>
      </w:r>
      <w:r w:rsidRPr="00DC5B13">
        <w:rPr>
          <w:rFonts w:eastAsia="Calibri" w:hint="cs"/>
          <w:rtl/>
        </w:rPr>
        <w:t>9</w:t>
      </w:r>
      <w:r w:rsidRPr="00DC5B13">
        <w:rPr>
          <w:rFonts w:eastAsia="Calibri"/>
          <w:rtl/>
        </w:rPr>
        <w:t xml:space="preserve">: </w:t>
      </w:r>
      <w:r w:rsidRPr="00DC5B13">
        <w:rPr>
          <w:rFonts w:eastAsia="Calibri" w:hint="eastAsia"/>
          <w:b/>
          <w:bCs/>
          <w:rtl/>
        </w:rPr>
        <w:t>מספר</w:t>
      </w:r>
      <w:r w:rsidRPr="00DC5B13">
        <w:rPr>
          <w:rFonts w:eastAsia="Calibri" w:hint="cs"/>
          <w:b/>
          <w:bCs/>
          <w:rtl/>
        </w:rPr>
        <w:t xml:space="preserve"> המינהלות לפי הסוג ושנת ההקמה</w:t>
      </w:r>
    </w:p>
    <w:p w:rsidR="00DC5B13" w:rsidRPr="00DC5B13" w:rsidP="00C34B23">
      <w:pPr>
        <w:spacing w:line="269" w:lineRule="auto"/>
        <w:rPr>
          <w:rFonts w:eastAsia="Calibri"/>
          <w:sz w:val="18"/>
          <w:szCs w:val="22"/>
          <w:rtl/>
        </w:rPr>
      </w:pPr>
      <w:r w:rsidRPr="00DC5B13">
        <w:rPr>
          <w:rFonts w:eastAsia="Calibri" w:hint="eastAsia"/>
          <w:szCs w:val="20"/>
          <w:rtl/>
        </w:rPr>
        <w:t>על</w:t>
      </w:r>
      <w:r w:rsidRPr="00DC5B13">
        <w:rPr>
          <w:rFonts w:eastAsia="Calibri"/>
          <w:szCs w:val="20"/>
          <w:rtl/>
        </w:rPr>
        <w:t xml:space="preserve"> </w:t>
      </w:r>
      <w:r w:rsidRPr="00DC5B13">
        <w:rPr>
          <w:rFonts w:eastAsia="Calibri" w:hint="eastAsia"/>
          <w:szCs w:val="20"/>
          <w:rtl/>
        </w:rPr>
        <w:t>פי</w:t>
      </w:r>
      <w:r w:rsidRPr="00DC5B13">
        <w:rPr>
          <w:rFonts w:eastAsia="Calibri"/>
          <w:szCs w:val="20"/>
          <w:rtl/>
        </w:rPr>
        <w:t xml:space="preserve"> </w:t>
      </w:r>
      <w:r w:rsidRPr="00DC5B13">
        <w:rPr>
          <w:rFonts w:eastAsia="Calibri" w:hint="eastAsia"/>
          <w:szCs w:val="20"/>
          <w:rtl/>
        </w:rPr>
        <w:t>נתוני</w:t>
      </w:r>
      <w:r w:rsidRPr="00DC5B13">
        <w:rPr>
          <w:rFonts w:eastAsia="Calibri"/>
          <w:szCs w:val="20"/>
          <w:rtl/>
        </w:rPr>
        <w:t xml:space="preserve"> </w:t>
      </w:r>
      <w:r w:rsidRPr="00DC5B13">
        <w:rPr>
          <w:rFonts w:eastAsia="Calibri" w:hint="eastAsia"/>
          <w:szCs w:val="20"/>
          <w:rtl/>
        </w:rPr>
        <w:t>הרשות</w:t>
      </w:r>
      <w:r w:rsidRPr="00DC5B13">
        <w:rPr>
          <w:rFonts w:eastAsia="Calibri"/>
          <w:szCs w:val="20"/>
          <w:rtl/>
        </w:rPr>
        <w:t xml:space="preserve"> </w:t>
      </w:r>
      <w:r w:rsidRPr="00DC5B13">
        <w:rPr>
          <w:rFonts w:eastAsia="Calibri" w:hint="eastAsia"/>
          <w:szCs w:val="20"/>
          <w:rtl/>
        </w:rPr>
        <w:t>להתחדשות</w:t>
      </w:r>
      <w:r w:rsidRPr="00DC5B13">
        <w:rPr>
          <w:rFonts w:eastAsia="Calibri"/>
          <w:szCs w:val="20"/>
          <w:rtl/>
        </w:rPr>
        <w:t xml:space="preserve">, </w:t>
      </w:r>
      <w:r w:rsidRPr="00DC5B13">
        <w:rPr>
          <w:rFonts w:eastAsia="Calibri" w:hint="eastAsia"/>
          <w:szCs w:val="20"/>
          <w:rtl/>
        </w:rPr>
        <w:t>נובמבר</w:t>
      </w:r>
      <w:r w:rsidRPr="00DC5B13">
        <w:rPr>
          <w:rFonts w:eastAsia="Calibri"/>
          <w:szCs w:val="20"/>
          <w:rtl/>
        </w:rPr>
        <w:t xml:space="preserve"> 2025, </w:t>
      </w:r>
      <w:r w:rsidRPr="00DC5B13">
        <w:rPr>
          <w:rFonts w:eastAsia="Calibri" w:hint="eastAsia"/>
          <w:szCs w:val="20"/>
          <w:rtl/>
        </w:rPr>
        <w:t>בעיבוד</w:t>
      </w:r>
      <w:r w:rsidRPr="00DC5B13">
        <w:rPr>
          <w:rFonts w:eastAsia="Calibri"/>
          <w:szCs w:val="20"/>
          <w:rtl/>
        </w:rPr>
        <w:t xml:space="preserve"> </w:t>
      </w:r>
      <w:r w:rsidRPr="00DC5B13">
        <w:rPr>
          <w:rFonts w:eastAsia="Calibri" w:hint="eastAsia"/>
          <w:szCs w:val="20"/>
          <w:rtl/>
        </w:rPr>
        <w:t>משרד</w:t>
      </w:r>
      <w:r w:rsidRPr="00DC5B13">
        <w:rPr>
          <w:rFonts w:eastAsia="Calibri"/>
          <w:szCs w:val="20"/>
          <w:rtl/>
        </w:rPr>
        <w:t xml:space="preserve"> </w:t>
      </w:r>
      <w:r w:rsidRPr="00DC5B13">
        <w:rPr>
          <w:rFonts w:eastAsia="Calibri" w:hint="eastAsia"/>
          <w:szCs w:val="20"/>
          <w:rtl/>
        </w:rPr>
        <w:t>מבקר</w:t>
      </w:r>
      <w:r w:rsidRPr="00DC5B13">
        <w:rPr>
          <w:rFonts w:eastAsia="Calibri"/>
          <w:szCs w:val="20"/>
          <w:rtl/>
        </w:rPr>
        <w:t xml:space="preserve"> </w:t>
      </w:r>
      <w:r w:rsidRPr="00DC5B13">
        <w:rPr>
          <w:rFonts w:eastAsia="Calibri" w:hint="eastAsia"/>
          <w:szCs w:val="20"/>
          <w:rtl/>
        </w:rPr>
        <w:t>המדינה</w:t>
      </w:r>
      <w:r w:rsidRPr="00DC5B13">
        <w:rPr>
          <w:rFonts w:eastAsia="Calibri"/>
          <w:sz w:val="14"/>
          <w:szCs w:val="18"/>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rtl/>
        </w:rPr>
        <w:t>כיום פועלות מ</w:t>
      </w:r>
      <w:r w:rsidRPr="00DC5B13">
        <w:rPr>
          <w:rFonts w:eastAsia="Calibri" w:hint="cs"/>
          <w:rtl/>
        </w:rPr>
        <w:t>י</w:t>
      </w:r>
      <w:r w:rsidRPr="00DC5B13">
        <w:rPr>
          <w:rFonts w:eastAsia="Calibri"/>
          <w:rtl/>
        </w:rPr>
        <w:t>נהלות בכחמישים רשויות</w:t>
      </w:r>
      <w:r w:rsidRPr="00DC5B13">
        <w:rPr>
          <w:rFonts w:eastAsia="Calibri" w:hint="cs"/>
          <w:rtl/>
        </w:rPr>
        <w:t xml:space="preserve"> </w:t>
      </w:r>
      <w:r w:rsidRPr="00DC5B13">
        <w:rPr>
          <w:rFonts w:eastAsia="Calibri"/>
          <w:rtl/>
        </w:rPr>
        <w:t>מקומיות מקריית שמונה ועד אילת</w:t>
      </w:r>
      <w:r w:rsidRPr="00DC5B13">
        <w:rPr>
          <w:rFonts w:eastAsia="Calibri" w:hint="cs"/>
          <w:rtl/>
        </w:rPr>
        <w:t>, כמתואר בתרשים שלהלן.</w:t>
      </w:r>
    </w:p>
    <w:p w:rsidR="00DC5B13" w:rsidRPr="00DC5B13" w:rsidP="00C34B23">
      <w:pPr>
        <w:keepNext/>
        <w:keepLines/>
        <w:spacing w:line="269" w:lineRule="auto"/>
        <w:jc w:val="center"/>
        <w:rPr>
          <w:rFonts w:eastAsia="Calibri"/>
          <w:rtl/>
        </w:rPr>
      </w:pPr>
      <w:r w:rsidRPr="00DC5B13">
        <w:rPr>
          <w:rFonts w:eastAsia="Calibri" w:hint="eastAsia"/>
          <w:rtl/>
        </w:rPr>
        <w:t>תרשים</w:t>
      </w:r>
      <w:r w:rsidRPr="00DC5B13">
        <w:rPr>
          <w:rFonts w:eastAsia="Calibri"/>
          <w:rtl/>
        </w:rPr>
        <w:t xml:space="preserve"> </w:t>
      </w:r>
      <w:r w:rsidRPr="00DC5B13">
        <w:rPr>
          <w:rFonts w:eastAsia="Calibri" w:hint="cs"/>
          <w:rtl/>
        </w:rPr>
        <w:t>10</w:t>
      </w:r>
      <w:r w:rsidRPr="00DC5B13">
        <w:rPr>
          <w:rFonts w:eastAsia="Calibri"/>
          <w:rtl/>
        </w:rPr>
        <w:t xml:space="preserve">: </w:t>
      </w:r>
      <w:r w:rsidRPr="00DC5B13">
        <w:rPr>
          <w:rFonts w:eastAsia="Calibri" w:hint="eastAsia"/>
          <w:b/>
          <w:bCs/>
          <w:rtl/>
        </w:rPr>
        <w:t>פריסת</w:t>
      </w:r>
      <w:r w:rsidRPr="00DC5B13">
        <w:rPr>
          <w:rFonts w:eastAsia="Calibri" w:hint="cs"/>
          <w:b/>
          <w:bCs/>
          <w:rtl/>
        </w:rPr>
        <w:t xml:space="preserve"> המינהלות להתחדשות עירונית, 2024</w:t>
      </w:r>
    </w:p>
    <w:p w:rsidR="00DC5B13" w:rsidRPr="00DC5B13" w:rsidP="00C34B23">
      <w:pPr>
        <w:keepNext/>
        <w:keepLines/>
        <w:spacing w:line="269" w:lineRule="auto"/>
        <w:jc w:val="center"/>
        <w:rPr>
          <w:rFonts w:eastAsia="Calibri"/>
        </w:rPr>
      </w:pPr>
    </w:p>
    <w:p w:rsidR="00DC5B13" w:rsidRPr="00DC5B13" w:rsidP="00C34B23">
      <w:pPr>
        <w:spacing w:line="269" w:lineRule="auto"/>
        <w:rPr>
          <w:rFonts w:eastAsia="Calibri"/>
          <w:sz w:val="18"/>
          <w:szCs w:val="18"/>
        </w:rPr>
      </w:pPr>
      <w:r w:rsidRPr="00DC5B13">
        <w:rPr>
          <w:rFonts w:eastAsia="Calibri"/>
          <w:noProof/>
          <w:szCs w:val="20"/>
        </w:rPr>
        <w:drawing>
          <wp:anchor distT="0" distB="0" distL="114300" distR="114300" simplePos="0" relativeHeight="251660288" behindDoc="0" locked="0" layoutInCell="1" allowOverlap="1">
            <wp:simplePos x="0" y="0"/>
            <wp:positionH relativeFrom="column">
              <wp:align>center</wp:align>
            </wp:positionH>
            <wp:positionV relativeFrom="paragraph">
              <wp:posOffset>3810</wp:posOffset>
            </wp:positionV>
            <wp:extent cx="5220000" cy="5108400"/>
            <wp:effectExtent l="0" t="0" r="0" b="0"/>
            <wp:wrapTopAndBottom/>
            <wp:docPr id="15" name="תמונה 15" descr="מפת ארץ ישראל המונה את כלל המינהלות אשר הוקמו, לפי מיקומן הגיאוגרפי. עיקר הממצאים מופיע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51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B13">
        <w:rPr>
          <w:rFonts w:eastAsia="Calibri" w:hint="eastAsia"/>
          <w:szCs w:val="20"/>
          <w:rtl/>
        </w:rPr>
        <w:t>המקור</w:t>
      </w:r>
      <w:r w:rsidRPr="00DC5B13">
        <w:rPr>
          <w:rFonts w:eastAsia="Calibri"/>
          <w:szCs w:val="20"/>
          <w:rtl/>
        </w:rPr>
        <w:t>: דוח התחדשות עירונית לשנת 2024</w:t>
      </w:r>
      <w:r w:rsidRPr="00DC5B13">
        <w:rPr>
          <w:rFonts w:eastAsia="Calibri" w:hint="cs"/>
          <w:szCs w:val="20"/>
          <w:rtl/>
        </w:rPr>
        <w:t>.</w:t>
      </w:r>
    </w:p>
    <w:p w:rsidR="00DC5B13" w:rsidRPr="00DC5B13" w:rsidP="00C34B23">
      <w:pPr>
        <w:spacing w:line="269" w:lineRule="auto"/>
        <w:rPr>
          <w:rFonts w:eastAsia="Calibri"/>
          <w:szCs w:val="20"/>
          <w:rtl/>
        </w:rPr>
      </w:pPr>
      <w:bookmarkStart w:id="26" w:name="_Hlk215565144"/>
    </w:p>
    <w:p w:rsidR="00DC5B13" w:rsidRPr="00DC5B13" w:rsidP="00C34B23">
      <w:pPr>
        <w:spacing w:line="269" w:lineRule="auto"/>
        <w:rPr>
          <w:rFonts w:eastAsia="Calibri"/>
          <w:b/>
          <w:bCs/>
          <w:rtl/>
        </w:rPr>
      </w:pPr>
      <w:r w:rsidRPr="00DC5B13">
        <w:rPr>
          <w:rFonts w:eastAsia="Calibri" w:hint="cs"/>
          <w:b/>
          <w:bCs/>
          <w:rtl/>
        </w:rPr>
        <w:t>מנתוני הרשות להתחדשות עלה</w:t>
      </w:r>
      <w:r w:rsidRPr="00DC5B13">
        <w:rPr>
          <w:rFonts w:eastAsia="Calibri"/>
          <w:b/>
          <w:bCs/>
          <w:rtl/>
        </w:rPr>
        <w:t xml:space="preserve"> כי </w:t>
      </w:r>
      <w:r w:rsidRPr="00DC5B13">
        <w:rPr>
          <w:rFonts w:eastAsia="Calibri" w:hint="cs"/>
          <w:b/>
          <w:bCs/>
          <w:rtl/>
        </w:rPr>
        <w:t>בשנים 2017 - 2025 גדל מספר המינהלות פי 5.8 (מ-8 ל-46 מינהלות ב-48 רשויות מקומיות)</w:t>
      </w:r>
      <w:r>
        <w:rPr>
          <w:rFonts w:ascii="Tahoma" w:eastAsia="Calibri" w:hAnsi="Tahoma" w:cs="Tahoma"/>
          <w:sz w:val="19"/>
          <w:szCs w:val="19"/>
          <w:vertAlign w:val="superscript"/>
          <w:rtl/>
        </w:rPr>
        <w:footnoteReference w:id="89"/>
      </w:r>
      <w:r w:rsidRPr="00DC5B13">
        <w:rPr>
          <w:rFonts w:eastAsia="Calibri" w:hint="cs"/>
          <w:b/>
          <w:bCs/>
          <w:rtl/>
        </w:rPr>
        <w:t xml:space="preserve"> שהוקמו באמצעות חמישה קולות קוראים שפרסמה הרשות להתחדשות בשנים אלה. המינהלות הוקמו הן ברשויות מקומיות איתנות והן ברשויות השוכנות בפריפריה הגיאוגרפית והחברתית. עוד עלה כי במועד סיום הביקורת 23 רשויות מקומיות מקדמות מתחמי התחדשות עירונית שלא באמצעות מינהלת</w:t>
      </w:r>
      <w:r>
        <w:rPr>
          <w:rFonts w:eastAsia="Calibri"/>
          <w:b/>
          <w:bCs/>
          <w:vertAlign w:val="superscript"/>
          <w:rtl/>
        </w:rPr>
        <w:footnoteReference w:id="90"/>
      </w:r>
      <w:r w:rsidRPr="00DC5B13">
        <w:rPr>
          <w:rFonts w:eastAsia="Calibri" w:hint="cs"/>
          <w:b/>
          <w:b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b/>
          <w:bCs/>
          <w:rtl/>
        </w:rPr>
        <w:t>משרד מבקר המדינה רואה בחיוב את פעולותיה של הרשות להתחדשות ל</w:t>
      </w:r>
      <w:r w:rsidRPr="00DC5B13">
        <w:rPr>
          <w:rFonts w:eastAsia="Calibri" w:hint="cs"/>
          <w:b/>
          <w:bCs/>
          <w:rtl/>
        </w:rPr>
        <w:t>הרחבת מערך המינהלות</w:t>
      </w:r>
      <w:r w:rsidRPr="00DC5B13">
        <w:rPr>
          <w:rFonts w:eastAsia="Calibri"/>
          <w:b/>
          <w:bCs/>
          <w:rtl/>
        </w:rPr>
        <w:t xml:space="preserve"> ברשויות מקומיות </w:t>
      </w:r>
      <w:r w:rsidRPr="00DC5B13">
        <w:rPr>
          <w:rFonts w:eastAsia="Calibri" w:hint="cs"/>
          <w:b/>
          <w:bCs/>
          <w:rtl/>
        </w:rPr>
        <w:t xml:space="preserve">השוכנות </w:t>
      </w:r>
      <w:r w:rsidRPr="00DC5B13">
        <w:rPr>
          <w:rFonts w:eastAsia="Calibri"/>
          <w:b/>
          <w:bCs/>
          <w:rtl/>
        </w:rPr>
        <w:t xml:space="preserve">בפריפריה הגיאוגרפית והחברתית </w:t>
      </w:r>
      <w:r w:rsidRPr="00DC5B13">
        <w:rPr>
          <w:rFonts w:eastAsia="Calibri" w:hint="cs"/>
          <w:b/>
          <w:bCs/>
          <w:rtl/>
        </w:rPr>
        <w:t>וגם ברשויות</w:t>
      </w:r>
      <w:r w:rsidRPr="00DC5B13">
        <w:rPr>
          <w:rFonts w:eastAsia="Calibri"/>
          <w:b/>
          <w:bCs/>
          <w:rtl/>
        </w:rPr>
        <w:t xml:space="preserve"> </w:t>
      </w:r>
      <w:r w:rsidRPr="00DC5B13">
        <w:rPr>
          <w:rFonts w:eastAsia="Calibri" w:hint="cs"/>
          <w:b/>
          <w:bCs/>
          <w:rtl/>
        </w:rPr>
        <w:t>ש</w:t>
      </w:r>
      <w:r w:rsidRPr="00DC5B13">
        <w:rPr>
          <w:rFonts w:eastAsia="Calibri"/>
          <w:b/>
          <w:bCs/>
          <w:rtl/>
        </w:rPr>
        <w:t xml:space="preserve">הכדאיות הכלכלית בקידום </w:t>
      </w:r>
      <w:r w:rsidRPr="00DC5B13">
        <w:rPr>
          <w:rFonts w:eastAsia="Calibri" w:hint="cs"/>
          <w:b/>
          <w:bCs/>
          <w:rtl/>
        </w:rPr>
        <w:t>ה</w:t>
      </w:r>
      <w:r w:rsidRPr="00DC5B13">
        <w:rPr>
          <w:rFonts w:eastAsia="Calibri"/>
          <w:b/>
          <w:bCs/>
          <w:rtl/>
        </w:rPr>
        <w:t xml:space="preserve">התחדשות </w:t>
      </w:r>
      <w:r w:rsidRPr="00DC5B13">
        <w:rPr>
          <w:rFonts w:eastAsia="Calibri" w:hint="cs"/>
          <w:b/>
          <w:bCs/>
          <w:rtl/>
        </w:rPr>
        <w:t>ה</w:t>
      </w:r>
      <w:r w:rsidRPr="00DC5B13">
        <w:rPr>
          <w:rFonts w:eastAsia="Calibri"/>
          <w:b/>
          <w:bCs/>
          <w:rtl/>
        </w:rPr>
        <w:t>עירונית</w:t>
      </w:r>
      <w:r w:rsidRPr="00DC5B13">
        <w:rPr>
          <w:rFonts w:eastAsia="Calibri" w:hint="cs"/>
          <w:b/>
          <w:bCs/>
          <w:rtl/>
        </w:rPr>
        <w:t xml:space="preserve"> בתחומן </w:t>
      </w:r>
      <w:r w:rsidRPr="00DC5B13">
        <w:rPr>
          <w:rFonts w:eastAsia="Calibri"/>
          <w:b/>
          <w:bCs/>
          <w:rtl/>
        </w:rPr>
        <w:t>פחותה.</w:t>
      </w:r>
    </w:p>
    <w:p w:rsidR="00DC5B13" w:rsidRPr="00DC5B13" w:rsidP="00C34B23">
      <w:pPr>
        <w:keepNext/>
        <w:keepLines/>
        <w:spacing w:line="269" w:lineRule="auto"/>
        <w:outlineLvl w:val="3"/>
        <w:rPr>
          <w:rFonts w:eastAsia="Times New Roman"/>
          <w:bCs/>
          <w:szCs w:val="26"/>
          <w:rtl/>
        </w:rPr>
      </w:pPr>
      <w:r w:rsidRPr="00DC5B13">
        <w:rPr>
          <w:rFonts w:eastAsia="Times New Roman" w:hint="cs"/>
          <w:bCs/>
          <w:szCs w:val="26"/>
          <w:rtl/>
        </w:rPr>
        <w:t>פעילותו של מערך המינהלות</w:t>
      </w:r>
    </w:p>
    <w:bookmarkEnd w:id="26"/>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על פי נתוני הרשות להתחדשות, ב-1.7.25 היו בישראל 803 מתחמים שהוכרזו כמתחמי פינוי-בינוי במסלול יזמים ובמסלול רשויות</w:t>
      </w:r>
      <w:r w:rsidRPr="00DC5B13">
        <w:rPr>
          <w:rFonts w:eastAsia="Calibri"/>
          <w:rtl/>
        </w:rPr>
        <w:t xml:space="preserve">. </w:t>
      </w:r>
      <w:r w:rsidRPr="00DC5B13">
        <w:rPr>
          <w:rFonts w:eastAsia="Calibri" w:hint="eastAsia"/>
          <w:rtl/>
        </w:rPr>
        <w:t>במיזמים</w:t>
      </w:r>
      <w:r w:rsidRPr="00DC5B13">
        <w:rPr>
          <w:rFonts w:eastAsia="Calibri"/>
          <w:rtl/>
        </w:rPr>
        <w:t xml:space="preserve"> </w:t>
      </w:r>
      <w:r w:rsidRPr="00DC5B13">
        <w:rPr>
          <w:rFonts w:eastAsia="Calibri" w:hint="eastAsia"/>
          <w:rtl/>
        </w:rPr>
        <w:t>של</w:t>
      </w:r>
      <w:r w:rsidRPr="00DC5B13">
        <w:rPr>
          <w:rFonts w:eastAsia="Calibri"/>
          <w:rtl/>
        </w:rPr>
        <w:t xml:space="preserve"> מתחמים </w:t>
      </w:r>
      <w:r w:rsidRPr="00DC5B13">
        <w:rPr>
          <w:rFonts w:eastAsia="Calibri" w:hint="eastAsia"/>
          <w:rtl/>
        </w:rPr>
        <w:t>אלה</w:t>
      </w:r>
      <w:r w:rsidRPr="00DC5B13">
        <w:rPr>
          <w:rFonts w:eastAsia="Calibri"/>
          <w:rtl/>
        </w:rPr>
        <w:t xml:space="preserve"> </w:t>
      </w:r>
      <w:r w:rsidRPr="00DC5B13">
        <w:rPr>
          <w:rFonts w:eastAsia="Calibri" w:hint="eastAsia"/>
          <w:rtl/>
        </w:rPr>
        <w:t>היו</w:t>
      </w:r>
      <w:r w:rsidRPr="00DC5B13">
        <w:rPr>
          <w:rFonts w:eastAsia="Calibri"/>
          <w:rtl/>
        </w:rPr>
        <w:t xml:space="preserve"> </w:t>
      </w:r>
      <w:r w:rsidRPr="00DC5B13">
        <w:rPr>
          <w:rFonts w:eastAsia="Calibri" w:hint="eastAsia"/>
          <w:rtl/>
        </w:rPr>
        <w:t>כ</w:t>
      </w:r>
      <w:r w:rsidRPr="00DC5B13">
        <w:rPr>
          <w:rFonts w:eastAsia="Calibri"/>
          <w:rtl/>
        </w:rPr>
        <w:t xml:space="preserve">-117,000 יחידות דיור </w:t>
      </w:r>
      <w:r w:rsidRPr="00DC5B13">
        <w:rPr>
          <w:rFonts w:eastAsia="Calibri" w:hint="eastAsia"/>
          <w:rtl/>
        </w:rPr>
        <w:t>בנויות</w:t>
      </w:r>
      <w:r w:rsidRPr="00DC5B13">
        <w:rPr>
          <w:rFonts w:eastAsia="Calibri"/>
          <w:rtl/>
        </w:rPr>
        <w:t xml:space="preserve"> </w:t>
      </w:r>
      <w:r w:rsidRPr="00DC5B13">
        <w:rPr>
          <w:rFonts w:eastAsia="Calibri"/>
          <w:rtl/>
        </w:rPr>
        <w:t>(</w:t>
      </w:r>
      <w:r w:rsidRPr="00DC5B13">
        <w:rPr>
          <w:rFonts w:eastAsia="Calibri" w:hint="eastAsia"/>
          <w:rtl/>
        </w:rPr>
        <w:t>להלן</w:t>
      </w:r>
      <w:r w:rsidRPr="00DC5B13">
        <w:rPr>
          <w:rFonts w:eastAsia="Calibri"/>
          <w:rtl/>
        </w:rPr>
        <w:t xml:space="preserve"> - יח"ד </w:t>
      </w:r>
      <w:r w:rsidRPr="00DC5B13">
        <w:rPr>
          <w:rFonts w:eastAsia="Calibri" w:hint="eastAsia"/>
          <w:rtl/>
        </w:rPr>
        <w:t>במצב</w:t>
      </w:r>
      <w:r w:rsidRPr="00DC5B13">
        <w:rPr>
          <w:rFonts w:eastAsia="Calibri"/>
          <w:rtl/>
        </w:rPr>
        <w:t xml:space="preserve"> </w:t>
      </w:r>
      <w:r w:rsidRPr="00DC5B13">
        <w:rPr>
          <w:rFonts w:eastAsia="Calibri" w:hint="eastAsia"/>
          <w:rtl/>
        </w:rPr>
        <w:t>קיים</w:t>
      </w:r>
      <w:r w:rsidRPr="00DC5B13">
        <w:rPr>
          <w:rFonts w:eastAsia="Calibri"/>
          <w:rtl/>
        </w:rPr>
        <w:t xml:space="preserve">), אשר </w:t>
      </w:r>
      <w:r w:rsidRPr="00DC5B13">
        <w:rPr>
          <w:rFonts w:eastAsia="Calibri" w:hint="eastAsia"/>
          <w:rtl/>
        </w:rPr>
        <w:t>יועדו</w:t>
      </w:r>
      <w:r w:rsidRPr="00DC5B13">
        <w:rPr>
          <w:rFonts w:eastAsia="Calibri"/>
          <w:rtl/>
        </w:rPr>
        <w:t xml:space="preserve"> להריסה ולבנייה מחדש של </w:t>
      </w:r>
      <w:r w:rsidRPr="00DC5B13">
        <w:rPr>
          <w:rFonts w:eastAsia="Calibri" w:hint="eastAsia"/>
          <w:rtl/>
        </w:rPr>
        <w:t>כ</w:t>
      </w:r>
      <w:r w:rsidRPr="00DC5B13">
        <w:rPr>
          <w:rFonts w:eastAsia="Calibri"/>
          <w:rtl/>
        </w:rPr>
        <w:t xml:space="preserve">-472,000 </w:t>
      </w:r>
      <w:r w:rsidRPr="00DC5B13">
        <w:rPr>
          <w:rFonts w:eastAsia="Calibri" w:hint="eastAsia"/>
          <w:rtl/>
        </w:rPr>
        <w:t>יח</w:t>
      </w:r>
      <w:r w:rsidRPr="00DC5B13">
        <w:rPr>
          <w:rFonts w:eastAsia="Calibri"/>
          <w:rtl/>
        </w:rPr>
        <w:t xml:space="preserve">"ד </w:t>
      </w:r>
      <w:r w:rsidRPr="00DC5B13">
        <w:rPr>
          <w:rFonts w:eastAsia="Calibri" w:hint="eastAsia"/>
          <w:rtl/>
        </w:rPr>
        <w:t>במצטבר</w:t>
      </w:r>
      <w:r w:rsidRPr="00DC5B13">
        <w:rPr>
          <w:rFonts w:eastAsia="Calibri"/>
          <w:rtl/>
        </w:rPr>
        <w:t xml:space="preserve"> </w:t>
      </w:r>
      <w:r w:rsidRPr="00DC5B13">
        <w:rPr>
          <w:rFonts w:eastAsia="Calibri" w:hint="eastAsia"/>
          <w:rtl/>
        </w:rPr>
        <w:t>בכל</w:t>
      </w:r>
      <w:r w:rsidRPr="00DC5B13">
        <w:rPr>
          <w:rFonts w:eastAsia="Calibri"/>
          <w:rtl/>
        </w:rPr>
        <w:t xml:space="preserve"> </w:t>
      </w:r>
      <w:r w:rsidRPr="00DC5B13">
        <w:rPr>
          <w:rFonts w:eastAsia="Calibri" w:hint="eastAsia"/>
          <w:rtl/>
        </w:rPr>
        <w:t>המתחמים</w:t>
      </w:r>
      <w:r w:rsidRPr="00DC5B13">
        <w:rPr>
          <w:rFonts w:eastAsia="Calibri"/>
          <w:rtl/>
        </w:rPr>
        <w:t xml:space="preserve"> </w:t>
      </w:r>
      <w:r w:rsidRPr="00DC5B13">
        <w:rPr>
          <w:rFonts w:eastAsia="Calibri" w:hint="eastAsia"/>
          <w:rtl/>
        </w:rPr>
        <w:t>האמורים</w:t>
      </w:r>
      <w:r w:rsidRPr="00DC5B13">
        <w:rPr>
          <w:rFonts w:eastAsia="Calibri"/>
          <w:rtl/>
        </w:rPr>
        <w:t xml:space="preserve"> (להלן - יח"ד במצב מוצע). </w:t>
      </w:r>
      <w:r w:rsidRPr="00DC5B13">
        <w:rPr>
          <w:rFonts w:eastAsia="Calibri" w:hint="eastAsia"/>
          <w:rtl/>
        </w:rPr>
        <w:t>יודגש</w:t>
      </w:r>
      <w:r w:rsidRPr="00DC5B13">
        <w:rPr>
          <w:rFonts w:eastAsia="Calibri"/>
          <w:rtl/>
        </w:rPr>
        <w:t xml:space="preserve"> </w:t>
      </w:r>
      <w:r w:rsidRPr="00DC5B13">
        <w:rPr>
          <w:rFonts w:eastAsia="Calibri" w:hint="eastAsia"/>
          <w:rtl/>
        </w:rPr>
        <w:t>כי</w:t>
      </w:r>
      <w:r w:rsidRPr="00DC5B13">
        <w:rPr>
          <w:rFonts w:eastAsia="Calibri"/>
          <w:rtl/>
        </w:rPr>
        <w:t xml:space="preserve"> </w:t>
      </w:r>
      <w:r w:rsidRPr="00DC5B13">
        <w:rPr>
          <w:rFonts w:eastAsia="Calibri" w:hint="eastAsia"/>
          <w:rtl/>
        </w:rPr>
        <w:t>הן</w:t>
      </w:r>
      <w:r w:rsidRPr="00DC5B13">
        <w:rPr>
          <w:rFonts w:eastAsia="Calibri"/>
          <w:rtl/>
        </w:rPr>
        <w:t xml:space="preserve"> </w:t>
      </w:r>
      <w:r w:rsidRPr="00DC5B13">
        <w:rPr>
          <w:rFonts w:eastAsia="Calibri" w:hint="eastAsia"/>
          <w:rtl/>
        </w:rPr>
        <w:t>הרשויות</w:t>
      </w:r>
      <w:r w:rsidRPr="00DC5B13">
        <w:rPr>
          <w:rFonts w:eastAsia="Calibri"/>
          <w:rtl/>
        </w:rPr>
        <w:t xml:space="preserve"> </w:t>
      </w:r>
      <w:r w:rsidRPr="00DC5B13">
        <w:rPr>
          <w:rFonts w:eastAsia="Calibri" w:hint="eastAsia"/>
          <w:rtl/>
        </w:rPr>
        <w:t>המקומיות</w:t>
      </w:r>
      <w:r w:rsidRPr="00DC5B13">
        <w:rPr>
          <w:rFonts w:eastAsia="Calibri"/>
          <w:rtl/>
        </w:rPr>
        <w:t xml:space="preserve"> </w:t>
      </w:r>
      <w:r w:rsidRPr="00DC5B13">
        <w:rPr>
          <w:rFonts w:eastAsia="Calibri" w:hint="eastAsia"/>
          <w:rtl/>
        </w:rPr>
        <w:t>והן</w:t>
      </w:r>
      <w:r w:rsidRPr="00DC5B13">
        <w:rPr>
          <w:rFonts w:eastAsia="Calibri"/>
          <w:rtl/>
        </w:rPr>
        <w:t xml:space="preserve"> </w:t>
      </w:r>
      <w:r w:rsidRPr="00DC5B13">
        <w:rPr>
          <w:rFonts w:eastAsia="Calibri" w:hint="eastAsia"/>
          <w:rtl/>
        </w:rPr>
        <w:t>המיזמים</w:t>
      </w:r>
      <w:r w:rsidRPr="00DC5B13">
        <w:rPr>
          <w:rFonts w:eastAsia="Calibri"/>
          <w:rtl/>
        </w:rPr>
        <w:t xml:space="preserve"> </w:t>
      </w:r>
      <w:r w:rsidRPr="00DC5B13">
        <w:rPr>
          <w:rFonts w:eastAsia="Calibri" w:hint="eastAsia"/>
          <w:rtl/>
        </w:rPr>
        <w:t>המקודמים</w:t>
      </w:r>
      <w:r w:rsidRPr="00DC5B13">
        <w:rPr>
          <w:rFonts w:eastAsia="Calibri"/>
          <w:rtl/>
        </w:rPr>
        <w:t xml:space="preserve"> </w:t>
      </w:r>
      <w:r w:rsidRPr="00DC5B13">
        <w:rPr>
          <w:rFonts w:eastAsia="Calibri" w:hint="eastAsia"/>
          <w:rtl/>
        </w:rPr>
        <w:t>בהן</w:t>
      </w:r>
      <w:r w:rsidRPr="00DC5B13">
        <w:rPr>
          <w:rFonts w:eastAsia="Calibri"/>
          <w:rtl/>
        </w:rPr>
        <w:t xml:space="preserve"> </w:t>
      </w:r>
      <w:r w:rsidRPr="00DC5B13">
        <w:rPr>
          <w:rFonts w:eastAsia="Calibri" w:hint="eastAsia"/>
          <w:rtl/>
        </w:rPr>
        <w:t>הם</w:t>
      </w:r>
      <w:r w:rsidRPr="00DC5B13">
        <w:rPr>
          <w:rFonts w:eastAsia="Calibri"/>
          <w:rtl/>
        </w:rPr>
        <w:t xml:space="preserve"> </w:t>
      </w:r>
      <w:r w:rsidRPr="00DC5B13">
        <w:rPr>
          <w:rFonts w:eastAsia="Calibri" w:hint="eastAsia"/>
          <w:rtl/>
        </w:rPr>
        <w:t>בעלי</w:t>
      </w:r>
      <w:r w:rsidRPr="00DC5B13">
        <w:rPr>
          <w:rFonts w:eastAsia="Calibri"/>
          <w:rtl/>
        </w:rPr>
        <w:t xml:space="preserve"> </w:t>
      </w:r>
      <w:r w:rsidRPr="00DC5B13">
        <w:rPr>
          <w:rFonts w:eastAsia="Calibri" w:hint="eastAsia"/>
          <w:rtl/>
        </w:rPr>
        <w:t>מאפיינים</w:t>
      </w:r>
      <w:r w:rsidRPr="00DC5B13">
        <w:rPr>
          <w:rFonts w:eastAsia="Calibri"/>
          <w:rtl/>
        </w:rPr>
        <w:t xml:space="preserve"> </w:t>
      </w:r>
      <w:r w:rsidRPr="00DC5B13">
        <w:rPr>
          <w:rFonts w:eastAsia="Calibri" w:hint="cs"/>
          <w:rtl/>
        </w:rPr>
        <w:t xml:space="preserve">שונים </w:t>
      </w:r>
      <w:r w:rsidRPr="00DC5B13">
        <w:rPr>
          <w:rFonts w:eastAsia="Calibri" w:hint="eastAsia"/>
          <w:rtl/>
        </w:rPr>
        <w:t>ועשויים</w:t>
      </w:r>
      <w:r w:rsidRPr="00DC5B13">
        <w:rPr>
          <w:rFonts w:eastAsia="Calibri"/>
          <w:rtl/>
        </w:rPr>
        <w:t xml:space="preserve"> </w:t>
      </w:r>
      <w:r w:rsidRPr="00DC5B13">
        <w:rPr>
          <w:rFonts w:eastAsia="Calibri" w:hint="eastAsia"/>
          <w:rtl/>
        </w:rPr>
        <w:t>להיות</w:t>
      </w:r>
      <w:r w:rsidRPr="00DC5B13">
        <w:rPr>
          <w:rFonts w:eastAsia="Calibri"/>
          <w:rtl/>
        </w:rPr>
        <w:t xml:space="preserve"> </w:t>
      </w:r>
      <w:r w:rsidRPr="00DC5B13">
        <w:rPr>
          <w:rFonts w:eastAsia="Calibri" w:hint="eastAsia"/>
          <w:rtl/>
        </w:rPr>
        <w:t>שונים</w:t>
      </w:r>
      <w:r w:rsidRPr="00DC5B13">
        <w:rPr>
          <w:rFonts w:eastAsia="Calibri"/>
          <w:rtl/>
        </w:rPr>
        <w:t xml:space="preserve"> </w:t>
      </w:r>
      <w:r w:rsidRPr="00DC5B13">
        <w:rPr>
          <w:rFonts w:eastAsia="Calibri" w:hint="eastAsia"/>
          <w:rtl/>
        </w:rPr>
        <w:t>מא</w:t>
      </w:r>
      <w:r w:rsidRPr="00DC5B13">
        <w:rPr>
          <w:rFonts w:eastAsia="Calibri" w:hint="cs"/>
          <w:rtl/>
        </w:rPr>
        <w:t>ו</w:t>
      </w:r>
      <w:r w:rsidRPr="00DC5B13">
        <w:rPr>
          <w:rFonts w:eastAsia="Calibri" w:hint="eastAsia"/>
          <w:rtl/>
        </w:rPr>
        <w:t>ד</w:t>
      </w:r>
      <w:r w:rsidRPr="00DC5B13">
        <w:rPr>
          <w:rFonts w:eastAsia="Calibri"/>
          <w:rtl/>
        </w:rPr>
        <w:t xml:space="preserve"> </w:t>
      </w:r>
      <w:r w:rsidRPr="00DC5B13">
        <w:rPr>
          <w:rFonts w:eastAsia="Calibri" w:hint="eastAsia"/>
          <w:rtl/>
        </w:rPr>
        <w:t>אלה</w:t>
      </w:r>
      <w:r w:rsidRPr="00DC5B13">
        <w:rPr>
          <w:rFonts w:eastAsia="Calibri"/>
          <w:rtl/>
        </w:rPr>
        <w:t xml:space="preserve"> </w:t>
      </w:r>
      <w:r w:rsidRPr="00DC5B13">
        <w:rPr>
          <w:rFonts w:eastAsia="Calibri" w:hint="eastAsia"/>
          <w:rtl/>
        </w:rPr>
        <w:t>מאלה</w:t>
      </w:r>
      <w:r w:rsidRPr="00DC5B13">
        <w:rPr>
          <w:rFonts w:eastAsia="Calibri"/>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eastAsia"/>
          <w:rtl/>
        </w:rPr>
        <w:t>בהסתמך</w:t>
      </w:r>
      <w:r w:rsidRPr="00DC5B13">
        <w:rPr>
          <w:rFonts w:eastAsia="Calibri"/>
          <w:rtl/>
        </w:rPr>
        <w:t xml:space="preserve"> על נתונים אל</w:t>
      </w:r>
      <w:r w:rsidRPr="00DC5B13">
        <w:rPr>
          <w:rFonts w:eastAsia="Calibri" w:hint="cs"/>
          <w:rtl/>
        </w:rPr>
        <w:t>ה</w:t>
      </w:r>
      <w:r w:rsidRPr="00DC5B13">
        <w:rPr>
          <w:rFonts w:eastAsia="Calibri"/>
          <w:rtl/>
        </w:rPr>
        <w:t xml:space="preserve"> </w:t>
      </w:r>
      <w:r w:rsidRPr="00DC5B13">
        <w:rPr>
          <w:rFonts w:eastAsia="Calibri" w:hint="eastAsia"/>
          <w:rtl/>
        </w:rPr>
        <w:t>חישב</w:t>
      </w:r>
      <w:r w:rsidRPr="00DC5B13">
        <w:rPr>
          <w:rFonts w:eastAsia="Calibri"/>
          <w:rtl/>
        </w:rPr>
        <w:t xml:space="preserve"> </w:t>
      </w:r>
      <w:r w:rsidRPr="00DC5B13">
        <w:rPr>
          <w:rFonts w:eastAsia="Calibri" w:hint="eastAsia"/>
          <w:rtl/>
        </w:rPr>
        <w:t>משרד</w:t>
      </w:r>
      <w:r w:rsidRPr="00DC5B13">
        <w:rPr>
          <w:rFonts w:eastAsia="Calibri"/>
          <w:rtl/>
        </w:rPr>
        <w:t xml:space="preserve"> מבקר המדינה את </w:t>
      </w:r>
      <w:r w:rsidRPr="00DC5B13">
        <w:rPr>
          <w:rFonts w:eastAsia="Calibri" w:hint="eastAsia"/>
          <w:rtl/>
        </w:rPr>
        <w:t>שיעור</w:t>
      </w:r>
      <w:r w:rsidRPr="00DC5B13">
        <w:rPr>
          <w:rFonts w:eastAsia="Calibri"/>
          <w:rtl/>
        </w:rPr>
        <w:t xml:space="preserve"> </w:t>
      </w:r>
      <w:r w:rsidRPr="00DC5B13">
        <w:rPr>
          <w:rFonts w:eastAsia="Calibri" w:hint="eastAsia"/>
          <w:rtl/>
        </w:rPr>
        <w:t>יח</w:t>
      </w:r>
      <w:r w:rsidRPr="00DC5B13">
        <w:rPr>
          <w:rFonts w:eastAsia="Calibri"/>
          <w:rtl/>
        </w:rPr>
        <w:t xml:space="preserve">"ד </w:t>
      </w:r>
      <w:r w:rsidRPr="00DC5B13">
        <w:rPr>
          <w:rFonts w:eastAsia="Calibri" w:hint="eastAsia"/>
          <w:rtl/>
        </w:rPr>
        <w:t>במצב</w:t>
      </w:r>
      <w:r w:rsidRPr="00DC5B13">
        <w:rPr>
          <w:rFonts w:eastAsia="Calibri"/>
          <w:rtl/>
        </w:rPr>
        <w:t xml:space="preserve"> </w:t>
      </w:r>
      <w:r w:rsidRPr="00DC5B13">
        <w:rPr>
          <w:rFonts w:eastAsia="Calibri" w:hint="eastAsia"/>
          <w:rtl/>
        </w:rPr>
        <w:t>קיים</w:t>
      </w:r>
      <w:r w:rsidRPr="00DC5B13">
        <w:rPr>
          <w:rFonts w:eastAsia="Calibri"/>
          <w:rtl/>
        </w:rPr>
        <w:t xml:space="preserve"> </w:t>
      </w:r>
      <w:r w:rsidRPr="00DC5B13">
        <w:rPr>
          <w:rFonts w:eastAsia="Calibri" w:hint="eastAsia"/>
          <w:rtl/>
        </w:rPr>
        <w:t>ובמצב</w:t>
      </w:r>
      <w:r w:rsidRPr="00DC5B13">
        <w:rPr>
          <w:rFonts w:eastAsia="Calibri"/>
          <w:rtl/>
        </w:rPr>
        <w:t xml:space="preserve"> </w:t>
      </w:r>
      <w:r w:rsidRPr="00DC5B13">
        <w:rPr>
          <w:rFonts w:eastAsia="Calibri" w:hint="eastAsia"/>
          <w:rtl/>
        </w:rPr>
        <w:t>מוצע</w:t>
      </w:r>
      <w:r w:rsidRPr="00DC5B13">
        <w:rPr>
          <w:rFonts w:eastAsia="Calibri"/>
          <w:rtl/>
        </w:rPr>
        <w:t xml:space="preserve"> </w:t>
      </w:r>
      <w:r w:rsidRPr="00DC5B13">
        <w:rPr>
          <w:rFonts w:eastAsia="Calibri" w:hint="eastAsia"/>
          <w:rtl/>
        </w:rPr>
        <w:t>לפי</w:t>
      </w:r>
      <w:r w:rsidRPr="00DC5B13">
        <w:rPr>
          <w:rFonts w:eastAsia="Calibri"/>
          <w:rtl/>
        </w:rPr>
        <w:t xml:space="preserve"> סוגי המינהלות הפועלות ברשויות המקומיות </w:t>
      </w:r>
      <w:r w:rsidRPr="00DC5B13">
        <w:rPr>
          <w:rFonts w:eastAsia="Calibri" w:hint="eastAsia"/>
          <w:rtl/>
        </w:rPr>
        <w:t>וביחס</w:t>
      </w:r>
      <w:r w:rsidRPr="00DC5B13">
        <w:rPr>
          <w:rFonts w:eastAsia="Calibri"/>
          <w:rtl/>
        </w:rPr>
        <w:t xml:space="preserve"> </w:t>
      </w:r>
      <w:r w:rsidRPr="00DC5B13">
        <w:rPr>
          <w:rFonts w:eastAsia="Calibri" w:hint="eastAsia"/>
          <w:rtl/>
        </w:rPr>
        <w:t>למספר</w:t>
      </w:r>
      <w:r w:rsidRPr="00DC5B13">
        <w:rPr>
          <w:rFonts w:eastAsia="Calibri"/>
          <w:rtl/>
        </w:rPr>
        <w:t xml:space="preserve"> התושבים ברשויות אל</w:t>
      </w:r>
      <w:r w:rsidRPr="00DC5B13">
        <w:rPr>
          <w:rFonts w:eastAsia="Calibri" w:hint="cs"/>
          <w:rtl/>
        </w:rPr>
        <w:t>ה. עלה כי ברשויות שבהן פועלות מינהלות עירוניות יש כ-98,000 יח"ד במצב קיים וכ-402 אלף יח"ד במצב מוצע. נכון למועד סיום הביקורת, מספר התושבים ברשויות אלו הסתכם בכ-4.87 מיליון. כלומר - היחס בין מספר היח"ד במצב קיים ומספר היח"ד במצב מוצע לבין מספר התושבים המתגוררים ברשויות אלו היה 2% ו-8.3% בהתאמה</w:t>
      </w:r>
      <w:r w:rsidRPr="00DC5B13">
        <w:rPr>
          <w:rFonts w:eastAsia="Calibri"/>
          <w:rtl/>
        </w:rPr>
        <w:t xml:space="preserve">, </w:t>
      </w:r>
      <w:r w:rsidRPr="00DC5B13">
        <w:rPr>
          <w:rFonts w:eastAsia="Calibri" w:hint="eastAsia"/>
          <w:rtl/>
        </w:rPr>
        <w:t>כמתואר</w:t>
      </w:r>
      <w:r w:rsidRPr="00DC5B13">
        <w:rPr>
          <w:rFonts w:eastAsia="Calibri"/>
          <w:rtl/>
        </w:rPr>
        <w:t xml:space="preserve"> </w:t>
      </w:r>
      <w:r w:rsidRPr="00DC5B13">
        <w:rPr>
          <w:rFonts w:eastAsia="Calibri" w:hint="eastAsia"/>
          <w:rtl/>
        </w:rPr>
        <w:t>בתרשים</w:t>
      </w:r>
      <w:r w:rsidRPr="00DC5B13">
        <w:rPr>
          <w:rFonts w:eastAsia="Calibri"/>
          <w:rtl/>
        </w:rPr>
        <w:t xml:space="preserve"> </w:t>
      </w:r>
      <w:r w:rsidRPr="00DC5B13">
        <w:rPr>
          <w:rFonts w:eastAsia="Calibri" w:hint="eastAsia"/>
          <w:rtl/>
        </w:rPr>
        <w:t>שלהלן</w:t>
      </w:r>
      <w:r>
        <w:rPr>
          <w:rFonts w:eastAsia="Calibri"/>
          <w:vertAlign w:val="superscript"/>
          <w:rtl/>
        </w:rPr>
        <w:footnoteReference w:id="91"/>
      </w:r>
      <w:r w:rsidRPr="00DC5B13">
        <w:rPr>
          <w:rFonts w:eastAsia="Calibri" w:hint="cs"/>
          <w:rtl/>
        </w:rPr>
        <w:t>.</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rtl/>
        </w:rPr>
      </w:pPr>
      <w:r w:rsidRPr="00DC5B13">
        <w:rPr>
          <w:rFonts w:eastAsia="Calibri"/>
          <w:noProof/>
        </w:rPr>
        <w:drawing>
          <wp:anchor distT="0" distB="0" distL="114300" distR="114300" simplePos="0" relativeHeight="251687936" behindDoc="0" locked="0" layoutInCell="1" allowOverlap="1">
            <wp:simplePos x="0" y="0"/>
            <wp:positionH relativeFrom="page">
              <wp:align>center</wp:align>
            </wp:positionH>
            <wp:positionV relativeFrom="page">
              <wp:posOffset>3268345</wp:posOffset>
            </wp:positionV>
            <wp:extent cx="5220000" cy="3790800"/>
            <wp:effectExtent l="0" t="0" r="0" b="635"/>
            <wp:wrapTopAndBottom/>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790800"/>
                    </a:xfrm>
                    <a:prstGeom prst="rect">
                      <a:avLst/>
                    </a:prstGeom>
                    <a:noFill/>
                  </pic:spPr>
                </pic:pic>
              </a:graphicData>
            </a:graphic>
            <wp14:sizeRelH relativeFrom="page">
              <wp14:pctWidth>0</wp14:pctWidth>
            </wp14:sizeRelH>
            <wp14:sizeRelV relativeFrom="page">
              <wp14:pctHeight>0</wp14:pctHeight>
            </wp14:sizeRelV>
          </wp:anchor>
        </w:drawing>
      </w:r>
      <w:r w:rsidRPr="00DC5B13">
        <w:rPr>
          <w:rFonts w:ascii="David" w:eastAsia="Calibri" w:hAnsi="David"/>
          <w:sz w:val="24"/>
          <w:rtl/>
        </w:rPr>
        <w:t xml:space="preserve">תרשים </w:t>
      </w:r>
      <w:r w:rsidRPr="00DC5B13">
        <w:rPr>
          <w:rFonts w:ascii="David" w:eastAsia="Calibri" w:hAnsi="David"/>
          <w:sz w:val="24"/>
        </w:rPr>
        <w:t>11</w:t>
      </w:r>
      <w:r w:rsidRPr="00DC5B13">
        <w:rPr>
          <w:rFonts w:ascii="David" w:eastAsia="Calibri" w:hAnsi="David"/>
          <w:sz w:val="24"/>
          <w:rtl/>
        </w:rPr>
        <w:t>:</w:t>
      </w:r>
      <w:r w:rsidRPr="00DC5B13">
        <w:rPr>
          <w:rFonts w:eastAsia="Calibri"/>
          <w:b/>
          <w:bCs/>
          <w:rtl/>
        </w:rPr>
        <w:t xml:space="preserve"> </w:t>
      </w:r>
      <w:r w:rsidRPr="00DC5B13">
        <w:rPr>
          <w:rFonts w:eastAsia="Calibri" w:hint="eastAsia"/>
          <w:b/>
          <w:bCs/>
          <w:rtl/>
        </w:rPr>
        <w:t>שיעור</w:t>
      </w:r>
      <w:r w:rsidRPr="00DC5B13">
        <w:rPr>
          <w:rFonts w:eastAsia="Calibri"/>
          <w:b/>
          <w:bCs/>
          <w:rtl/>
        </w:rPr>
        <w:t xml:space="preserve"> </w:t>
      </w:r>
      <w:r w:rsidRPr="00DC5B13">
        <w:rPr>
          <w:rFonts w:eastAsia="Calibri" w:hint="eastAsia"/>
          <w:b/>
          <w:bCs/>
          <w:rtl/>
        </w:rPr>
        <w:t>יח</w:t>
      </w:r>
      <w:r w:rsidRPr="00DC5B13">
        <w:rPr>
          <w:rFonts w:eastAsia="Calibri"/>
          <w:b/>
          <w:bCs/>
          <w:rtl/>
        </w:rPr>
        <w:t xml:space="preserve">"ד </w:t>
      </w:r>
      <w:r w:rsidRPr="00DC5B13">
        <w:rPr>
          <w:rFonts w:eastAsia="Calibri" w:hint="eastAsia"/>
          <w:b/>
          <w:bCs/>
          <w:rtl/>
        </w:rPr>
        <w:t>במצב</w:t>
      </w:r>
      <w:r w:rsidRPr="00DC5B13">
        <w:rPr>
          <w:rFonts w:eastAsia="Calibri"/>
          <w:b/>
          <w:bCs/>
          <w:rtl/>
        </w:rPr>
        <w:t xml:space="preserve"> </w:t>
      </w:r>
      <w:r w:rsidRPr="00DC5B13">
        <w:rPr>
          <w:rFonts w:eastAsia="Calibri" w:hint="cs"/>
          <w:b/>
          <w:bCs/>
          <w:rtl/>
        </w:rPr>
        <w:t>ה</w:t>
      </w:r>
      <w:r w:rsidRPr="00DC5B13">
        <w:rPr>
          <w:rFonts w:eastAsia="Calibri"/>
          <w:b/>
          <w:bCs/>
          <w:rtl/>
        </w:rPr>
        <w:t xml:space="preserve">קיים ובמצב </w:t>
      </w:r>
      <w:r w:rsidRPr="00DC5B13">
        <w:rPr>
          <w:rFonts w:eastAsia="Calibri" w:hint="cs"/>
          <w:b/>
          <w:bCs/>
          <w:rtl/>
        </w:rPr>
        <w:t>ה</w:t>
      </w:r>
      <w:r w:rsidRPr="00DC5B13">
        <w:rPr>
          <w:rFonts w:eastAsia="Calibri"/>
          <w:b/>
          <w:bCs/>
          <w:rtl/>
        </w:rPr>
        <w:t xml:space="preserve">מוצע </w:t>
      </w:r>
      <w:r w:rsidRPr="00DC5B13">
        <w:rPr>
          <w:rFonts w:eastAsia="Calibri" w:hint="cs"/>
          <w:b/>
          <w:bCs/>
          <w:rtl/>
        </w:rPr>
        <w:t xml:space="preserve">ביחס </w:t>
      </w:r>
      <w:r w:rsidRPr="00DC5B13">
        <w:rPr>
          <w:rFonts w:eastAsia="Calibri" w:hint="eastAsia"/>
          <w:b/>
          <w:bCs/>
          <w:rtl/>
        </w:rPr>
        <w:t>ל</w:t>
      </w:r>
      <w:r w:rsidRPr="00DC5B13">
        <w:rPr>
          <w:rFonts w:eastAsia="Calibri" w:hint="cs"/>
          <w:b/>
          <w:bCs/>
          <w:rtl/>
        </w:rPr>
        <w:t>מספר</w:t>
      </w:r>
      <w:r w:rsidRPr="00DC5B13">
        <w:rPr>
          <w:rFonts w:eastAsia="Calibri"/>
          <w:b/>
          <w:bCs/>
          <w:rtl/>
        </w:rPr>
        <w:t xml:space="preserve"> </w:t>
      </w:r>
      <w:r w:rsidRPr="00DC5B13">
        <w:rPr>
          <w:rFonts w:eastAsia="Calibri" w:hint="cs"/>
          <w:b/>
          <w:bCs/>
          <w:rtl/>
        </w:rPr>
        <w:t>ה</w:t>
      </w:r>
      <w:r w:rsidRPr="00DC5B13">
        <w:rPr>
          <w:rFonts w:eastAsia="Calibri"/>
          <w:b/>
          <w:bCs/>
          <w:rtl/>
        </w:rPr>
        <w:t xml:space="preserve">תושבים </w:t>
      </w:r>
      <w:r w:rsidRPr="00DC5B13">
        <w:rPr>
          <w:rFonts w:eastAsia="Calibri" w:hint="eastAsia"/>
          <w:b/>
          <w:bCs/>
          <w:rtl/>
        </w:rPr>
        <w:t>במתחמי</w:t>
      </w:r>
      <w:r w:rsidRPr="00DC5B13">
        <w:rPr>
          <w:rFonts w:eastAsia="Calibri"/>
          <w:b/>
          <w:bCs/>
          <w:rtl/>
        </w:rPr>
        <w:t xml:space="preserve"> </w:t>
      </w:r>
      <w:r w:rsidRPr="00DC5B13">
        <w:rPr>
          <w:rFonts w:eastAsia="Calibri" w:hint="eastAsia"/>
          <w:b/>
          <w:bCs/>
          <w:rtl/>
        </w:rPr>
        <w:t>התחדשות</w:t>
      </w:r>
      <w:r w:rsidRPr="00DC5B13">
        <w:rPr>
          <w:rFonts w:eastAsia="Calibri"/>
          <w:b/>
          <w:bCs/>
          <w:rtl/>
        </w:rPr>
        <w:t xml:space="preserve"> </w:t>
      </w:r>
      <w:r w:rsidRPr="00DC5B13">
        <w:rPr>
          <w:rFonts w:eastAsia="Calibri" w:hint="eastAsia"/>
          <w:b/>
          <w:bCs/>
          <w:rtl/>
        </w:rPr>
        <w:t>עירונית</w:t>
      </w:r>
      <w:r w:rsidRPr="00DC5B13">
        <w:rPr>
          <w:rFonts w:eastAsia="Calibri"/>
          <w:b/>
          <w:bCs/>
          <w:rtl/>
        </w:rPr>
        <w:t xml:space="preserve">, לפי סוג </w:t>
      </w:r>
      <w:r w:rsidRPr="00DC5B13">
        <w:rPr>
          <w:rFonts w:eastAsia="Calibri" w:hint="cs"/>
          <w:b/>
          <w:bCs/>
          <w:rtl/>
        </w:rPr>
        <w:t>ה</w:t>
      </w:r>
      <w:r w:rsidRPr="00DC5B13">
        <w:rPr>
          <w:rFonts w:eastAsia="Calibri"/>
          <w:b/>
          <w:bCs/>
          <w:rtl/>
        </w:rPr>
        <w:t>מינהלת, יולי 2025</w:t>
      </w:r>
      <w:r w:rsidRPr="00DC5B13">
        <w:rPr>
          <w:rFonts w:eastAsia="Calibri"/>
          <w:rtl/>
        </w:rPr>
        <w:t>*</w:t>
      </w:r>
    </w:p>
    <w:p w:rsidR="00DC5B13" w:rsidRPr="00DC5B13" w:rsidP="00C34B23">
      <w:pPr>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נתוני</w:t>
      </w:r>
      <w:r w:rsidRPr="00DC5B13">
        <w:rPr>
          <w:rFonts w:eastAsia="Calibri"/>
          <w:szCs w:val="20"/>
          <w:rtl/>
        </w:rPr>
        <w:t xml:space="preserve"> הרשות להתחדשות </w:t>
      </w:r>
      <w:r w:rsidRPr="00DC5B13">
        <w:rPr>
          <w:rFonts w:eastAsia="Calibri" w:hint="eastAsia"/>
          <w:szCs w:val="20"/>
          <w:rtl/>
        </w:rPr>
        <w:t>המעודכנים</w:t>
      </w:r>
      <w:r w:rsidRPr="00DC5B13">
        <w:rPr>
          <w:rFonts w:eastAsia="Calibri"/>
          <w:szCs w:val="20"/>
          <w:rtl/>
        </w:rPr>
        <w:t xml:space="preserve"> </w:t>
      </w:r>
      <w:r w:rsidRPr="00DC5B13">
        <w:rPr>
          <w:rFonts w:eastAsia="Calibri" w:hint="eastAsia"/>
          <w:szCs w:val="20"/>
          <w:rtl/>
        </w:rPr>
        <w:t>ל</w:t>
      </w:r>
      <w:r w:rsidRPr="00DC5B13">
        <w:rPr>
          <w:rFonts w:eastAsia="Calibri"/>
          <w:szCs w:val="20"/>
          <w:rtl/>
        </w:rPr>
        <w:t>-1.7.25, בעיבוד משרד מבקר המדינה.</w:t>
      </w:r>
    </w:p>
    <w:p w:rsidR="00DC5B13" w:rsidRPr="00DC5B13" w:rsidP="00C34B23">
      <w:pPr>
        <w:spacing w:line="269" w:lineRule="auto"/>
        <w:rPr>
          <w:rFonts w:eastAsia="Calibri"/>
          <w:szCs w:val="20"/>
          <w:rtl/>
        </w:rPr>
      </w:pPr>
      <w:r w:rsidRPr="00DC5B13">
        <w:rPr>
          <w:rFonts w:eastAsia="Calibri" w:hint="cs"/>
          <w:szCs w:val="20"/>
          <w:rtl/>
        </w:rPr>
        <w:t>* המינהלת העירונית בתל אביב-יפו מכונה בידי הרשות להתחדשות "מינהלת עירונית-חיצונית" מכיוון שהיא לא מימנה את הקמתה. עם זאת, הרשות מסייעת לה בתחום המקצועי והיא משתתפת בכנסים של מערך המינהלות.</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מהתרשים עולה כי ברשויות המקומיות שבהן פועלת מינהלת יש יחס גבוה יותר של יח"ד קיימות המעורבות בתהליכי התחדשות (המיועדות להריסה ולהתחדשות) למספר התושבים לעומת מספר יח"ד המקביל ברשויות ללא מינהלת (1.7% - 2.0% לעומת 0.8%). כמו כן היחס הגבוה ביותר - הן של יח"ד קיימות והן של יח"ד מתוכננות (2.0% ו-8.3% בהתאמה) - נמצא ברשויות שבהן פועלת מינהלת להתחדשות עירונית.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הרשות להתחדשות מסרה כי בצל הצפי לקיצוץ בתקציב משרד השיכון בשנת 2026, בשנים הקרובות היא לא מתכננת לפרסם קול קורא להקמת מינהלות עירוניות נוספות</w:t>
      </w:r>
      <w:r>
        <w:rPr>
          <w:rFonts w:eastAsia="Calibri"/>
          <w:b/>
          <w:bCs/>
          <w:vertAlign w:val="superscript"/>
          <w:rtl/>
        </w:rPr>
        <w:footnoteReference w:id="92"/>
      </w:r>
      <w:r w:rsidRPr="00DC5B13">
        <w:rPr>
          <w:rFonts w:eastAsia="Calibri" w:hint="cs"/>
          <w:b/>
          <w:bCs/>
          <w:rtl/>
        </w:rPr>
        <w:t xml:space="preserve">.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הבדיקה העלתה כי בארבע מתוך חמש הרשויות שנבדקו יש מינהלת עירונית - לוד, קריית ים, נתניה וקריית שמונה; המינהלת בקריית שמונה הוקמה במהלך הביקורת ועודנה בתהליך הקמה. </w:t>
      </w:r>
      <w:r w:rsidRPr="00DC5B13">
        <w:rPr>
          <w:rFonts w:eastAsia="Calibri" w:hint="eastAsia"/>
          <w:b/>
          <w:bCs/>
          <w:rtl/>
        </w:rPr>
        <w:t>ברעננה</w:t>
      </w:r>
      <w:r w:rsidRPr="00DC5B13">
        <w:rPr>
          <w:rFonts w:eastAsia="Calibri" w:hint="cs"/>
          <w:b/>
          <w:bCs/>
          <w:rtl/>
        </w:rPr>
        <w:t xml:space="preserve"> לא הוקמה מינהלת עירונית.</w:t>
      </w:r>
    </w:p>
    <w:p w:rsidR="00DC5B13" w:rsidRPr="00DC5B13" w:rsidP="00C34B23">
      <w:pPr>
        <w:spacing w:line="269" w:lineRule="auto"/>
        <w:rPr>
          <w:rFonts w:eastAsia="Calibri"/>
          <w:szCs w:val="20"/>
          <w:rtl/>
        </w:rPr>
      </w:pPr>
    </w:p>
    <w:p w:rsidR="00DC5B13" w:rsidP="00C34B23">
      <w:pPr>
        <w:spacing w:line="269" w:lineRule="auto"/>
        <w:rPr>
          <w:rFonts w:eastAsia="Calibri"/>
          <w:b/>
          <w:bCs/>
          <w:rtl/>
        </w:rPr>
      </w:pPr>
      <w:r w:rsidRPr="00DC5B13">
        <w:rPr>
          <w:rFonts w:eastAsia="Calibri" w:hint="cs"/>
          <w:b/>
          <w:bCs/>
          <w:rtl/>
        </w:rPr>
        <w:t>לנוכח הנתונים המצביעים על תרומתן הרבה של המינהלות לקידום תהליכי התחדשות עירונית - וזאת לעומת רשויות שבהן לא פועלות מינהלות התחדשות עירונית</w:t>
      </w:r>
      <w:bookmarkStart w:id="27" w:name="_Hlk219973966"/>
      <w:r w:rsidRPr="00DC5B13">
        <w:rPr>
          <w:rFonts w:eastAsia="Calibri" w:hint="cs"/>
          <w:b/>
          <w:bCs/>
          <w:rtl/>
        </w:rPr>
        <w:t xml:space="preserve">, ולנוכח חשיבותן ומרכזיותן של המינהלות העירוניות בקידום תהליכי התחדשות עירונית, </w:t>
      </w:r>
      <w:bookmarkEnd w:id="27"/>
      <w:r w:rsidRPr="00DC5B13">
        <w:rPr>
          <w:rFonts w:eastAsia="Calibri" w:hint="cs"/>
          <w:b/>
          <w:bCs/>
          <w:rtl/>
        </w:rPr>
        <w:t xml:space="preserve">מומלץ כי משרד השיכון והרשות הממשלתית להתחדשות עירונית ימשיכו לקדם את הקמתן של מינהלות עירוניות ברשויות המקומיות. </w:t>
      </w:r>
    </w:p>
    <w:p w:rsidR="00037943" w:rsidRPr="00DC5B13" w:rsidP="00C34B23">
      <w:pPr>
        <w:spacing w:line="269" w:lineRule="auto"/>
        <w:rPr>
          <w:rFonts w:eastAsia="Calibri"/>
          <w:b/>
          <w:bCs/>
          <w:rtl/>
        </w:rPr>
      </w:pPr>
    </w:p>
    <w:p w:rsidR="00DC5B13" w:rsidRPr="00DC5B13" w:rsidP="00C34B23">
      <w:pPr>
        <w:keepNext/>
        <w:keepLines/>
        <w:spacing w:line="269" w:lineRule="auto"/>
        <w:outlineLvl w:val="3"/>
        <w:rPr>
          <w:rFonts w:eastAsia="Times New Roman"/>
          <w:bCs/>
          <w:szCs w:val="26"/>
          <w:rtl/>
        </w:rPr>
      </w:pPr>
      <w:r w:rsidRPr="00DC5B13">
        <w:rPr>
          <w:rFonts w:eastAsia="Times New Roman" w:hint="cs"/>
          <w:bCs/>
          <w:szCs w:val="26"/>
          <w:rtl/>
        </w:rPr>
        <w:t>המבנה הארגוני של המינהלות העירוניות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בקול קורא 4/2016 נקבע כי מינהלת עירונית תכלול שלושה בעלי תפקידים מרכזיים: מנהל מינהלת, מנהל תחום חברתי ומנהל תחום תכנון. בעלי תפקידים אלה יועסקו באופן ישיר ובמשרה מלאה, ויהיו בעלי הכשרה וניסיון רלוונטיים לתחום עיסוקם. נוסף על כך רשאית המינהלת להעסיק</w:t>
      </w:r>
      <w:r w:rsidRPr="00DC5B13">
        <w:rPr>
          <w:rFonts w:eastAsia="Calibri"/>
          <w:rtl/>
        </w:rPr>
        <w:t xml:space="preserve"> בהתאם לצורך שירותי שמאי</w:t>
      </w:r>
      <w:r w:rsidRPr="00DC5B13">
        <w:rPr>
          <w:rFonts w:eastAsia="Calibri" w:hint="cs"/>
          <w:rtl/>
        </w:rPr>
        <w:t xml:space="preserve"> או </w:t>
      </w:r>
      <w:r w:rsidRPr="00DC5B13">
        <w:rPr>
          <w:rFonts w:eastAsia="Calibri"/>
          <w:rtl/>
        </w:rPr>
        <w:t>כלכלן, יועץ משפטי וכן יועצים שונים בתחום התכנון.</w:t>
      </w:r>
      <w:r w:rsidRPr="00DC5B13">
        <w:rPr>
          <w:rFonts w:eastAsia="Calibri" w:hint="cs"/>
          <w:rtl/>
        </w:rPr>
        <w:t xml:space="preserve"> רשויות מקומיות שיציגו היקף פעילות נרחב בקידום התחדשות עירונית בתחומן, רשאיות לגייס רכז חברתי נוסף במסגרת הקול הקורא. בתרשים שלהלן מפורט המבנה הארגוני הכללי של מינהלת עירונית.</w:t>
      </w:r>
      <w:r w:rsidRPr="00DC5B13">
        <w:rPr>
          <w:rFonts w:eastAsia="Calibri" w:hint="cs"/>
        </w:rPr>
        <w:t xml:space="preserve"> </w:t>
      </w:r>
    </w:p>
    <w:p w:rsidR="001E5EE6" w:rsidP="00C34B23">
      <w:pPr>
        <w:keepNext/>
        <w:keepLines/>
        <w:spacing w:line="269" w:lineRule="auto"/>
        <w:jc w:val="center"/>
        <w:rPr>
          <w:rFonts w:eastAsia="Calibri"/>
        </w:rPr>
      </w:pPr>
    </w:p>
    <w:p w:rsidR="00DC5B13" w:rsidRPr="00DC5B13" w:rsidP="00C34B23">
      <w:pPr>
        <w:keepNext/>
        <w:keepLines/>
        <w:spacing w:line="269" w:lineRule="auto"/>
        <w:jc w:val="center"/>
        <w:rPr>
          <w:rFonts w:eastAsia="Calibri"/>
          <w:rtl/>
        </w:rPr>
      </w:pPr>
      <w:r w:rsidRPr="00DC5B13">
        <w:rPr>
          <w:rFonts w:eastAsia="Calibri"/>
          <w:noProof/>
        </w:rPr>
        <w:drawing>
          <wp:anchor distT="0" distB="0" distL="114300" distR="114300" simplePos="0" relativeHeight="251662336" behindDoc="0" locked="0" layoutInCell="1" allowOverlap="1">
            <wp:simplePos x="0" y="0"/>
            <wp:positionH relativeFrom="column">
              <wp:posOffset>635</wp:posOffset>
            </wp:positionH>
            <wp:positionV relativeFrom="paragraph">
              <wp:posOffset>174625</wp:posOffset>
            </wp:positionV>
            <wp:extent cx="5219700" cy="3602990"/>
            <wp:effectExtent l="0" t="0" r="0" b="0"/>
            <wp:wrapTopAndBottom/>
            <wp:docPr id="47" name="תמונה 47" descr="תרשים מבנה ארגוני של מינהלת עירונית להתחדשות עירונית. כמתואר בפסקה הקודמ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602990"/>
                    </a:xfrm>
                    <a:prstGeom prst="rect">
                      <a:avLst/>
                    </a:prstGeom>
                    <a:noFill/>
                  </pic:spPr>
                </pic:pic>
              </a:graphicData>
            </a:graphic>
            <wp14:sizeRelH relativeFrom="margin">
              <wp14:pctWidth>0</wp14:pctWidth>
            </wp14:sizeRelH>
            <wp14:sizeRelV relativeFrom="margin">
              <wp14:pctHeight>0</wp14:pctHeight>
            </wp14:sizeRelV>
          </wp:anchor>
        </w:drawing>
      </w:r>
      <w:r w:rsidRPr="00DC5B13">
        <w:rPr>
          <w:rFonts w:eastAsia="Calibri" w:hint="eastAsia"/>
          <w:rtl/>
        </w:rPr>
        <w:t>תרשים</w:t>
      </w:r>
      <w:r w:rsidRPr="00DC5B13">
        <w:rPr>
          <w:rFonts w:eastAsia="Calibri"/>
          <w:rtl/>
        </w:rPr>
        <w:t xml:space="preserve"> </w:t>
      </w:r>
      <w:r w:rsidRPr="00DC5B13">
        <w:rPr>
          <w:rFonts w:eastAsia="Calibri" w:hint="cs"/>
          <w:rtl/>
        </w:rPr>
        <w:t>12</w:t>
      </w:r>
      <w:r w:rsidRPr="00DC5B13">
        <w:rPr>
          <w:rFonts w:eastAsia="Calibri"/>
          <w:rtl/>
        </w:rPr>
        <w:t xml:space="preserve">: </w:t>
      </w:r>
      <w:r w:rsidRPr="00DC5B13">
        <w:rPr>
          <w:rFonts w:eastAsia="Calibri" w:hint="eastAsia"/>
          <w:b/>
          <w:bCs/>
          <w:rtl/>
        </w:rPr>
        <w:t>המבנה</w:t>
      </w:r>
      <w:r w:rsidRPr="00DC5B13">
        <w:rPr>
          <w:rFonts w:eastAsia="Calibri" w:hint="cs"/>
          <w:b/>
          <w:bCs/>
          <w:rtl/>
        </w:rPr>
        <w:t xml:space="preserve"> הארגוני של מינהלת עירונית להתחדשות עירונית</w:t>
      </w:r>
      <w:r w:rsidRPr="00DC5B13">
        <w:rPr>
          <w:rFonts w:eastAsia="Calibri" w:hint="cs"/>
          <w:rtl/>
        </w:rPr>
        <w:t>*</w:t>
      </w:r>
    </w:p>
    <w:p w:rsidR="00DC5B13" w:rsidRPr="00DC5B13" w:rsidP="00C34B23">
      <w:pPr>
        <w:spacing w:line="269" w:lineRule="auto"/>
        <w:rPr>
          <w:rFonts w:eastAsia="Calibri"/>
          <w:sz w:val="16"/>
          <w:szCs w:val="20"/>
          <w:rtl/>
        </w:rPr>
      </w:pPr>
      <w:r w:rsidRPr="00DC5B13">
        <w:rPr>
          <w:rFonts w:eastAsia="Calibri" w:hint="eastAsia"/>
          <w:sz w:val="16"/>
          <w:szCs w:val="20"/>
          <w:rtl/>
        </w:rPr>
        <w:t>על</w:t>
      </w:r>
      <w:r w:rsidRPr="00DC5B13">
        <w:rPr>
          <w:rFonts w:eastAsia="Calibri"/>
          <w:sz w:val="16"/>
          <w:szCs w:val="20"/>
          <w:rtl/>
        </w:rPr>
        <w:t xml:space="preserve"> </w:t>
      </w:r>
      <w:r w:rsidRPr="00DC5B13">
        <w:rPr>
          <w:rFonts w:eastAsia="Calibri" w:hint="eastAsia"/>
          <w:sz w:val="16"/>
          <w:szCs w:val="20"/>
          <w:rtl/>
        </w:rPr>
        <w:t>פי</w:t>
      </w:r>
      <w:r w:rsidRPr="00DC5B13">
        <w:rPr>
          <w:rFonts w:eastAsia="Calibri"/>
          <w:sz w:val="16"/>
          <w:szCs w:val="20"/>
          <w:rtl/>
        </w:rPr>
        <w:t xml:space="preserve"> </w:t>
      </w:r>
      <w:r w:rsidRPr="00DC5B13">
        <w:rPr>
          <w:rFonts w:eastAsia="Calibri" w:hint="eastAsia"/>
          <w:sz w:val="16"/>
          <w:szCs w:val="20"/>
          <w:rtl/>
        </w:rPr>
        <w:t>קול</w:t>
      </w:r>
      <w:r w:rsidRPr="00DC5B13">
        <w:rPr>
          <w:rFonts w:eastAsia="Calibri"/>
          <w:sz w:val="16"/>
          <w:szCs w:val="20"/>
          <w:rtl/>
        </w:rPr>
        <w:t xml:space="preserve"> </w:t>
      </w:r>
      <w:r w:rsidRPr="00DC5B13">
        <w:rPr>
          <w:rFonts w:eastAsia="Calibri" w:hint="eastAsia"/>
          <w:sz w:val="16"/>
          <w:szCs w:val="20"/>
          <w:rtl/>
        </w:rPr>
        <w:t>קורא</w:t>
      </w:r>
      <w:r w:rsidRPr="00DC5B13">
        <w:rPr>
          <w:rFonts w:eastAsia="Calibri"/>
          <w:sz w:val="16"/>
          <w:szCs w:val="20"/>
          <w:rtl/>
        </w:rPr>
        <w:t xml:space="preserve"> </w:t>
      </w:r>
      <w:r w:rsidRPr="00DC5B13">
        <w:rPr>
          <w:rFonts w:eastAsia="Calibri" w:hint="eastAsia"/>
          <w:sz w:val="16"/>
          <w:szCs w:val="20"/>
          <w:rtl/>
        </w:rPr>
        <w:t>מס</w:t>
      </w:r>
      <w:r w:rsidRPr="00DC5B13">
        <w:rPr>
          <w:rFonts w:eastAsia="Calibri"/>
          <w:sz w:val="16"/>
          <w:szCs w:val="20"/>
          <w:rtl/>
        </w:rPr>
        <w:t xml:space="preserve">' 7/2022 </w:t>
      </w:r>
      <w:r w:rsidRPr="00DC5B13">
        <w:rPr>
          <w:rFonts w:eastAsia="Calibri" w:hint="eastAsia"/>
          <w:sz w:val="16"/>
          <w:szCs w:val="20"/>
          <w:rtl/>
        </w:rPr>
        <w:t>ואוגדן</w:t>
      </w:r>
      <w:r w:rsidRPr="00DC5B13">
        <w:rPr>
          <w:rFonts w:eastAsia="Calibri"/>
          <w:sz w:val="16"/>
          <w:szCs w:val="20"/>
          <w:rtl/>
        </w:rPr>
        <w:t xml:space="preserve"> </w:t>
      </w:r>
      <w:r w:rsidRPr="00DC5B13">
        <w:rPr>
          <w:rFonts w:eastAsia="Calibri" w:hint="eastAsia"/>
          <w:sz w:val="16"/>
          <w:szCs w:val="20"/>
          <w:rtl/>
        </w:rPr>
        <w:t>ההנחיות</w:t>
      </w:r>
      <w:r w:rsidRPr="00DC5B13">
        <w:rPr>
          <w:rFonts w:eastAsia="Calibri"/>
          <w:sz w:val="16"/>
          <w:szCs w:val="20"/>
          <w:rtl/>
        </w:rPr>
        <w:t xml:space="preserve">, </w:t>
      </w:r>
      <w:r w:rsidRPr="00DC5B13">
        <w:rPr>
          <w:rFonts w:eastAsia="Calibri" w:hint="eastAsia"/>
          <w:sz w:val="16"/>
          <w:szCs w:val="20"/>
          <w:rtl/>
        </w:rPr>
        <w:t>בעיבוד</w:t>
      </w:r>
      <w:r w:rsidRPr="00DC5B13">
        <w:rPr>
          <w:rFonts w:eastAsia="Calibri"/>
          <w:sz w:val="16"/>
          <w:szCs w:val="20"/>
          <w:rtl/>
        </w:rPr>
        <w:t xml:space="preserve"> </w:t>
      </w:r>
      <w:r w:rsidRPr="00DC5B13">
        <w:rPr>
          <w:rFonts w:eastAsia="Calibri" w:hint="eastAsia"/>
          <w:sz w:val="16"/>
          <w:szCs w:val="20"/>
          <w:rtl/>
        </w:rPr>
        <w:t>משרד</w:t>
      </w:r>
      <w:r w:rsidRPr="00DC5B13">
        <w:rPr>
          <w:rFonts w:eastAsia="Calibri"/>
          <w:sz w:val="16"/>
          <w:szCs w:val="20"/>
          <w:rtl/>
        </w:rPr>
        <w:t xml:space="preserve"> </w:t>
      </w:r>
      <w:r w:rsidRPr="00DC5B13">
        <w:rPr>
          <w:rFonts w:eastAsia="Calibri" w:hint="eastAsia"/>
          <w:sz w:val="16"/>
          <w:szCs w:val="20"/>
          <w:rtl/>
        </w:rPr>
        <w:t>מבקר</w:t>
      </w:r>
      <w:r w:rsidRPr="00DC5B13">
        <w:rPr>
          <w:rFonts w:eastAsia="Calibri"/>
          <w:sz w:val="16"/>
          <w:szCs w:val="20"/>
          <w:rtl/>
        </w:rPr>
        <w:t xml:space="preserve"> </w:t>
      </w:r>
      <w:r w:rsidRPr="00DC5B13">
        <w:rPr>
          <w:rFonts w:eastAsia="Calibri" w:hint="eastAsia"/>
          <w:sz w:val="16"/>
          <w:szCs w:val="20"/>
          <w:rtl/>
        </w:rPr>
        <w:t>המדינה</w:t>
      </w:r>
      <w:r w:rsidRPr="00DC5B13">
        <w:rPr>
          <w:rFonts w:eastAsia="Calibri"/>
          <w:sz w:val="16"/>
          <w:szCs w:val="20"/>
          <w:rtl/>
        </w:rPr>
        <w:t>.</w:t>
      </w:r>
    </w:p>
    <w:p w:rsidR="00DC5B13" w:rsidRPr="00DC5B13" w:rsidP="00C34B23">
      <w:pPr>
        <w:spacing w:line="269" w:lineRule="auto"/>
        <w:rPr>
          <w:rFonts w:eastAsia="Calibri"/>
          <w:sz w:val="16"/>
          <w:szCs w:val="20"/>
          <w:rtl/>
        </w:rPr>
      </w:pPr>
      <w:r w:rsidRPr="00DC5B13">
        <w:rPr>
          <w:rFonts w:eastAsia="Calibri" w:hint="cs"/>
          <w:sz w:val="16"/>
          <w:szCs w:val="20"/>
          <w:rtl/>
        </w:rPr>
        <w:t>* המשבצות הכהות מייצגות את שלושת בעלי התפקידים המרכזיים במשרה מלאה האמורים להרכיב מינהלת עירונית, ואילו הבהירות מייצגות בעלי תפקידים נוספים במודל העסקה חלקית או זמנית אשר המינהלת יכולה לגייס כפוף לאישור הרשות להתחדשות.</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rtl/>
        </w:rPr>
        <w:t xml:space="preserve">בהסכם שנחתם בין הרשות להתחדשות לבין הרשות המקומית שבה מתוכננת לקום מינהלת (להלן - הסכם הקמת המינהלת) נקבעה הכפיפות הארגונית של המינהלות בתוך הרשות המקומית. על פי ההסכם, המינהלת תהא כפופה ישירות למנכ"ל או למהנדס הרשות המקומית בלבד. עם זאת, עד </w:t>
      </w:r>
      <w:r w:rsidRPr="00DC5B13">
        <w:rPr>
          <w:rFonts w:eastAsia="Calibri" w:hint="cs"/>
          <w:rtl/>
        </w:rPr>
        <w:t>הפצת קול קורא 7/2022 אפשרה הרשות להתחדשות כפיפות ארגונית של המינהלות לתאגידים עירוניים ולאחריו צומצמה אפשרות זאת למקרים חריגים בלבד, באישור מיוחד של הרשות להתחדשות, כל עוד המינהלת פועלת כמשק כספים סגור שאינו למטרות רווח. הרשות להתחדשות מסרה לצוות הביקורת כי מהלך זה נועד למנוע ניגוד אינטרסים שבו המינהלת מספקת שירותים לקידום התחדשות עירונית למטרות רווח</w:t>
      </w:r>
      <w:r>
        <w:rPr>
          <w:rFonts w:eastAsia="Calibri"/>
          <w:vertAlign w:val="superscript"/>
          <w:rtl/>
        </w:rPr>
        <w:footnoteReference w:id="93"/>
      </w:r>
      <w:r w:rsidRPr="00DC5B13">
        <w:rPr>
          <w:rFonts w:eastAsia="Calibri" w:hint="cs"/>
          <w:rtl/>
        </w:rPr>
        <w:t xml:space="preserve">. </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hint="cs"/>
          <w:rtl/>
        </w:rPr>
        <w:t xml:space="preserve">בקול קורא 3/2018 דרשה הרשות להתחדשות כי המינהלת תעסיק </w:t>
      </w:r>
      <w:r w:rsidRPr="00DC5B13">
        <w:rPr>
          <w:rFonts w:eastAsia="Calibri"/>
          <w:rtl/>
        </w:rPr>
        <w:t xml:space="preserve">בודק תוכניות </w:t>
      </w:r>
      <w:r w:rsidRPr="00DC5B13">
        <w:rPr>
          <w:rFonts w:eastAsia="Calibri" w:hint="cs"/>
          <w:rtl/>
        </w:rPr>
        <w:t xml:space="preserve">או היתרים </w:t>
      </w:r>
      <w:r w:rsidRPr="00DC5B13">
        <w:rPr>
          <w:rFonts w:eastAsia="Calibri"/>
          <w:rtl/>
        </w:rPr>
        <w:t xml:space="preserve">להתחדשות עירונית </w:t>
      </w:r>
      <w:r w:rsidRPr="00DC5B13">
        <w:rPr>
          <w:rFonts w:eastAsia="Calibri" w:hint="cs"/>
          <w:rtl/>
        </w:rPr>
        <w:t>נוסף על בעלי התפקידים שנמנו בקול הקורא הקודם ובמודל העסקה דומה - אם כי בקול קורא 7/2022 הוסרה דרישת החובה לאייש תפקיד זה. הרשות להתחדשות הוסיפה בקול קורא זה את האפשרות לגייס מנהל מיזמים שיימנה עם צוות המינהלת</w:t>
      </w:r>
      <w:r>
        <w:rPr>
          <w:rFonts w:eastAsia="Calibri"/>
          <w:vertAlign w:val="superscript"/>
          <w:rtl/>
        </w:rPr>
        <w:footnoteReference w:id="94"/>
      </w:r>
      <w:r w:rsidRPr="00DC5B13">
        <w:rPr>
          <w:rFonts w:eastAsia="Calibri" w:hint="cs"/>
          <w:rtl/>
        </w:rPr>
        <w:t>. תוספת זו תואמת את עמדתה של הרשות להתחדשות, ש</w:t>
      </w:r>
      <w:r w:rsidRPr="00DC5B13">
        <w:rPr>
          <w:rFonts w:eastAsia="Calibri"/>
          <w:rtl/>
        </w:rPr>
        <w:t>לפיה מנהל מיזמים במסלול רשויות מקומיות חיוני לזיהוי חסמים</w:t>
      </w:r>
      <w:r w:rsidRPr="00DC5B13">
        <w:rPr>
          <w:rFonts w:eastAsia="Calibri" w:hint="cs"/>
          <w:rtl/>
        </w:rPr>
        <w:t xml:space="preserve"> בקידום ההתחדשות</w:t>
      </w:r>
      <w:r w:rsidRPr="00DC5B13">
        <w:rPr>
          <w:rFonts w:eastAsia="Calibri"/>
          <w:rtl/>
        </w:rPr>
        <w:t xml:space="preserve"> </w:t>
      </w:r>
      <w:r w:rsidRPr="00DC5B13">
        <w:rPr>
          <w:rFonts w:eastAsia="Calibri" w:hint="cs"/>
          <w:rtl/>
        </w:rPr>
        <w:t>ולהסרתם.</w:t>
      </w:r>
    </w:p>
    <w:p w:rsidR="001E5EE6"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hint="cs"/>
          <w:rtl/>
        </w:rPr>
        <w:t>משרד מבקר המדינה בחן את המינהלות העירוניות ברשויות המקומיות שנבדקו ואת כוח האדם המועסק בהן. בלוח שלהלן מוצגים פרטי המינהלות ברשויות שנבדקו, שנת הקמתן, כפיפותן הארגונית, מספר העובדים בהן ותפקידם.</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b/>
          <w:bCs/>
          <w:rtl/>
        </w:rPr>
      </w:pPr>
      <w:r w:rsidRPr="00DC5B13">
        <w:rPr>
          <w:rFonts w:ascii="David" w:eastAsia="Calibri" w:hAnsi="David"/>
          <w:sz w:val="24"/>
          <w:rtl/>
        </w:rPr>
        <w:t xml:space="preserve">לוח </w:t>
      </w:r>
      <w:r w:rsidRPr="00DC5B13">
        <w:rPr>
          <w:rFonts w:ascii="David" w:eastAsia="Calibri" w:hAnsi="David" w:hint="cs"/>
          <w:sz w:val="24"/>
          <w:rtl/>
        </w:rPr>
        <w:t>6</w:t>
      </w:r>
      <w:r w:rsidRPr="00DC5B13">
        <w:rPr>
          <w:rFonts w:ascii="David" w:eastAsia="Calibri" w:hAnsi="David"/>
          <w:sz w:val="24"/>
          <w:rtl/>
        </w:rPr>
        <w:t>:</w:t>
      </w:r>
      <w:r w:rsidRPr="00DC5B13">
        <w:rPr>
          <w:rFonts w:eastAsia="Calibri"/>
          <w:rtl/>
        </w:rPr>
        <w:t xml:space="preserve"> </w:t>
      </w:r>
      <w:r w:rsidRPr="00DC5B13">
        <w:rPr>
          <w:rFonts w:eastAsia="Calibri" w:hint="cs"/>
          <w:b/>
          <w:bCs/>
          <w:rtl/>
        </w:rPr>
        <w:t>ה</w:t>
      </w:r>
      <w:r w:rsidRPr="00DC5B13">
        <w:rPr>
          <w:rFonts w:eastAsia="Calibri"/>
          <w:b/>
          <w:bCs/>
          <w:rtl/>
        </w:rPr>
        <w:t>מינהלות</w:t>
      </w:r>
      <w:r w:rsidRPr="00DC5B13">
        <w:rPr>
          <w:rFonts w:eastAsia="Calibri" w:hint="cs"/>
          <w:b/>
          <w:bCs/>
          <w:rtl/>
        </w:rPr>
        <w:t xml:space="preserve"> ברשויות שנבדקו*</w:t>
      </w:r>
      <w:r w:rsidRPr="00DC5B13">
        <w:rPr>
          <w:rFonts w:eastAsia="Calibri"/>
          <w:b/>
          <w:bCs/>
          <w:rtl/>
        </w:rPr>
        <w:t xml:space="preserve">, כוח האדם </w:t>
      </w:r>
      <w:r w:rsidRPr="00DC5B13">
        <w:rPr>
          <w:rFonts w:eastAsia="Calibri" w:hint="cs"/>
          <w:b/>
          <w:bCs/>
          <w:rtl/>
        </w:rPr>
        <w:t>ב</w:t>
      </w:r>
      <w:r w:rsidRPr="00DC5B13">
        <w:rPr>
          <w:rFonts w:eastAsia="Calibri"/>
          <w:b/>
          <w:bCs/>
          <w:rtl/>
        </w:rPr>
        <w:t>הן וכפיפותן הארגונית</w:t>
      </w:r>
    </w:p>
    <w:tbl>
      <w:tblPr>
        <w:tblStyle w:val="5-11"/>
        <w:bidiVisual/>
        <w:tblW w:w="3971" w:type="pct"/>
        <w:jc w:val="center"/>
        <w:tblLayout w:type="fixed"/>
        <w:tblLook w:val="04A0"/>
      </w:tblPr>
      <w:tblGrid>
        <w:gridCol w:w="1032"/>
        <w:gridCol w:w="968"/>
        <w:gridCol w:w="1024"/>
        <w:gridCol w:w="1024"/>
        <w:gridCol w:w="2472"/>
      </w:tblGrid>
      <w:tr w:rsidTr="00E44B96">
        <w:tblPrEx>
          <w:tblW w:w="3971" w:type="pct"/>
          <w:jc w:val="center"/>
          <w:tblLayout w:type="fixed"/>
          <w:tblLook w:val="04A0"/>
        </w:tblPrEx>
        <w:trPr>
          <w:trHeight w:val="610"/>
          <w:tblHeader/>
          <w:jc w:val="center"/>
        </w:trPr>
        <w:tc>
          <w:tcPr>
            <w:tcW w:w="791"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שם הרשות</w:t>
            </w:r>
          </w:p>
        </w:tc>
        <w:tc>
          <w:tcPr>
            <w:tcW w:w="742"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שנת ההקמה</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הכפיפות</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מספר העובדים</w:t>
            </w:r>
          </w:p>
        </w:tc>
        <w:tc>
          <w:tcPr>
            <w:tcW w:w="1896"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בעלי תפקידים</w:t>
            </w:r>
          </w:p>
        </w:tc>
      </w:tr>
      <w:tr w:rsidTr="00E44B96">
        <w:tblPrEx>
          <w:tblW w:w="3971" w:type="pct"/>
          <w:jc w:val="center"/>
          <w:tblLayout w:type="fixed"/>
          <w:tblLook w:val="04A0"/>
        </w:tblPrEx>
        <w:trPr>
          <w:trHeight w:val="321"/>
          <w:jc w:val="center"/>
        </w:trPr>
        <w:tc>
          <w:tcPr>
            <w:tcW w:w="791"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לוד</w:t>
            </w:r>
          </w:p>
        </w:tc>
        <w:tc>
          <w:tcPr>
            <w:tcW w:w="742"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2017</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החברה הכלכלית</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9</w:t>
            </w:r>
          </w:p>
        </w:tc>
        <w:tc>
          <w:tcPr>
            <w:tcW w:w="1896"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מנהלת</w:t>
            </w:r>
          </w:p>
          <w:p w:rsidR="00DC5B13" w:rsidRPr="00DC5B13" w:rsidP="00C34B23">
            <w:pPr>
              <w:spacing w:line="269" w:lineRule="auto"/>
              <w:jc w:val="left"/>
              <w:rPr>
                <w:rFonts w:eastAsia="Calibri"/>
                <w:sz w:val="18"/>
                <w:szCs w:val="22"/>
                <w:rtl/>
              </w:rPr>
            </w:pPr>
            <w:r w:rsidRPr="00DC5B13">
              <w:rPr>
                <w:rFonts w:eastAsia="Calibri" w:hint="cs"/>
                <w:sz w:val="18"/>
                <w:szCs w:val="22"/>
                <w:rtl/>
              </w:rPr>
              <w:t>מנהלת תחום חברתי</w:t>
            </w:r>
          </w:p>
          <w:p w:rsidR="00DC5B13" w:rsidRPr="00DC5B13" w:rsidP="00C34B23">
            <w:pPr>
              <w:spacing w:line="269" w:lineRule="auto"/>
              <w:jc w:val="left"/>
              <w:rPr>
                <w:rFonts w:eastAsia="Calibri"/>
                <w:sz w:val="18"/>
                <w:szCs w:val="22"/>
                <w:rtl/>
              </w:rPr>
            </w:pPr>
            <w:r w:rsidRPr="00DC5B13">
              <w:rPr>
                <w:rFonts w:eastAsia="Calibri" w:hint="cs"/>
                <w:sz w:val="18"/>
                <w:szCs w:val="22"/>
                <w:rtl/>
              </w:rPr>
              <w:t>מנהלת תחום תכנון</w:t>
            </w:r>
          </w:p>
          <w:p w:rsidR="00DC5B13" w:rsidRPr="00DC5B13" w:rsidP="00C34B23">
            <w:pPr>
              <w:spacing w:line="269" w:lineRule="auto"/>
              <w:jc w:val="left"/>
              <w:rPr>
                <w:rFonts w:eastAsia="Calibri"/>
                <w:sz w:val="18"/>
                <w:szCs w:val="22"/>
                <w:rtl/>
              </w:rPr>
            </w:pPr>
            <w:r w:rsidRPr="00DC5B13">
              <w:rPr>
                <w:rFonts w:eastAsia="Calibri" w:hint="cs"/>
                <w:sz w:val="18"/>
                <w:szCs w:val="22"/>
                <w:rtl/>
              </w:rPr>
              <w:t>2 מנהלי מיזמים</w:t>
            </w:r>
          </w:p>
          <w:p w:rsidR="00DC5B13" w:rsidRPr="00DC5B13" w:rsidP="00C34B23">
            <w:pPr>
              <w:spacing w:line="269" w:lineRule="auto"/>
              <w:jc w:val="left"/>
              <w:rPr>
                <w:rFonts w:eastAsia="Calibri"/>
                <w:sz w:val="18"/>
                <w:szCs w:val="22"/>
                <w:rtl/>
              </w:rPr>
            </w:pPr>
            <w:r w:rsidRPr="00DC5B13">
              <w:rPr>
                <w:rFonts w:eastAsia="Calibri" w:hint="cs"/>
                <w:sz w:val="18"/>
                <w:szCs w:val="22"/>
                <w:rtl/>
              </w:rPr>
              <w:t>כלכלנית</w:t>
            </w:r>
          </w:p>
          <w:p w:rsidR="00DC5B13" w:rsidRPr="00DC5B13" w:rsidP="00C34B23">
            <w:pPr>
              <w:spacing w:line="269" w:lineRule="auto"/>
              <w:jc w:val="left"/>
              <w:rPr>
                <w:rFonts w:eastAsia="Calibri"/>
                <w:sz w:val="18"/>
                <w:szCs w:val="22"/>
                <w:rtl/>
              </w:rPr>
            </w:pPr>
            <w:r w:rsidRPr="00DC5B13">
              <w:rPr>
                <w:rFonts w:eastAsia="Calibri" w:hint="cs"/>
                <w:sz w:val="18"/>
                <w:szCs w:val="22"/>
                <w:rtl/>
              </w:rPr>
              <w:t>3 רכזים חברתיים</w:t>
            </w:r>
          </w:p>
        </w:tc>
      </w:tr>
      <w:tr w:rsidTr="00E44B96">
        <w:tblPrEx>
          <w:tblW w:w="3971" w:type="pct"/>
          <w:jc w:val="center"/>
          <w:tblLayout w:type="fixed"/>
          <w:tblLook w:val="04A0"/>
        </w:tblPrEx>
        <w:trPr>
          <w:trHeight w:val="535"/>
          <w:jc w:val="center"/>
        </w:trPr>
        <w:tc>
          <w:tcPr>
            <w:tcW w:w="791"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נתניה</w:t>
            </w:r>
          </w:p>
        </w:tc>
        <w:tc>
          <w:tcPr>
            <w:tcW w:w="742"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2019</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מהנדס העיר</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8</w:t>
            </w:r>
          </w:p>
        </w:tc>
        <w:tc>
          <w:tcPr>
            <w:tcW w:w="1896" w:type="pct"/>
            <w:vAlign w:val="center"/>
          </w:tcPr>
          <w:p w:rsidR="00DC5B13" w:rsidRPr="00DC5B13" w:rsidP="00C34B23">
            <w:pPr>
              <w:spacing w:line="269" w:lineRule="auto"/>
              <w:jc w:val="left"/>
              <w:rPr>
                <w:rFonts w:eastAsia="Calibri"/>
                <w:sz w:val="18"/>
                <w:szCs w:val="22"/>
                <w:rtl/>
              </w:rPr>
            </w:pPr>
            <w:r w:rsidRPr="00DC5B13">
              <w:rPr>
                <w:rFonts w:eastAsia="Calibri"/>
                <w:sz w:val="18"/>
                <w:szCs w:val="22"/>
                <w:rtl/>
              </w:rPr>
              <w:t>מנהל</w:t>
            </w:r>
          </w:p>
          <w:p w:rsidR="00DC5B13" w:rsidRPr="00DC5B13" w:rsidP="00C34B23">
            <w:pPr>
              <w:spacing w:line="269" w:lineRule="auto"/>
              <w:jc w:val="left"/>
              <w:rPr>
                <w:rFonts w:eastAsia="Calibri"/>
                <w:sz w:val="18"/>
                <w:szCs w:val="22"/>
                <w:rtl/>
              </w:rPr>
            </w:pPr>
            <w:r w:rsidRPr="00DC5B13">
              <w:rPr>
                <w:rFonts w:eastAsia="Calibri" w:hint="cs"/>
                <w:sz w:val="18"/>
                <w:szCs w:val="22"/>
                <w:rtl/>
              </w:rPr>
              <w:t xml:space="preserve">2 </w:t>
            </w:r>
            <w:r w:rsidRPr="00DC5B13">
              <w:rPr>
                <w:rFonts w:eastAsia="Calibri"/>
                <w:sz w:val="18"/>
                <w:szCs w:val="22"/>
                <w:rtl/>
              </w:rPr>
              <w:t>מנהל</w:t>
            </w:r>
            <w:r w:rsidRPr="00DC5B13">
              <w:rPr>
                <w:rFonts w:eastAsia="Calibri" w:hint="cs"/>
                <w:sz w:val="18"/>
                <w:szCs w:val="22"/>
                <w:rtl/>
              </w:rPr>
              <w:t>י</w:t>
            </w:r>
            <w:r w:rsidRPr="00DC5B13">
              <w:rPr>
                <w:rFonts w:eastAsia="Calibri"/>
                <w:sz w:val="18"/>
                <w:szCs w:val="22"/>
                <w:rtl/>
              </w:rPr>
              <w:t xml:space="preserve"> תחום </w:t>
            </w:r>
            <w:r w:rsidRPr="00DC5B13">
              <w:rPr>
                <w:rFonts w:eastAsia="Calibri" w:hint="cs"/>
                <w:sz w:val="18"/>
                <w:szCs w:val="22"/>
                <w:rtl/>
              </w:rPr>
              <w:t>תכנון</w:t>
            </w:r>
          </w:p>
          <w:p w:rsidR="00DC5B13" w:rsidRPr="00DC5B13" w:rsidP="00C34B23">
            <w:pPr>
              <w:spacing w:line="269" w:lineRule="auto"/>
              <w:jc w:val="left"/>
              <w:rPr>
                <w:rFonts w:eastAsia="Calibri"/>
                <w:sz w:val="18"/>
                <w:szCs w:val="22"/>
                <w:rtl/>
              </w:rPr>
            </w:pPr>
            <w:r w:rsidRPr="00DC5B13">
              <w:rPr>
                <w:rFonts w:eastAsia="Calibri" w:hint="cs"/>
                <w:sz w:val="18"/>
                <w:szCs w:val="22"/>
                <w:rtl/>
              </w:rPr>
              <w:t>מנהלת תחום חברתי</w:t>
            </w:r>
          </w:p>
          <w:p w:rsidR="00DC5B13" w:rsidRPr="00DC5B13" w:rsidP="00C34B23">
            <w:pPr>
              <w:spacing w:line="269" w:lineRule="auto"/>
              <w:jc w:val="left"/>
              <w:rPr>
                <w:rFonts w:eastAsia="Calibri"/>
                <w:sz w:val="18"/>
                <w:szCs w:val="22"/>
                <w:rtl/>
              </w:rPr>
            </w:pPr>
            <w:r w:rsidRPr="00DC5B13">
              <w:rPr>
                <w:rFonts w:eastAsia="Calibri"/>
                <w:sz w:val="18"/>
                <w:szCs w:val="22"/>
                <w:rtl/>
              </w:rPr>
              <w:t xml:space="preserve">מנהל </w:t>
            </w:r>
            <w:r w:rsidRPr="00DC5B13">
              <w:rPr>
                <w:rFonts w:eastAsia="Calibri" w:hint="cs"/>
                <w:sz w:val="18"/>
                <w:szCs w:val="22"/>
                <w:rtl/>
              </w:rPr>
              <w:t>מיזמים</w:t>
            </w:r>
          </w:p>
          <w:p w:rsidR="00DC5B13" w:rsidRPr="00DC5B13" w:rsidP="00C34B23">
            <w:pPr>
              <w:spacing w:line="269" w:lineRule="auto"/>
              <w:jc w:val="left"/>
              <w:rPr>
                <w:rFonts w:eastAsia="Calibri"/>
                <w:sz w:val="18"/>
                <w:szCs w:val="22"/>
                <w:rtl/>
              </w:rPr>
            </w:pPr>
            <w:r w:rsidRPr="00DC5B13">
              <w:rPr>
                <w:rFonts w:eastAsia="Calibri"/>
                <w:sz w:val="18"/>
                <w:szCs w:val="22"/>
                <w:rtl/>
              </w:rPr>
              <w:t>מזכירת האגף</w:t>
            </w:r>
          </w:p>
          <w:p w:rsidR="00DC5B13" w:rsidRPr="00DC5B13" w:rsidP="00C34B23">
            <w:pPr>
              <w:spacing w:line="269" w:lineRule="auto"/>
              <w:jc w:val="left"/>
              <w:rPr>
                <w:rFonts w:eastAsia="Calibri"/>
                <w:sz w:val="18"/>
                <w:szCs w:val="22"/>
                <w:rtl/>
              </w:rPr>
            </w:pPr>
            <w:r w:rsidRPr="00DC5B13">
              <w:rPr>
                <w:rFonts w:eastAsia="Calibri" w:hint="cs"/>
                <w:sz w:val="18"/>
                <w:szCs w:val="22"/>
                <w:rtl/>
              </w:rPr>
              <w:t>2 רכזים חברתיים</w:t>
            </w:r>
          </w:p>
        </w:tc>
      </w:tr>
      <w:tr w:rsidTr="00E44B96">
        <w:tblPrEx>
          <w:tblW w:w="3971" w:type="pct"/>
          <w:jc w:val="center"/>
          <w:tblLayout w:type="fixed"/>
          <w:tblLook w:val="04A0"/>
        </w:tblPrEx>
        <w:trPr>
          <w:trHeight w:val="543"/>
          <w:jc w:val="center"/>
        </w:trPr>
        <w:tc>
          <w:tcPr>
            <w:tcW w:w="791"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קריית ים</w:t>
            </w:r>
          </w:p>
        </w:tc>
        <w:tc>
          <w:tcPr>
            <w:tcW w:w="742"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2017</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מנכ"ל הרשות</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 xml:space="preserve">3 </w:t>
            </w:r>
          </w:p>
        </w:tc>
        <w:tc>
          <w:tcPr>
            <w:tcW w:w="1896"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מנהל</w:t>
            </w:r>
          </w:p>
          <w:p w:rsidR="00DC5B13" w:rsidRPr="00DC5B13" w:rsidP="00C34B23">
            <w:pPr>
              <w:spacing w:line="269" w:lineRule="auto"/>
              <w:jc w:val="left"/>
              <w:rPr>
                <w:rFonts w:eastAsia="Calibri"/>
                <w:sz w:val="18"/>
                <w:szCs w:val="22"/>
                <w:rtl/>
              </w:rPr>
            </w:pPr>
            <w:r w:rsidRPr="00DC5B13">
              <w:rPr>
                <w:rFonts w:eastAsia="Calibri" w:hint="cs"/>
                <w:sz w:val="18"/>
                <w:szCs w:val="22"/>
                <w:rtl/>
              </w:rPr>
              <w:t>מנהל תחום תכנון</w:t>
            </w:r>
          </w:p>
          <w:p w:rsidR="00DC5B13" w:rsidRPr="00DC5B13" w:rsidP="00C34B23">
            <w:pPr>
              <w:spacing w:line="269" w:lineRule="auto"/>
              <w:jc w:val="left"/>
              <w:rPr>
                <w:rFonts w:eastAsia="Calibri"/>
                <w:sz w:val="18"/>
                <w:szCs w:val="22"/>
                <w:rtl/>
              </w:rPr>
            </w:pPr>
            <w:r w:rsidRPr="00DC5B13">
              <w:rPr>
                <w:rFonts w:eastAsia="Calibri" w:hint="cs"/>
                <w:sz w:val="18"/>
                <w:szCs w:val="22"/>
                <w:rtl/>
              </w:rPr>
              <w:t>מנהל תחום חברתי</w:t>
            </w:r>
          </w:p>
        </w:tc>
      </w:tr>
      <w:tr w:rsidTr="00E44B96">
        <w:tblPrEx>
          <w:tblW w:w="3971" w:type="pct"/>
          <w:jc w:val="center"/>
          <w:tblLayout w:type="fixed"/>
          <w:tblLook w:val="04A0"/>
        </w:tblPrEx>
        <w:trPr>
          <w:trHeight w:val="1353"/>
          <w:jc w:val="center"/>
        </w:trPr>
        <w:tc>
          <w:tcPr>
            <w:tcW w:w="791"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קריית שמונה</w:t>
            </w:r>
          </w:p>
        </w:tc>
        <w:tc>
          <w:tcPr>
            <w:tcW w:w="742"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2025</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מנכ"ל הרשות</w:t>
            </w:r>
          </w:p>
        </w:tc>
        <w:tc>
          <w:tcPr>
            <w:tcW w:w="78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4</w:t>
            </w:r>
          </w:p>
        </w:tc>
        <w:tc>
          <w:tcPr>
            <w:tcW w:w="1896"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מנהלת</w:t>
            </w:r>
          </w:p>
          <w:p w:rsidR="00DC5B13" w:rsidRPr="00DC5B13" w:rsidP="00C34B23">
            <w:pPr>
              <w:spacing w:line="269" w:lineRule="auto"/>
              <w:jc w:val="left"/>
              <w:rPr>
                <w:rFonts w:eastAsia="Calibri"/>
                <w:sz w:val="18"/>
                <w:szCs w:val="22"/>
                <w:rtl/>
              </w:rPr>
            </w:pPr>
            <w:r w:rsidRPr="00DC5B13">
              <w:rPr>
                <w:rFonts w:eastAsia="Calibri" w:hint="cs"/>
                <w:sz w:val="18"/>
                <w:szCs w:val="22"/>
                <w:rtl/>
              </w:rPr>
              <w:t>רכזת תחום תכנון</w:t>
            </w:r>
          </w:p>
          <w:p w:rsidR="00DC5B13" w:rsidRPr="00DC5B13" w:rsidP="00C34B23">
            <w:pPr>
              <w:spacing w:line="269" w:lineRule="auto"/>
              <w:jc w:val="left"/>
              <w:rPr>
                <w:rFonts w:eastAsia="Calibri"/>
                <w:sz w:val="18"/>
                <w:szCs w:val="22"/>
                <w:rtl/>
              </w:rPr>
            </w:pPr>
            <w:r w:rsidRPr="00DC5B13">
              <w:rPr>
                <w:rFonts w:eastAsia="Calibri" w:hint="cs"/>
                <w:sz w:val="18"/>
                <w:szCs w:val="22"/>
                <w:rtl/>
              </w:rPr>
              <w:t>מנהל תחום חברתי</w:t>
            </w:r>
          </w:p>
          <w:p w:rsidR="00DC5B13" w:rsidRPr="00DC5B13" w:rsidP="00C34B23">
            <w:pPr>
              <w:spacing w:line="269" w:lineRule="auto"/>
              <w:jc w:val="left"/>
              <w:rPr>
                <w:rFonts w:eastAsia="Calibri"/>
                <w:sz w:val="18"/>
                <w:szCs w:val="22"/>
                <w:rtl/>
              </w:rPr>
            </w:pPr>
            <w:r w:rsidRPr="00DC5B13">
              <w:rPr>
                <w:rFonts w:eastAsia="Calibri" w:hint="cs"/>
                <w:sz w:val="18"/>
                <w:szCs w:val="22"/>
                <w:rtl/>
              </w:rPr>
              <w:t>מנהלת מיזמים</w:t>
            </w:r>
          </w:p>
        </w:tc>
      </w:tr>
    </w:tbl>
    <w:p w:rsidR="00DC5B13" w:rsidRPr="00DC5B13" w:rsidP="00C34B23">
      <w:pPr>
        <w:spacing w:line="269" w:lineRule="auto"/>
        <w:rPr>
          <w:rFonts w:eastAsia="Calibri"/>
          <w:sz w:val="16"/>
          <w:szCs w:val="20"/>
          <w:rtl/>
        </w:rPr>
      </w:pPr>
      <w:r w:rsidRPr="00DC5B13">
        <w:rPr>
          <w:rFonts w:eastAsia="Calibri" w:hint="cs"/>
          <w:sz w:val="16"/>
          <w:szCs w:val="20"/>
          <w:rtl/>
        </w:rPr>
        <w:t xml:space="preserve"> </w:t>
      </w:r>
      <w:r w:rsidRPr="00DC5B13">
        <w:rPr>
          <w:rFonts w:eastAsia="Calibri" w:hint="eastAsia"/>
          <w:sz w:val="16"/>
          <w:szCs w:val="20"/>
          <w:rtl/>
        </w:rPr>
        <w:t>על</w:t>
      </w:r>
      <w:r w:rsidRPr="00DC5B13">
        <w:rPr>
          <w:rFonts w:eastAsia="Calibri"/>
          <w:sz w:val="16"/>
          <w:szCs w:val="20"/>
          <w:rtl/>
        </w:rPr>
        <w:t xml:space="preserve"> </w:t>
      </w:r>
      <w:r w:rsidRPr="00DC5B13">
        <w:rPr>
          <w:rFonts w:eastAsia="Calibri" w:hint="eastAsia"/>
          <w:sz w:val="16"/>
          <w:szCs w:val="20"/>
          <w:rtl/>
        </w:rPr>
        <w:t>פי</w:t>
      </w:r>
      <w:r w:rsidRPr="00DC5B13">
        <w:rPr>
          <w:rFonts w:eastAsia="Calibri"/>
          <w:sz w:val="16"/>
          <w:szCs w:val="20"/>
          <w:rtl/>
        </w:rPr>
        <w:t xml:space="preserve"> </w:t>
      </w:r>
      <w:r w:rsidRPr="00DC5B13">
        <w:rPr>
          <w:rFonts w:eastAsia="Calibri" w:hint="eastAsia"/>
          <w:sz w:val="16"/>
          <w:szCs w:val="20"/>
          <w:rtl/>
        </w:rPr>
        <w:t>נתוני</w:t>
      </w:r>
      <w:r w:rsidRPr="00DC5B13">
        <w:rPr>
          <w:rFonts w:eastAsia="Calibri"/>
          <w:sz w:val="16"/>
          <w:szCs w:val="20"/>
          <w:rtl/>
        </w:rPr>
        <w:t xml:space="preserve"> </w:t>
      </w:r>
      <w:r w:rsidRPr="00DC5B13">
        <w:rPr>
          <w:rFonts w:eastAsia="Calibri" w:hint="eastAsia"/>
          <w:sz w:val="16"/>
          <w:szCs w:val="20"/>
          <w:rtl/>
        </w:rPr>
        <w:t>הרשות</w:t>
      </w:r>
      <w:r w:rsidRPr="00DC5B13">
        <w:rPr>
          <w:rFonts w:eastAsia="Calibri"/>
          <w:sz w:val="16"/>
          <w:szCs w:val="20"/>
          <w:rtl/>
        </w:rPr>
        <w:t xml:space="preserve"> </w:t>
      </w:r>
      <w:r w:rsidRPr="00DC5B13">
        <w:rPr>
          <w:rFonts w:eastAsia="Calibri" w:hint="eastAsia"/>
          <w:sz w:val="16"/>
          <w:szCs w:val="20"/>
          <w:rtl/>
        </w:rPr>
        <w:t>להתחדשות</w:t>
      </w:r>
      <w:r w:rsidRPr="00DC5B13">
        <w:rPr>
          <w:rFonts w:eastAsia="Calibri"/>
          <w:sz w:val="16"/>
          <w:szCs w:val="20"/>
          <w:rtl/>
        </w:rPr>
        <w:t xml:space="preserve"> </w:t>
      </w:r>
      <w:r w:rsidRPr="00DC5B13">
        <w:rPr>
          <w:rFonts w:eastAsia="Calibri" w:hint="eastAsia"/>
          <w:sz w:val="16"/>
          <w:szCs w:val="20"/>
          <w:rtl/>
        </w:rPr>
        <w:t>והרשויות</w:t>
      </w:r>
      <w:r w:rsidRPr="00DC5B13">
        <w:rPr>
          <w:rFonts w:eastAsia="Calibri"/>
          <w:sz w:val="16"/>
          <w:szCs w:val="20"/>
          <w:rtl/>
        </w:rPr>
        <w:t xml:space="preserve"> </w:t>
      </w:r>
      <w:r w:rsidRPr="00DC5B13">
        <w:rPr>
          <w:rFonts w:eastAsia="Calibri" w:hint="eastAsia"/>
          <w:sz w:val="16"/>
          <w:szCs w:val="20"/>
          <w:rtl/>
        </w:rPr>
        <w:t>שנבדקו</w:t>
      </w:r>
      <w:r w:rsidRPr="00DC5B13">
        <w:rPr>
          <w:rFonts w:eastAsia="Calibri"/>
          <w:sz w:val="16"/>
          <w:szCs w:val="20"/>
          <w:rtl/>
        </w:rPr>
        <w:t xml:space="preserve">, </w:t>
      </w:r>
      <w:r w:rsidRPr="00DC5B13">
        <w:rPr>
          <w:rFonts w:eastAsia="Calibri" w:hint="eastAsia"/>
          <w:sz w:val="16"/>
          <w:szCs w:val="20"/>
          <w:rtl/>
        </w:rPr>
        <w:t>בעיבוד</w:t>
      </w:r>
      <w:r w:rsidRPr="00DC5B13">
        <w:rPr>
          <w:rFonts w:eastAsia="Calibri"/>
          <w:sz w:val="16"/>
          <w:szCs w:val="20"/>
          <w:rtl/>
        </w:rPr>
        <w:t xml:space="preserve"> </w:t>
      </w:r>
      <w:r w:rsidRPr="00DC5B13">
        <w:rPr>
          <w:rFonts w:eastAsia="Calibri" w:hint="eastAsia"/>
          <w:sz w:val="16"/>
          <w:szCs w:val="20"/>
          <w:rtl/>
        </w:rPr>
        <w:t>משרד</w:t>
      </w:r>
      <w:r w:rsidRPr="00DC5B13">
        <w:rPr>
          <w:rFonts w:eastAsia="Calibri"/>
          <w:sz w:val="16"/>
          <w:szCs w:val="20"/>
          <w:rtl/>
        </w:rPr>
        <w:t xml:space="preserve"> </w:t>
      </w:r>
      <w:r w:rsidRPr="00DC5B13">
        <w:rPr>
          <w:rFonts w:eastAsia="Calibri" w:hint="eastAsia"/>
          <w:sz w:val="16"/>
          <w:szCs w:val="20"/>
          <w:rtl/>
        </w:rPr>
        <w:t>מבקר</w:t>
      </w:r>
      <w:r w:rsidRPr="00DC5B13">
        <w:rPr>
          <w:rFonts w:eastAsia="Calibri"/>
          <w:sz w:val="16"/>
          <w:szCs w:val="20"/>
          <w:rtl/>
        </w:rPr>
        <w:t xml:space="preserve"> </w:t>
      </w:r>
      <w:r w:rsidRPr="00DC5B13">
        <w:rPr>
          <w:rFonts w:eastAsia="Calibri" w:hint="eastAsia"/>
          <w:sz w:val="16"/>
          <w:szCs w:val="20"/>
          <w:rtl/>
        </w:rPr>
        <w:t>המדינה</w:t>
      </w:r>
      <w:r w:rsidRPr="00DC5B13">
        <w:rPr>
          <w:rFonts w:eastAsia="Calibri"/>
          <w:sz w:val="16"/>
          <w:szCs w:val="20"/>
          <w:rtl/>
        </w:rPr>
        <w:t>.</w:t>
      </w:r>
    </w:p>
    <w:p w:rsidR="00DC5B13" w:rsidRPr="00DC5B13" w:rsidP="00C34B23">
      <w:pPr>
        <w:spacing w:line="269" w:lineRule="auto"/>
        <w:rPr>
          <w:rFonts w:eastAsia="Calibri"/>
          <w:sz w:val="16"/>
          <w:rtl/>
        </w:rPr>
      </w:pPr>
      <w:r w:rsidRPr="00DC5B13">
        <w:rPr>
          <w:rFonts w:eastAsia="Calibri"/>
          <w:sz w:val="16"/>
          <w:szCs w:val="20"/>
          <w:rtl/>
        </w:rPr>
        <w:t xml:space="preserve">* </w:t>
      </w:r>
      <w:r w:rsidRPr="00DC5B13">
        <w:rPr>
          <w:rFonts w:eastAsia="Calibri" w:hint="eastAsia"/>
          <w:sz w:val="16"/>
          <w:szCs w:val="20"/>
          <w:rtl/>
        </w:rPr>
        <w:t>למעט</w:t>
      </w:r>
      <w:r w:rsidRPr="00DC5B13">
        <w:rPr>
          <w:rFonts w:eastAsia="Calibri"/>
          <w:sz w:val="16"/>
          <w:szCs w:val="20"/>
          <w:rtl/>
        </w:rPr>
        <w:t xml:space="preserve"> </w:t>
      </w:r>
      <w:r w:rsidRPr="00DC5B13">
        <w:rPr>
          <w:rFonts w:eastAsia="Calibri" w:hint="eastAsia"/>
          <w:sz w:val="16"/>
          <w:szCs w:val="20"/>
          <w:rtl/>
        </w:rPr>
        <w:t>עיריית</w:t>
      </w:r>
      <w:r w:rsidRPr="00DC5B13">
        <w:rPr>
          <w:rFonts w:eastAsia="Calibri"/>
          <w:sz w:val="16"/>
          <w:szCs w:val="20"/>
          <w:rtl/>
        </w:rPr>
        <w:t xml:space="preserve"> </w:t>
      </w:r>
      <w:r w:rsidRPr="00DC5B13">
        <w:rPr>
          <w:rFonts w:eastAsia="Calibri" w:hint="eastAsia"/>
          <w:sz w:val="16"/>
          <w:szCs w:val="20"/>
          <w:rtl/>
        </w:rPr>
        <w:t>רעננה</w:t>
      </w:r>
      <w:r w:rsidRPr="00DC5B13">
        <w:rPr>
          <w:rFonts w:eastAsia="Calibri"/>
          <w:sz w:val="16"/>
          <w:szCs w:val="20"/>
          <w:rtl/>
        </w:rPr>
        <w:t xml:space="preserve">, </w:t>
      </w:r>
      <w:r w:rsidRPr="00DC5B13">
        <w:rPr>
          <w:rFonts w:eastAsia="Calibri" w:hint="cs"/>
          <w:sz w:val="16"/>
          <w:szCs w:val="20"/>
          <w:rtl/>
        </w:rPr>
        <w:t>ש</w:t>
      </w:r>
      <w:r w:rsidRPr="00DC5B13">
        <w:rPr>
          <w:rFonts w:eastAsia="Calibri" w:hint="eastAsia"/>
          <w:sz w:val="16"/>
          <w:szCs w:val="20"/>
          <w:rtl/>
        </w:rPr>
        <w:t>בה</w:t>
      </w:r>
      <w:r w:rsidRPr="00DC5B13">
        <w:rPr>
          <w:rFonts w:eastAsia="Calibri"/>
          <w:sz w:val="16"/>
          <w:szCs w:val="20"/>
          <w:rtl/>
        </w:rPr>
        <w:t xml:space="preserve"> </w:t>
      </w:r>
      <w:r w:rsidRPr="00DC5B13">
        <w:rPr>
          <w:rFonts w:eastAsia="Calibri" w:hint="eastAsia"/>
          <w:sz w:val="16"/>
          <w:szCs w:val="20"/>
          <w:rtl/>
        </w:rPr>
        <w:t>לא</w:t>
      </w:r>
      <w:r w:rsidRPr="00DC5B13">
        <w:rPr>
          <w:rFonts w:eastAsia="Calibri"/>
          <w:sz w:val="16"/>
          <w:szCs w:val="20"/>
          <w:rtl/>
        </w:rPr>
        <w:t xml:space="preserve"> </w:t>
      </w:r>
      <w:r w:rsidRPr="00DC5B13">
        <w:rPr>
          <w:rFonts w:eastAsia="Calibri" w:hint="eastAsia"/>
          <w:sz w:val="16"/>
          <w:szCs w:val="20"/>
          <w:rtl/>
        </w:rPr>
        <w:t>הוקמה</w:t>
      </w:r>
      <w:r w:rsidRPr="00DC5B13">
        <w:rPr>
          <w:rFonts w:eastAsia="Calibri"/>
          <w:sz w:val="16"/>
          <w:szCs w:val="20"/>
          <w:rtl/>
        </w:rPr>
        <w:t xml:space="preserve"> </w:t>
      </w:r>
      <w:r w:rsidRPr="00DC5B13">
        <w:rPr>
          <w:rFonts w:eastAsia="Calibri" w:hint="eastAsia"/>
          <w:sz w:val="16"/>
          <w:szCs w:val="20"/>
          <w:rtl/>
        </w:rPr>
        <w:t>מינהלת</w:t>
      </w:r>
      <w:r w:rsidRPr="00DC5B13">
        <w:rPr>
          <w:rFonts w:eastAsia="Calibri"/>
          <w:sz w:val="16"/>
          <w:szCs w:val="20"/>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מהלוח עולה כי בכל המינהלות ברשויות שנבדקו - לוד, נתניה, קריית ים וקריית שמונה - מועסקים שלושת בעלי התפקידים המרכזיים המוזכרים בקול קורא 7/2022 - מנהל מינהלת, מנהל תחום תכנון ומנהל תחום חברתי. המינהלת בלוד היא הגדולה מבין המינהלות ברשויות שנבדקו והיחידה שבה מועסקת כלכלנית. במינהלות של לוד ושל נתניה מועסק מנהל מיזמים, </w:t>
      </w:r>
      <w:r w:rsidRPr="00DC5B13">
        <w:rPr>
          <w:rFonts w:eastAsia="Calibri" w:hint="cs"/>
          <w:b/>
          <w:bCs/>
          <w:rtl/>
        </w:rPr>
        <w:t xml:space="preserve">במינהלת קריית שמונה הועסקה מנהלת מיזמים באופן זמני, ובקריית ים לא הועסק מנהל מיזמים. עוד עלה כי למנהלי המיזמים חלק משמעותי </w:t>
      </w:r>
      <w:r w:rsidRPr="00DC5B13">
        <w:rPr>
          <w:rFonts w:eastAsia="Calibri" w:hint="eastAsia"/>
          <w:b/>
          <w:bCs/>
          <w:rtl/>
        </w:rPr>
        <w:t>ב</w:t>
      </w:r>
      <w:r w:rsidRPr="00DC5B13">
        <w:rPr>
          <w:rFonts w:eastAsia="Calibri"/>
          <w:b/>
          <w:bCs/>
          <w:rtl/>
        </w:rPr>
        <w:t xml:space="preserve">זיהוי חסמים </w:t>
      </w:r>
      <w:r w:rsidRPr="00DC5B13">
        <w:rPr>
          <w:rFonts w:eastAsia="Calibri" w:hint="cs"/>
          <w:b/>
          <w:bCs/>
          <w:rtl/>
        </w:rPr>
        <w:t xml:space="preserve">לשם </w:t>
      </w:r>
      <w:r w:rsidRPr="00DC5B13">
        <w:rPr>
          <w:rFonts w:eastAsia="Calibri"/>
          <w:b/>
          <w:bCs/>
          <w:rtl/>
        </w:rPr>
        <w:t xml:space="preserve">קידום </w:t>
      </w:r>
      <w:r w:rsidRPr="00DC5B13">
        <w:rPr>
          <w:rFonts w:eastAsia="Calibri" w:hint="cs"/>
          <w:b/>
          <w:bCs/>
          <w:rtl/>
        </w:rPr>
        <w:t>ה</w:t>
      </w:r>
      <w:r w:rsidRPr="00DC5B13">
        <w:rPr>
          <w:rFonts w:eastAsia="Calibri"/>
          <w:b/>
          <w:bCs/>
          <w:rtl/>
        </w:rPr>
        <w:t>מיזמים להתחדשות עירונית ו</w:t>
      </w:r>
      <w:r w:rsidRPr="00DC5B13">
        <w:rPr>
          <w:rFonts w:eastAsia="Calibri" w:hint="eastAsia"/>
          <w:b/>
          <w:bCs/>
          <w:rtl/>
        </w:rPr>
        <w:t>בנקיטת</w:t>
      </w:r>
      <w:r w:rsidRPr="00DC5B13">
        <w:rPr>
          <w:rFonts w:eastAsia="Calibri"/>
          <w:b/>
          <w:bCs/>
          <w:rtl/>
        </w:rPr>
        <w:t xml:space="preserve"> </w:t>
      </w:r>
      <w:r w:rsidRPr="00DC5B13">
        <w:rPr>
          <w:rFonts w:eastAsia="Calibri" w:hint="eastAsia"/>
          <w:b/>
          <w:bCs/>
          <w:rtl/>
        </w:rPr>
        <w:t>פעולות</w:t>
      </w:r>
      <w:r w:rsidRPr="00DC5B13">
        <w:rPr>
          <w:rFonts w:eastAsia="Calibri"/>
          <w:b/>
          <w:bCs/>
          <w:rtl/>
        </w:rPr>
        <w:t xml:space="preserve"> להסרתם</w:t>
      </w:r>
      <w:r w:rsidRPr="00DC5B13">
        <w:rPr>
          <w:rFonts w:eastAsia="Calibri" w:hint="cs"/>
          <w:b/>
          <w:b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משרד מבקר המדינה ממליץ לעיריות קריית ים וקריית שמונה להעסיק במינהלת מנהלי מיזמים קבועים. </w:t>
      </w:r>
    </w:p>
    <w:p w:rsidR="00DC5B13" w:rsidRPr="00DC5B13" w:rsidP="00C34B23">
      <w:pPr>
        <w:spacing w:line="269" w:lineRule="auto"/>
        <w:ind w:left="-567"/>
        <w:rPr>
          <w:rFonts w:eastAsia="Calibri"/>
          <w:szCs w:val="20"/>
          <w:rtl/>
        </w:rPr>
      </w:pPr>
    </w:p>
    <w:p w:rsid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קריית ים</w:t>
      </w:r>
      <w:r w:rsidRPr="00DC5B13">
        <w:rPr>
          <w:rFonts w:eastAsia="Calibri" w:hint="cs"/>
          <w:rtl/>
        </w:rPr>
        <w:t xml:space="preserve"> מסרה בתשובתה לפניית משרד מבקר המדינה ממרץ 2026 כי בשל היותה בתוכנית הבראה, חלות עליה מגבלות שכר ואיוש תקנים.</w:t>
      </w:r>
    </w:p>
    <w:p w:rsidR="00037943" w:rsidRPr="00DC5B13" w:rsidP="00C34B23">
      <w:pPr>
        <w:spacing w:line="269" w:lineRule="auto"/>
        <w:rPr>
          <w:rFonts w:eastAsia="Calibri"/>
          <w:rtl/>
        </w:rPr>
      </w:pPr>
    </w:p>
    <w:p w:rsidR="00DC5B13" w:rsidRPr="00DC5B13" w:rsidP="00C34B23">
      <w:pPr>
        <w:spacing w:line="269" w:lineRule="auto"/>
        <w:rPr>
          <w:rFonts w:eastAsia="Calibri"/>
          <w:b/>
          <w:bCs/>
          <w:rtl/>
        </w:rPr>
      </w:pPr>
      <w:r w:rsidRPr="00DC5B13">
        <w:rPr>
          <w:rFonts w:eastAsia="Calibri" w:hint="cs"/>
          <w:b/>
          <w:bCs/>
          <w:rtl/>
        </w:rPr>
        <w:t xml:space="preserve">עוד ממליץ משרד מבקר המדינה לרשות להתחדשות לעודד את המינהלות להעסיק מנהלי מיזמים לשם סיוע בפתרון בעיות לוגיסטיות ולהסרת החסמים העולים לאורך התהליך. </w:t>
      </w:r>
    </w:p>
    <w:p w:rsidR="00DC5B13" w:rsidRPr="00DC5B13" w:rsidP="00C34B23">
      <w:pPr>
        <w:spacing w:line="269" w:lineRule="auto"/>
        <w:rPr>
          <w:rFonts w:eastAsia="Calibri"/>
          <w:rtl/>
        </w:rPr>
      </w:pPr>
    </w:p>
    <w:p w:rsidR="00DC5B13" w:rsidRPr="00DC5B13" w:rsidP="00C34B23">
      <w:pPr>
        <w:keepNext/>
        <w:keepLines/>
        <w:spacing w:line="269" w:lineRule="auto"/>
        <w:outlineLvl w:val="3"/>
        <w:rPr>
          <w:rFonts w:eastAsia="Times New Roman"/>
          <w:bCs/>
          <w:szCs w:val="26"/>
          <w:rtl/>
        </w:rPr>
      </w:pPr>
      <w:r w:rsidRPr="00DC5B13">
        <w:rPr>
          <w:rFonts w:eastAsia="Times New Roman" w:hint="cs"/>
          <w:bCs/>
          <w:szCs w:val="26"/>
          <w:rtl/>
        </w:rPr>
        <w:t xml:space="preserve">תפקידי המינהלות העירוניות ופעילותן </w:t>
      </w:r>
    </w:p>
    <w:p w:rsidR="00DC5B13" w:rsidRPr="00DC5B13" w:rsidP="00C34B23">
      <w:pPr>
        <w:spacing w:line="269" w:lineRule="auto"/>
        <w:rPr>
          <w:rFonts w:eastAsia="Calibri"/>
          <w:szCs w:val="20"/>
          <w:rtl/>
        </w:rPr>
      </w:pPr>
    </w:p>
    <w:p w:rsidR="00DC5B13" w:rsidP="00C34B23">
      <w:pPr>
        <w:spacing w:line="269" w:lineRule="auto"/>
        <w:rPr>
          <w:rFonts w:eastAsia="Times New Roman"/>
          <w:bCs/>
          <w:spacing w:val="40"/>
          <w:rtl/>
        </w:rPr>
      </w:pPr>
      <w:r w:rsidRPr="00DC5B13">
        <w:rPr>
          <w:rFonts w:eastAsia="Calibri" w:hint="cs"/>
          <w:rtl/>
        </w:rPr>
        <w:t xml:space="preserve">להלן יפורטו פעילויותיהן של המינהלות העירוניות ברשויות שנבדקו לקידום התחדשות עירונית וכן פעילותה של עיריית </w:t>
      </w:r>
      <w:r w:rsidRPr="00DC5B13">
        <w:rPr>
          <w:rFonts w:eastAsia="Calibri" w:hint="eastAsia"/>
          <w:rtl/>
        </w:rPr>
        <w:t>רעננה</w:t>
      </w:r>
      <w:r w:rsidRPr="00DC5B13">
        <w:rPr>
          <w:rFonts w:eastAsia="Calibri" w:hint="cs"/>
          <w:rtl/>
        </w:rPr>
        <w:t xml:space="preserve"> לקידום התחדשות עירונית בהיעדר מינהלת. נאספו והושוו נתונים משלושה מקורות שונים: לוח המחוונים להתחדשות עירונית באתר המרשתת של משרד השיכון, מידע שנמסר מהרשות להתחדשות עירונית ומידע שנמסר מהרשויות שנבדקו. על בסיס המידע שהתקבל חושב יחס יח"ד הקיימות והמוצעות שהיו מעורבות בתוכניות התחדשות עירונית ביחס למספר התושבים בכל רשות שנבדקה.</w:t>
      </w:r>
    </w:p>
    <w:p w:rsidR="001E5EE6" w:rsidRPr="00DC5B13" w:rsidP="00C34B23">
      <w:pPr>
        <w:spacing w:line="269" w:lineRule="auto"/>
        <w:rPr>
          <w:rFonts w:eastAsia="Times New Roman"/>
          <w:bCs/>
          <w:spacing w:val="40"/>
          <w:rtl/>
        </w:rPr>
      </w:pPr>
    </w:p>
    <w:p w:rsidR="00DC5B13" w:rsidRPr="00DC5B13" w:rsidP="00C34B23">
      <w:pPr>
        <w:keepNext/>
        <w:keepLines/>
        <w:spacing w:line="269" w:lineRule="auto"/>
        <w:outlineLvl w:val="4"/>
        <w:rPr>
          <w:rFonts w:eastAsia="Times New Roman"/>
          <w:bCs/>
          <w:spacing w:val="40"/>
          <w:rtl/>
        </w:rPr>
      </w:pPr>
      <w:r w:rsidRPr="00DC5B13">
        <w:rPr>
          <w:rFonts w:eastAsia="Times New Roman" w:hint="cs"/>
          <w:bCs/>
          <w:spacing w:val="40"/>
          <w:rtl/>
        </w:rPr>
        <w:t>לוד</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המינהלת העירונית בלוד (להלן - המינהלת בלוד), המכונה "המבואה", הוקמה בפברואר 2017 בכפיפות לחברה הכלכלית לפיתוח העיר לוד (להלן - החכ"ל) בעקבות זכיית העירייה בקול קורא 4/2016. </w:t>
      </w:r>
      <w:bookmarkStart w:id="28" w:name="_Hlk216105183"/>
      <w:r w:rsidRPr="00DC5B13">
        <w:rPr>
          <w:rFonts w:eastAsia="Calibri" w:hint="cs"/>
          <w:rtl/>
        </w:rPr>
        <w:t>מאז הקמתה בשנת 2017 ועד חודש מאי 2025 עסקה המינהלת בין היתר בקידומם של מתחמי התחדשות עירונית בעיר, שבהם אמורות להיבנות 25,000 - 46,000 יח"ד, כמפורט בלוח שלהלן</w:t>
      </w:r>
      <w:bookmarkEnd w:id="28"/>
      <w:r w:rsidRPr="00DC5B13">
        <w:rPr>
          <w:rFonts w:eastAsia="Calibri" w:hint="cs"/>
          <w:rtl/>
        </w:rPr>
        <w:t>.</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rtl/>
        </w:rPr>
      </w:pPr>
      <w:r w:rsidRPr="00DC5B13">
        <w:rPr>
          <w:rFonts w:ascii="David" w:eastAsia="Calibri" w:hAnsi="David"/>
          <w:sz w:val="24"/>
          <w:rtl/>
        </w:rPr>
        <w:t xml:space="preserve">לוח </w:t>
      </w:r>
      <w:r w:rsidRPr="00DC5B13">
        <w:rPr>
          <w:rFonts w:ascii="David" w:eastAsia="Calibri" w:hAnsi="David" w:hint="cs"/>
          <w:sz w:val="24"/>
          <w:rtl/>
        </w:rPr>
        <w:t>7</w:t>
      </w:r>
      <w:r w:rsidRPr="00DC5B13">
        <w:rPr>
          <w:rFonts w:ascii="David" w:eastAsia="Calibri" w:hAnsi="David"/>
          <w:sz w:val="24"/>
          <w:rtl/>
        </w:rPr>
        <w:t>:</w:t>
      </w:r>
      <w:r w:rsidRPr="00DC5B13">
        <w:rPr>
          <w:rFonts w:eastAsia="Calibri"/>
          <w:b/>
          <w:bCs/>
          <w:rtl/>
        </w:rPr>
        <w:t xml:space="preserve"> </w:t>
      </w:r>
      <w:r w:rsidRPr="00DC5B13">
        <w:rPr>
          <w:rFonts w:eastAsia="Calibri" w:hint="cs"/>
          <w:b/>
          <w:bCs/>
          <w:rtl/>
        </w:rPr>
        <w:t>מספר יחידות הדיור בהתחדשות מתחמית בלוד, 2025</w:t>
      </w:r>
    </w:p>
    <w:tbl>
      <w:tblPr>
        <w:bidiVisual/>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949"/>
        <w:gridCol w:w="1626"/>
        <w:gridCol w:w="1594"/>
        <w:gridCol w:w="1583"/>
        <w:gridCol w:w="1458"/>
      </w:tblGrid>
      <w:tr w:rsidTr="00DC5B13">
        <w:tblPrEx>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Ex>
        <w:trPr>
          <w:trHeight w:val="550"/>
          <w:jc w:val="center"/>
        </w:trPr>
        <w:tc>
          <w:tcPr>
            <w:tcW w:w="1187" w:type="pct"/>
            <w:vMerge w:val="restart"/>
            <w:shd w:val="clear" w:color="000000" w:fill="4F81BD"/>
          </w:tcPr>
          <w:p w:rsidR="00DC5B13" w:rsidRPr="00DC5B13" w:rsidP="00C34B23">
            <w:pPr>
              <w:spacing w:line="269" w:lineRule="auto"/>
              <w:jc w:val="center"/>
              <w:rPr>
                <w:rFonts w:ascii="David" w:eastAsia="Times New Roman" w:hAnsi="David"/>
                <w:b/>
                <w:bCs/>
                <w:color w:val="FFFFFF"/>
                <w:sz w:val="22"/>
                <w:szCs w:val="22"/>
                <w:rtl/>
              </w:rPr>
            </w:pPr>
          </w:p>
        </w:tc>
        <w:tc>
          <w:tcPr>
            <w:tcW w:w="1961" w:type="pct"/>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התכנון</w:t>
            </w:r>
          </w:p>
        </w:tc>
        <w:tc>
          <w:tcPr>
            <w:tcW w:w="1852" w:type="pct"/>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הרישוי</w:t>
            </w:r>
          </w:p>
        </w:tc>
      </w:tr>
      <w:tr w:rsidTr="00DC5B13">
        <w:tblPrEx>
          <w:tblW w:w="5000" w:type="pct"/>
          <w:jc w:val="center"/>
          <w:tblLook w:val="04A0"/>
        </w:tblPrEx>
        <w:trPr>
          <w:trHeight w:val="550"/>
          <w:jc w:val="center"/>
        </w:trPr>
        <w:tc>
          <w:tcPr>
            <w:tcW w:w="1187" w:type="pct"/>
            <w:vMerge/>
            <w:shd w:val="clear" w:color="000000" w:fill="4F81BD"/>
          </w:tcPr>
          <w:p w:rsidR="00DC5B13" w:rsidRPr="00DC5B13" w:rsidP="00C34B23">
            <w:pPr>
              <w:spacing w:line="269" w:lineRule="auto"/>
              <w:jc w:val="center"/>
              <w:rPr>
                <w:rFonts w:ascii="David" w:eastAsia="Times New Roman" w:hAnsi="David"/>
                <w:color w:val="FFFFFF"/>
                <w:sz w:val="22"/>
                <w:szCs w:val="22"/>
                <w:rtl/>
              </w:rPr>
            </w:pPr>
          </w:p>
        </w:tc>
        <w:tc>
          <w:tcPr>
            <w:tcW w:w="990"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 xml:space="preserve">יח"ד במצב הקיים </w:t>
            </w:r>
          </w:p>
        </w:tc>
        <w:tc>
          <w:tcPr>
            <w:tcW w:w="971"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יח"ד במצב המוצע</w:t>
            </w:r>
          </w:p>
        </w:tc>
        <w:tc>
          <w:tcPr>
            <w:tcW w:w="964"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 xml:space="preserve">יח"ד במצב הקיים </w:t>
            </w:r>
          </w:p>
        </w:tc>
        <w:tc>
          <w:tcPr>
            <w:tcW w:w="888"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יח"ד במצב המוצע</w:t>
            </w:r>
          </w:p>
        </w:tc>
      </w:tr>
      <w:tr w:rsidTr="00DC5B13">
        <w:tblPrEx>
          <w:tblW w:w="5000" w:type="pct"/>
          <w:jc w:val="center"/>
          <w:tblLook w:val="04A0"/>
        </w:tblPrEx>
        <w:trPr>
          <w:trHeight w:val="550"/>
          <w:jc w:val="center"/>
        </w:trPr>
        <w:tc>
          <w:tcPr>
            <w:tcW w:w="1187" w:type="pct"/>
            <w:shd w:val="clear" w:color="auto" w:fill="4F81BD"/>
          </w:tcPr>
          <w:p w:rsidR="00DC5B13" w:rsidRPr="00DC5B13" w:rsidP="00C34B23">
            <w:pPr>
              <w:spacing w:line="269" w:lineRule="auto"/>
              <w:jc w:val="left"/>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לוח המחוונים באתר המרשתת של משרד השיכון</w:t>
            </w:r>
          </w:p>
        </w:tc>
        <w:tc>
          <w:tcPr>
            <w:tcW w:w="990"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1,825</w:t>
            </w:r>
          </w:p>
        </w:tc>
        <w:tc>
          <w:tcPr>
            <w:tcW w:w="971"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5,487</w:t>
            </w:r>
          </w:p>
        </w:tc>
        <w:tc>
          <w:tcPr>
            <w:tcW w:w="964"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3,911</w:t>
            </w:r>
          </w:p>
        </w:tc>
        <w:tc>
          <w:tcPr>
            <w:tcW w:w="888"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19,263</w:t>
            </w:r>
          </w:p>
        </w:tc>
      </w:tr>
      <w:tr w:rsidTr="00DC5B13">
        <w:tblPrEx>
          <w:tblW w:w="5000" w:type="pct"/>
          <w:jc w:val="center"/>
          <w:tblLook w:val="04A0"/>
        </w:tblPrEx>
        <w:trPr>
          <w:trHeight w:val="550"/>
          <w:jc w:val="center"/>
        </w:trPr>
        <w:tc>
          <w:tcPr>
            <w:tcW w:w="1187" w:type="pct"/>
            <w:shd w:val="clear" w:color="auto" w:fill="4F81BD"/>
          </w:tcPr>
          <w:p w:rsidR="00DC5B13" w:rsidRPr="00DC5B13" w:rsidP="00C34B23">
            <w:pPr>
              <w:spacing w:line="269" w:lineRule="auto"/>
              <w:jc w:val="left"/>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 הרשות להתחדשות</w:t>
            </w:r>
          </w:p>
        </w:tc>
        <w:tc>
          <w:tcPr>
            <w:tcW w:w="990"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0</w:t>
            </w:r>
          </w:p>
        </w:tc>
        <w:tc>
          <w:tcPr>
            <w:tcW w:w="971"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0</w:t>
            </w:r>
          </w:p>
        </w:tc>
        <w:tc>
          <w:tcPr>
            <w:tcW w:w="964"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3,911</w:t>
            </w:r>
          </w:p>
        </w:tc>
        <w:tc>
          <w:tcPr>
            <w:tcW w:w="888"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18,783</w:t>
            </w:r>
          </w:p>
        </w:tc>
      </w:tr>
      <w:tr w:rsidTr="00DC5B13">
        <w:tblPrEx>
          <w:tblW w:w="5000" w:type="pct"/>
          <w:jc w:val="center"/>
          <w:tblLook w:val="04A0"/>
        </w:tblPrEx>
        <w:trPr>
          <w:trHeight w:val="550"/>
          <w:jc w:val="center"/>
        </w:trPr>
        <w:tc>
          <w:tcPr>
            <w:tcW w:w="1187" w:type="pct"/>
            <w:shd w:val="clear" w:color="auto" w:fill="4F81BD"/>
          </w:tcPr>
          <w:p w:rsidR="00DC5B13" w:rsidRPr="00DC5B13" w:rsidP="00C34B23">
            <w:pPr>
              <w:spacing w:line="269" w:lineRule="auto"/>
              <w:jc w:val="left"/>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נתונים שהתקבלו מהרשויות שנבדקו</w:t>
            </w:r>
          </w:p>
        </w:tc>
        <w:tc>
          <w:tcPr>
            <w:tcW w:w="990"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7,552</w:t>
            </w:r>
          </w:p>
        </w:tc>
        <w:tc>
          <w:tcPr>
            <w:tcW w:w="971"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45,942*</w:t>
            </w:r>
          </w:p>
        </w:tc>
        <w:tc>
          <w:tcPr>
            <w:tcW w:w="964"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500**</w:t>
            </w:r>
          </w:p>
        </w:tc>
        <w:tc>
          <w:tcPr>
            <w:tcW w:w="888"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2,957***</w:t>
            </w:r>
          </w:p>
        </w:tc>
      </w:tr>
    </w:tbl>
    <w:p w:rsidR="00DC5B13" w:rsidRPr="00DC5B13" w:rsidP="00C34B23">
      <w:pPr>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נתוני</w:t>
      </w:r>
      <w:r w:rsidRPr="00DC5B13">
        <w:rPr>
          <w:rFonts w:eastAsia="Calibri"/>
          <w:szCs w:val="20"/>
          <w:rtl/>
        </w:rPr>
        <w:t xml:space="preserve"> משרד השיכון והבינוי </w:t>
      </w:r>
      <w:r w:rsidRPr="00DC5B13">
        <w:rPr>
          <w:rFonts w:eastAsia="Calibri" w:hint="eastAsia"/>
          <w:szCs w:val="20"/>
          <w:rtl/>
        </w:rPr>
        <w:t>ממאי</w:t>
      </w:r>
      <w:r w:rsidRPr="00DC5B13">
        <w:rPr>
          <w:rFonts w:eastAsia="Calibri"/>
          <w:szCs w:val="20"/>
          <w:rtl/>
        </w:rPr>
        <w:t xml:space="preserve"> 2025, </w:t>
      </w:r>
      <w:hyperlink r:id="rId37" w:history="1">
        <w:r w:rsidRPr="00DC5B13">
          <w:rPr>
            <w:rFonts w:eastAsia="Calibri" w:hint="eastAsia"/>
            <w:szCs w:val="20"/>
            <w:rtl/>
          </w:rPr>
          <w:t>הרשות</w:t>
        </w:r>
        <w:r w:rsidRPr="00DC5B13">
          <w:rPr>
            <w:rFonts w:eastAsia="Calibri"/>
            <w:szCs w:val="20"/>
            <w:rtl/>
          </w:rPr>
          <w:t xml:space="preserve"> להתחדשות </w:t>
        </w:r>
        <w:r w:rsidRPr="00DC5B13">
          <w:rPr>
            <w:rFonts w:eastAsia="Calibri" w:hint="eastAsia"/>
            <w:szCs w:val="20"/>
            <w:rtl/>
          </w:rPr>
          <w:t>מיולי</w:t>
        </w:r>
        <w:r w:rsidRPr="00DC5B13">
          <w:rPr>
            <w:rFonts w:eastAsia="Calibri"/>
            <w:szCs w:val="20"/>
            <w:rtl/>
          </w:rPr>
          <w:t xml:space="preserve"> 2025</w:t>
        </w:r>
      </w:hyperlink>
      <w:r w:rsidRPr="00DC5B13">
        <w:rPr>
          <w:rFonts w:eastAsia="Calibri"/>
          <w:szCs w:val="20"/>
          <w:rtl/>
        </w:rPr>
        <w:t xml:space="preserve">, ונתוני הרשויות שנבדקו וכן הדוחות הכספיים של הרשויות המקומיות לשנת 2023, בעיבוד משרד מבקר המדינה. </w:t>
      </w:r>
    </w:p>
    <w:p w:rsidR="00DC5B13" w:rsidRPr="00DC5B13" w:rsidP="00C34B23">
      <w:pPr>
        <w:spacing w:line="269" w:lineRule="auto"/>
        <w:rPr>
          <w:rFonts w:eastAsia="Calibri"/>
          <w:szCs w:val="20"/>
          <w:rtl/>
        </w:rPr>
      </w:pPr>
      <w:r w:rsidRPr="00DC5B13">
        <w:rPr>
          <w:rFonts w:eastAsia="Calibri" w:hint="cs"/>
          <w:szCs w:val="20"/>
          <w:rtl/>
        </w:rPr>
        <w:t>* לרבות תוכניות שנדחו ויח"ד שמקודמות במסגרת תוכנית עירונית להתחדשות בניינית.</w:t>
      </w:r>
    </w:p>
    <w:p w:rsidR="00DC5B13" w:rsidRPr="00DC5B13" w:rsidP="00C34B23">
      <w:pPr>
        <w:spacing w:line="269" w:lineRule="auto"/>
        <w:rPr>
          <w:rFonts w:eastAsia="Calibri"/>
          <w:szCs w:val="20"/>
          <w:rtl/>
        </w:rPr>
      </w:pPr>
      <w:r w:rsidRPr="00DC5B13">
        <w:rPr>
          <w:rFonts w:eastAsia="Calibri" w:hint="cs"/>
          <w:szCs w:val="20"/>
          <w:rtl/>
        </w:rPr>
        <w:t>**</w:t>
      </w:r>
      <w:r w:rsidRPr="00DC5B13">
        <w:rPr>
          <w:rFonts w:eastAsia="Calibri"/>
          <w:szCs w:val="20"/>
          <w:rtl/>
        </w:rPr>
        <w:t xml:space="preserve"> </w:t>
      </w:r>
      <w:r w:rsidRPr="00DC5B13">
        <w:rPr>
          <w:rFonts w:eastAsia="Calibri" w:hint="cs"/>
          <w:szCs w:val="20"/>
          <w:rtl/>
        </w:rPr>
        <w:t>יח"ד שקיבלו היתר להריסה מתוך יח"ד במצב קיים.</w:t>
      </w:r>
    </w:p>
    <w:p w:rsidR="00DC5B13" w:rsidRPr="00DC5B13" w:rsidP="00C34B23">
      <w:pPr>
        <w:spacing w:line="269" w:lineRule="auto"/>
        <w:rPr>
          <w:rFonts w:eastAsia="Calibri"/>
          <w:szCs w:val="20"/>
          <w:rtl/>
        </w:rPr>
      </w:pPr>
      <w:r w:rsidRPr="00DC5B13">
        <w:rPr>
          <w:rFonts w:eastAsia="Calibri" w:hint="cs"/>
          <w:szCs w:val="20"/>
          <w:rtl/>
        </w:rPr>
        <w:t>*** יח"ד שקיבלו היתר בנייה מתוך יח"ד במצב מוצע.</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eastAsia"/>
          <w:rtl/>
        </w:rPr>
        <w:t>מהנתונים</w:t>
      </w:r>
      <w:r w:rsidRPr="00DC5B13">
        <w:rPr>
          <w:rFonts w:eastAsia="Calibri"/>
          <w:rtl/>
        </w:rPr>
        <w:t xml:space="preserve"> </w:t>
      </w:r>
      <w:r w:rsidRPr="00DC5B13">
        <w:rPr>
          <w:rFonts w:eastAsia="Calibri" w:hint="eastAsia"/>
          <w:rtl/>
        </w:rPr>
        <w:t>המוצגים</w:t>
      </w:r>
      <w:r w:rsidRPr="00DC5B13">
        <w:rPr>
          <w:rFonts w:eastAsia="Calibri"/>
          <w:rtl/>
        </w:rPr>
        <w:t xml:space="preserve"> </w:t>
      </w:r>
      <w:r w:rsidRPr="00DC5B13">
        <w:rPr>
          <w:rFonts w:eastAsia="Calibri" w:hint="eastAsia"/>
          <w:rtl/>
        </w:rPr>
        <w:t>בלוח</w:t>
      </w:r>
      <w:r w:rsidRPr="00DC5B13">
        <w:rPr>
          <w:rFonts w:eastAsia="Calibri"/>
          <w:rtl/>
        </w:rPr>
        <w:t xml:space="preserve"> </w:t>
      </w:r>
      <w:r w:rsidRPr="00DC5B13">
        <w:rPr>
          <w:rFonts w:eastAsia="Calibri" w:hint="eastAsia"/>
          <w:rtl/>
        </w:rPr>
        <w:t>עולים</w:t>
      </w:r>
      <w:r w:rsidRPr="00DC5B13">
        <w:rPr>
          <w:rFonts w:eastAsia="Calibri"/>
          <w:rtl/>
        </w:rPr>
        <w:t xml:space="preserve"> </w:t>
      </w:r>
      <w:r w:rsidRPr="00DC5B13">
        <w:rPr>
          <w:rFonts w:eastAsia="Calibri" w:hint="eastAsia"/>
          <w:rtl/>
        </w:rPr>
        <w:t>פערים</w:t>
      </w:r>
      <w:r w:rsidRPr="00DC5B13">
        <w:rPr>
          <w:rFonts w:eastAsia="Calibri"/>
          <w:rtl/>
        </w:rPr>
        <w:t xml:space="preserve"> </w:t>
      </w:r>
      <w:r w:rsidRPr="00DC5B13">
        <w:rPr>
          <w:rFonts w:eastAsia="Calibri" w:hint="eastAsia"/>
          <w:rtl/>
        </w:rPr>
        <w:t>ניכרים</w:t>
      </w:r>
      <w:r w:rsidRPr="00DC5B13">
        <w:rPr>
          <w:rFonts w:eastAsia="Calibri"/>
          <w:rtl/>
        </w:rPr>
        <w:t xml:space="preserve"> </w:t>
      </w:r>
      <w:r w:rsidRPr="00DC5B13">
        <w:rPr>
          <w:rFonts w:eastAsia="Calibri" w:hint="eastAsia"/>
          <w:rtl/>
        </w:rPr>
        <w:t>בין</w:t>
      </w:r>
      <w:r w:rsidRPr="00DC5B13">
        <w:rPr>
          <w:rFonts w:eastAsia="Calibri"/>
          <w:rtl/>
        </w:rPr>
        <w:t xml:space="preserve"> </w:t>
      </w:r>
      <w:r w:rsidRPr="00DC5B13">
        <w:rPr>
          <w:rFonts w:eastAsia="Calibri" w:hint="eastAsia"/>
          <w:rtl/>
        </w:rPr>
        <w:t>נתוני</w:t>
      </w:r>
      <w:r w:rsidRPr="00DC5B13">
        <w:rPr>
          <w:rFonts w:eastAsia="Calibri"/>
          <w:rtl/>
        </w:rPr>
        <w:t xml:space="preserve"> </w:t>
      </w:r>
      <w:r w:rsidRPr="00DC5B13">
        <w:rPr>
          <w:rFonts w:eastAsia="Calibri" w:hint="eastAsia"/>
          <w:rtl/>
        </w:rPr>
        <w:t>עיריית</w:t>
      </w:r>
      <w:r w:rsidRPr="00DC5B13">
        <w:rPr>
          <w:rFonts w:eastAsia="Calibri"/>
          <w:rtl/>
        </w:rPr>
        <w:t xml:space="preserve"> </w:t>
      </w:r>
      <w:r w:rsidRPr="00DC5B13">
        <w:rPr>
          <w:rFonts w:eastAsia="Calibri" w:hint="eastAsia"/>
          <w:rtl/>
        </w:rPr>
        <w:t>לוד</w:t>
      </w:r>
      <w:r w:rsidRPr="00DC5B13">
        <w:rPr>
          <w:rFonts w:eastAsia="Calibri"/>
          <w:rtl/>
        </w:rPr>
        <w:t xml:space="preserve"> </w:t>
      </w:r>
      <w:r w:rsidRPr="00DC5B13">
        <w:rPr>
          <w:rFonts w:eastAsia="Calibri" w:hint="eastAsia"/>
          <w:rtl/>
        </w:rPr>
        <w:t>ובין</w:t>
      </w:r>
      <w:r w:rsidRPr="00DC5B13">
        <w:rPr>
          <w:rFonts w:eastAsia="Calibri"/>
          <w:rtl/>
        </w:rPr>
        <w:t xml:space="preserve"> </w:t>
      </w:r>
      <w:r w:rsidRPr="00DC5B13">
        <w:rPr>
          <w:rFonts w:eastAsia="Calibri" w:hint="eastAsia"/>
          <w:rtl/>
        </w:rPr>
        <w:t>הנתונים</w:t>
      </w:r>
      <w:r w:rsidRPr="00DC5B13">
        <w:rPr>
          <w:rFonts w:eastAsia="Calibri"/>
          <w:rtl/>
        </w:rPr>
        <w:t xml:space="preserve"> </w:t>
      </w:r>
      <w:r w:rsidRPr="00DC5B13">
        <w:rPr>
          <w:rFonts w:eastAsia="Calibri" w:hint="eastAsia"/>
          <w:rtl/>
        </w:rPr>
        <w:t>שהתקבלו</w:t>
      </w:r>
      <w:r w:rsidRPr="00DC5B13">
        <w:rPr>
          <w:rFonts w:eastAsia="Calibri"/>
          <w:rtl/>
        </w:rPr>
        <w:t xml:space="preserve"> </w:t>
      </w:r>
      <w:r w:rsidRPr="00DC5B13">
        <w:rPr>
          <w:rFonts w:eastAsia="Calibri" w:hint="eastAsia"/>
          <w:rtl/>
        </w:rPr>
        <w:t>מהרשות</w:t>
      </w:r>
      <w:r w:rsidRPr="00DC5B13">
        <w:rPr>
          <w:rFonts w:eastAsia="Calibri"/>
          <w:rtl/>
        </w:rPr>
        <w:t xml:space="preserve"> </w:t>
      </w:r>
      <w:r w:rsidRPr="00DC5B13">
        <w:rPr>
          <w:rFonts w:eastAsia="Calibri" w:hint="eastAsia"/>
          <w:rtl/>
        </w:rPr>
        <w:t>להתחדשות</w:t>
      </w:r>
      <w:r w:rsidRPr="00DC5B13">
        <w:rPr>
          <w:rFonts w:eastAsia="Calibri"/>
          <w:rtl/>
        </w:rPr>
        <w:t xml:space="preserve"> </w:t>
      </w:r>
      <w:r w:rsidRPr="00DC5B13">
        <w:rPr>
          <w:rFonts w:eastAsia="Calibri" w:hint="eastAsia"/>
          <w:rtl/>
        </w:rPr>
        <w:t>ולנתונים</w:t>
      </w:r>
      <w:r w:rsidRPr="00DC5B13">
        <w:rPr>
          <w:rFonts w:eastAsia="Calibri"/>
          <w:rtl/>
        </w:rPr>
        <w:t xml:space="preserve"> </w:t>
      </w:r>
      <w:r w:rsidRPr="00DC5B13">
        <w:rPr>
          <w:rFonts w:eastAsia="Calibri" w:hint="eastAsia"/>
          <w:rtl/>
        </w:rPr>
        <w:t>המפורסמים</w:t>
      </w:r>
      <w:r w:rsidRPr="00DC5B13">
        <w:rPr>
          <w:rFonts w:eastAsia="Calibri"/>
          <w:rtl/>
        </w:rPr>
        <w:t xml:space="preserve"> </w:t>
      </w:r>
      <w:r w:rsidRPr="00DC5B13">
        <w:rPr>
          <w:rFonts w:eastAsia="Calibri" w:hint="eastAsia"/>
          <w:rtl/>
        </w:rPr>
        <w:t>באתר</w:t>
      </w:r>
      <w:r w:rsidRPr="00DC5B13">
        <w:rPr>
          <w:rFonts w:eastAsia="Calibri"/>
          <w:rtl/>
        </w:rPr>
        <w:t xml:space="preserve"> </w:t>
      </w:r>
      <w:r w:rsidRPr="00DC5B13">
        <w:rPr>
          <w:rFonts w:eastAsia="Calibri" w:hint="eastAsia"/>
          <w:rtl/>
        </w:rPr>
        <w:t>המרשתת</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משרד</w:t>
      </w:r>
      <w:r w:rsidRPr="00DC5B13">
        <w:rPr>
          <w:rFonts w:eastAsia="Calibri"/>
          <w:rtl/>
        </w:rPr>
        <w:t xml:space="preserve"> </w:t>
      </w:r>
      <w:r w:rsidRPr="00DC5B13">
        <w:rPr>
          <w:rFonts w:eastAsia="Calibri" w:hint="eastAsia"/>
          <w:rtl/>
        </w:rPr>
        <w:t>השיכון</w:t>
      </w:r>
      <w:r w:rsidRPr="00DC5B13">
        <w:rPr>
          <w:rFonts w:eastAsia="Calibri" w:hint="cs"/>
          <w:rtl/>
        </w:rPr>
        <w:t xml:space="preserve"> יש הבדלים בין הנתונים הנוגעים לשלב התכנון: העירייה דיווחה על מספר של 7,552 יח"ד במצב קיים, ואילו לפי </w:t>
      </w:r>
      <w:r w:rsidRPr="00DC5B13">
        <w:rPr>
          <w:rFonts w:eastAsia="Calibri" w:hint="cs"/>
          <w:rtl/>
        </w:rPr>
        <w:t xml:space="preserve">לוח המחוונים של משרד השיכון יש 1,825 יח"ד, ולפי נתוני הרשות להתחדשות - אין כלל יח"ד במצב קיים בלוד בשלב התכנון.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עלה כי עד הקמת המינהלת העירונית בלוד לא קודמה התחדשות עירונית בעיר, פרט למקרים ספורים של התחדשות בניינית</w:t>
      </w:r>
      <w:r>
        <w:rPr>
          <w:rFonts w:eastAsia="Calibri"/>
          <w:vertAlign w:val="superscript"/>
          <w:rtl/>
        </w:rPr>
        <w:footnoteReference w:id="95"/>
      </w:r>
      <w:r w:rsidRPr="00DC5B13">
        <w:rPr>
          <w:rFonts w:eastAsia="Calibri" w:hint="cs"/>
          <w:rtl/>
        </w:rPr>
        <w:t>. כמו כן עסקה המינהלת בהכנת מסמכי מדיניות להתחדשות עירונית</w:t>
      </w:r>
      <w:r>
        <w:rPr>
          <w:rFonts w:eastAsia="Calibri"/>
          <w:vertAlign w:val="superscript"/>
          <w:rtl/>
        </w:rPr>
        <w:footnoteReference w:id="96"/>
      </w:r>
      <w:r w:rsidRPr="00DC5B13">
        <w:rPr>
          <w:rFonts w:eastAsia="Calibri" w:hint="cs"/>
          <w:rtl/>
        </w:rPr>
        <w:t xml:space="preserve"> ובסיוע שוטף למחלקות התכנון והרישוי בעירייה. </w:t>
      </w:r>
    </w:p>
    <w:p w:rsidR="00DC5B13" w:rsidRPr="00DC5B13" w:rsidP="00C34B23">
      <w:pPr>
        <w:spacing w:line="269" w:lineRule="auto"/>
        <w:ind w:left="-567"/>
        <w:rPr>
          <w:rFonts w:eastAsia="Calibri"/>
          <w:szCs w:val="20"/>
          <w:rtl/>
        </w:rPr>
      </w:pPr>
    </w:p>
    <w:p w:rsidR="00DC5B13" w:rsidRPr="00DC5B13" w:rsidP="00C34B23">
      <w:pPr>
        <w:spacing w:line="269" w:lineRule="auto"/>
        <w:jc w:val="center"/>
        <w:rPr>
          <w:rFonts w:eastAsia="Calibri"/>
          <w:b/>
          <w:bCs/>
          <w:rtl/>
        </w:rPr>
      </w:pPr>
      <w:r w:rsidRPr="00DC5B13">
        <w:rPr>
          <w:rFonts w:eastAsia="Calibri" w:hint="cs"/>
          <w:rtl/>
        </w:rPr>
        <w:t xml:space="preserve">תמונה 1: </w:t>
      </w:r>
      <w:r w:rsidRPr="00DC5B13">
        <w:rPr>
          <w:rFonts w:eastAsia="Calibri" w:hint="cs"/>
          <w:b/>
          <w:bCs/>
          <w:rtl/>
        </w:rPr>
        <w:t>בניין מגורים במתחם כצנלסון בלוד</w:t>
      </w:r>
      <w:r w:rsidRPr="00DC5B13">
        <w:rPr>
          <w:rFonts w:eastAsia="Calibri"/>
          <w:b/>
          <w:bCs/>
          <w:noProof/>
        </w:rPr>
        <w:drawing>
          <wp:inline distT="0" distB="0" distL="0" distR="0">
            <wp:extent cx="5219065" cy="3918585"/>
            <wp:effectExtent l="0" t="0" r="635" b="5715"/>
            <wp:docPr id="26" name="תמונה 26" descr="תצלום של חזית כניסה למבנה מגורים בנוי. בחזית נראים עמודי בטון אנכיים התומכים בתחתית של גגון או מרפסת בולטת.&#10;&#10;בחלק התחתון של תקרת הבטון קיימים קילופי טיח ובטון נרחבים, לצד אזורים שבהם נחשפו מוטות ברזל המציגים סימני קורוזיה וחלודה. קירות המבנה החיצוניים מכוסים טיח גס ומציגים סימני בלאי, קילופי צבע וכתמים כהים. ברקע נראים חלונות מוגנים בסורגי מתכת, מנוע של מזגן המקובע לקיר, ופתח כניסה פתוח עם דלת זכוכית ומסגרת אלומיניום המובילה לגרם מדרגות פני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065" cy="3918585"/>
                    </a:xfrm>
                    <a:prstGeom prst="rect">
                      <a:avLst/>
                    </a:prstGeom>
                    <a:noFill/>
                    <a:ln>
                      <a:noFill/>
                    </a:ln>
                  </pic:spPr>
                </pic:pic>
              </a:graphicData>
            </a:graphic>
          </wp:inline>
        </w:drawing>
      </w:r>
    </w:p>
    <w:p w:rsidR="00DC5B13" w:rsidRPr="00DC5B13" w:rsidP="00C34B23">
      <w:pPr>
        <w:spacing w:line="269" w:lineRule="auto"/>
        <w:rPr>
          <w:rFonts w:eastAsia="Calibri"/>
          <w:sz w:val="16"/>
          <w:szCs w:val="20"/>
          <w:rtl/>
        </w:rPr>
      </w:pPr>
      <w:r w:rsidRPr="00DC5B13">
        <w:rPr>
          <w:rFonts w:eastAsia="Calibri" w:hint="cs"/>
          <w:sz w:val="16"/>
          <w:szCs w:val="20"/>
          <w:rtl/>
        </w:rPr>
        <w:t>צילום: מינהלת התחדשות לוד.</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hint="eastAsia"/>
          <w:bCs/>
          <w:spacing w:val="40"/>
          <w:rtl/>
        </w:rPr>
        <w:t>פעילות</w:t>
      </w:r>
      <w:r w:rsidRPr="00DC5B13">
        <w:rPr>
          <w:rFonts w:eastAsia="Times New Roman"/>
          <w:bCs/>
          <w:spacing w:val="40"/>
          <w:rtl/>
        </w:rPr>
        <w:t xml:space="preserve"> </w:t>
      </w:r>
      <w:r w:rsidRPr="00DC5B13">
        <w:rPr>
          <w:rFonts w:eastAsia="Times New Roman" w:hint="eastAsia"/>
          <w:bCs/>
          <w:spacing w:val="40"/>
          <w:rtl/>
        </w:rPr>
        <w:t>המינהלת</w:t>
      </w:r>
      <w:r w:rsidRPr="00DC5B13">
        <w:rPr>
          <w:rFonts w:eastAsia="Times New Roman"/>
          <w:bCs/>
          <w:spacing w:val="40"/>
          <w:rtl/>
        </w:rPr>
        <w:t xml:space="preserve"> </w:t>
      </w:r>
      <w:r w:rsidRPr="00DC5B13">
        <w:rPr>
          <w:rFonts w:eastAsia="Times New Roman" w:hint="eastAsia"/>
          <w:bCs/>
          <w:spacing w:val="40"/>
          <w:rtl/>
        </w:rPr>
        <w:t>מול</w:t>
      </w:r>
      <w:r w:rsidRPr="00DC5B13">
        <w:rPr>
          <w:rFonts w:eastAsia="Times New Roman"/>
          <w:bCs/>
          <w:spacing w:val="40"/>
          <w:rtl/>
        </w:rPr>
        <w:t xml:space="preserve"> </w:t>
      </w:r>
      <w:r w:rsidRPr="00DC5B13">
        <w:rPr>
          <w:rFonts w:eastAsia="Times New Roman" w:hint="eastAsia"/>
          <w:bCs/>
          <w:spacing w:val="40"/>
          <w:rtl/>
        </w:rPr>
        <w:t>הרשות</w:t>
      </w:r>
      <w:r w:rsidRPr="00DC5B13">
        <w:rPr>
          <w:rFonts w:eastAsia="Times New Roman"/>
          <w:bCs/>
          <w:spacing w:val="40"/>
          <w:rtl/>
        </w:rPr>
        <w:t xml:space="preserve"> </w:t>
      </w:r>
      <w:r w:rsidRPr="00DC5B13">
        <w:rPr>
          <w:rFonts w:eastAsia="Times New Roman" w:hint="eastAsia"/>
          <w:bCs/>
          <w:spacing w:val="40"/>
          <w:rtl/>
        </w:rPr>
        <w:t>המקומית</w:t>
      </w:r>
      <w:r w:rsidRPr="00DC5B13">
        <w:rPr>
          <w:rFonts w:eastAsia="Times New Roman"/>
          <w:bCs/>
          <w:spacing w:val="40"/>
          <w:rtl/>
        </w:rPr>
        <w:t>:</w:t>
      </w:r>
      <w:r w:rsidRPr="00DC5B13">
        <w:rPr>
          <w:rFonts w:eastAsia="Calibri" w:hint="cs"/>
        </w:rPr>
        <w:t xml:space="preserve"> </w:t>
      </w:r>
      <w:r w:rsidRPr="00DC5B13">
        <w:rPr>
          <w:rFonts w:eastAsia="Calibri" w:hint="cs"/>
          <w:rtl/>
        </w:rPr>
        <w:t xml:space="preserve">מתוכניות העבודה של המינהלת בלוד לשנים 2020 - 2025 עלה כי המינהלת בלוד פועלת לקיים מפגש אחת לרבעון בין החכ"ל לבין כלל הגורמים בעירייה העוסקים בהתחדשות עירונית - כגון מחלקות התכנון והרישוי, אגפי הרווחה, החינוך, הלוגיסטיקה והתפעול. המינהלת כתבה </w:t>
      </w:r>
      <w:r w:rsidRPr="00DC5B13">
        <w:rPr>
          <w:rFonts w:eastAsia="Calibri"/>
          <w:rtl/>
        </w:rPr>
        <w:t xml:space="preserve">נוהל </w:t>
      </w:r>
      <w:r w:rsidRPr="00DC5B13">
        <w:rPr>
          <w:rFonts w:eastAsia="Calibri" w:hint="cs"/>
          <w:rtl/>
        </w:rPr>
        <w:t>לעבודה</w:t>
      </w:r>
      <w:r w:rsidRPr="00DC5B13">
        <w:rPr>
          <w:rFonts w:eastAsia="Calibri"/>
          <w:rtl/>
        </w:rPr>
        <w:t xml:space="preserve"> משות</w:t>
      </w:r>
      <w:r w:rsidRPr="00DC5B13">
        <w:rPr>
          <w:rFonts w:eastAsia="Calibri" w:hint="cs"/>
          <w:rtl/>
        </w:rPr>
        <w:t>פת</w:t>
      </w:r>
      <w:r w:rsidRPr="00DC5B13">
        <w:rPr>
          <w:rFonts w:eastAsia="Calibri"/>
          <w:rtl/>
        </w:rPr>
        <w:t xml:space="preserve"> </w:t>
      </w:r>
      <w:r w:rsidRPr="00DC5B13">
        <w:rPr>
          <w:rFonts w:eastAsia="Calibri" w:hint="cs"/>
          <w:rtl/>
        </w:rPr>
        <w:t>בין הגורמים שלעיל</w:t>
      </w:r>
      <w:r w:rsidRPr="00DC5B13">
        <w:rPr>
          <w:rFonts w:eastAsia="Calibri"/>
          <w:rtl/>
        </w:rPr>
        <w:t xml:space="preserve"> ל</w:t>
      </w:r>
      <w:r w:rsidRPr="00DC5B13">
        <w:rPr>
          <w:rFonts w:eastAsia="Calibri" w:hint="cs"/>
          <w:rtl/>
        </w:rPr>
        <w:t>שם הסדרה של חלוקת תחומי האחריות בקידום תוכניות התחדשות מתוכנית מאושרת למימוש. נוסף על כך סייעה המינהלת ב</w:t>
      </w:r>
      <w:r w:rsidRPr="00DC5B13">
        <w:rPr>
          <w:rFonts w:eastAsia="Calibri"/>
          <w:rtl/>
        </w:rPr>
        <w:t>מיפוי צ</w:t>
      </w:r>
      <w:r w:rsidRPr="00DC5B13">
        <w:rPr>
          <w:rFonts w:eastAsia="Calibri" w:hint="cs"/>
          <w:rtl/>
        </w:rPr>
        <w:t>ו</w:t>
      </w:r>
      <w:r w:rsidRPr="00DC5B13">
        <w:rPr>
          <w:rFonts w:eastAsia="Calibri"/>
          <w:rtl/>
        </w:rPr>
        <w:t>רכי העיר</w:t>
      </w:r>
      <w:r w:rsidRPr="00DC5B13">
        <w:rPr>
          <w:rFonts w:eastAsia="Calibri" w:hint="cs"/>
          <w:rtl/>
        </w:rPr>
        <w:t xml:space="preserve"> בפיתוח התשתיות הנדרשות להתחדשות העירונית וב</w:t>
      </w:r>
      <w:r w:rsidRPr="00DC5B13">
        <w:rPr>
          <w:rFonts w:eastAsia="Calibri"/>
          <w:rtl/>
        </w:rPr>
        <w:t>גיבוש טיוטה להסכם גג</w:t>
      </w:r>
      <w:r w:rsidRPr="00DC5B13">
        <w:rPr>
          <w:rFonts w:eastAsia="Calibri" w:hint="cs"/>
          <w:rtl/>
        </w:rPr>
        <w:t xml:space="preserve"> </w:t>
      </w:r>
      <w:r w:rsidRPr="00DC5B13">
        <w:rPr>
          <w:rFonts w:eastAsia="Calibri"/>
          <w:rtl/>
        </w:rPr>
        <w:t xml:space="preserve">מול הרשות </w:t>
      </w:r>
      <w:r w:rsidRPr="00DC5B13">
        <w:rPr>
          <w:rFonts w:eastAsia="Calibri" w:hint="cs"/>
          <w:rtl/>
        </w:rPr>
        <w:t>להתחדשות</w:t>
      </w:r>
      <w:r w:rsidRPr="00DC5B13">
        <w:rPr>
          <w:rFonts w:eastAsia="Calibri"/>
          <w:rtl/>
        </w:rPr>
        <w:t xml:space="preserve"> ומשרד האוצר</w:t>
      </w:r>
      <w:r w:rsidRPr="00DC5B13">
        <w:rPr>
          <w:rFonts w:eastAsia="Calibri" w:hint="cs"/>
          <w:rtl/>
        </w:rPr>
        <w:t>.</w:t>
      </w:r>
    </w:p>
    <w:p w:rsidR="00DC5B13" w:rsidRPr="00DC5B13" w:rsidP="00C34B23">
      <w:pPr>
        <w:tabs>
          <w:tab w:val="right" w:pos="708"/>
        </w:tabs>
        <w:spacing w:line="269" w:lineRule="auto"/>
        <w:rPr>
          <w:rFonts w:eastAsia="Calibri"/>
          <w:szCs w:val="20"/>
          <w:rtl/>
        </w:rPr>
      </w:pPr>
    </w:p>
    <w:p w:rsidR="00DC5B13" w:rsidRPr="00DC5B13" w:rsidP="00C34B23">
      <w:pPr>
        <w:tabs>
          <w:tab w:val="right" w:pos="708"/>
        </w:tabs>
        <w:spacing w:line="269" w:lineRule="auto"/>
        <w:rPr>
          <w:rFonts w:eastAsia="Calibri"/>
          <w:rtl/>
        </w:rPr>
      </w:pPr>
      <w:r w:rsidRPr="00DC5B13">
        <w:rPr>
          <w:rFonts w:eastAsia="Times New Roman" w:hint="eastAsia"/>
          <w:bCs/>
          <w:spacing w:val="40"/>
          <w:rtl/>
        </w:rPr>
        <w:t>פעילות</w:t>
      </w:r>
      <w:r w:rsidRPr="00DC5B13">
        <w:rPr>
          <w:rFonts w:eastAsia="Times New Roman"/>
          <w:bCs/>
          <w:spacing w:val="40"/>
          <w:rtl/>
        </w:rPr>
        <w:t xml:space="preserve"> </w:t>
      </w:r>
      <w:r w:rsidRPr="00DC5B13">
        <w:rPr>
          <w:rFonts w:eastAsia="Times New Roman" w:hint="eastAsia"/>
          <w:bCs/>
          <w:spacing w:val="40"/>
          <w:rtl/>
        </w:rPr>
        <w:t>המינהלת</w:t>
      </w:r>
      <w:r w:rsidRPr="00DC5B13">
        <w:rPr>
          <w:rFonts w:eastAsia="Times New Roman"/>
          <w:bCs/>
          <w:spacing w:val="40"/>
          <w:rtl/>
        </w:rPr>
        <w:t xml:space="preserve"> </w:t>
      </w:r>
      <w:r w:rsidRPr="00DC5B13">
        <w:rPr>
          <w:rFonts w:eastAsia="Times New Roman" w:hint="eastAsia"/>
          <w:bCs/>
          <w:spacing w:val="40"/>
          <w:rtl/>
        </w:rPr>
        <w:t>מול</w:t>
      </w:r>
      <w:r w:rsidRPr="00DC5B13">
        <w:rPr>
          <w:rFonts w:eastAsia="Times New Roman"/>
          <w:bCs/>
          <w:spacing w:val="40"/>
          <w:rtl/>
        </w:rPr>
        <w:t xml:space="preserve"> </w:t>
      </w:r>
      <w:r w:rsidRPr="00DC5B13">
        <w:rPr>
          <w:rFonts w:eastAsia="Times New Roman" w:hint="eastAsia"/>
          <w:bCs/>
          <w:spacing w:val="40"/>
          <w:rtl/>
        </w:rPr>
        <w:t>היזמים</w:t>
      </w:r>
      <w:r w:rsidRPr="00DC5B13">
        <w:rPr>
          <w:rFonts w:eastAsia="Times New Roman"/>
          <w:bCs/>
          <w:spacing w:val="40"/>
          <w:rtl/>
        </w:rPr>
        <w:t>:</w:t>
      </w:r>
      <w:r w:rsidRPr="00DC5B13">
        <w:rPr>
          <w:rFonts w:eastAsia="Calibri" w:hint="cs"/>
          <w:rtl/>
        </w:rPr>
        <w:t xml:space="preserve"> כדי לייעל את ההתקשרות בין היזמים לבין העירייה ניסחה המינהלת נוהל יזמים בשיתוף פעולה עם מחלקות התכנון והרישוי. </w:t>
      </w:r>
      <w:r w:rsidRPr="00DC5B13">
        <w:rPr>
          <w:rFonts w:eastAsia="Calibri"/>
          <w:rtl/>
        </w:rPr>
        <w:t>המינהלת</w:t>
      </w:r>
      <w:r w:rsidRPr="00DC5B13">
        <w:rPr>
          <w:rFonts w:eastAsia="Calibri" w:hint="cs"/>
          <w:rtl/>
        </w:rPr>
        <w:t xml:space="preserve"> גם</w:t>
      </w:r>
      <w:r w:rsidRPr="00DC5B13">
        <w:rPr>
          <w:rFonts w:eastAsia="Calibri"/>
          <w:rtl/>
        </w:rPr>
        <w:t xml:space="preserve"> </w:t>
      </w:r>
      <w:r w:rsidRPr="00DC5B13">
        <w:rPr>
          <w:rFonts w:eastAsia="Calibri" w:hint="cs"/>
          <w:rtl/>
        </w:rPr>
        <w:t xml:space="preserve">פועלת לקשור בין רווחת התושבים במיזמים לבין יצירת ודאות עבור היזמים. בין היתר היא עשתה כן בניסוח המדיניות להקמת מבני ציבור כחלק מתוכניות ההתחדשות בשיתוף אגף ההנדסה בעירייה, הכוללת פירוט ההשתתפות של היזמים בעלויות </w:t>
      </w:r>
      <w:r w:rsidRPr="00DC5B13">
        <w:rPr>
          <w:rFonts w:ascii="David" w:eastAsia="Calibri" w:hAnsi="David"/>
          <w:sz w:val="24"/>
          <w:rtl/>
        </w:rPr>
        <w:t>הנוגעות לתכנונם ו</w:t>
      </w:r>
      <w:r w:rsidRPr="00DC5B13">
        <w:rPr>
          <w:rFonts w:ascii="David" w:eastAsia="Calibri" w:hAnsi="David" w:hint="cs"/>
          <w:sz w:val="24"/>
          <w:rtl/>
        </w:rPr>
        <w:t>ל</w:t>
      </w:r>
      <w:r w:rsidRPr="00DC5B13">
        <w:rPr>
          <w:rFonts w:ascii="David" w:eastAsia="Calibri" w:hAnsi="David"/>
          <w:sz w:val="24"/>
          <w:rtl/>
        </w:rPr>
        <w:t xml:space="preserve">הקמתם של </w:t>
      </w:r>
      <w:r w:rsidRPr="00DC5B13">
        <w:rPr>
          <w:rFonts w:ascii="David" w:eastAsia="Calibri" w:hAnsi="David" w:hint="cs"/>
          <w:sz w:val="24"/>
          <w:rtl/>
        </w:rPr>
        <w:t>מ</w:t>
      </w:r>
      <w:r w:rsidRPr="00DC5B13">
        <w:rPr>
          <w:rFonts w:ascii="David" w:eastAsia="Calibri" w:hAnsi="David"/>
          <w:sz w:val="24"/>
          <w:rtl/>
        </w:rPr>
        <w:t>בני ציבור</w:t>
      </w:r>
      <w:r w:rsidRPr="00DC5B13">
        <w:rPr>
          <w:rFonts w:ascii="David" w:eastAsia="Calibri" w:hAnsi="David" w:hint="cs"/>
          <w:sz w:val="24"/>
          <w:rtl/>
        </w:rPr>
        <w:t xml:space="preserve"> תחת אלה שנדרש להרוס ושל מבני ציבור נוספים</w:t>
      </w:r>
      <w:r w:rsidRPr="00DC5B13">
        <w:rPr>
          <w:rFonts w:eastAsia="Calibri" w:hint="cs"/>
          <w:rtl/>
        </w:rPr>
        <w:t>. נוסף על כך קידמה המינהלת</w:t>
      </w:r>
      <w:r w:rsidRPr="00DC5B13">
        <w:rPr>
          <w:rFonts w:eastAsia="Calibri"/>
          <w:rtl/>
        </w:rPr>
        <w:t xml:space="preserve"> </w:t>
      </w:r>
      <w:r w:rsidRPr="00DC5B13">
        <w:rPr>
          <w:rFonts w:eastAsia="Calibri" w:hint="cs"/>
          <w:rtl/>
        </w:rPr>
        <w:t>מתווה ל</w:t>
      </w:r>
      <w:r w:rsidRPr="00DC5B13">
        <w:rPr>
          <w:rFonts w:eastAsia="Calibri"/>
          <w:rtl/>
        </w:rPr>
        <w:t xml:space="preserve">הקמת חשבונות </w:t>
      </w:r>
      <w:r w:rsidRPr="00DC5B13">
        <w:rPr>
          <w:rFonts w:eastAsia="Calibri"/>
          <w:rtl/>
        </w:rPr>
        <w:t>בנק בנאמנות ל</w:t>
      </w:r>
      <w:r w:rsidRPr="00DC5B13">
        <w:rPr>
          <w:rFonts w:eastAsia="Calibri" w:hint="cs"/>
          <w:rtl/>
        </w:rPr>
        <w:t>מען</w:t>
      </w:r>
      <w:r w:rsidRPr="00DC5B13">
        <w:rPr>
          <w:rFonts w:eastAsia="Calibri"/>
          <w:rtl/>
        </w:rPr>
        <w:t xml:space="preserve"> </w:t>
      </w:r>
      <w:r w:rsidRPr="00DC5B13">
        <w:rPr>
          <w:rFonts w:eastAsia="Calibri" w:hint="cs"/>
          <w:rtl/>
        </w:rPr>
        <w:t>מתחמי ההתחדשות בעיר, אשר נועדו להקל על היזמים לפתוח קרנות תחזוקה למבנים החדשים.</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המינהלת גיבשה מאגר פקחים ושמאים, מסייעת באופן שוטף בגיוס יועצים כנדרש בתוכניות ההתחדשות השונות וכן בתיווך ההתקשרות בין היזמים לבין רשות מקרקעי ישראל לפי הצורך.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hint="eastAsia"/>
          <w:bCs/>
          <w:spacing w:val="40"/>
          <w:rtl/>
        </w:rPr>
        <w:t>פעילות</w:t>
      </w:r>
      <w:r w:rsidRPr="00DC5B13">
        <w:rPr>
          <w:rFonts w:eastAsia="Times New Roman"/>
          <w:bCs/>
          <w:spacing w:val="40"/>
          <w:rtl/>
        </w:rPr>
        <w:t xml:space="preserve"> </w:t>
      </w:r>
      <w:r w:rsidRPr="00DC5B13">
        <w:rPr>
          <w:rFonts w:eastAsia="Times New Roman" w:hint="eastAsia"/>
          <w:bCs/>
          <w:spacing w:val="40"/>
          <w:rtl/>
        </w:rPr>
        <w:t>המינהלת</w:t>
      </w:r>
      <w:r w:rsidRPr="00DC5B13">
        <w:rPr>
          <w:rFonts w:eastAsia="Times New Roman"/>
          <w:bCs/>
          <w:spacing w:val="40"/>
          <w:rtl/>
        </w:rPr>
        <w:t xml:space="preserve"> </w:t>
      </w:r>
      <w:r w:rsidRPr="00DC5B13">
        <w:rPr>
          <w:rFonts w:eastAsia="Times New Roman" w:hint="eastAsia"/>
          <w:bCs/>
          <w:spacing w:val="40"/>
          <w:rtl/>
        </w:rPr>
        <w:t>מול</w:t>
      </w:r>
      <w:r w:rsidRPr="00DC5B13">
        <w:rPr>
          <w:rFonts w:eastAsia="Times New Roman"/>
          <w:bCs/>
          <w:spacing w:val="40"/>
          <w:rtl/>
        </w:rPr>
        <w:t xml:space="preserve"> </w:t>
      </w:r>
      <w:r w:rsidRPr="00DC5B13">
        <w:rPr>
          <w:rFonts w:eastAsia="Times New Roman" w:hint="eastAsia"/>
          <w:bCs/>
          <w:spacing w:val="40"/>
          <w:rtl/>
        </w:rPr>
        <w:t>התושבים</w:t>
      </w:r>
      <w:r w:rsidRPr="00DC5B13">
        <w:rPr>
          <w:rFonts w:eastAsia="Times New Roman"/>
          <w:bCs/>
          <w:spacing w:val="40"/>
          <w:rtl/>
        </w:rPr>
        <w:t>:</w:t>
      </w:r>
      <w:r w:rsidRPr="00DC5B13">
        <w:rPr>
          <w:rFonts w:eastAsia="Calibri"/>
          <w:rtl/>
        </w:rPr>
        <w:t xml:space="preserve"> מאז הקמתה פועלת המינהלת מול תושבי העיר בין היתר באמצעות עריכת מפגשים של שיתופי ציבור</w:t>
      </w:r>
      <w:r w:rsidRPr="00DC5B13">
        <w:rPr>
          <w:rFonts w:eastAsia="Calibri" w:hint="cs"/>
          <w:rtl/>
        </w:rPr>
        <w:t>,</w:t>
      </w:r>
      <w:r w:rsidRPr="00DC5B13">
        <w:rPr>
          <w:rFonts w:eastAsia="Calibri"/>
          <w:rtl/>
        </w:rPr>
        <w:t xml:space="preserve"> </w:t>
      </w:r>
      <w:r w:rsidRPr="00DC5B13">
        <w:rPr>
          <w:rFonts w:eastAsia="Calibri" w:hint="cs"/>
          <w:rtl/>
        </w:rPr>
        <w:t>ו</w:t>
      </w:r>
      <w:r w:rsidRPr="00DC5B13">
        <w:rPr>
          <w:rFonts w:eastAsia="Calibri"/>
          <w:rtl/>
        </w:rPr>
        <w:t>ב</w:t>
      </w:r>
      <w:r w:rsidRPr="00DC5B13">
        <w:rPr>
          <w:rFonts w:eastAsia="Calibri" w:hint="cs"/>
          <w:rtl/>
        </w:rPr>
        <w:t>ה</w:t>
      </w:r>
      <w:r w:rsidRPr="00DC5B13">
        <w:rPr>
          <w:rFonts w:eastAsia="Calibri"/>
          <w:rtl/>
        </w:rPr>
        <w:t xml:space="preserve">ם היא מסייעת לבחירת נציגות </w:t>
      </w:r>
      <w:r w:rsidRPr="00DC5B13">
        <w:rPr>
          <w:rFonts w:eastAsia="Calibri" w:hint="cs"/>
          <w:rtl/>
        </w:rPr>
        <w:t>ה</w:t>
      </w:r>
      <w:r w:rsidRPr="00DC5B13">
        <w:rPr>
          <w:rFonts w:eastAsia="Calibri"/>
          <w:rtl/>
        </w:rPr>
        <w:t>דיירים הנדרשת לקידום ה</w:t>
      </w:r>
      <w:r w:rsidRPr="00DC5B13">
        <w:rPr>
          <w:rFonts w:eastAsia="Calibri" w:hint="cs"/>
          <w:rtl/>
        </w:rPr>
        <w:t>מיזם.</w:t>
      </w:r>
      <w:r w:rsidRPr="00DC5B13">
        <w:rPr>
          <w:rFonts w:eastAsia="Calibri"/>
          <w:rtl/>
        </w:rPr>
        <w:t xml:space="preserve"> </w:t>
      </w:r>
      <w:r w:rsidRPr="00DC5B13">
        <w:rPr>
          <w:rFonts w:eastAsia="Calibri" w:hint="cs"/>
          <w:rtl/>
        </w:rPr>
        <w:t xml:space="preserve">היא מארגנת </w:t>
      </w:r>
      <w:r w:rsidRPr="00DC5B13">
        <w:rPr>
          <w:rFonts w:eastAsia="Calibri"/>
          <w:rtl/>
        </w:rPr>
        <w:t xml:space="preserve">קורסים בנושאי התחדשות עירונית וקידום </w:t>
      </w:r>
      <w:r w:rsidRPr="00DC5B13">
        <w:rPr>
          <w:rFonts w:eastAsia="Calibri" w:hint="eastAsia"/>
          <w:rtl/>
        </w:rPr>
        <w:t>תוכניות</w:t>
      </w:r>
      <w:r w:rsidRPr="00DC5B13">
        <w:rPr>
          <w:rFonts w:eastAsia="Calibri"/>
          <w:rtl/>
        </w:rPr>
        <w:t xml:space="preserve"> </w:t>
      </w:r>
      <w:r w:rsidRPr="00DC5B13">
        <w:rPr>
          <w:rFonts w:eastAsia="Calibri" w:hint="cs"/>
          <w:rtl/>
        </w:rPr>
        <w:t xml:space="preserve">של </w:t>
      </w:r>
      <w:r w:rsidRPr="00DC5B13">
        <w:rPr>
          <w:rFonts w:eastAsia="Calibri"/>
          <w:rtl/>
        </w:rPr>
        <w:t>התחדשות עירונית ו</w:t>
      </w:r>
      <w:r w:rsidRPr="00DC5B13">
        <w:rPr>
          <w:rFonts w:eastAsia="Calibri" w:hint="cs"/>
          <w:rtl/>
        </w:rPr>
        <w:t xml:space="preserve">כן </w:t>
      </w:r>
      <w:r w:rsidRPr="00DC5B13">
        <w:rPr>
          <w:rFonts w:eastAsia="Calibri"/>
          <w:rtl/>
        </w:rPr>
        <w:t xml:space="preserve">סיורים במתחמי </w:t>
      </w:r>
      <w:r w:rsidRPr="00DC5B13">
        <w:rPr>
          <w:rFonts w:eastAsia="Calibri" w:hint="cs"/>
          <w:rtl/>
        </w:rPr>
        <w:t>ה</w:t>
      </w:r>
      <w:r w:rsidRPr="00DC5B13">
        <w:rPr>
          <w:rFonts w:eastAsia="Calibri"/>
          <w:rtl/>
        </w:rPr>
        <w:t xml:space="preserve">התחדשות </w:t>
      </w:r>
      <w:r w:rsidRPr="00DC5B13">
        <w:rPr>
          <w:rFonts w:eastAsia="Calibri" w:hint="cs"/>
          <w:rtl/>
        </w:rPr>
        <w:t>ה</w:t>
      </w:r>
      <w:r w:rsidRPr="00DC5B13">
        <w:rPr>
          <w:rFonts w:eastAsia="Calibri"/>
          <w:rtl/>
        </w:rPr>
        <w:t>עירונית.</w:t>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עלה כי המינהלת בלוד תיעדה את כל פגישותיה עם תושבים או עם בעלי עניין בתוכניות ההתחדשות בעיר. מספר הפגישות הכולל שקיימה המינהלת מינואר 2020 עד לספטמבר 2025 עמד על כ-750.</w:t>
      </w:r>
    </w:p>
    <w:p w:rsidR="00DC5B13" w:rsidRPr="00DC5B13" w:rsidP="00C34B23">
      <w:pPr>
        <w:spacing w:line="269" w:lineRule="auto"/>
        <w:rPr>
          <w:rFonts w:eastAsia="Calibri"/>
          <w:b/>
          <w:bCs/>
          <w:rtl/>
        </w:rPr>
      </w:pPr>
    </w:p>
    <w:p w:rsidR="00DC5B13" w:rsidRPr="00DC5B13" w:rsidP="00C34B23">
      <w:pPr>
        <w:keepNext/>
        <w:keepLines/>
        <w:spacing w:line="269" w:lineRule="auto"/>
        <w:outlineLvl w:val="4"/>
        <w:rPr>
          <w:rFonts w:eastAsia="Times New Roman"/>
          <w:bCs/>
          <w:spacing w:val="40"/>
          <w:rtl/>
        </w:rPr>
      </w:pPr>
      <w:r w:rsidRPr="00DC5B13">
        <w:rPr>
          <w:rFonts w:eastAsia="Times New Roman" w:hint="cs"/>
          <w:bCs/>
          <w:spacing w:val="40"/>
          <w:rtl/>
        </w:rPr>
        <w:t>נתניה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המינהלת העירונית בנתניה (להלן - מינהלת נתניה) הוקמה בכפיפות למהנדס העירייה בעקבות זכיית העירייה בקול קורא 3/2018 באפריל 2019.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מאז הקמתה בשנת 2019 ועד חודש מאי 2025 עסקה המינהלת בין היתר בקידומם של מתחמי התחדשות עירונית בעיר כמפורט בלוח שלהלן.</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rtl/>
        </w:rPr>
      </w:pPr>
      <w:r w:rsidRPr="00DC5B13">
        <w:rPr>
          <w:rFonts w:eastAsia="Calibri" w:hint="eastAsia"/>
          <w:rtl/>
        </w:rPr>
        <w:t>לוח</w:t>
      </w:r>
      <w:r w:rsidRPr="00DC5B13">
        <w:rPr>
          <w:rFonts w:eastAsia="Calibri"/>
          <w:rtl/>
        </w:rPr>
        <w:t xml:space="preserve"> </w:t>
      </w:r>
      <w:r w:rsidRPr="00DC5B13">
        <w:rPr>
          <w:rFonts w:ascii="David" w:eastAsia="Calibri" w:hAnsi="David"/>
          <w:sz w:val="24"/>
        </w:rPr>
        <w:t>8</w:t>
      </w:r>
      <w:r w:rsidRPr="00DC5B13">
        <w:rPr>
          <w:rFonts w:eastAsia="Calibri"/>
          <w:rtl/>
        </w:rPr>
        <w:t xml:space="preserve">: </w:t>
      </w:r>
      <w:r w:rsidRPr="00DC5B13">
        <w:rPr>
          <w:rFonts w:eastAsia="Calibri" w:hint="eastAsia"/>
          <w:b/>
          <w:bCs/>
          <w:rtl/>
        </w:rPr>
        <w:t>מספר</w:t>
      </w:r>
      <w:r w:rsidRPr="00DC5B13">
        <w:rPr>
          <w:rFonts w:eastAsia="Calibri" w:hint="cs"/>
          <w:b/>
          <w:bCs/>
          <w:rtl/>
        </w:rPr>
        <w:t xml:space="preserve"> יחידות הדיור בהתחדשות מתחמית בנתניה, 2025</w:t>
      </w:r>
    </w:p>
    <w:tbl>
      <w:tblPr>
        <w:bidiVisual/>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932"/>
        <w:gridCol w:w="1596"/>
        <w:gridCol w:w="1563"/>
        <w:gridCol w:w="1553"/>
        <w:gridCol w:w="1566"/>
      </w:tblGrid>
      <w:tr w:rsidTr="00DC5B13">
        <w:tblPrEx>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Ex>
        <w:trPr>
          <w:trHeight w:val="501"/>
          <w:jc w:val="center"/>
        </w:trPr>
        <w:tc>
          <w:tcPr>
            <w:tcW w:w="1176" w:type="pct"/>
            <w:vMerge w:val="restart"/>
            <w:shd w:val="clear" w:color="000000" w:fill="4F81BD"/>
          </w:tcPr>
          <w:p w:rsidR="00DC5B13" w:rsidRPr="00DC5B13" w:rsidP="00C34B23">
            <w:pPr>
              <w:spacing w:line="269" w:lineRule="auto"/>
              <w:jc w:val="center"/>
              <w:rPr>
                <w:rFonts w:ascii="David" w:eastAsia="Times New Roman" w:hAnsi="David"/>
                <w:b/>
                <w:bCs/>
                <w:color w:val="FFFFFF"/>
                <w:sz w:val="22"/>
                <w:szCs w:val="22"/>
                <w:rtl/>
              </w:rPr>
            </w:pPr>
          </w:p>
        </w:tc>
        <w:tc>
          <w:tcPr>
            <w:tcW w:w="1924" w:type="pct"/>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התכנון</w:t>
            </w:r>
          </w:p>
        </w:tc>
        <w:tc>
          <w:tcPr>
            <w:tcW w:w="1900" w:type="pct"/>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הרישוי</w:t>
            </w:r>
          </w:p>
        </w:tc>
      </w:tr>
      <w:tr w:rsidTr="00DC5B13">
        <w:tblPrEx>
          <w:tblW w:w="5000" w:type="pct"/>
          <w:jc w:val="center"/>
          <w:tblLook w:val="04A0"/>
        </w:tblPrEx>
        <w:trPr>
          <w:trHeight w:val="501"/>
          <w:jc w:val="center"/>
        </w:trPr>
        <w:tc>
          <w:tcPr>
            <w:tcW w:w="1176" w:type="pct"/>
            <w:vMerge/>
            <w:shd w:val="clear" w:color="000000" w:fill="4F81BD"/>
          </w:tcPr>
          <w:p w:rsidR="00DC5B13" w:rsidRPr="00DC5B13" w:rsidP="00C34B23">
            <w:pPr>
              <w:spacing w:line="269" w:lineRule="auto"/>
              <w:jc w:val="center"/>
              <w:rPr>
                <w:rFonts w:ascii="David" w:eastAsia="Times New Roman" w:hAnsi="David"/>
                <w:color w:val="FFFFFF"/>
                <w:sz w:val="22"/>
                <w:szCs w:val="22"/>
                <w:rtl/>
              </w:rPr>
            </w:pPr>
          </w:p>
        </w:tc>
        <w:tc>
          <w:tcPr>
            <w:tcW w:w="972"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 xml:space="preserve">יח"ד במצב קיים </w:t>
            </w:r>
          </w:p>
        </w:tc>
        <w:tc>
          <w:tcPr>
            <w:tcW w:w="952"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יח"ד במצב מוצע</w:t>
            </w:r>
          </w:p>
        </w:tc>
        <w:tc>
          <w:tcPr>
            <w:tcW w:w="946"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 xml:space="preserve">יח"ד במצב קיים </w:t>
            </w:r>
          </w:p>
        </w:tc>
        <w:tc>
          <w:tcPr>
            <w:tcW w:w="954"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יח"ד במצב מוצע</w:t>
            </w:r>
          </w:p>
        </w:tc>
      </w:tr>
      <w:tr w:rsidTr="00DC5B13">
        <w:tblPrEx>
          <w:tblW w:w="5000" w:type="pct"/>
          <w:jc w:val="center"/>
          <w:tblLook w:val="04A0"/>
        </w:tblPrEx>
        <w:trPr>
          <w:trHeight w:val="501"/>
          <w:jc w:val="center"/>
        </w:trPr>
        <w:tc>
          <w:tcPr>
            <w:tcW w:w="1176" w:type="pct"/>
            <w:shd w:val="clear" w:color="auto" w:fill="4F81BD"/>
          </w:tcPr>
          <w:p w:rsidR="00DC5B13" w:rsidRPr="00DC5B13" w:rsidP="00C34B23">
            <w:pPr>
              <w:spacing w:line="269" w:lineRule="auto"/>
              <w:jc w:val="left"/>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לוח המחוונים באתר המרשתת של משרד השיכון</w:t>
            </w:r>
          </w:p>
        </w:tc>
        <w:tc>
          <w:tcPr>
            <w:tcW w:w="972"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1,284</w:t>
            </w:r>
          </w:p>
        </w:tc>
        <w:tc>
          <w:tcPr>
            <w:tcW w:w="952"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3,556</w:t>
            </w:r>
          </w:p>
        </w:tc>
        <w:tc>
          <w:tcPr>
            <w:tcW w:w="946"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2,072</w:t>
            </w:r>
          </w:p>
        </w:tc>
        <w:tc>
          <w:tcPr>
            <w:tcW w:w="954"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6,027</w:t>
            </w:r>
          </w:p>
        </w:tc>
      </w:tr>
      <w:tr w:rsidTr="00DC5B13">
        <w:tblPrEx>
          <w:tblW w:w="5000" w:type="pct"/>
          <w:jc w:val="center"/>
          <w:tblLook w:val="04A0"/>
        </w:tblPrEx>
        <w:trPr>
          <w:trHeight w:val="501"/>
          <w:jc w:val="center"/>
        </w:trPr>
        <w:tc>
          <w:tcPr>
            <w:tcW w:w="1176" w:type="pct"/>
            <w:shd w:val="clear" w:color="auto" w:fill="4F81BD"/>
          </w:tcPr>
          <w:p w:rsidR="00DC5B13" w:rsidRPr="00DC5B13" w:rsidP="00C34B23">
            <w:pPr>
              <w:spacing w:line="269" w:lineRule="auto"/>
              <w:jc w:val="left"/>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 הרשות להתחדשות</w:t>
            </w:r>
          </w:p>
        </w:tc>
        <w:tc>
          <w:tcPr>
            <w:tcW w:w="972"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1,978</w:t>
            </w:r>
          </w:p>
        </w:tc>
        <w:tc>
          <w:tcPr>
            <w:tcW w:w="952"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7,383</w:t>
            </w:r>
          </w:p>
        </w:tc>
        <w:tc>
          <w:tcPr>
            <w:tcW w:w="946"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2,069</w:t>
            </w:r>
          </w:p>
        </w:tc>
        <w:tc>
          <w:tcPr>
            <w:tcW w:w="954"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8,436</w:t>
            </w:r>
          </w:p>
        </w:tc>
      </w:tr>
      <w:tr w:rsidTr="00DC5B13">
        <w:tblPrEx>
          <w:tblW w:w="5000" w:type="pct"/>
          <w:jc w:val="center"/>
          <w:tblLook w:val="04A0"/>
        </w:tblPrEx>
        <w:trPr>
          <w:trHeight w:val="501"/>
          <w:jc w:val="center"/>
        </w:trPr>
        <w:tc>
          <w:tcPr>
            <w:tcW w:w="1176" w:type="pct"/>
            <w:shd w:val="clear" w:color="auto" w:fill="4F81BD"/>
          </w:tcPr>
          <w:p w:rsidR="00DC5B13" w:rsidRPr="00DC5B13" w:rsidP="00C34B23">
            <w:pPr>
              <w:spacing w:line="269" w:lineRule="auto"/>
              <w:jc w:val="left"/>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נתונים שהתקבלו מהרשויות שנבדקו</w:t>
            </w:r>
          </w:p>
        </w:tc>
        <w:tc>
          <w:tcPr>
            <w:tcW w:w="972"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1,367</w:t>
            </w:r>
          </w:p>
        </w:tc>
        <w:tc>
          <w:tcPr>
            <w:tcW w:w="952"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3,373</w:t>
            </w:r>
          </w:p>
        </w:tc>
        <w:tc>
          <w:tcPr>
            <w:tcW w:w="946"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3,085</w:t>
            </w:r>
          </w:p>
        </w:tc>
        <w:tc>
          <w:tcPr>
            <w:tcW w:w="954"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12,161</w:t>
            </w:r>
          </w:p>
        </w:tc>
      </w:tr>
    </w:tbl>
    <w:p w:rsidR="00DC5B13" w:rsidRPr="00DC5B13" w:rsidP="00C34B23">
      <w:pPr>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נתוני</w:t>
      </w:r>
      <w:r w:rsidRPr="00DC5B13">
        <w:rPr>
          <w:rFonts w:eastAsia="Calibri"/>
          <w:szCs w:val="20"/>
          <w:rtl/>
        </w:rPr>
        <w:t xml:space="preserve"> משרד השיכון והבינוי </w:t>
      </w:r>
      <w:r w:rsidRPr="00DC5B13">
        <w:rPr>
          <w:rFonts w:eastAsia="Calibri" w:hint="eastAsia"/>
          <w:szCs w:val="20"/>
          <w:rtl/>
        </w:rPr>
        <w:t>ממאי</w:t>
      </w:r>
      <w:r w:rsidRPr="00DC5B13">
        <w:rPr>
          <w:rFonts w:eastAsia="Calibri"/>
          <w:szCs w:val="20"/>
          <w:rtl/>
        </w:rPr>
        <w:t xml:space="preserve"> 2025, </w:t>
      </w:r>
      <w:r w:rsidRPr="00DC5B13">
        <w:rPr>
          <w:rFonts w:eastAsia="Calibri" w:hint="eastAsia"/>
          <w:szCs w:val="20"/>
          <w:rtl/>
        </w:rPr>
        <w:t>הרשות</w:t>
      </w:r>
      <w:r w:rsidRPr="00DC5B13">
        <w:rPr>
          <w:rFonts w:eastAsia="Calibri"/>
          <w:szCs w:val="20"/>
          <w:rtl/>
        </w:rPr>
        <w:t xml:space="preserve"> להתחדשות - </w:t>
      </w:r>
      <w:r w:rsidRPr="00DC5B13">
        <w:rPr>
          <w:rFonts w:eastAsia="Calibri" w:hint="eastAsia"/>
          <w:szCs w:val="20"/>
          <w:rtl/>
        </w:rPr>
        <w:t>מיולי</w:t>
      </w:r>
      <w:r w:rsidRPr="00DC5B13">
        <w:rPr>
          <w:rFonts w:eastAsia="Calibri"/>
          <w:szCs w:val="20"/>
          <w:rtl/>
        </w:rPr>
        <w:t xml:space="preserve"> 2025, </w:t>
      </w:r>
      <w:r w:rsidRPr="00DC5B13">
        <w:rPr>
          <w:rFonts w:eastAsia="Calibri" w:hint="eastAsia"/>
          <w:szCs w:val="20"/>
          <w:rtl/>
        </w:rPr>
        <w:t>עיריית</w:t>
      </w:r>
      <w:r w:rsidRPr="00DC5B13">
        <w:rPr>
          <w:rFonts w:eastAsia="Calibri"/>
          <w:szCs w:val="20"/>
          <w:rtl/>
        </w:rPr>
        <w:t xml:space="preserve"> נתניה - </w:t>
      </w:r>
      <w:r w:rsidRPr="00DC5B13">
        <w:rPr>
          <w:rFonts w:eastAsia="Calibri" w:hint="eastAsia"/>
          <w:szCs w:val="20"/>
          <w:rtl/>
        </w:rPr>
        <w:t>מנובמבר</w:t>
      </w:r>
      <w:r w:rsidRPr="00DC5B13">
        <w:rPr>
          <w:rFonts w:eastAsia="Calibri"/>
          <w:szCs w:val="20"/>
          <w:rtl/>
        </w:rPr>
        <w:t xml:space="preserve"> 2025 וכן הדוחות הכספיים של הרשויות המקומיות לשנת 2023, בעיבוד משרד מבקר המדינה.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eastAsia"/>
          <w:rtl/>
        </w:rPr>
        <w:t>מהנתונים</w:t>
      </w:r>
      <w:r w:rsidRPr="00DC5B13">
        <w:rPr>
          <w:rFonts w:eastAsia="Calibri"/>
          <w:rtl/>
        </w:rPr>
        <w:t xml:space="preserve"> </w:t>
      </w:r>
      <w:r w:rsidRPr="00DC5B13">
        <w:rPr>
          <w:rFonts w:eastAsia="Calibri" w:hint="eastAsia"/>
          <w:rtl/>
        </w:rPr>
        <w:t>המוצגים</w:t>
      </w:r>
      <w:r w:rsidRPr="00DC5B13">
        <w:rPr>
          <w:rFonts w:eastAsia="Calibri"/>
          <w:rtl/>
        </w:rPr>
        <w:t xml:space="preserve"> </w:t>
      </w:r>
      <w:r w:rsidRPr="00DC5B13">
        <w:rPr>
          <w:rFonts w:eastAsia="Calibri" w:hint="eastAsia"/>
          <w:rtl/>
        </w:rPr>
        <w:t>בלוח</w:t>
      </w:r>
      <w:r w:rsidRPr="00DC5B13">
        <w:rPr>
          <w:rFonts w:eastAsia="Calibri"/>
          <w:rtl/>
        </w:rPr>
        <w:t xml:space="preserve"> </w:t>
      </w:r>
      <w:r w:rsidRPr="00DC5B13">
        <w:rPr>
          <w:rFonts w:eastAsia="Calibri" w:hint="eastAsia"/>
          <w:rtl/>
        </w:rPr>
        <w:t>עולים</w:t>
      </w:r>
      <w:r w:rsidRPr="00DC5B13">
        <w:rPr>
          <w:rFonts w:eastAsia="Calibri"/>
          <w:rtl/>
        </w:rPr>
        <w:t xml:space="preserve"> </w:t>
      </w:r>
      <w:r w:rsidRPr="00DC5B13">
        <w:rPr>
          <w:rFonts w:eastAsia="Calibri" w:hint="eastAsia"/>
          <w:rtl/>
        </w:rPr>
        <w:t>פערים</w:t>
      </w:r>
      <w:r w:rsidRPr="00DC5B13">
        <w:rPr>
          <w:rFonts w:eastAsia="Calibri"/>
          <w:rtl/>
        </w:rPr>
        <w:t xml:space="preserve"> </w:t>
      </w:r>
      <w:r w:rsidRPr="00DC5B13">
        <w:rPr>
          <w:rFonts w:eastAsia="Calibri" w:hint="eastAsia"/>
          <w:rtl/>
        </w:rPr>
        <w:t>ניכרים</w:t>
      </w:r>
      <w:r w:rsidRPr="00DC5B13">
        <w:rPr>
          <w:rFonts w:eastAsia="Calibri"/>
          <w:rtl/>
        </w:rPr>
        <w:t xml:space="preserve"> </w:t>
      </w:r>
      <w:r w:rsidRPr="00DC5B13">
        <w:rPr>
          <w:rFonts w:eastAsia="Calibri" w:hint="eastAsia"/>
          <w:rtl/>
        </w:rPr>
        <w:t>בין</w:t>
      </w:r>
      <w:r w:rsidRPr="00DC5B13">
        <w:rPr>
          <w:rFonts w:eastAsia="Calibri"/>
          <w:rtl/>
        </w:rPr>
        <w:t xml:space="preserve"> </w:t>
      </w:r>
      <w:r w:rsidRPr="00DC5B13">
        <w:rPr>
          <w:rFonts w:eastAsia="Calibri" w:hint="eastAsia"/>
          <w:rtl/>
        </w:rPr>
        <w:t>הנתונים</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עיריית</w:t>
      </w:r>
      <w:r w:rsidRPr="00DC5B13">
        <w:rPr>
          <w:rFonts w:eastAsia="Calibri"/>
          <w:rtl/>
        </w:rPr>
        <w:t xml:space="preserve"> </w:t>
      </w:r>
      <w:r w:rsidRPr="00DC5B13">
        <w:rPr>
          <w:rFonts w:eastAsia="Calibri" w:hint="eastAsia"/>
          <w:rtl/>
        </w:rPr>
        <w:t>נתניה</w:t>
      </w:r>
      <w:r w:rsidRPr="00DC5B13">
        <w:rPr>
          <w:rFonts w:eastAsia="Calibri"/>
          <w:rtl/>
        </w:rPr>
        <w:t xml:space="preserve"> </w:t>
      </w:r>
      <w:r w:rsidRPr="00DC5B13">
        <w:rPr>
          <w:rFonts w:eastAsia="Calibri" w:hint="eastAsia"/>
          <w:rtl/>
        </w:rPr>
        <w:t>ובין</w:t>
      </w:r>
      <w:r w:rsidRPr="00DC5B13">
        <w:rPr>
          <w:rFonts w:eastAsia="Calibri"/>
          <w:rtl/>
        </w:rPr>
        <w:t xml:space="preserve"> </w:t>
      </w:r>
      <w:r w:rsidRPr="00DC5B13">
        <w:rPr>
          <w:rFonts w:eastAsia="Calibri" w:hint="eastAsia"/>
          <w:rtl/>
        </w:rPr>
        <w:t>הנתונים</w:t>
      </w:r>
      <w:r w:rsidRPr="00DC5B13">
        <w:rPr>
          <w:rFonts w:eastAsia="Calibri"/>
          <w:rtl/>
        </w:rPr>
        <w:t xml:space="preserve"> </w:t>
      </w:r>
      <w:r w:rsidRPr="00DC5B13">
        <w:rPr>
          <w:rFonts w:eastAsia="Calibri" w:hint="eastAsia"/>
          <w:rtl/>
        </w:rPr>
        <w:t>שהתקבלו</w:t>
      </w:r>
      <w:r w:rsidRPr="00DC5B13">
        <w:rPr>
          <w:rFonts w:eastAsia="Calibri"/>
          <w:rtl/>
        </w:rPr>
        <w:t xml:space="preserve"> </w:t>
      </w:r>
      <w:r w:rsidRPr="00DC5B13">
        <w:rPr>
          <w:rFonts w:eastAsia="Calibri" w:hint="eastAsia"/>
          <w:rtl/>
        </w:rPr>
        <w:t>מהרשות</w:t>
      </w:r>
      <w:r w:rsidRPr="00DC5B13">
        <w:rPr>
          <w:rFonts w:eastAsia="Calibri"/>
          <w:rtl/>
        </w:rPr>
        <w:t xml:space="preserve"> </w:t>
      </w:r>
      <w:r w:rsidRPr="00DC5B13">
        <w:rPr>
          <w:rFonts w:eastAsia="Calibri" w:hint="eastAsia"/>
          <w:rtl/>
        </w:rPr>
        <w:t>להתחדשות</w:t>
      </w:r>
      <w:r w:rsidRPr="00DC5B13">
        <w:rPr>
          <w:rFonts w:eastAsia="Calibri"/>
          <w:rtl/>
        </w:rPr>
        <w:t xml:space="preserve"> </w:t>
      </w:r>
      <w:r w:rsidRPr="00DC5B13">
        <w:rPr>
          <w:rFonts w:eastAsia="Calibri" w:hint="eastAsia"/>
          <w:rtl/>
        </w:rPr>
        <w:t>ולנתונים</w:t>
      </w:r>
      <w:r w:rsidRPr="00DC5B13">
        <w:rPr>
          <w:rFonts w:eastAsia="Calibri"/>
          <w:rtl/>
        </w:rPr>
        <w:t xml:space="preserve"> </w:t>
      </w:r>
      <w:r w:rsidRPr="00DC5B13">
        <w:rPr>
          <w:rFonts w:eastAsia="Calibri" w:hint="eastAsia"/>
          <w:rtl/>
        </w:rPr>
        <w:t>המפורסמים</w:t>
      </w:r>
      <w:r w:rsidRPr="00DC5B13">
        <w:rPr>
          <w:rFonts w:eastAsia="Calibri"/>
          <w:rtl/>
        </w:rPr>
        <w:t xml:space="preserve"> </w:t>
      </w:r>
      <w:r w:rsidRPr="00DC5B13">
        <w:rPr>
          <w:rFonts w:eastAsia="Calibri" w:hint="eastAsia"/>
          <w:rtl/>
        </w:rPr>
        <w:t>באתר</w:t>
      </w:r>
      <w:r w:rsidRPr="00DC5B13">
        <w:rPr>
          <w:rFonts w:eastAsia="Calibri"/>
          <w:rtl/>
        </w:rPr>
        <w:t xml:space="preserve"> </w:t>
      </w:r>
      <w:r w:rsidRPr="00DC5B13">
        <w:rPr>
          <w:rFonts w:eastAsia="Calibri" w:hint="eastAsia"/>
          <w:rtl/>
        </w:rPr>
        <w:t>המרשתת</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משרד</w:t>
      </w:r>
      <w:r w:rsidRPr="00DC5B13">
        <w:rPr>
          <w:rFonts w:eastAsia="Calibri"/>
          <w:rtl/>
        </w:rPr>
        <w:t xml:space="preserve"> </w:t>
      </w:r>
      <w:r w:rsidRPr="00DC5B13">
        <w:rPr>
          <w:rFonts w:eastAsia="Calibri" w:hint="eastAsia"/>
          <w:rtl/>
        </w:rPr>
        <w:t>השיכון</w:t>
      </w:r>
      <w:r w:rsidRPr="00DC5B13">
        <w:rPr>
          <w:rFonts w:eastAsia="Calibri"/>
          <w:rtl/>
        </w:rPr>
        <w:t xml:space="preserve"> - </w:t>
      </w:r>
      <w:r w:rsidRPr="00DC5B13">
        <w:rPr>
          <w:rFonts w:eastAsia="Calibri" w:hint="eastAsia"/>
          <w:rtl/>
        </w:rPr>
        <w:t>הן</w:t>
      </w:r>
      <w:r w:rsidRPr="00DC5B13">
        <w:rPr>
          <w:rFonts w:eastAsia="Calibri"/>
          <w:rtl/>
        </w:rPr>
        <w:t xml:space="preserve"> </w:t>
      </w:r>
      <w:r w:rsidRPr="00DC5B13">
        <w:rPr>
          <w:rFonts w:eastAsia="Calibri" w:hint="eastAsia"/>
          <w:rtl/>
        </w:rPr>
        <w:t>ביחס</w:t>
      </w:r>
      <w:r w:rsidRPr="00DC5B13">
        <w:rPr>
          <w:rFonts w:eastAsia="Calibri"/>
          <w:rtl/>
        </w:rPr>
        <w:t xml:space="preserve"> </w:t>
      </w:r>
      <w:r w:rsidRPr="00DC5B13">
        <w:rPr>
          <w:rFonts w:eastAsia="Calibri" w:hint="eastAsia"/>
          <w:rtl/>
        </w:rPr>
        <w:t>למספר</w:t>
      </w:r>
      <w:r w:rsidRPr="00DC5B13">
        <w:rPr>
          <w:rFonts w:eastAsia="Calibri"/>
          <w:rtl/>
        </w:rPr>
        <w:t xml:space="preserve"> </w:t>
      </w:r>
      <w:r w:rsidRPr="00DC5B13">
        <w:rPr>
          <w:rFonts w:eastAsia="Calibri" w:hint="eastAsia"/>
          <w:rtl/>
        </w:rPr>
        <w:t>יח</w:t>
      </w:r>
      <w:r w:rsidRPr="00DC5B13">
        <w:rPr>
          <w:rFonts w:eastAsia="Calibri"/>
          <w:rtl/>
        </w:rPr>
        <w:t xml:space="preserve">"ד </w:t>
      </w:r>
      <w:r w:rsidRPr="00DC5B13">
        <w:rPr>
          <w:rFonts w:eastAsia="Calibri" w:hint="eastAsia"/>
          <w:rtl/>
        </w:rPr>
        <w:t>במצב</w:t>
      </w:r>
      <w:r w:rsidRPr="00DC5B13">
        <w:rPr>
          <w:rFonts w:eastAsia="Calibri"/>
          <w:rtl/>
        </w:rPr>
        <w:t xml:space="preserve"> </w:t>
      </w:r>
      <w:r w:rsidRPr="00DC5B13">
        <w:rPr>
          <w:rFonts w:eastAsia="Calibri" w:hint="eastAsia"/>
          <w:rtl/>
        </w:rPr>
        <w:t>מוצע</w:t>
      </w:r>
      <w:r w:rsidRPr="00DC5B13">
        <w:rPr>
          <w:rFonts w:eastAsia="Calibri"/>
          <w:rtl/>
        </w:rPr>
        <w:t xml:space="preserve"> </w:t>
      </w:r>
      <w:r w:rsidRPr="00DC5B13">
        <w:rPr>
          <w:rFonts w:eastAsia="Calibri" w:hint="eastAsia"/>
          <w:rtl/>
        </w:rPr>
        <w:t>והן</w:t>
      </w:r>
      <w:r w:rsidRPr="00DC5B13">
        <w:rPr>
          <w:rFonts w:eastAsia="Calibri"/>
          <w:rtl/>
        </w:rPr>
        <w:t xml:space="preserve"> </w:t>
      </w:r>
      <w:r w:rsidRPr="00DC5B13">
        <w:rPr>
          <w:rFonts w:eastAsia="Calibri" w:hint="eastAsia"/>
          <w:rtl/>
        </w:rPr>
        <w:t>ביחס</w:t>
      </w:r>
      <w:r w:rsidRPr="00DC5B13">
        <w:rPr>
          <w:rFonts w:eastAsia="Calibri"/>
          <w:rtl/>
        </w:rPr>
        <w:t xml:space="preserve"> </w:t>
      </w:r>
      <w:r w:rsidRPr="00DC5B13">
        <w:rPr>
          <w:rFonts w:eastAsia="Calibri" w:hint="eastAsia"/>
          <w:rtl/>
        </w:rPr>
        <w:t>ליח</w:t>
      </w:r>
      <w:r w:rsidRPr="00DC5B13">
        <w:rPr>
          <w:rFonts w:eastAsia="Calibri"/>
          <w:rtl/>
        </w:rPr>
        <w:t xml:space="preserve">"ד </w:t>
      </w:r>
      <w:r w:rsidRPr="00DC5B13">
        <w:rPr>
          <w:rFonts w:eastAsia="Calibri" w:hint="eastAsia"/>
          <w:rtl/>
        </w:rPr>
        <w:t>שבשלבי</w:t>
      </w:r>
      <w:r w:rsidRPr="00DC5B13">
        <w:rPr>
          <w:rFonts w:eastAsia="Calibri"/>
          <w:rtl/>
        </w:rPr>
        <w:t xml:space="preserve"> </w:t>
      </w:r>
      <w:r w:rsidRPr="00DC5B13">
        <w:rPr>
          <w:rFonts w:eastAsia="Calibri" w:hint="eastAsia"/>
          <w:rtl/>
        </w:rPr>
        <w:t>רישוי</w:t>
      </w:r>
      <w:r w:rsidRPr="00DC5B13">
        <w:rPr>
          <w:rFonts w:eastAsia="Calibri"/>
          <w:rtl/>
        </w:rPr>
        <w:t>.</w:t>
      </w:r>
      <w:r w:rsidRPr="00DC5B13">
        <w:rPr>
          <w:rFonts w:eastAsia="Calibri" w:hint="cs"/>
          <w:rtl/>
        </w:rPr>
        <w:t xml:space="preserve"> יש הבדלים בין הנתונים הנוגעים לשלב הרישוי: העירייה דיווחה על 12,161 יח"ד במצב מוצע, לפי לוח המחוונים של משרד השיכון יש 6,027 יח"ד, ואילו לפי נתוני הרשות להתחדשות יש 8,436 יח"ד במצב מוצע.</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נתניה מסרה בתשובתה למשרד מבקר המדינה ממרץ 2026 כי היא סבורה שהפערים בנתונים האמורים נובעים בעיקר משוני במקור הנתונים ובאופן מדידתם. </w:t>
      </w:r>
    </w:p>
    <w:p w:rsidR="00DC5B13" w:rsidRPr="00DC5B13" w:rsidP="00C34B23">
      <w:pPr>
        <w:spacing w:line="269" w:lineRule="auto"/>
        <w:ind w:left="-567"/>
        <w:rPr>
          <w:rFonts w:eastAsia="Calibri"/>
          <w:szCs w:val="20"/>
          <w:rtl/>
        </w:rPr>
      </w:pPr>
    </w:p>
    <w:p w:rsidR="00DC5B13" w:rsidRPr="00DC5B13" w:rsidP="00C34B23">
      <w:pPr>
        <w:spacing w:line="269" w:lineRule="auto"/>
        <w:jc w:val="center"/>
        <w:rPr>
          <w:rFonts w:eastAsia="Calibri"/>
          <w:b/>
          <w:bCs/>
          <w:rtl/>
        </w:rPr>
      </w:pPr>
      <w:r w:rsidRPr="00DC5B13">
        <w:rPr>
          <w:rFonts w:eastAsia="Calibri" w:hint="cs"/>
          <w:rtl/>
        </w:rPr>
        <w:t xml:space="preserve">תמונה 2: </w:t>
      </w:r>
      <w:r w:rsidRPr="00DC5B13">
        <w:rPr>
          <w:rFonts w:eastAsia="Calibri" w:hint="cs"/>
          <w:b/>
          <w:bCs/>
          <w:rtl/>
        </w:rPr>
        <w:t>בניין מגורים במתחם התחדשות עירונית בנתניה</w:t>
      </w:r>
      <w:r w:rsidRPr="00DC5B13">
        <w:rPr>
          <w:rFonts w:eastAsia="Calibri"/>
          <w:noProof/>
          <w:lang w:val="he-IL"/>
        </w:rPr>
        <w:drawing>
          <wp:inline distT="0" distB="0" distL="0" distR="0">
            <wp:extent cx="5207635" cy="2933065"/>
            <wp:effectExtent l="0" t="0" r="0" b="635"/>
            <wp:docPr id="49" name="תמונה 49" descr="תצלום של חזית מבנה מגורים משותף הבנוי על קומת עמודים מפולשת, שבה נראה חלל פתוח המכיל רהיטים וחפצים משומשים וכלוב רשת עם בלוני גז. קירות המבנה בעלי גימור טיח גס עם כתמי רטיבות וחלודה, ועליהם מותקנים מנועי מזגנים וצינורות ניקוז וביוב. בחזית קבועים חלונות אלומיניום עם תריסי גלילה, בהם חלון עם סורג בולט שעליו מונחים חפצים ושקיות, ובקדמת המבנה נראית קרקע עם עשבייה נמוכה לצד ענף עץ מחטני מימ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7635" cy="2933065"/>
                    </a:xfrm>
                    <a:prstGeom prst="rect">
                      <a:avLst/>
                    </a:prstGeom>
                    <a:noFill/>
                    <a:ln>
                      <a:noFill/>
                    </a:ln>
                  </pic:spPr>
                </pic:pic>
              </a:graphicData>
            </a:graphic>
          </wp:inline>
        </w:drawing>
      </w:r>
    </w:p>
    <w:p w:rsidR="00DC5B13" w:rsidRPr="00DC5B13" w:rsidP="00C34B23">
      <w:pPr>
        <w:spacing w:line="269" w:lineRule="auto"/>
        <w:rPr>
          <w:rFonts w:eastAsia="Calibri"/>
          <w:sz w:val="16"/>
          <w:szCs w:val="20"/>
          <w:rtl/>
        </w:rPr>
      </w:pPr>
      <w:r w:rsidRPr="00DC5B13">
        <w:rPr>
          <w:rFonts w:eastAsia="Calibri" w:hint="cs"/>
          <w:sz w:val="16"/>
          <w:szCs w:val="20"/>
          <w:rtl/>
        </w:rPr>
        <w:t>צילום: מינהלת עירונית נתניה.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hint="eastAsia"/>
          <w:bCs/>
          <w:spacing w:val="40"/>
          <w:rtl/>
        </w:rPr>
        <w:t>פעולות</w:t>
      </w:r>
      <w:r w:rsidRPr="00DC5B13">
        <w:rPr>
          <w:rFonts w:eastAsia="Times New Roman"/>
          <w:bCs/>
          <w:spacing w:val="40"/>
          <w:rtl/>
        </w:rPr>
        <w:t xml:space="preserve"> </w:t>
      </w:r>
      <w:r w:rsidRPr="00DC5B13">
        <w:rPr>
          <w:rFonts w:eastAsia="Times New Roman" w:hint="eastAsia"/>
          <w:bCs/>
          <w:spacing w:val="40"/>
          <w:rtl/>
        </w:rPr>
        <w:t>המינהלת</w:t>
      </w:r>
      <w:r w:rsidRPr="00DC5B13">
        <w:rPr>
          <w:rFonts w:eastAsia="Times New Roman"/>
          <w:bCs/>
          <w:spacing w:val="40"/>
          <w:rtl/>
        </w:rPr>
        <w:t xml:space="preserve"> </w:t>
      </w:r>
      <w:r w:rsidRPr="00DC5B13">
        <w:rPr>
          <w:rFonts w:eastAsia="Times New Roman" w:hint="eastAsia"/>
          <w:bCs/>
          <w:spacing w:val="40"/>
          <w:rtl/>
        </w:rPr>
        <w:t>מול</w:t>
      </w:r>
      <w:r w:rsidRPr="00DC5B13">
        <w:rPr>
          <w:rFonts w:eastAsia="Times New Roman"/>
          <w:bCs/>
          <w:spacing w:val="40"/>
          <w:rtl/>
        </w:rPr>
        <w:t xml:space="preserve"> </w:t>
      </w:r>
      <w:r w:rsidRPr="00DC5B13">
        <w:rPr>
          <w:rFonts w:eastAsia="Times New Roman" w:hint="eastAsia"/>
          <w:bCs/>
          <w:spacing w:val="40"/>
          <w:rtl/>
        </w:rPr>
        <w:t>הרשות</w:t>
      </w:r>
      <w:r w:rsidRPr="00DC5B13">
        <w:rPr>
          <w:rFonts w:eastAsia="Times New Roman"/>
          <w:bCs/>
          <w:spacing w:val="40"/>
          <w:rtl/>
        </w:rPr>
        <w:t xml:space="preserve"> </w:t>
      </w:r>
      <w:r w:rsidRPr="00DC5B13">
        <w:rPr>
          <w:rFonts w:eastAsia="Times New Roman" w:hint="eastAsia"/>
          <w:bCs/>
          <w:spacing w:val="40"/>
          <w:rtl/>
        </w:rPr>
        <w:t>המקומית</w:t>
      </w:r>
      <w:r w:rsidRPr="00DC5B13">
        <w:rPr>
          <w:rFonts w:eastAsia="Times New Roman"/>
          <w:bCs/>
          <w:spacing w:val="40"/>
          <w:rtl/>
        </w:rPr>
        <w:t>:</w:t>
      </w:r>
      <w:r w:rsidRPr="00DC5B13">
        <w:rPr>
          <w:rFonts w:eastAsia="Calibri" w:hint="cs"/>
          <w:rtl/>
        </w:rPr>
        <w:t xml:space="preserve"> </w:t>
      </w:r>
      <w:r w:rsidRPr="00DC5B13">
        <w:rPr>
          <w:rFonts w:eastAsia="Calibri"/>
          <w:rtl/>
        </w:rPr>
        <w:t xml:space="preserve">המינהלת </w:t>
      </w:r>
      <w:r w:rsidRPr="00DC5B13">
        <w:rPr>
          <w:rFonts w:eastAsia="Calibri" w:hint="cs"/>
          <w:rtl/>
        </w:rPr>
        <w:t>השתתפה</w:t>
      </w:r>
      <w:r w:rsidRPr="00DC5B13">
        <w:rPr>
          <w:rFonts w:eastAsia="Calibri"/>
          <w:rtl/>
        </w:rPr>
        <w:t xml:space="preserve"> בגיבוש </w:t>
      </w:r>
      <w:r w:rsidRPr="00DC5B13">
        <w:rPr>
          <w:rFonts w:eastAsia="Calibri" w:hint="cs"/>
          <w:rtl/>
        </w:rPr>
        <w:t>ה</w:t>
      </w:r>
      <w:r w:rsidRPr="00DC5B13">
        <w:rPr>
          <w:rFonts w:eastAsia="Calibri"/>
          <w:rtl/>
        </w:rPr>
        <w:t>מסמכי</w:t>
      </w:r>
      <w:r w:rsidRPr="00DC5B13">
        <w:rPr>
          <w:rFonts w:eastAsia="Calibri" w:hint="cs"/>
          <w:rtl/>
        </w:rPr>
        <w:t>ם של</w:t>
      </w:r>
      <w:r w:rsidRPr="00DC5B13">
        <w:rPr>
          <w:rFonts w:eastAsia="Calibri"/>
          <w:rtl/>
        </w:rPr>
        <w:t xml:space="preserve"> מדיניות </w:t>
      </w:r>
      <w:r w:rsidRPr="00DC5B13">
        <w:rPr>
          <w:rFonts w:eastAsia="Calibri" w:hint="cs"/>
          <w:rtl/>
        </w:rPr>
        <w:t>ה</w:t>
      </w:r>
      <w:r w:rsidRPr="00DC5B13">
        <w:rPr>
          <w:rFonts w:eastAsia="Calibri"/>
          <w:rtl/>
        </w:rPr>
        <w:t xml:space="preserve">התחדשות </w:t>
      </w:r>
      <w:r w:rsidRPr="00DC5B13">
        <w:rPr>
          <w:rFonts w:eastAsia="Calibri" w:hint="cs"/>
          <w:rtl/>
        </w:rPr>
        <w:t>ה</w:t>
      </w:r>
      <w:r w:rsidRPr="00DC5B13">
        <w:rPr>
          <w:rFonts w:eastAsia="Calibri"/>
          <w:rtl/>
        </w:rPr>
        <w:t>עירונית</w:t>
      </w:r>
      <w:r w:rsidRPr="00DC5B13">
        <w:rPr>
          <w:rFonts w:eastAsia="Calibri" w:hint="cs"/>
          <w:rtl/>
        </w:rPr>
        <w:t xml:space="preserve"> בעיר. הסמכת הוועדה המקומית של עיריית נתניה כוועדה עצמאית מיוחדת בשנת 2020 הוסיפה ליכולתה של המינהלת לפעול באפקטיביות בתהליכי התכנון והרישוי בעיר</w:t>
      </w:r>
      <w:r>
        <w:rPr>
          <w:rFonts w:eastAsia="Calibri"/>
          <w:vertAlign w:val="superscript"/>
          <w:rtl/>
        </w:rPr>
        <w:footnoteReference w:id="97"/>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eastAsia"/>
          <w:rtl/>
        </w:rPr>
        <w:t>מתוכניות</w:t>
      </w:r>
      <w:r w:rsidRPr="00DC5B13">
        <w:rPr>
          <w:rFonts w:eastAsia="Calibri"/>
          <w:rtl/>
        </w:rPr>
        <w:t xml:space="preserve"> </w:t>
      </w:r>
      <w:r w:rsidRPr="00DC5B13">
        <w:rPr>
          <w:rFonts w:eastAsia="Calibri" w:hint="eastAsia"/>
          <w:rtl/>
        </w:rPr>
        <w:t>העבודה</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המינהלת</w:t>
      </w:r>
      <w:r w:rsidRPr="00DC5B13">
        <w:rPr>
          <w:rFonts w:eastAsia="Calibri"/>
          <w:rtl/>
        </w:rPr>
        <w:t xml:space="preserve"> </w:t>
      </w:r>
      <w:r w:rsidRPr="00DC5B13">
        <w:rPr>
          <w:rFonts w:eastAsia="Calibri" w:hint="eastAsia"/>
          <w:rtl/>
        </w:rPr>
        <w:t>בנתניה</w:t>
      </w:r>
      <w:r w:rsidRPr="00DC5B13">
        <w:rPr>
          <w:rFonts w:eastAsia="Calibri"/>
          <w:rtl/>
        </w:rPr>
        <w:t xml:space="preserve"> </w:t>
      </w:r>
      <w:r w:rsidRPr="00DC5B13">
        <w:rPr>
          <w:rFonts w:eastAsia="Calibri" w:hint="eastAsia"/>
          <w:rtl/>
        </w:rPr>
        <w:t>לשנים</w:t>
      </w:r>
      <w:r w:rsidRPr="00DC5B13">
        <w:rPr>
          <w:rFonts w:eastAsia="Calibri"/>
          <w:rtl/>
        </w:rPr>
        <w:t xml:space="preserve"> 2020 - 2025 </w:t>
      </w:r>
      <w:r w:rsidRPr="00DC5B13">
        <w:rPr>
          <w:rFonts w:eastAsia="Calibri" w:hint="eastAsia"/>
          <w:rtl/>
        </w:rPr>
        <w:t>עלה</w:t>
      </w:r>
      <w:r w:rsidRPr="00DC5B13">
        <w:rPr>
          <w:rFonts w:eastAsia="Calibri"/>
          <w:rtl/>
        </w:rPr>
        <w:t xml:space="preserve"> כי </w:t>
      </w:r>
      <w:r w:rsidRPr="00DC5B13">
        <w:rPr>
          <w:rFonts w:eastAsia="Calibri" w:hint="eastAsia"/>
          <w:rtl/>
        </w:rPr>
        <w:t>המינהלת</w:t>
      </w:r>
      <w:r w:rsidRPr="00DC5B13">
        <w:rPr>
          <w:rFonts w:eastAsia="Calibri"/>
          <w:rtl/>
        </w:rPr>
        <w:t xml:space="preserve"> </w:t>
      </w:r>
      <w:r w:rsidRPr="00DC5B13">
        <w:rPr>
          <w:rFonts w:eastAsia="Calibri" w:hint="eastAsia"/>
          <w:rtl/>
        </w:rPr>
        <w:t>פעלה</w:t>
      </w:r>
      <w:r w:rsidRPr="00DC5B13">
        <w:rPr>
          <w:rFonts w:eastAsia="Calibri"/>
          <w:rtl/>
        </w:rPr>
        <w:t xml:space="preserve"> </w:t>
      </w:r>
      <w:r w:rsidRPr="00DC5B13">
        <w:rPr>
          <w:rFonts w:eastAsia="Calibri" w:hint="eastAsia"/>
          <w:rtl/>
        </w:rPr>
        <w:t>להקמת</w:t>
      </w:r>
      <w:r w:rsidRPr="00DC5B13">
        <w:rPr>
          <w:rFonts w:eastAsia="Calibri"/>
          <w:rtl/>
        </w:rPr>
        <w:t xml:space="preserve"> מסגרת לתיאום ולשיתוף פעולה </w:t>
      </w:r>
      <w:r w:rsidRPr="00DC5B13">
        <w:rPr>
          <w:rFonts w:eastAsia="Calibri" w:hint="eastAsia"/>
          <w:rtl/>
        </w:rPr>
        <w:t>שוטף</w:t>
      </w:r>
      <w:r w:rsidRPr="00DC5B13">
        <w:rPr>
          <w:rFonts w:eastAsia="Calibri"/>
          <w:rtl/>
        </w:rPr>
        <w:t xml:space="preserve"> </w:t>
      </w:r>
      <w:r w:rsidRPr="00DC5B13">
        <w:rPr>
          <w:rFonts w:eastAsia="Calibri" w:hint="eastAsia"/>
          <w:rtl/>
        </w:rPr>
        <w:t>מול</w:t>
      </w:r>
      <w:r w:rsidRPr="00DC5B13">
        <w:rPr>
          <w:rFonts w:eastAsia="Calibri"/>
          <w:rtl/>
        </w:rPr>
        <w:t xml:space="preserve"> </w:t>
      </w:r>
      <w:r w:rsidRPr="00DC5B13">
        <w:rPr>
          <w:rFonts w:eastAsia="Calibri" w:hint="eastAsia"/>
          <w:rtl/>
        </w:rPr>
        <w:t>אגפי</w:t>
      </w:r>
      <w:r w:rsidRPr="00DC5B13">
        <w:rPr>
          <w:rFonts w:eastAsia="Calibri"/>
          <w:rtl/>
        </w:rPr>
        <w:t xml:space="preserve"> הרווחה, אגף שכונות, מנהלי הרבעים, מינהל </w:t>
      </w:r>
      <w:r w:rsidRPr="00DC5B13">
        <w:rPr>
          <w:rFonts w:eastAsia="Calibri" w:hint="eastAsia"/>
          <w:rtl/>
        </w:rPr>
        <w:t>ה</w:t>
      </w:r>
      <w:r w:rsidRPr="00DC5B13">
        <w:rPr>
          <w:rFonts w:eastAsia="Calibri"/>
          <w:rtl/>
        </w:rPr>
        <w:t xml:space="preserve">חינוך </w:t>
      </w:r>
      <w:r w:rsidRPr="00DC5B13">
        <w:rPr>
          <w:rFonts w:eastAsia="Calibri" w:hint="eastAsia"/>
          <w:rtl/>
        </w:rPr>
        <w:t>ו</w:t>
      </w:r>
      <w:r w:rsidRPr="00DC5B13">
        <w:rPr>
          <w:rFonts w:eastAsia="Calibri"/>
          <w:rtl/>
        </w:rPr>
        <w:t xml:space="preserve">אגף </w:t>
      </w:r>
      <w:r w:rsidRPr="00DC5B13">
        <w:rPr>
          <w:rFonts w:eastAsia="Calibri" w:hint="eastAsia"/>
          <w:rtl/>
        </w:rPr>
        <w:t>ה</w:t>
      </w:r>
      <w:r w:rsidRPr="00DC5B13">
        <w:rPr>
          <w:rFonts w:eastAsia="Calibri"/>
          <w:rtl/>
        </w:rPr>
        <w:t xml:space="preserve">נכסים </w:t>
      </w:r>
      <w:r w:rsidRPr="00DC5B13">
        <w:rPr>
          <w:rFonts w:eastAsia="Calibri" w:hint="eastAsia"/>
          <w:rtl/>
        </w:rPr>
        <w:t>ה</w:t>
      </w:r>
      <w:r w:rsidRPr="00DC5B13">
        <w:rPr>
          <w:rFonts w:eastAsia="Calibri"/>
          <w:rtl/>
        </w:rPr>
        <w:t>ציבוריי</w:t>
      </w:r>
      <w:r w:rsidRPr="00DC5B13">
        <w:rPr>
          <w:rFonts w:eastAsia="Calibri" w:hint="eastAsia"/>
          <w:rtl/>
        </w:rPr>
        <w:t>ם</w:t>
      </w:r>
      <w:r w:rsidRPr="00DC5B13">
        <w:rPr>
          <w:rFonts w:eastAsia="Calibri"/>
          <w:rtl/>
        </w:rPr>
        <w:t xml:space="preserve"> </w:t>
      </w:r>
      <w:r w:rsidRPr="00DC5B13">
        <w:rPr>
          <w:rFonts w:eastAsia="Calibri" w:hint="eastAsia"/>
          <w:rtl/>
        </w:rPr>
        <w:t>בעירייה</w:t>
      </w:r>
      <w:r w:rsidRPr="00DC5B13">
        <w:rPr>
          <w:rFonts w:eastAsia="Calibri"/>
          <w:rtl/>
        </w:rPr>
        <w:t xml:space="preserve">. </w:t>
      </w:r>
      <w:r w:rsidRPr="00DC5B13">
        <w:rPr>
          <w:rFonts w:eastAsia="Calibri" w:hint="eastAsia"/>
          <w:rtl/>
        </w:rPr>
        <w:t>כמו</w:t>
      </w:r>
      <w:r w:rsidRPr="00DC5B13">
        <w:rPr>
          <w:rFonts w:eastAsia="Calibri"/>
          <w:rtl/>
        </w:rPr>
        <w:t xml:space="preserve"> </w:t>
      </w:r>
      <w:r w:rsidRPr="00DC5B13">
        <w:rPr>
          <w:rFonts w:eastAsia="Calibri" w:hint="eastAsia"/>
          <w:rtl/>
        </w:rPr>
        <w:t>כן</w:t>
      </w:r>
      <w:r w:rsidRPr="00DC5B13">
        <w:rPr>
          <w:rFonts w:eastAsia="Calibri"/>
          <w:rtl/>
        </w:rPr>
        <w:t xml:space="preserve"> </w:t>
      </w:r>
      <w:r w:rsidRPr="00DC5B13">
        <w:rPr>
          <w:rFonts w:eastAsia="Calibri" w:hint="eastAsia"/>
          <w:rtl/>
        </w:rPr>
        <w:t>פעלה</w:t>
      </w:r>
      <w:r w:rsidRPr="00DC5B13">
        <w:rPr>
          <w:rFonts w:eastAsia="Calibri"/>
          <w:rtl/>
        </w:rPr>
        <w:t xml:space="preserve"> </w:t>
      </w:r>
      <w:r w:rsidRPr="00DC5B13">
        <w:rPr>
          <w:rFonts w:eastAsia="Calibri" w:hint="eastAsia"/>
          <w:rtl/>
        </w:rPr>
        <w:t>המינהלת</w:t>
      </w:r>
      <w:r w:rsidRPr="00DC5B13">
        <w:rPr>
          <w:rFonts w:eastAsia="Calibri"/>
          <w:rtl/>
        </w:rPr>
        <w:t xml:space="preserve"> </w:t>
      </w:r>
      <w:r w:rsidRPr="00DC5B13">
        <w:rPr>
          <w:rFonts w:eastAsia="Calibri" w:hint="eastAsia"/>
          <w:rtl/>
        </w:rPr>
        <w:t>בשיתוף</w:t>
      </w:r>
      <w:r w:rsidRPr="00DC5B13">
        <w:rPr>
          <w:rFonts w:eastAsia="Calibri"/>
          <w:rtl/>
        </w:rPr>
        <w:t xml:space="preserve"> </w:t>
      </w:r>
      <w:r w:rsidRPr="00DC5B13">
        <w:rPr>
          <w:rFonts w:eastAsia="Calibri" w:hint="eastAsia"/>
          <w:rtl/>
        </w:rPr>
        <w:t>אגף</w:t>
      </w:r>
      <w:r w:rsidRPr="00DC5B13">
        <w:rPr>
          <w:rFonts w:eastAsia="Calibri"/>
          <w:rtl/>
        </w:rPr>
        <w:t xml:space="preserve"> </w:t>
      </w:r>
      <w:r w:rsidRPr="00DC5B13">
        <w:rPr>
          <w:rFonts w:eastAsia="Calibri" w:hint="eastAsia"/>
          <w:rtl/>
        </w:rPr>
        <w:t>ההנדסה</w:t>
      </w:r>
      <w:r w:rsidRPr="00DC5B13">
        <w:rPr>
          <w:rFonts w:eastAsia="Calibri"/>
          <w:rtl/>
        </w:rPr>
        <w:t xml:space="preserve"> </w:t>
      </w:r>
      <w:r w:rsidRPr="00DC5B13">
        <w:rPr>
          <w:rFonts w:eastAsia="Calibri" w:hint="eastAsia"/>
          <w:rtl/>
        </w:rPr>
        <w:t>לייעול</w:t>
      </w:r>
      <w:r w:rsidRPr="00DC5B13">
        <w:rPr>
          <w:rFonts w:eastAsia="Calibri"/>
          <w:rtl/>
        </w:rPr>
        <w:t xml:space="preserve"> השימוש בשטחים החומים של העירי</w:t>
      </w:r>
      <w:r w:rsidRPr="00DC5B13">
        <w:rPr>
          <w:rFonts w:eastAsia="Calibri" w:hint="eastAsia"/>
          <w:rtl/>
        </w:rPr>
        <w:t>י</w:t>
      </w:r>
      <w:r w:rsidRPr="00DC5B13">
        <w:rPr>
          <w:rFonts w:eastAsia="Calibri"/>
          <w:rtl/>
        </w:rPr>
        <w:t xml:space="preserve">ה </w:t>
      </w:r>
      <w:r w:rsidRPr="00DC5B13">
        <w:rPr>
          <w:rFonts w:eastAsia="Calibri" w:hint="eastAsia"/>
          <w:rtl/>
        </w:rPr>
        <w:t>עקב</w:t>
      </w:r>
      <w:r w:rsidRPr="00DC5B13">
        <w:rPr>
          <w:rFonts w:eastAsia="Calibri"/>
          <w:rtl/>
        </w:rPr>
        <w:t xml:space="preserve"> הצפי ל</w:t>
      </w:r>
      <w:r w:rsidRPr="00DC5B13">
        <w:rPr>
          <w:rFonts w:eastAsia="Calibri" w:hint="eastAsia"/>
          <w:rtl/>
        </w:rPr>
        <w:t>הכללתם</w:t>
      </w:r>
      <w:r w:rsidRPr="00DC5B13">
        <w:rPr>
          <w:rFonts w:eastAsia="Calibri"/>
          <w:rtl/>
        </w:rPr>
        <w:t xml:space="preserve"> במתחמי התחדשות. המינהלת</w:t>
      </w:r>
      <w:r w:rsidRPr="00DC5B13">
        <w:rPr>
          <w:rFonts w:eastAsia="Calibri" w:hint="cs"/>
          <w:rtl/>
        </w:rPr>
        <w:t xml:space="preserve"> כתבה </w:t>
      </w:r>
      <w:r w:rsidRPr="00DC5B13">
        <w:rPr>
          <w:rFonts w:eastAsia="Calibri" w:hint="eastAsia"/>
          <w:rtl/>
        </w:rPr>
        <w:t>ב</w:t>
      </w:r>
      <w:r w:rsidRPr="00DC5B13">
        <w:rPr>
          <w:rFonts w:eastAsia="Calibri"/>
          <w:rtl/>
        </w:rPr>
        <w:t xml:space="preserve">משותף עם אגף </w:t>
      </w:r>
      <w:r w:rsidRPr="00DC5B13">
        <w:rPr>
          <w:rFonts w:eastAsia="Calibri" w:hint="eastAsia"/>
          <w:rtl/>
        </w:rPr>
        <w:t>ה</w:t>
      </w:r>
      <w:r w:rsidRPr="00DC5B13">
        <w:rPr>
          <w:rFonts w:eastAsia="Calibri"/>
          <w:rtl/>
        </w:rPr>
        <w:t xml:space="preserve">רישוי נוהל </w:t>
      </w:r>
      <w:r w:rsidRPr="00DC5B13">
        <w:rPr>
          <w:rFonts w:eastAsia="Calibri" w:hint="eastAsia"/>
          <w:rtl/>
        </w:rPr>
        <w:t>להערכה</w:t>
      </w:r>
      <w:r w:rsidRPr="00DC5B13">
        <w:rPr>
          <w:rFonts w:eastAsia="Calibri"/>
          <w:rtl/>
        </w:rPr>
        <w:t xml:space="preserve"> </w:t>
      </w:r>
      <w:r w:rsidRPr="00DC5B13">
        <w:rPr>
          <w:rFonts w:eastAsia="Calibri" w:hint="eastAsia"/>
          <w:rtl/>
        </w:rPr>
        <w:t>מקדמית</w:t>
      </w:r>
      <w:r w:rsidRPr="00DC5B13">
        <w:rPr>
          <w:rFonts w:eastAsia="Calibri"/>
          <w:rtl/>
        </w:rPr>
        <w:t xml:space="preserve"> (</w:t>
      </w:r>
      <w:r w:rsidRPr="00DC5B13">
        <w:rPr>
          <w:rFonts w:eastAsia="Calibri"/>
        </w:rPr>
        <w:t>pre-ruling</w:t>
      </w:r>
      <w:r w:rsidRPr="00DC5B13">
        <w:rPr>
          <w:rFonts w:eastAsia="Calibri"/>
          <w:rtl/>
        </w:rPr>
        <w:t xml:space="preserve">) </w:t>
      </w:r>
      <w:r w:rsidRPr="00DC5B13">
        <w:rPr>
          <w:rFonts w:eastAsia="Calibri" w:hint="eastAsia"/>
          <w:rtl/>
        </w:rPr>
        <w:t>של</w:t>
      </w:r>
      <w:r w:rsidRPr="00DC5B13">
        <w:rPr>
          <w:rFonts w:eastAsia="Calibri"/>
          <w:rtl/>
        </w:rPr>
        <w:t xml:space="preserve"> תוכניות </w:t>
      </w:r>
      <w:r w:rsidRPr="00DC5B13">
        <w:rPr>
          <w:rFonts w:eastAsia="Calibri" w:hint="eastAsia"/>
          <w:rtl/>
        </w:rPr>
        <w:t>ההתחדשות</w:t>
      </w:r>
      <w:r w:rsidRPr="00DC5B13">
        <w:rPr>
          <w:rFonts w:eastAsia="Calibri"/>
          <w:rtl/>
        </w:rPr>
        <w:t xml:space="preserve"> </w:t>
      </w:r>
      <w:r w:rsidRPr="00DC5B13">
        <w:rPr>
          <w:rFonts w:eastAsia="Calibri" w:hint="eastAsia"/>
          <w:rtl/>
        </w:rPr>
        <w:t>העירונית</w:t>
      </w:r>
      <w:r w:rsidRPr="00DC5B13">
        <w:rPr>
          <w:rFonts w:eastAsia="Calibri"/>
          <w:rtl/>
        </w:rPr>
        <w:t xml:space="preserve"> </w:t>
      </w:r>
      <w:r w:rsidRPr="00DC5B13">
        <w:rPr>
          <w:rFonts w:eastAsia="Calibri" w:hint="eastAsia"/>
          <w:rtl/>
        </w:rPr>
        <w:t>שהוגשו</w:t>
      </w:r>
      <w:r w:rsidRPr="00DC5B13">
        <w:rPr>
          <w:rFonts w:eastAsia="Calibri"/>
          <w:rtl/>
        </w:rPr>
        <w:t xml:space="preserve"> </w:t>
      </w:r>
      <w:r w:rsidRPr="00DC5B13">
        <w:rPr>
          <w:rFonts w:eastAsia="Calibri" w:hint="eastAsia"/>
          <w:rtl/>
        </w:rPr>
        <w:t>לה</w:t>
      </w:r>
      <w:r w:rsidRPr="00DC5B13">
        <w:rPr>
          <w:rFonts w:eastAsia="Calibri"/>
          <w:rtl/>
        </w:rPr>
        <w:t>.</w:t>
      </w:r>
      <w:r w:rsidRPr="00DC5B13">
        <w:rPr>
          <w:rFonts w:eastAsia="Calibri" w:hint="cs"/>
          <w:rtl/>
        </w:rPr>
        <w:t xml:space="preserve"> </w:t>
      </w:r>
    </w:p>
    <w:p w:rsidR="00DC5B13" w:rsidRPr="00DC5B13" w:rsidP="00C34B23">
      <w:pPr>
        <w:bidi w:val="0"/>
        <w:spacing w:line="269" w:lineRule="auto"/>
        <w:rPr>
          <w:rFonts w:eastAsia="Calibri"/>
          <w:b/>
          <w:bCs/>
          <w:rtl/>
        </w:rPr>
      </w:pPr>
      <w:r w:rsidRPr="00DC5B13">
        <w:rPr>
          <w:rFonts w:eastAsia="Calibri"/>
          <w:b/>
          <w:bCs/>
          <w:rtl/>
        </w:rPr>
        <w:br w:type="page"/>
      </w:r>
    </w:p>
    <w:p w:rsidR="00DC5B13" w:rsidRPr="00DC5B13" w:rsidP="00C34B23">
      <w:pPr>
        <w:keepNext/>
        <w:keepLines/>
        <w:spacing w:line="269" w:lineRule="auto"/>
        <w:ind w:left="-567"/>
        <w:jc w:val="center"/>
        <w:rPr>
          <w:rFonts w:eastAsia="Calibri"/>
          <w:sz w:val="24"/>
          <w:rtl/>
        </w:rPr>
      </w:pPr>
      <w:r w:rsidRPr="00DC5B13">
        <w:rPr>
          <w:rFonts w:eastAsia="Calibri"/>
          <w:noProof/>
          <w:szCs w:val="20"/>
          <w:rtl/>
          <w:lang w:val="he-IL"/>
        </w:rPr>
        <w:drawing>
          <wp:anchor distT="0" distB="0" distL="114300" distR="114300" simplePos="0" relativeHeight="251678720" behindDoc="0" locked="0" layoutInCell="1" allowOverlap="1">
            <wp:simplePos x="0" y="0"/>
            <wp:positionH relativeFrom="column">
              <wp:align>center</wp:align>
            </wp:positionH>
            <wp:positionV relativeFrom="paragraph">
              <wp:posOffset>220023</wp:posOffset>
            </wp:positionV>
            <wp:extent cx="5220000" cy="7340400"/>
            <wp:effectExtent l="0" t="0" r="0" b="0"/>
            <wp:wrapTopAndBottom/>
            <wp:docPr id="20" name="תמונה 20" descr="תצלום של מבט מתוך קומת עמודים מפולשת של מבנה מגורים לכיוון חצר אחורית עם צמחייה ירוקה ועשבייה. רצפת החלל מורכבת מאריחים כהים וכוללת מכסה ביוב עגול, כאשר בהמשכה אל מחוץ למבנה נראות מרצפות שאינן מיושרות ונוטות בזוויות משתנות. בתקרת הבטון ובקורה התומכת נראים קילופי צבע וטיח לצד אזורים קטנים של בטון חשוף, ועל הקיר הימני מותקנים צינורות ניקוז אנכיים וחיוו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t="6185" b="14599"/>
                    <a:stretch>
                      <a:fillRect/>
                    </a:stretch>
                  </pic:blipFill>
                  <pic:spPr bwMode="auto">
                    <a:xfrm>
                      <a:off x="0" y="0"/>
                      <a:ext cx="5220000" cy="73404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5B13">
        <w:rPr>
          <w:rFonts w:eastAsia="Calibri" w:hint="cs"/>
          <w:sz w:val="24"/>
          <w:rtl/>
        </w:rPr>
        <w:t xml:space="preserve">תמונה 3: </w:t>
      </w:r>
      <w:r w:rsidRPr="00DC5B13">
        <w:rPr>
          <w:rFonts w:eastAsia="Calibri" w:hint="cs"/>
          <w:b/>
          <w:bCs/>
          <w:sz w:val="24"/>
          <w:rtl/>
        </w:rPr>
        <w:t>קומת הכניסה לבניין במתחם העלייה בנתניה</w:t>
      </w:r>
    </w:p>
    <w:p w:rsidR="00DC5B13" w:rsidRPr="00DC5B13" w:rsidP="00C34B23">
      <w:pPr>
        <w:spacing w:line="269" w:lineRule="auto"/>
        <w:rPr>
          <w:rFonts w:eastAsia="Calibri"/>
          <w:sz w:val="16"/>
          <w:szCs w:val="20"/>
          <w:rtl/>
        </w:rPr>
      </w:pPr>
      <w:r w:rsidRPr="00DC5B13">
        <w:rPr>
          <w:rFonts w:eastAsia="Calibri" w:hint="cs"/>
          <w:sz w:val="16"/>
          <w:szCs w:val="20"/>
          <w:rtl/>
        </w:rPr>
        <w:t>צילום: מינהלת עירונית נתניה.</w:t>
      </w:r>
    </w:p>
    <w:p w:rsidR="00DC5B13" w:rsidRPr="00DC5B13" w:rsidP="00C34B23">
      <w:pPr>
        <w:bidi w:val="0"/>
        <w:spacing w:line="269" w:lineRule="auto"/>
        <w:rPr>
          <w:rFonts w:eastAsia="Calibri"/>
          <w:sz w:val="16"/>
          <w:szCs w:val="20"/>
        </w:rPr>
      </w:pPr>
      <w:r w:rsidRPr="00DC5B13">
        <w:rPr>
          <w:rFonts w:eastAsia="Calibri"/>
          <w:sz w:val="16"/>
          <w:szCs w:val="20"/>
          <w:rtl/>
        </w:rPr>
        <w:br w:type="page"/>
      </w:r>
    </w:p>
    <w:p w:rsidR="00DC5B13" w:rsidRPr="00DC5B13" w:rsidP="00C34B23">
      <w:pPr>
        <w:spacing w:line="269" w:lineRule="auto"/>
        <w:rPr>
          <w:rFonts w:eastAsia="Calibri"/>
          <w:rtl/>
        </w:rPr>
      </w:pPr>
      <w:r w:rsidRPr="00DC5B13">
        <w:rPr>
          <w:rFonts w:eastAsia="Times New Roman"/>
          <w:bCs/>
          <w:spacing w:val="40"/>
          <w:rtl/>
        </w:rPr>
        <w:t>פעולות המינהלת מול יזמים ובעלי מקצוע</w:t>
      </w:r>
      <w:r w:rsidRPr="00DC5B13">
        <w:rPr>
          <w:rFonts w:eastAsia="Times New Roman" w:hint="cs"/>
          <w:bCs/>
          <w:spacing w:val="40"/>
          <w:rtl/>
        </w:rPr>
        <w:t>:</w:t>
      </w:r>
      <w:r w:rsidRPr="00DC5B13">
        <w:rPr>
          <w:rFonts w:eastAsia="Calibri"/>
          <w:rtl/>
        </w:rPr>
        <w:t xml:space="preserve"> </w:t>
      </w:r>
      <w:r w:rsidRPr="00DC5B13">
        <w:rPr>
          <w:rFonts w:eastAsia="Calibri" w:hint="cs"/>
          <w:rtl/>
        </w:rPr>
        <w:t xml:space="preserve">המינהלת כתבה בשיתוף פעולה עם אגף ההנדסה </w:t>
      </w:r>
      <w:r w:rsidRPr="00DC5B13">
        <w:rPr>
          <w:rFonts w:eastAsia="Calibri"/>
          <w:rtl/>
        </w:rPr>
        <w:t>נוהל עבודה עבור יזמים מול העירייה</w:t>
      </w:r>
      <w:r>
        <w:rPr>
          <w:rFonts w:eastAsia="Calibri"/>
          <w:vertAlign w:val="superscript"/>
          <w:rtl/>
        </w:rPr>
        <w:footnoteReference w:id="98"/>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eastAsia"/>
          <w:rtl/>
        </w:rPr>
        <w:t>צוות</w:t>
      </w:r>
      <w:r w:rsidRPr="00DC5B13">
        <w:rPr>
          <w:rFonts w:eastAsia="Calibri"/>
          <w:rtl/>
        </w:rPr>
        <w:t xml:space="preserve"> המינהלת מסר כי יש מקרים נשנים </w:t>
      </w:r>
      <w:r w:rsidRPr="00DC5B13">
        <w:rPr>
          <w:rFonts w:eastAsia="Calibri" w:hint="eastAsia"/>
          <w:rtl/>
        </w:rPr>
        <w:t>ש</w:t>
      </w:r>
      <w:r w:rsidRPr="00DC5B13">
        <w:rPr>
          <w:rFonts w:eastAsia="Calibri"/>
          <w:rtl/>
        </w:rPr>
        <w:t xml:space="preserve">בהם חברות תשתית מעלות דרישות להקמת תשתיות נוספות במתחם </w:t>
      </w:r>
      <w:r w:rsidRPr="00DC5B13">
        <w:rPr>
          <w:rFonts w:eastAsia="Calibri" w:hint="eastAsia"/>
          <w:rtl/>
        </w:rPr>
        <w:t>ש</w:t>
      </w:r>
      <w:r w:rsidRPr="00DC5B13">
        <w:rPr>
          <w:rFonts w:eastAsia="Calibri"/>
          <w:rtl/>
        </w:rPr>
        <w:t xml:space="preserve">בו כבר ניתן היתר בנייה, </w:t>
      </w:r>
      <w:r w:rsidRPr="00DC5B13">
        <w:rPr>
          <w:rFonts w:eastAsia="Calibri" w:hint="eastAsia"/>
          <w:rtl/>
        </w:rPr>
        <w:t>לעיתים</w:t>
      </w:r>
      <w:r w:rsidRPr="00DC5B13">
        <w:rPr>
          <w:rFonts w:eastAsia="Calibri"/>
          <w:rtl/>
        </w:rPr>
        <w:t xml:space="preserve"> לאחר גמר שלב התכנון, </w:t>
      </w:r>
      <w:r w:rsidRPr="00DC5B13">
        <w:rPr>
          <w:rFonts w:eastAsia="Calibri" w:hint="eastAsia"/>
          <w:rtl/>
        </w:rPr>
        <w:t>באופן</w:t>
      </w:r>
      <w:r w:rsidRPr="00DC5B13">
        <w:rPr>
          <w:rFonts w:eastAsia="Calibri"/>
          <w:rtl/>
        </w:rPr>
        <w:t xml:space="preserve"> </w:t>
      </w:r>
      <w:r w:rsidRPr="00DC5B13">
        <w:rPr>
          <w:rFonts w:eastAsia="Calibri" w:hint="eastAsia"/>
          <w:rtl/>
        </w:rPr>
        <w:t>המעכב</w:t>
      </w:r>
      <w:r w:rsidRPr="00DC5B13">
        <w:rPr>
          <w:rFonts w:eastAsia="Calibri"/>
          <w:rtl/>
        </w:rPr>
        <w:t xml:space="preserve"> </w:t>
      </w:r>
      <w:r w:rsidRPr="00DC5B13">
        <w:rPr>
          <w:rFonts w:eastAsia="Calibri" w:hint="eastAsia"/>
          <w:rtl/>
        </w:rPr>
        <w:t>במידה</w:t>
      </w:r>
      <w:r w:rsidRPr="00DC5B13">
        <w:rPr>
          <w:rFonts w:eastAsia="Calibri"/>
          <w:rtl/>
        </w:rPr>
        <w:t xml:space="preserve"> רבה </w:t>
      </w:r>
      <w:r w:rsidRPr="00DC5B13">
        <w:rPr>
          <w:rFonts w:eastAsia="Calibri" w:hint="eastAsia"/>
          <w:rtl/>
        </w:rPr>
        <w:t>את</w:t>
      </w:r>
      <w:r w:rsidRPr="00DC5B13">
        <w:rPr>
          <w:rFonts w:eastAsia="Calibri"/>
          <w:rtl/>
        </w:rPr>
        <w:t xml:space="preserve"> </w:t>
      </w:r>
      <w:r w:rsidRPr="00DC5B13">
        <w:rPr>
          <w:rFonts w:eastAsia="Calibri" w:hint="eastAsia"/>
          <w:rtl/>
        </w:rPr>
        <w:t>שלב</w:t>
      </w:r>
      <w:r w:rsidRPr="00DC5B13">
        <w:rPr>
          <w:rFonts w:eastAsia="Calibri"/>
          <w:rtl/>
        </w:rPr>
        <w:t xml:space="preserve"> </w:t>
      </w:r>
      <w:r w:rsidRPr="00DC5B13">
        <w:rPr>
          <w:rFonts w:eastAsia="Calibri" w:hint="eastAsia"/>
          <w:rtl/>
        </w:rPr>
        <w:t>הביצוע</w:t>
      </w:r>
      <w:r w:rsidRPr="00DC5B13">
        <w:rPr>
          <w:rFonts w:eastAsia="Calibri"/>
          <w:rtl/>
        </w:rPr>
        <w:t>.</w:t>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פעולות המינהלת מול התושבים:</w:t>
      </w:r>
      <w:r w:rsidRPr="00DC5B13">
        <w:rPr>
          <w:rFonts w:eastAsia="Calibri" w:hint="cs"/>
          <w:rtl/>
        </w:rPr>
        <w:t xml:space="preserve"> מאז הקמתה פועלת המינהלת מול תושבי העיר בין היתר באמצעות מפגשים של שיתופי ציבור ובהם היא מרכזת כינוסי דיירים לבחירת נציגות, מקימה קבוצות ווטסאפ לכל מתחם לשם שמירה על קשר רציף, מארגנת קורסים בנושא התחדשות עירונית ומפרסמת מנשרים בשפות שונות</w:t>
      </w:r>
      <w:r>
        <w:rPr>
          <w:rFonts w:eastAsia="Calibri"/>
          <w:vertAlign w:val="superscript"/>
          <w:rtl/>
        </w:rPr>
        <w:footnoteReference w:id="99"/>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המינהלת מתמקדת בהטמעת נהלים לעבודה מול אוכלוסיית האזרחים הוותיקים בעיר וכן מארגנת הרצאות לתושבים וליזמים על זכויותיהם בתהליכי ההתחדשות העירונית. כמו כן כתבה המינהלת נוהל למיצוי זכויות בהתחדשות עירונית עבור אוכלוסיות מיוחדות</w:t>
      </w:r>
      <w:r>
        <w:rPr>
          <w:rFonts w:eastAsia="Calibri"/>
          <w:vertAlign w:val="superscript"/>
          <w:rtl/>
        </w:rPr>
        <w:footnoteReference w:id="100"/>
      </w:r>
      <w:r w:rsidRPr="00DC5B13">
        <w:rPr>
          <w:rFonts w:eastAsia="Calibri" w:hint="cs"/>
          <w:rtl/>
        </w:rPr>
        <w:t xml:space="preserve">; </w:t>
      </w:r>
      <w:r w:rsidRPr="00DC5B13">
        <w:rPr>
          <w:rFonts w:eastAsia="Calibri"/>
          <w:rtl/>
        </w:rPr>
        <w:t xml:space="preserve">נוהל לעבודה החברתית </w:t>
      </w:r>
      <w:r w:rsidRPr="00DC5B13">
        <w:rPr>
          <w:rFonts w:eastAsia="Calibri" w:hint="cs"/>
          <w:rtl/>
        </w:rPr>
        <w:t>ש</w:t>
      </w:r>
      <w:r w:rsidRPr="00DC5B13">
        <w:rPr>
          <w:rFonts w:eastAsia="Calibri"/>
          <w:rtl/>
        </w:rPr>
        <w:t>לה נדרשים</w:t>
      </w:r>
      <w:r w:rsidRPr="00DC5B13">
        <w:rPr>
          <w:rFonts w:eastAsia="Calibri" w:hint="cs"/>
          <w:rtl/>
        </w:rPr>
        <w:t xml:space="preserve"> היזמים</w:t>
      </w:r>
      <w:r w:rsidRPr="00DC5B13">
        <w:rPr>
          <w:rFonts w:eastAsia="Calibri"/>
          <w:rtl/>
        </w:rPr>
        <w:t xml:space="preserve"> בשלב התכנון</w:t>
      </w:r>
      <w:r>
        <w:rPr>
          <w:rFonts w:eastAsia="Calibri"/>
          <w:vertAlign w:val="superscript"/>
          <w:rtl/>
        </w:rPr>
        <w:footnoteReference w:id="101"/>
      </w:r>
      <w:r w:rsidRPr="00DC5B13">
        <w:rPr>
          <w:rFonts w:eastAsia="Calibri" w:hint="cs"/>
          <w:b/>
          <w:bCs/>
          <w:rtl/>
        </w:rPr>
        <w:t xml:space="preserve"> </w:t>
      </w:r>
      <w:r w:rsidRPr="00DC5B13">
        <w:rPr>
          <w:rFonts w:eastAsia="Calibri" w:hint="cs"/>
          <w:rtl/>
        </w:rPr>
        <w:t>וכן דרישה מהיזמים בעיר להקים בתוכניות ההתחדשות קרן תחזוקה לבנייה</w:t>
      </w:r>
      <w:r>
        <w:rPr>
          <w:rFonts w:eastAsia="Calibri"/>
          <w:vertAlign w:val="superscript"/>
          <w:rtl/>
        </w:rPr>
        <w:footnoteReference w:id="102"/>
      </w:r>
      <w:r w:rsidRPr="00DC5B13">
        <w:rPr>
          <w:rFonts w:eastAsia="Calibri" w:hint="cs"/>
          <w:rtl/>
        </w:rPr>
        <w:t xml:space="preserve">. </w:t>
      </w:r>
    </w:p>
    <w:p w:rsidR="00DC5B13" w:rsidRPr="00DC5B13" w:rsidP="00C34B23">
      <w:pPr>
        <w:spacing w:line="269" w:lineRule="auto"/>
        <w:rPr>
          <w:rFonts w:eastAsia="Calibri"/>
          <w:b/>
          <w:bCs/>
          <w:rtl/>
        </w:rPr>
      </w:pPr>
    </w:p>
    <w:p w:rsidR="00DC5B13" w:rsidRPr="00DC5B13" w:rsidP="00C34B23">
      <w:pPr>
        <w:keepNext/>
        <w:keepLines/>
        <w:spacing w:line="269" w:lineRule="auto"/>
        <w:outlineLvl w:val="4"/>
        <w:rPr>
          <w:rFonts w:eastAsia="Times New Roman"/>
          <w:bCs/>
          <w:spacing w:val="40"/>
          <w:rtl/>
        </w:rPr>
      </w:pPr>
      <w:r w:rsidRPr="00DC5B13">
        <w:rPr>
          <w:rFonts w:eastAsia="Times New Roman" w:hint="cs"/>
          <w:bCs/>
          <w:spacing w:val="40"/>
          <w:rtl/>
        </w:rPr>
        <w:t>קריית ים</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המינהלת העירונית בקריית ים (להלן - מינהלת קריית ים) הוקמה בכפיפות למנכ"ל העירייה בעקבות זכיית העירייה בקול קורא 4/2016 במרץ 2017. במינהלת מועסקים שלושת בעלי התפקידים המרכזיים כנדרש, ומנהל המינהלת מכהן בתפקידו מאז הקמתה.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עלה כי בעלי תפקידים במינהלת קריית ים הוחלפו פעמיים מאז הקמתה, וזאת בעקבות מגבלות על היקף ההוצאות של העירייה על שכר בעלי התפקידים ובשל הגבלות שהטיל חשב מלווה</w:t>
      </w:r>
      <w:r>
        <w:rPr>
          <w:rFonts w:eastAsia="Calibri"/>
          <w:vertAlign w:val="superscript"/>
          <w:rtl/>
        </w:rPr>
        <w:footnoteReference w:id="103"/>
      </w:r>
      <w:r w:rsidRPr="00DC5B13">
        <w:rPr>
          <w:rFonts w:eastAsia="Calibri" w:hint="cs"/>
          <w:rtl/>
        </w:rPr>
        <w:t>. כדי להימנע מתקנים בלתי מאוישים, ומכיוון שכלל חוזי ההעסקה במינהלות הם חוזים אישיים</w:t>
      </w:r>
      <w:r>
        <w:rPr>
          <w:rFonts w:eastAsia="Calibri"/>
          <w:vertAlign w:val="superscript"/>
          <w:rtl/>
        </w:rPr>
        <w:footnoteReference w:id="104"/>
      </w:r>
      <w:r w:rsidRPr="00DC5B13">
        <w:rPr>
          <w:rFonts w:eastAsia="Calibri" w:hint="cs"/>
          <w:rtl/>
        </w:rPr>
        <w:t>, ממלאים תפקידים אלה צוערים בשירות המדינה</w:t>
      </w:r>
      <w:r>
        <w:rPr>
          <w:rFonts w:eastAsia="Calibri"/>
          <w:vertAlign w:val="superscript"/>
          <w:rtl/>
        </w:rPr>
        <w:footnoteReference w:id="105"/>
      </w:r>
      <w:r w:rsidRPr="00DC5B13">
        <w:rPr>
          <w:rFonts w:eastAsia="Calibri" w:hint="cs"/>
          <w:rtl/>
        </w:rPr>
        <w:t>.</w:t>
      </w:r>
    </w:p>
    <w:p w:rsidR="00DC5B13" w:rsidRPr="00DC5B13" w:rsidP="00C34B23">
      <w:pPr>
        <w:spacing w:line="269" w:lineRule="auto"/>
        <w:rPr>
          <w:rFonts w:eastAsia="Calibri"/>
          <w:szCs w:val="20"/>
          <w:rtl/>
        </w:rPr>
      </w:pPr>
    </w:p>
    <w:p w:rsidR="00DC5B13" w:rsidP="00C34B23">
      <w:pPr>
        <w:spacing w:line="269" w:lineRule="auto"/>
        <w:rPr>
          <w:rFonts w:eastAsia="Calibri"/>
          <w:b/>
          <w:bCs/>
          <w:rtl/>
        </w:rPr>
      </w:pPr>
      <w:r w:rsidRPr="00DC5B13">
        <w:rPr>
          <w:rFonts w:eastAsia="Calibri" w:hint="cs"/>
          <w:rtl/>
        </w:rPr>
        <w:t>מאז הקמתה בשנת 2017 ועד חודש מאי 2025 עסקה המינהלת בין היתר בקידומם של מתחמי התחדשות עירונית בעיר כמפורט בלוח שלהלן.</w:t>
      </w:r>
    </w:p>
    <w:p w:rsidR="00037943" w:rsidRPr="00DC5B13" w:rsidP="00C34B23">
      <w:pPr>
        <w:spacing w:line="269" w:lineRule="auto"/>
        <w:rPr>
          <w:rFonts w:eastAsia="Calibri"/>
          <w:b/>
          <w:bCs/>
          <w:rtl/>
        </w:rPr>
      </w:pPr>
    </w:p>
    <w:p w:rsidR="001E5EE6">
      <w:pPr>
        <w:bidi w:val="0"/>
        <w:spacing w:after="200" w:line="276" w:lineRule="auto"/>
        <w:rPr>
          <w:rFonts w:ascii="David" w:eastAsia="Calibri" w:hAnsi="David"/>
          <w:sz w:val="24"/>
          <w:rtl/>
        </w:rPr>
      </w:pPr>
      <w:r>
        <w:rPr>
          <w:rFonts w:ascii="David" w:eastAsia="Calibri" w:hAnsi="David"/>
          <w:sz w:val="24"/>
          <w:rtl/>
        </w:rPr>
        <w:br w:type="page"/>
      </w:r>
    </w:p>
    <w:p w:rsidR="00DC5B13" w:rsidRPr="00DC5B13" w:rsidP="00C34B23">
      <w:pPr>
        <w:keepNext/>
        <w:keepLines/>
        <w:spacing w:line="269" w:lineRule="auto"/>
        <w:jc w:val="center"/>
        <w:rPr>
          <w:rFonts w:eastAsia="Calibri"/>
          <w:rtl/>
        </w:rPr>
      </w:pPr>
      <w:r w:rsidRPr="00DC5B13">
        <w:rPr>
          <w:rFonts w:ascii="David" w:eastAsia="Calibri" w:hAnsi="David"/>
          <w:sz w:val="24"/>
          <w:rtl/>
        </w:rPr>
        <w:t xml:space="preserve">לוח </w:t>
      </w:r>
      <w:r w:rsidRPr="00DC5B13">
        <w:rPr>
          <w:rFonts w:ascii="David" w:eastAsia="Calibri" w:hAnsi="David" w:hint="cs"/>
          <w:sz w:val="24"/>
          <w:rtl/>
        </w:rPr>
        <w:t>9</w:t>
      </w:r>
      <w:r w:rsidRPr="00DC5B13">
        <w:rPr>
          <w:rFonts w:ascii="David" w:eastAsia="Calibri" w:hAnsi="David"/>
          <w:sz w:val="24"/>
          <w:rtl/>
        </w:rPr>
        <w:t>:</w:t>
      </w:r>
      <w:r w:rsidRPr="00DC5B13">
        <w:rPr>
          <w:rFonts w:eastAsia="Calibri"/>
          <w:rtl/>
        </w:rPr>
        <w:t xml:space="preserve"> </w:t>
      </w:r>
      <w:r w:rsidRPr="00DC5B13">
        <w:rPr>
          <w:rFonts w:eastAsia="Calibri" w:hint="eastAsia"/>
          <w:b/>
          <w:bCs/>
          <w:rtl/>
        </w:rPr>
        <w:t>מספר</w:t>
      </w:r>
      <w:r w:rsidRPr="00DC5B13">
        <w:rPr>
          <w:rFonts w:eastAsia="Calibri" w:hint="cs"/>
          <w:b/>
          <w:bCs/>
          <w:rtl/>
        </w:rPr>
        <w:t xml:space="preserve"> יחידות הדיור בהתחדשות מתחמית בקריית ים, 2025</w:t>
      </w:r>
    </w:p>
    <w:tbl>
      <w:tblPr>
        <w:bidiVisual/>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921"/>
        <w:gridCol w:w="1598"/>
        <w:gridCol w:w="1565"/>
        <w:gridCol w:w="1553"/>
        <w:gridCol w:w="1573"/>
      </w:tblGrid>
      <w:tr w:rsidTr="00DC5B13">
        <w:tblPrEx>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Ex>
        <w:trPr>
          <w:trHeight w:val="520"/>
          <w:jc w:val="center"/>
        </w:trPr>
        <w:tc>
          <w:tcPr>
            <w:tcW w:w="1170" w:type="pct"/>
            <w:vMerge w:val="restart"/>
            <w:shd w:val="clear" w:color="000000" w:fill="4F81BD"/>
          </w:tcPr>
          <w:p w:rsidR="00DC5B13" w:rsidRPr="00DC5B13" w:rsidP="00C34B23">
            <w:pPr>
              <w:spacing w:line="269" w:lineRule="auto"/>
              <w:jc w:val="center"/>
              <w:rPr>
                <w:rFonts w:ascii="David" w:eastAsia="Times New Roman" w:hAnsi="David"/>
                <w:b/>
                <w:bCs/>
                <w:color w:val="FFFFFF"/>
                <w:sz w:val="22"/>
                <w:szCs w:val="22"/>
                <w:rtl/>
              </w:rPr>
            </w:pPr>
          </w:p>
        </w:tc>
        <w:tc>
          <w:tcPr>
            <w:tcW w:w="1926" w:type="pct"/>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התכנון</w:t>
            </w:r>
          </w:p>
        </w:tc>
        <w:tc>
          <w:tcPr>
            <w:tcW w:w="1904" w:type="pct"/>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הרישוי</w:t>
            </w:r>
          </w:p>
        </w:tc>
      </w:tr>
      <w:tr w:rsidTr="00DC5B13">
        <w:tblPrEx>
          <w:tblW w:w="5000" w:type="pct"/>
          <w:jc w:val="center"/>
          <w:tblLook w:val="04A0"/>
        </w:tblPrEx>
        <w:trPr>
          <w:trHeight w:val="520"/>
          <w:jc w:val="center"/>
        </w:trPr>
        <w:tc>
          <w:tcPr>
            <w:tcW w:w="1170" w:type="pct"/>
            <w:vMerge/>
            <w:shd w:val="clear" w:color="000000" w:fill="4F81BD"/>
          </w:tcPr>
          <w:p w:rsidR="00DC5B13" w:rsidRPr="00DC5B13" w:rsidP="00C34B23">
            <w:pPr>
              <w:spacing w:line="269" w:lineRule="auto"/>
              <w:jc w:val="center"/>
              <w:rPr>
                <w:rFonts w:ascii="David" w:eastAsia="Times New Roman" w:hAnsi="David"/>
                <w:color w:val="FFFFFF"/>
                <w:sz w:val="22"/>
                <w:szCs w:val="22"/>
                <w:rtl/>
              </w:rPr>
            </w:pPr>
          </w:p>
        </w:tc>
        <w:tc>
          <w:tcPr>
            <w:tcW w:w="973"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 xml:space="preserve">יח"ד במצב קיים </w:t>
            </w:r>
          </w:p>
        </w:tc>
        <w:tc>
          <w:tcPr>
            <w:tcW w:w="953"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יח"ד במצב מוצע</w:t>
            </w:r>
          </w:p>
        </w:tc>
        <w:tc>
          <w:tcPr>
            <w:tcW w:w="946"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 xml:space="preserve">יח"ד במצב קיים </w:t>
            </w:r>
          </w:p>
        </w:tc>
        <w:tc>
          <w:tcPr>
            <w:tcW w:w="957" w:type="pct"/>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יח"ד במצב מוצע</w:t>
            </w:r>
          </w:p>
        </w:tc>
      </w:tr>
      <w:tr w:rsidTr="00DC5B13">
        <w:tblPrEx>
          <w:tblW w:w="5000" w:type="pct"/>
          <w:jc w:val="center"/>
          <w:tblLook w:val="04A0"/>
        </w:tblPrEx>
        <w:trPr>
          <w:trHeight w:val="520"/>
          <w:jc w:val="center"/>
        </w:trPr>
        <w:tc>
          <w:tcPr>
            <w:tcW w:w="1170" w:type="pct"/>
            <w:shd w:val="clear" w:color="auto" w:fill="4F81BD"/>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לוח המחוונים באתר המרשתת של משרד השיכון</w:t>
            </w:r>
          </w:p>
        </w:tc>
        <w:tc>
          <w:tcPr>
            <w:tcW w:w="973"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226</w:t>
            </w:r>
          </w:p>
        </w:tc>
        <w:tc>
          <w:tcPr>
            <w:tcW w:w="953"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896</w:t>
            </w:r>
          </w:p>
        </w:tc>
        <w:tc>
          <w:tcPr>
            <w:tcW w:w="946"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1,330</w:t>
            </w:r>
          </w:p>
        </w:tc>
        <w:tc>
          <w:tcPr>
            <w:tcW w:w="957"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5,623</w:t>
            </w:r>
          </w:p>
        </w:tc>
      </w:tr>
      <w:tr w:rsidTr="00DC5B13">
        <w:tblPrEx>
          <w:tblW w:w="5000" w:type="pct"/>
          <w:jc w:val="center"/>
          <w:tblLook w:val="04A0"/>
        </w:tblPrEx>
        <w:trPr>
          <w:trHeight w:val="520"/>
          <w:jc w:val="center"/>
        </w:trPr>
        <w:tc>
          <w:tcPr>
            <w:tcW w:w="1170" w:type="pct"/>
            <w:shd w:val="clear" w:color="auto" w:fill="4F81BD"/>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 הרשות להתחדשות</w:t>
            </w:r>
          </w:p>
        </w:tc>
        <w:tc>
          <w:tcPr>
            <w:tcW w:w="973"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354</w:t>
            </w:r>
          </w:p>
        </w:tc>
        <w:tc>
          <w:tcPr>
            <w:tcW w:w="953"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1,762</w:t>
            </w:r>
          </w:p>
        </w:tc>
        <w:tc>
          <w:tcPr>
            <w:tcW w:w="946"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1,330</w:t>
            </w:r>
          </w:p>
        </w:tc>
        <w:tc>
          <w:tcPr>
            <w:tcW w:w="957"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7,030</w:t>
            </w:r>
          </w:p>
        </w:tc>
      </w:tr>
      <w:tr w:rsidTr="00DC5B13">
        <w:tblPrEx>
          <w:tblW w:w="5000" w:type="pct"/>
          <w:jc w:val="center"/>
          <w:tblLook w:val="04A0"/>
        </w:tblPrEx>
        <w:trPr>
          <w:trHeight w:val="520"/>
          <w:jc w:val="center"/>
        </w:trPr>
        <w:tc>
          <w:tcPr>
            <w:tcW w:w="1170" w:type="pct"/>
            <w:shd w:val="clear" w:color="auto" w:fill="4F81BD"/>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נתונים שהתקבלו מהרשויות שנבדקו*</w:t>
            </w:r>
          </w:p>
        </w:tc>
        <w:tc>
          <w:tcPr>
            <w:tcW w:w="973"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782</w:t>
            </w:r>
          </w:p>
        </w:tc>
        <w:tc>
          <w:tcPr>
            <w:tcW w:w="953"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3,743</w:t>
            </w:r>
          </w:p>
        </w:tc>
        <w:tc>
          <w:tcPr>
            <w:tcW w:w="946"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1,312</w:t>
            </w:r>
          </w:p>
        </w:tc>
        <w:tc>
          <w:tcPr>
            <w:tcW w:w="957"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7,153</w:t>
            </w:r>
          </w:p>
        </w:tc>
      </w:tr>
    </w:tbl>
    <w:p w:rsidR="00DC5B13" w:rsidRPr="00DC5B13" w:rsidP="00C34B23">
      <w:pPr>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נתוני</w:t>
      </w:r>
      <w:r w:rsidRPr="00DC5B13">
        <w:rPr>
          <w:rFonts w:eastAsia="Calibri"/>
          <w:szCs w:val="20"/>
          <w:rtl/>
        </w:rPr>
        <w:t xml:space="preserve"> משרד השיכון והבינוי </w:t>
      </w:r>
      <w:r w:rsidRPr="00DC5B13">
        <w:rPr>
          <w:rFonts w:eastAsia="Calibri" w:hint="eastAsia"/>
          <w:szCs w:val="20"/>
          <w:rtl/>
        </w:rPr>
        <w:t>ממאי</w:t>
      </w:r>
      <w:r w:rsidRPr="00DC5B13">
        <w:rPr>
          <w:rFonts w:eastAsia="Calibri"/>
          <w:szCs w:val="20"/>
          <w:rtl/>
        </w:rPr>
        <w:t xml:space="preserve"> 2025; </w:t>
      </w:r>
      <w:r w:rsidRPr="00DC5B13">
        <w:rPr>
          <w:rFonts w:eastAsia="Calibri" w:hint="eastAsia"/>
          <w:szCs w:val="20"/>
          <w:rtl/>
        </w:rPr>
        <w:t>הרשות</w:t>
      </w:r>
      <w:r w:rsidRPr="00DC5B13">
        <w:rPr>
          <w:rFonts w:eastAsia="Calibri"/>
          <w:szCs w:val="20"/>
          <w:rtl/>
        </w:rPr>
        <w:t xml:space="preserve"> </w:t>
      </w:r>
      <w:r w:rsidRPr="00DC5B13">
        <w:rPr>
          <w:rFonts w:eastAsia="Calibri" w:hint="eastAsia"/>
          <w:szCs w:val="20"/>
          <w:rtl/>
        </w:rPr>
        <w:t>להתחדשות</w:t>
      </w:r>
      <w:r w:rsidRPr="00DC5B13">
        <w:rPr>
          <w:rFonts w:eastAsia="Calibri"/>
          <w:szCs w:val="20"/>
          <w:rtl/>
        </w:rPr>
        <w:t xml:space="preserve"> - </w:t>
      </w:r>
      <w:r w:rsidRPr="00DC5B13">
        <w:rPr>
          <w:rFonts w:eastAsia="Calibri" w:hint="eastAsia"/>
          <w:szCs w:val="20"/>
          <w:rtl/>
        </w:rPr>
        <w:t>מיולי</w:t>
      </w:r>
      <w:r w:rsidRPr="00DC5B13">
        <w:rPr>
          <w:rFonts w:eastAsia="Calibri"/>
          <w:szCs w:val="20"/>
          <w:rtl/>
        </w:rPr>
        <w:t xml:space="preserve"> 2025; </w:t>
      </w:r>
      <w:r w:rsidRPr="00DC5B13">
        <w:rPr>
          <w:rFonts w:eastAsia="Calibri" w:hint="eastAsia"/>
          <w:szCs w:val="20"/>
          <w:rtl/>
        </w:rPr>
        <w:t>עיריית</w:t>
      </w:r>
      <w:r w:rsidRPr="00DC5B13">
        <w:rPr>
          <w:rFonts w:eastAsia="Calibri"/>
          <w:szCs w:val="20"/>
          <w:rtl/>
        </w:rPr>
        <w:t xml:space="preserve"> </w:t>
      </w:r>
      <w:r w:rsidRPr="00DC5B13">
        <w:rPr>
          <w:rFonts w:eastAsia="Calibri" w:hint="eastAsia"/>
          <w:szCs w:val="20"/>
          <w:rtl/>
        </w:rPr>
        <w:t>קריית</w:t>
      </w:r>
      <w:r w:rsidRPr="00DC5B13">
        <w:rPr>
          <w:rFonts w:eastAsia="Calibri"/>
          <w:szCs w:val="20"/>
          <w:rtl/>
        </w:rPr>
        <w:t xml:space="preserve"> </w:t>
      </w:r>
      <w:r w:rsidRPr="00DC5B13">
        <w:rPr>
          <w:rFonts w:eastAsia="Calibri" w:hint="eastAsia"/>
          <w:szCs w:val="20"/>
          <w:rtl/>
        </w:rPr>
        <w:t>ים</w:t>
      </w:r>
      <w:r w:rsidRPr="00DC5B13">
        <w:rPr>
          <w:rFonts w:eastAsia="Calibri"/>
          <w:szCs w:val="20"/>
          <w:rtl/>
        </w:rPr>
        <w:t xml:space="preserve"> - </w:t>
      </w:r>
      <w:r w:rsidRPr="00DC5B13">
        <w:rPr>
          <w:rFonts w:eastAsia="Calibri" w:hint="eastAsia"/>
          <w:szCs w:val="20"/>
          <w:rtl/>
        </w:rPr>
        <w:t>מאוגוסט</w:t>
      </w:r>
      <w:r w:rsidRPr="00DC5B13">
        <w:rPr>
          <w:rFonts w:eastAsia="Calibri"/>
          <w:szCs w:val="20"/>
          <w:rtl/>
        </w:rPr>
        <w:t xml:space="preserve"> 2025 ו</w:t>
      </w:r>
      <w:r w:rsidRPr="00DC5B13">
        <w:rPr>
          <w:rFonts w:eastAsia="Calibri" w:hint="eastAsia"/>
          <w:szCs w:val="20"/>
          <w:rtl/>
        </w:rPr>
        <w:t>הדוחות</w:t>
      </w:r>
      <w:r w:rsidRPr="00DC5B13">
        <w:rPr>
          <w:rFonts w:eastAsia="Calibri"/>
          <w:szCs w:val="20"/>
          <w:rtl/>
        </w:rPr>
        <w:t xml:space="preserve"> </w:t>
      </w:r>
      <w:r w:rsidRPr="00DC5B13">
        <w:rPr>
          <w:rFonts w:eastAsia="Calibri" w:hint="eastAsia"/>
          <w:szCs w:val="20"/>
          <w:rtl/>
        </w:rPr>
        <w:t>הכספיים</w:t>
      </w:r>
      <w:r w:rsidRPr="00DC5B13">
        <w:rPr>
          <w:rFonts w:eastAsia="Calibri"/>
          <w:szCs w:val="20"/>
          <w:rtl/>
        </w:rPr>
        <w:t xml:space="preserve"> </w:t>
      </w:r>
      <w:r w:rsidRPr="00DC5B13">
        <w:rPr>
          <w:rFonts w:eastAsia="Calibri" w:hint="eastAsia"/>
          <w:szCs w:val="20"/>
          <w:rtl/>
        </w:rPr>
        <w:t>של</w:t>
      </w:r>
      <w:r w:rsidRPr="00DC5B13">
        <w:rPr>
          <w:rFonts w:eastAsia="Calibri"/>
          <w:szCs w:val="20"/>
          <w:rtl/>
        </w:rPr>
        <w:t xml:space="preserve"> </w:t>
      </w:r>
      <w:r w:rsidRPr="00DC5B13">
        <w:rPr>
          <w:rFonts w:eastAsia="Calibri" w:hint="eastAsia"/>
          <w:szCs w:val="20"/>
          <w:rtl/>
        </w:rPr>
        <w:t>הרשויות</w:t>
      </w:r>
      <w:r w:rsidRPr="00DC5B13">
        <w:rPr>
          <w:rFonts w:eastAsia="Calibri"/>
          <w:szCs w:val="20"/>
          <w:rtl/>
        </w:rPr>
        <w:t xml:space="preserve"> </w:t>
      </w:r>
      <w:r w:rsidRPr="00DC5B13">
        <w:rPr>
          <w:rFonts w:eastAsia="Calibri" w:hint="eastAsia"/>
          <w:szCs w:val="20"/>
          <w:rtl/>
        </w:rPr>
        <w:t>המקומיות</w:t>
      </w:r>
      <w:r w:rsidRPr="00DC5B13">
        <w:rPr>
          <w:rFonts w:eastAsia="Calibri"/>
          <w:szCs w:val="20"/>
          <w:rtl/>
        </w:rPr>
        <w:t xml:space="preserve"> </w:t>
      </w:r>
      <w:r w:rsidRPr="00DC5B13">
        <w:rPr>
          <w:rFonts w:eastAsia="Calibri" w:hint="eastAsia"/>
          <w:szCs w:val="20"/>
          <w:rtl/>
        </w:rPr>
        <w:t>לשנת</w:t>
      </w:r>
      <w:r w:rsidRPr="00DC5B13">
        <w:rPr>
          <w:rFonts w:eastAsia="Calibri"/>
          <w:szCs w:val="20"/>
          <w:rtl/>
        </w:rPr>
        <w:t xml:space="preserve"> 2023, </w:t>
      </w:r>
      <w:r w:rsidRPr="00DC5B13">
        <w:rPr>
          <w:rFonts w:eastAsia="Calibri" w:hint="eastAsia"/>
          <w:szCs w:val="20"/>
          <w:rtl/>
        </w:rPr>
        <w:t>בעיבוד</w:t>
      </w:r>
      <w:r w:rsidRPr="00DC5B13">
        <w:rPr>
          <w:rFonts w:eastAsia="Calibri"/>
          <w:szCs w:val="20"/>
          <w:rtl/>
        </w:rPr>
        <w:t xml:space="preserve"> </w:t>
      </w:r>
      <w:r w:rsidRPr="00DC5B13">
        <w:rPr>
          <w:rFonts w:eastAsia="Calibri" w:hint="eastAsia"/>
          <w:szCs w:val="20"/>
          <w:rtl/>
        </w:rPr>
        <w:t>משרד</w:t>
      </w:r>
      <w:r w:rsidRPr="00DC5B13">
        <w:rPr>
          <w:rFonts w:eastAsia="Calibri"/>
          <w:szCs w:val="20"/>
          <w:rtl/>
        </w:rPr>
        <w:t xml:space="preserve"> </w:t>
      </w:r>
      <w:r w:rsidRPr="00DC5B13">
        <w:rPr>
          <w:rFonts w:eastAsia="Calibri" w:hint="eastAsia"/>
          <w:szCs w:val="20"/>
          <w:rtl/>
        </w:rPr>
        <w:t>מבקר</w:t>
      </w:r>
      <w:r w:rsidRPr="00DC5B13">
        <w:rPr>
          <w:rFonts w:eastAsia="Calibri"/>
          <w:szCs w:val="20"/>
          <w:rtl/>
        </w:rPr>
        <w:t xml:space="preserve"> </w:t>
      </w:r>
      <w:r w:rsidRPr="00DC5B13">
        <w:rPr>
          <w:rFonts w:eastAsia="Calibri" w:hint="eastAsia"/>
          <w:szCs w:val="20"/>
          <w:rtl/>
        </w:rPr>
        <w:t>המדינה</w:t>
      </w:r>
      <w:r w:rsidRPr="00DC5B13">
        <w:rPr>
          <w:rFonts w:eastAsia="Calibri"/>
          <w:szCs w:val="20"/>
          <w:rtl/>
        </w:rPr>
        <w:t>.</w:t>
      </w:r>
    </w:p>
    <w:p w:rsidR="00DC5B13" w:rsidRPr="00DC5B13" w:rsidP="00C34B23">
      <w:pPr>
        <w:spacing w:line="269" w:lineRule="auto"/>
        <w:rPr>
          <w:rFonts w:eastAsia="Calibri"/>
          <w:szCs w:val="20"/>
          <w:rtl/>
        </w:rPr>
      </w:pPr>
      <w:r w:rsidRPr="00DC5B13">
        <w:rPr>
          <w:rFonts w:eastAsia="Calibri" w:hint="cs"/>
          <w:szCs w:val="20"/>
          <w:rtl/>
        </w:rPr>
        <w:t>*</w:t>
      </w:r>
      <w:r w:rsidRPr="00DC5B13">
        <w:rPr>
          <w:rFonts w:eastAsia="Calibri"/>
          <w:szCs w:val="20"/>
          <w:rtl/>
        </w:rPr>
        <w:t xml:space="preserve"> כולל מתחמים שלא הוכרזו כמתחמי התחדשות ברשות להתחדשות. ללא יח"ד שחודשו במסגרת תמ"א 38 או חלופת שקד.</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eastAsia"/>
          <w:rtl/>
        </w:rPr>
        <w:t>מהנתונים</w:t>
      </w:r>
      <w:r w:rsidRPr="00DC5B13">
        <w:rPr>
          <w:rFonts w:eastAsia="Calibri"/>
          <w:rtl/>
        </w:rPr>
        <w:t xml:space="preserve"> </w:t>
      </w:r>
      <w:r w:rsidRPr="00DC5B13">
        <w:rPr>
          <w:rFonts w:eastAsia="Calibri" w:hint="eastAsia"/>
          <w:rtl/>
        </w:rPr>
        <w:t>המוצגים</w:t>
      </w:r>
      <w:r w:rsidRPr="00DC5B13">
        <w:rPr>
          <w:rFonts w:eastAsia="Calibri"/>
          <w:rtl/>
        </w:rPr>
        <w:t xml:space="preserve"> </w:t>
      </w:r>
      <w:r w:rsidRPr="00DC5B13">
        <w:rPr>
          <w:rFonts w:eastAsia="Calibri" w:hint="eastAsia"/>
          <w:rtl/>
        </w:rPr>
        <w:t>בלוח</w:t>
      </w:r>
      <w:r w:rsidRPr="00DC5B13">
        <w:rPr>
          <w:rFonts w:eastAsia="Calibri"/>
          <w:rtl/>
        </w:rPr>
        <w:t xml:space="preserve"> </w:t>
      </w:r>
      <w:r w:rsidRPr="00DC5B13">
        <w:rPr>
          <w:rFonts w:eastAsia="Calibri" w:hint="eastAsia"/>
          <w:rtl/>
        </w:rPr>
        <w:t>עולים</w:t>
      </w:r>
      <w:r w:rsidRPr="00DC5B13">
        <w:rPr>
          <w:rFonts w:eastAsia="Calibri"/>
          <w:rtl/>
        </w:rPr>
        <w:t xml:space="preserve"> </w:t>
      </w:r>
      <w:r w:rsidRPr="00DC5B13">
        <w:rPr>
          <w:rFonts w:eastAsia="Calibri" w:hint="eastAsia"/>
          <w:rtl/>
        </w:rPr>
        <w:t>פערים</w:t>
      </w:r>
      <w:r w:rsidRPr="00DC5B13">
        <w:rPr>
          <w:rFonts w:eastAsia="Calibri"/>
          <w:rtl/>
        </w:rPr>
        <w:t xml:space="preserve"> </w:t>
      </w:r>
      <w:r w:rsidRPr="00DC5B13">
        <w:rPr>
          <w:rFonts w:eastAsia="Calibri" w:hint="eastAsia"/>
          <w:rtl/>
        </w:rPr>
        <w:t>ניכרים</w:t>
      </w:r>
      <w:r w:rsidRPr="00DC5B13">
        <w:rPr>
          <w:rFonts w:eastAsia="Calibri"/>
          <w:rtl/>
        </w:rPr>
        <w:t xml:space="preserve"> </w:t>
      </w:r>
      <w:r w:rsidRPr="00DC5B13">
        <w:rPr>
          <w:rFonts w:eastAsia="Calibri" w:hint="eastAsia"/>
          <w:rtl/>
        </w:rPr>
        <w:t>בין</w:t>
      </w:r>
      <w:r w:rsidRPr="00DC5B13">
        <w:rPr>
          <w:rFonts w:eastAsia="Calibri"/>
          <w:rtl/>
        </w:rPr>
        <w:t xml:space="preserve"> </w:t>
      </w:r>
      <w:r w:rsidRPr="00DC5B13">
        <w:rPr>
          <w:rFonts w:eastAsia="Calibri" w:hint="eastAsia"/>
          <w:rtl/>
        </w:rPr>
        <w:t>הנתונים</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עיריית</w:t>
      </w:r>
      <w:r w:rsidRPr="00DC5B13">
        <w:rPr>
          <w:rFonts w:eastAsia="Calibri"/>
          <w:rtl/>
        </w:rPr>
        <w:t xml:space="preserve"> </w:t>
      </w:r>
      <w:r w:rsidRPr="00DC5B13">
        <w:rPr>
          <w:rFonts w:eastAsia="Calibri" w:hint="eastAsia"/>
          <w:rtl/>
        </w:rPr>
        <w:t>קריית</w:t>
      </w:r>
      <w:r w:rsidRPr="00DC5B13">
        <w:rPr>
          <w:rFonts w:eastAsia="Calibri"/>
          <w:rtl/>
        </w:rPr>
        <w:t xml:space="preserve"> </w:t>
      </w:r>
      <w:r w:rsidRPr="00DC5B13">
        <w:rPr>
          <w:rFonts w:eastAsia="Calibri" w:hint="eastAsia"/>
          <w:rtl/>
        </w:rPr>
        <w:t>ים</w:t>
      </w:r>
      <w:r w:rsidRPr="00DC5B13">
        <w:rPr>
          <w:rFonts w:eastAsia="Calibri"/>
          <w:rtl/>
        </w:rPr>
        <w:t xml:space="preserve"> </w:t>
      </w:r>
      <w:r w:rsidRPr="00DC5B13">
        <w:rPr>
          <w:rFonts w:eastAsia="Calibri" w:hint="eastAsia"/>
          <w:rtl/>
        </w:rPr>
        <w:t>ובין</w:t>
      </w:r>
      <w:r w:rsidRPr="00DC5B13">
        <w:rPr>
          <w:rFonts w:eastAsia="Calibri"/>
          <w:rtl/>
        </w:rPr>
        <w:t xml:space="preserve"> </w:t>
      </w:r>
      <w:r w:rsidRPr="00DC5B13">
        <w:rPr>
          <w:rFonts w:eastAsia="Calibri" w:hint="eastAsia"/>
          <w:rtl/>
        </w:rPr>
        <w:t>הנתונים</w:t>
      </w:r>
      <w:r w:rsidRPr="00DC5B13">
        <w:rPr>
          <w:rFonts w:eastAsia="Calibri"/>
          <w:rtl/>
        </w:rPr>
        <w:t xml:space="preserve"> </w:t>
      </w:r>
      <w:r w:rsidRPr="00DC5B13">
        <w:rPr>
          <w:rFonts w:eastAsia="Calibri" w:hint="eastAsia"/>
          <w:rtl/>
        </w:rPr>
        <w:t>שהתקבלו</w:t>
      </w:r>
      <w:r w:rsidRPr="00DC5B13">
        <w:rPr>
          <w:rFonts w:eastAsia="Calibri"/>
          <w:rtl/>
        </w:rPr>
        <w:t xml:space="preserve"> </w:t>
      </w:r>
      <w:r w:rsidRPr="00DC5B13">
        <w:rPr>
          <w:rFonts w:eastAsia="Calibri" w:hint="eastAsia"/>
          <w:rtl/>
        </w:rPr>
        <w:t>מהרשות</w:t>
      </w:r>
      <w:r w:rsidRPr="00DC5B13">
        <w:rPr>
          <w:rFonts w:eastAsia="Calibri"/>
          <w:rtl/>
        </w:rPr>
        <w:t xml:space="preserve"> </w:t>
      </w:r>
      <w:r w:rsidRPr="00DC5B13">
        <w:rPr>
          <w:rFonts w:eastAsia="Calibri" w:hint="eastAsia"/>
          <w:rtl/>
        </w:rPr>
        <w:t>להתחדשות</w:t>
      </w:r>
      <w:r w:rsidRPr="00DC5B13">
        <w:rPr>
          <w:rFonts w:eastAsia="Calibri"/>
          <w:rtl/>
        </w:rPr>
        <w:t xml:space="preserve"> </w:t>
      </w:r>
      <w:r w:rsidRPr="00DC5B13">
        <w:rPr>
          <w:rFonts w:eastAsia="Calibri" w:hint="eastAsia"/>
          <w:rtl/>
        </w:rPr>
        <w:t>והנתונים</w:t>
      </w:r>
      <w:r w:rsidRPr="00DC5B13">
        <w:rPr>
          <w:rFonts w:eastAsia="Calibri"/>
          <w:rtl/>
        </w:rPr>
        <w:t xml:space="preserve"> </w:t>
      </w:r>
      <w:r w:rsidRPr="00DC5B13">
        <w:rPr>
          <w:rFonts w:eastAsia="Calibri" w:hint="eastAsia"/>
          <w:rtl/>
        </w:rPr>
        <w:t>המפורסמים</w:t>
      </w:r>
      <w:r w:rsidRPr="00DC5B13">
        <w:rPr>
          <w:rFonts w:eastAsia="Calibri"/>
          <w:rtl/>
        </w:rPr>
        <w:t xml:space="preserve"> </w:t>
      </w:r>
      <w:r w:rsidRPr="00DC5B13">
        <w:rPr>
          <w:rFonts w:eastAsia="Calibri" w:hint="eastAsia"/>
          <w:rtl/>
        </w:rPr>
        <w:t>באתר</w:t>
      </w:r>
      <w:r w:rsidRPr="00DC5B13">
        <w:rPr>
          <w:rFonts w:eastAsia="Calibri"/>
          <w:rtl/>
        </w:rPr>
        <w:t xml:space="preserve"> </w:t>
      </w:r>
      <w:r w:rsidRPr="00DC5B13">
        <w:rPr>
          <w:rFonts w:eastAsia="Calibri" w:hint="eastAsia"/>
          <w:rtl/>
        </w:rPr>
        <w:t>המרשתת</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משרד</w:t>
      </w:r>
      <w:r w:rsidRPr="00DC5B13">
        <w:rPr>
          <w:rFonts w:eastAsia="Calibri"/>
          <w:rtl/>
        </w:rPr>
        <w:t xml:space="preserve"> </w:t>
      </w:r>
      <w:r w:rsidRPr="00DC5B13">
        <w:rPr>
          <w:rFonts w:eastAsia="Calibri" w:hint="eastAsia"/>
          <w:rtl/>
        </w:rPr>
        <w:t>השיכון</w:t>
      </w:r>
      <w:r w:rsidRPr="00DC5B13">
        <w:rPr>
          <w:rFonts w:eastAsia="Calibri"/>
          <w:rtl/>
        </w:rPr>
        <w:t xml:space="preserve"> - </w:t>
      </w:r>
      <w:r w:rsidRPr="00DC5B13">
        <w:rPr>
          <w:rFonts w:eastAsia="Calibri" w:hint="eastAsia"/>
          <w:rtl/>
        </w:rPr>
        <w:t>בייחוד</w:t>
      </w:r>
      <w:r w:rsidRPr="00DC5B13">
        <w:rPr>
          <w:rFonts w:eastAsia="Calibri"/>
          <w:rtl/>
        </w:rPr>
        <w:t xml:space="preserve"> </w:t>
      </w:r>
      <w:r w:rsidRPr="00DC5B13">
        <w:rPr>
          <w:rFonts w:eastAsia="Calibri" w:hint="eastAsia"/>
          <w:rtl/>
        </w:rPr>
        <w:t>במספר</w:t>
      </w:r>
      <w:r w:rsidRPr="00DC5B13">
        <w:rPr>
          <w:rFonts w:eastAsia="Calibri"/>
          <w:rtl/>
        </w:rPr>
        <w:t xml:space="preserve"> </w:t>
      </w:r>
      <w:r w:rsidRPr="00DC5B13">
        <w:rPr>
          <w:rFonts w:eastAsia="Calibri" w:hint="eastAsia"/>
          <w:rtl/>
        </w:rPr>
        <w:t>יח</w:t>
      </w:r>
      <w:r w:rsidRPr="00DC5B13">
        <w:rPr>
          <w:rFonts w:eastAsia="Calibri"/>
          <w:rtl/>
        </w:rPr>
        <w:t xml:space="preserve">"ד </w:t>
      </w:r>
      <w:r w:rsidRPr="00DC5B13">
        <w:rPr>
          <w:rFonts w:eastAsia="Calibri" w:hint="eastAsia"/>
          <w:rtl/>
        </w:rPr>
        <w:t>במצב</w:t>
      </w:r>
      <w:r w:rsidRPr="00DC5B13">
        <w:rPr>
          <w:rFonts w:eastAsia="Calibri"/>
          <w:rtl/>
        </w:rPr>
        <w:t xml:space="preserve"> </w:t>
      </w:r>
      <w:r w:rsidRPr="00DC5B13">
        <w:rPr>
          <w:rFonts w:eastAsia="Calibri" w:hint="eastAsia"/>
          <w:rtl/>
        </w:rPr>
        <w:t>מוצע</w:t>
      </w:r>
      <w:r w:rsidRPr="00DC5B13">
        <w:rPr>
          <w:rFonts w:eastAsia="Calibri"/>
          <w:rtl/>
        </w:rPr>
        <w:t>.</w:t>
      </w:r>
      <w:r w:rsidRPr="00DC5B13">
        <w:rPr>
          <w:rFonts w:eastAsia="Calibri" w:hint="cs"/>
          <w:rtl/>
        </w:rPr>
        <w:t xml:space="preserve"> יש הבדלים בין הנתונים הנוגעים לשלב התכנון: העירייה דיווחה על 3,743 יח"ד במצב מוצע, לפי לוח המחוונים של משרד השיכון יש 896 יח"ד, ואילו לפי נתוני הרשות להתחדשות יש 1,762 יח"ד במצב מוצע.</w:t>
      </w:r>
    </w:p>
    <w:p w:rsidR="00DC5B13" w:rsidRPr="00DC5B13" w:rsidP="00C34B23">
      <w:pPr>
        <w:spacing w:line="269" w:lineRule="auto"/>
        <w:ind w:left="-567"/>
        <w:rPr>
          <w:rFonts w:eastAsia="Calibri"/>
          <w:szCs w:val="20"/>
          <w:rtl/>
        </w:rPr>
      </w:pPr>
    </w:p>
    <w:p w:rsidR="00DC5B13" w:rsidRPr="00DC5B13" w:rsidP="00C34B23">
      <w:pPr>
        <w:spacing w:line="269" w:lineRule="auto"/>
        <w:jc w:val="center"/>
        <w:rPr>
          <w:rFonts w:eastAsia="Calibri"/>
          <w:rtl/>
        </w:rPr>
      </w:pPr>
      <w:r w:rsidRPr="00DC5B13">
        <w:rPr>
          <w:rFonts w:eastAsia="Calibri" w:hint="cs"/>
          <w:rtl/>
        </w:rPr>
        <w:t xml:space="preserve">תמונה 4: </w:t>
      </w:r>
      <w:r w:rsidRPr="00DC5B13">
        <w:rPr>
          <w:rFonts w:eastAsia="Calibri" w:hint="cs"/>
          <w:b/>
          <w:bCs/>
          <w:rtl/>
        </w:rPr>
        <w:t>בניין המיועד להתחדשות עירונית במתחם יוספטל בקריית ים</w:t>
      </w:r>
    </w:p>
    <w:p w:rsidR="00DC5B13" w:rsidRPr="00DC5B13" w:rsidP="00C34B23">
      <w:pPr>
        <w:spacing w:line="269" w:lineRule="auto"/>
        <w:rPr>
          <w:rFonts w:eastAsia="Calibri"/>
          <w:sz w:val="16"/>
          <w:szCs w:val="20"/>
          <w:rtl/>
        </w:rPr>
      </w:pPr>
      <w:r w:rsidRPr="00DC5B13">
        <w:rPr>
          <w:rFonts w:eastAsia="Calibri"/>
          <w:noProof/>
          <w:sz w:val="16"/>
          <w:szCs w:val="20"/>
          <w:rtl/>
          <w:lang w:val="he-IL"/>
        </w:rPr>
        <w:drawing>
          <wp:anchor distT="0" distB="0" distL="114300" distR="114300" simplePos="0" relativeHeight="251679744" behindDoc="0" locked="0" layoutInCell="1" allowOverlap="1">
            <wp:simplePos x="0" y="0"/>
            <wp:positionH relativeFrom="column">
              <wp:align>center</wp:align>
            </wp:positionH>
            <wp:positionV relativeFrom="paragraph">
              <wp:posOffset>0</wp:posOffset>
            </wp:positionV>
            <wp:extent cx="5220000" cy="2937600"/>
            <wp:effectExtent l="0" t="0" r="0" b="0"/>
            <wp:wrapTopAndBottom/>
            <wp:docPr id="23" name="תמונה 23" descr="תצלום של מבט מתוך קומת עמודים מפולשת של מבנה מגורים לכיוון חצר אחורית עם צמחייה ירוקה ועשבייה. רצפת החלל מורכבת מאריחים כהים וכוללת מכסה ביוב עגול, כאשר בהמשכה אל מחוץ למבנה נראות מרצפות שאינן מיושרות ונוטות בזוויות משתנות. בתקרת הבטון ובקורה התומכת נראים קילופי צבע וטיח לצד אזורים קטנים של בטון חשוף, ועל הקיר הימני מותקנים צינורות ניקוז אנכיים וחיוו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293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B13">
        <w:rPr>
          <w:rFonts w:eastAsia="Calibri" w:hint="cs"/>
          <w:sz w:val="16"/>
          <w:szCs w:val="20"/>
          <w:rtl/>
        </w:rPr>
        <w:t>צילום: מינהלת עירונית קריית ים ב-25.1.26.</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פעולות המינהלת מול הרשות המקומית:</w:t>
      </w:r>
      <w:r w:rsidRPr="00DC5B13">
        <w:rPr>
          <w:rFonts w:eastAsia="Calibri" w:hint="cs"/>
          <w:rtl/>
        </w:rPr>
        <w:t xml:space="preserve"> </w:t>
      </w:r>
      <w:r w:rsidRPr="00DC5B13">
        <w:rPr>
          <w:rFonts w:eastAsia="Calibri"/>
          <w:rtl/>
        </w:rPr>
        <w:t xml:space="preserve">המינהלת </w:t>
      </w:r>
      <w:r w:rsidRPr="00DC5B13">
        <w:rPr>
          <w:rFonts w:eastAsia="Calibri" w:hint="cs"/>
          <w:rtl/>
        </w:rPr>
        <w:t>השתתפה</w:t>
      </w:r>
      <w:r w:rsidRPr="00DC5B13">
        <w:rPr>
          <w:rFonts w:eastAsia="Calibri"/>
          <w:rtl/>
        </w:rPr>
        <w:t xml:space="preserve"> בגיבוש מסמכי </w:t>
      </w:r>
      <w:r w:rsidRPr="00DC5B13">
        <w:rPr>
          <w:rFonts w:eastAsia="Calibri" w:hint="cs"/>
          <w:rtl/>
        </w:rPr>
        <w:t>ה</w:t>
      </w:r>
      <w:r w:rsidRPr="00DC5B13">
        <w:rPr>
          <w:rFonts w:eastAsia="Calibri"/>
          <w:rtl/>
        </w:rPr>
        <w:t xml:space="preserve">מדיניות </w:t>
      </w:r>
      <w:r w:rsidRPr="00DC5B13">
        <w:rPr>
          <w:rFonts w:eastAsia="Calibri" w:hint="cs"/>
          <w:rtl/>
        </w:rPr>
        <w:t>ל</w:t>
      </w:r>
      <w:r w:rsidRPr="00DC5B13">
        <w:rPr>
          <w:rFonts w:eastAsia="Calibri"/>
          <w:rtl/>
        </w:rPr>
        <w:t>התחדשות עירונית</w:t>
      </w:r>
      <w:r w:rsidRPr="00DC5B13">
        <w:rPr>
          <w:rFonts w:eastAsia="Calibri" w:hint="cs"/>
          <w:rtl/>
        </w:rPr>
        <w:t xml:space="preserve"> בעיריית קריית ים. המינהלת מסרה כי בשל מיעוט כוח האדם במחלקת ההנדסה בעיר, היא מעורבת בקידום מסמכי מדיניות כלל-עירוניים שאינם עוסקים בהתחדשות עירונית באופן בלעדי</w:t>
      </w:r>
      <w:r>
        <w:rPr>
          <w:rFonts w:eastAsia="Calibri"/>
          <w:vertAlign w:val="superscript"/>
          <w:rtl/>
        </w:rPr>
        <w:footnoteReference w:id="106"/>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מתוכניות העבודה של המינהלת בקריית ים לשנים 2020 - 2025 עלה כי היא </w:t>
      </w:r>
      <w:r w:rsidRPr="00DC5B13">
        <w:rPr>
          <w:rFonts w:eastAsia="Calibri"/>
          <w:rtl/>
        </w:rPr>
        <w:t xml:space="preserve">עסקה בהכנת תוכנית לבחינת כושר הנשיאה העירוני ויכולת </w:t>
      </w:r>
      <w:r w:rsidRPr="00DC5B13">
        <w:rPr>
          <w:rFonts w:eastAsia="Calibri" w:hint="cs"/>
          <w:rtl/>
        </w:rPr>
        <w:t>ה</w:t>
      </w:r>
      <w:r w:rsidRPr="00DC5B13">
        <w:rPr>
          <w:rFonts w:eastAsia="Calibri"/>
          <w:rtl/>
        </w:rPr>
        <w:t>קליט</w:t>
      </w:r>
      <w:r w:rsidRPr="00DC5B13">
        <w:rPr>
          <w:rFonts w:eastAsia="Calibri" w:hint="cs"/>
          <w:rtl/>
        </w:rPr>
        <w:t>ה של</w:t>
      </w:r>
      <w:r w:rsidRPr="00DC5B13">
        <w:rPr>
          <w:rFonts w:eastAsia="Calibri"/>
          <w:rtl/>
        </w:rPr>
        <w:t xml:space="preserve"> תושבים חדשים ב</w:t>
      </w:r>
      <w:r w:rsidRPr="00DC5B13">
        <w:rPr>
          <w:rFonts w:eastAsia="Calibri" w:hint="cs"/>
          <w:rtl/>
        </w:rPr>
        <w:t xml:space="preserve">עיר. כמו כן </w:t>
      </w:r>
      <w:r w:rsidRPr="00DC5B13">
        <w:rPr>
          <w:rFonts w:eastAsia="Calibri"/>
          <w:rtl/>
        </w:rPr>
        <w:t xml:space="preserve">קיימה המינהלת </w:t>
      </w:r>
      <w:r w:rsidRPr="00DC5B13">
        <w:rPr>
          <w:rFonts w:eastAsia="Calibri" w:hint="cs"/>
          <w:rtl/>
        </w:rPr>
        <w:t>סדרת פגישות עם</w:t>
      </w:r>
      <w:r w:rsidRPr="00DC5B13">
        <w:rPr>
          <w:rFonts w:eastAsia="Calibri"/>
          <w:rtl/>
        </w:rPr>
        <w:t xml:space="preserve"> המחלקה לעבודה קהילתית באגף הרווחה, </w:t>
      </w:r>
      <w:r w:rsidRPr="00DC5B13">
        <w:rPr>
          <w:rFonts w:eastAsia="Calibri" w:hint="cs"/>
          <w:rtl/>
        </w:rPr>
        <w:t xml:space="preserve">ובהן הוכנה </w:t>
      </w:r>
      <w:r w:rsidRPr="00DC5B13">
        <w:rPr>
          <w:rFonts w:eastAsia="Calibri"/>
          <w:rtl/>
        </w:rPr>
        <w:t xml:space="preserve">תוכנית פעולה משותפת לאיתור אנשי מפתח </w:t>
      </w:r>
      <w:r w:rsidRPr="00DC5B13">
        <w:rPr>
          <w:rFonts w:eastAsia="Calibri" w:hint="cs"/>
          <w:rtl/>
        </w:rPr>
        <w:t>בשכונות אשר ישמשו ערוץ מידע בכל הנוגע להתחדשות העתידה להתרחש בהן. כן קיימה המינהלת</w:t>
      </w:r>
      <w:r w:rsidRPr="00DC5B13">
        <w:rPr>
          <w:rFonts w:eastAsia="Calibri"/>
          <w:rtl/>
        </w:rPr>
        <w:t xml:space="preserve"> ישיבות רבעוניות עם אג</w:t>
      </w:r>
      <w:r w:rsidRPr="00DC5B13">
        <w:rPr>
          <w:rFonts w:eastAsia="Calibri" w:hint="cs"/>
          <w:rtl/>
        </w:rPr>
        <w:t>פים אלה: ה</w:t>
      </w:r>
      <w:r w:rsidRPr="00DC5B13">
        <w:rPr>
          <w:rFonts w:eastAsia="Calibri"/>
          <w:rtl/>
        </w:rPr>
        <w:t xml:space="preserve">חינוך, </w:t>
      </w:r>
      <w:r w:rsidRPr="00DC5B13">
        <w:rPr>
          <w:rFonts w:eastAsia="Calibri" w:hint="cs"/>
          <w:rtl/>
        </w:rPr>
        <w:t>ה</w:t>
      </w:r>
      <w:r w:rsidRPr="00DC5B13">
        <w:rPr>
          <w:rFonts w:eastAsia="Calibri"/>
          <w:rtl/>
        </w:rPr>
        <w:t xml:space="preserve">תברואה, </w:t>
      </w:r>
      <w:r w:rsidRPr="00DC5B13">
        <w:rPr>
          <w:rFonts w:eastAsia="Calibri" w:hint="cs"/>
          <w:rtl/>
        </w:rPr>
        <w:t>ה</w:t>
      </w:r>
      <w:r w:rsidRPr="00DC5B13">
        <w:rPr>
          <w:rFonts w:eastAsia="Calibri"/>
          <w:rtl/>
        </w:rPr>
        <w:t xml:space="preserve">רווחה, </w:t>
      </w:r>
      <w:r w:rsidRPr="00DC5B13">
        <w:rPr>
          <w:rFonts w:eastAsia="Calibri" w:hint="cs"/>
          <w:rtl/>
        </w:rPr>
        <w:t>ה</w:t>
      </w:r>
      <w:r w:rsidRPr="00DC5B13">
        <w:rPr>
          <w:rFonts w:eastAsia="Calibri"/>
          <w:rtl/>
        </w:rPr>
        <w:t>הנדסה ו</w:t>
      </w:r>
      <w:r w:rsidRPr="00DC5B13">
        <w:rPr>
          <w:rFonts w:eastAsia="Calibri" w:hint="cs"/>
          <w:rtl/>
        </w:rPr>
        <w:t>ה</w:t>
      </w:r>
      <w:r w:rsidRPr="00DC5B13">
        <w:rPr>
          <w:rFonts w:eastAsia="Calibri"/>
          <w:rtl/>
        </w:rPr>
        <w:t xml:space="preserve">תפעול, </w:t>
      </w:r>
      <w:r w:rsidRPr="00DC5B13">
        <w:rPr>
          <w:rFonts w:eastAsia="Calibri" w:hint="cs"/>
          <w:rtl/>
        </w:rPr>
        <w:t xml:space="preserve">וזאת </w:t>
      </w:r>
      <w:r w:rsidRPr="00DC5B13">
        <w:rPr>
          <w:rFonts w:eastAsia="Calibri"/>
          <w:rtl/>
        </w:rPr>
        <w:t>ל</w:t>
      </w:r>
      <w:r w:rsidRPr="00DC5B13">
        <w:rPr>
          <w:rFonts w:eastAsia="Calibri" w:hint="cs"/>
          <w:rtl/>
        </w:rPr>
        <w:t>שם תיאום הפעולות</w:t>
      </w:r>
      <w:r w:rsidRPr="00DC5B13">
        <w:rPr>
          <w:rFonts w:eastAsia="Calibri"/>
          <w:rtl/>
        </w:rPr>
        <w:t xml:space="preserve"> </w:t>
      </w:r>
      <w:r w:rsidRPr="00DC5B13">
        <w:rPr>
          <w:rFonts w:eastAsia="Calibri" w:hint="cs"/>
          <w:rtl/>
        </w:rPr>
        <w:t>ב</w:t>
      </w:r>
      <w:r w:rsidRPr="00DC5B13">
        <w:rPr>
          <w:rFonts w:eastAsia="Calibri"/>
          <w:rtl/>
        </w:rPr>
        <w:t xml:space="preserve">מתחמי </w:t>
      </w:r>
      <w:r w:rsidRPr="00DC5B13">
        <w:rPr>
          <w:rFonts w:eastAsia="Calibri" w:hint="cs"/>
          <w:rtl/>
        </w:rPr>
        <w:t>ה</w:t>
      </w:r>
      <w:r w:rsidRPr="00DC5B13">
        <w:rPr>
          <w:rFonts w:eastAsia="Calibri"/>
          <w:rtl/>
        </w:rPr>
        <w:t>התחדשות ו</w:t>
      </w:r>
      <w:r w:rsidRPr="00DC5B13">
        <w:rPr>
          <w:rFonts w:eastAsia="Calibri" w:hint="cs"/>
          <w:rtl/>
        </w:rPr>
        <w:t>ל</w:t>
      </w:r>
      <w:r w:rsidRPr="00DC5B13">
        <w:rPr>
          <w:rFonts w:eastAsia="Calibri"/>
          <w:rtl/>
        </w:rPr>
        <w:t xml:space="preserve">שיקוף </w:t>
      </w:r>
      <w:r w:rsidRPr="00DC5B13">
        <w:rPr>
          <w:rFonts w:eastAsia="Calibri" w:hint="cs"/>
          <w:rtl/>
        </w:rPr>
        <w:t>ה</w:t>
      </w:r>
      <w:r w:rsidRPr="00DC5B13">
        <w:rPr>
          <w:rFonts w:eastAsia="Calibri"/>
          <w:rtl/>
        </w:rPr>
        <w:t xml:space="preserve">ידע. כמו כן </w:t>
      </w:r>
      <w:r w:rsidRPr="00DC5B13">
        <w:rPr>
          <w:rFonts w:eastAsia="Calibri" w:hint="cs"/>
          <w:rtl/>
        </w:rPr>
        <w:t xml:space="preserve">נערכו </w:t>
      </w:r>
      <w:r w:rsidRPr="00DC5B13">
        <w:rPr>
          <w:rFonts w:eastAsia="Calibri"/>
          <w:rtl/>
        </w:rPr>
        <w:t>סדנאות ופעילויות צוות רבעוניות משותפות לצוות המינהלת ו</w:t>
      </w:r>
      <w:r w:rsidRPr="00DC5B13">
        <w:rPr>
          <w:rFonts w:eastAsia="Calibri" w:hint="cs"/>
          <w:rtl/>
        </w:rPr>
        <w:t>ה</w:t>
      </w:r>
      <w:r w:rsidRPr="00DC5B13">
        <w:rPr>
          <w:rFonts w:eastAsia="Calibri"/>
          <w:rtl/>
        </w:rPr>
        <w:t>הנדסה</w:t>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פעולות המינהלת</w:t>
      </w:r>
      <w:r w:rsidRPr="00DC5B13">
        <w:rPr>
          <w:rFonts w:eastAsia="Times New Roman" w:hint="cs"/>
          <w:bCs/>
          <w:spacing w:val="40"/>
          <w:rtl/>
        </w:rPr>
        <w:t xml:space="preserve"> מול</w:t>
      </w:r>
      <w:r w:rsidRPr="00DC5B13">
        <w:rPr>
          <w:rFonts w:eastAsia="Times New Roman"/>
          <w:bCs/>
          <w:spacing w:val="40"/>
          <w:rtl/>
        </w:rPr>
        <w:t xml:space="preserve"> יזמים ובעלי מקצוע:</w:t>
      </w:r>
      <w:r w:rsidRPr="00DC5B13">
        <w:rPr>
          <w:rFonts w:eastAsia="Calibri" w:hint="cs"/>
          <w:rtl/>
        </w:rPr>
        <w:t xml:space="preserve"> המינהלת כתבה בשיתוף פעולה עם אגף ההנדסה </w:t>
      </w:r>
      <w:r w:rsidRPr="00DC5B13">
        <w:rPr>
          <w:rFonts w:eastAsia="Calibri"/>
          <w:rtl/>
        </w:rPr>
        <w:t>נוהל עבודה עבור יזמים מול העירייה</w:t>
      </w:r>
      <w:r>
        <w:rPr>
          <w:rFonts w:eastAsia="Calibri"/>
          <w:vertAlign w:val="superscript"/>
          <w:rtl/>
        </w:rPr>
        <w:footnoteReference w:id="107"/>
      </w:r>
      <w:r w:rsidRPr="00DC5B13">
        <w:rPr>
          <w:rFonts w:eastAsia="Calibri" w:hint="cs"/>
          <w:rtl/>
        </w:rPr>
        <w:t xml:space="preserve">. המינהלת אף מסייעת באופן שוטף בגיוס יועצים כנדרש בתוכניות ההתחדשות השונות.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פעולות המינהלת מול התושבים</w:t>
      </w:r>
      <w:r w:rsidRPr="00DC5B13">
        <w:rPr>
          <w:rFonts w:eastAsia="Times New Roman" w:hint="cs"/>
          <w:bCs/>
          <w:spacing w:val="40"/>
          <w:rtl/>
        </w:rPr>
        <w:t>:</w:t>
      </w:r>
      <w:r w:rsidRPr="00DC5B13">
        <w:rPr>
          <w:rFonts w:eastAsia="Times New Roman"/>
          <w:bCs/>
          <w:spacing w:val="40"/>
          <w:rtl/>
        </w:rPr>
        <w:t xml:space="preserve"> </w:t>
      </w:r>
      <w:r w:rsidRPr="00DC5B13">
        <w:rPr>
          <w:rFonts w:eastAsia="Calibri" w:hint="cs"/>
          <w:rtl/>
        </w:rPr>
        <w:t>מאז הקמתה פועלת המינהלת מול תושבי העיר בין היתר באמצעות עריכת מפגשים של שיתופי ציבור ובהם היא מרכזת כינוסי דיירים לבחירת נציגות, קבוצות ווטסאפ לכל מתחם לשם שמירה על קשר רציף וכינוסים וסדנאות בנושא התחדשות עירונית. נוסף על כך כתבה המינהלת מדריך לעקרונות התקשרות של הדיירים עם יזמים במסגרת התחדשות עירונית ואף פעלה לתרגמו</w:t>
      </w:r>
      <w:r w:rsidRPr="00DC5B13">
        <w:rPr>
          <w:rFonts w:eastAsia="Calibri"/>
          <w:rtl/>
        </w:rPr>
        <w:t xml:space="preserve"> </w:t>
      </w:r>
      <w:r w:rsidRPr="00DC5B13">
        <w:rPr>
          <w:rFonts w:eastAsia="Calibri" w:hint="cs"/>
          <w:rtl/>
        </w:rPr>
        <w:t>ל</w:t>
      </w:r>
      <w:r w:rsidRPr="00DC5B13">
        <w:rPr>
          <w:rFonts w:eastAsia="Calibri"/>
          <w:rtl/>
        </w:rPr>
        <w:t>שפות שונות</w:t>
      </w:r>
      <w:r>
        <w:rPr>
          <w:rFonts w:eastAsia="Calibri"/>
          <w:vertAlign w:val="superscript"/>
          <w:rtl/>
        </w:rPr>
        <w:footnoteReference w:id="108"/>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כמו כן קידמה המינהלת - יחד עם אגפי ההנדסה והרווחה בעירייה - מיזמי </w:t>
      </w:r>
      <w:r w:rsidRPr="00DC5B13">
        <w:rPr>
          <w:rFonts w:eastAsia="Calibri"/>
          <w:rtl/>
        </w:rPr>
        <w:t xml:space="preserve">התחדשות </w:t>
      </w:r>
      <w:r w:rsidRPr="00DC5B13">
        <w:rPr>
          <w:rFonts w:eastAsia="Calibri" w:hint="cs"/>
          <w:rtl/>
        </w:rPr>
        <w:t xml:space="preserve">של </w:t>
      </w:r>
      <w:r w:rsidRPr="00DC5B13">
        <w:rPr>
          <w:rFonts w:eastAsia="Calibri"/>
          <w:rtl/>
        </w:rPr>
        <w:t>המרחב הציבורי</w:t>
      </w:r>
      <w:r w:rsidRPr="00DC5B13">
        <w:rPr>
          <w:rFonts w:eastAsia="Calibri" w:hint="cs"/>
          <w:rtl/>
        </w:rPr>
        <w:t xml:space="preserve"> -</w:t>
      </w:r>
      <w:r w:rsidRPr="00DC5B13">
        <w:rPr>
          <w:rFonts w:eastAsia="Calibri"/>
          <w:rtl/>
        </w:rPr>
        <w:t xml:space="preserve"> אתרים </w:t>
      </w:r>
      <w:r w:rsidRPr="00DC5B13">
        <w:rPr>
          <w:rFonts w:eastAsia="Calibri" w:hint="cs"/>
          <w:rtl/>
        </w:rPr>
        <w:t>הסמוכים למתחמי התחדשות ש</w:t>
      </w:r>
      <w:r w:rsidRPr="00DC5B13">
        <w:rPr>
          <w:rFonts w:eastAsia="Calibri"/>
          <w:rtl/>
        </w:rPr>
        <w:t>בהם יבוצעו עבודות א</w:t>
      </w:r>
      <w:r w:rsidRPr="00DC5B13">
        <w:rPr>
          <w:rFonts w:eastAsia="Calibri" w:hint="cs"/>
          <w:rtl/>
        </w:rPr>
        <w:t>ו</w:t>
      </w:r>
      <w:r w:rsidRPr="00DC5B13">
        <w:rPr>
          <w:rFonts w:eastAsia="Calibri"/>
          <w:rtl/>
        </w:rPr>
        <w:t>מנות</w:t>
      </w:r>
      <w:r w:rsidRPr="00DC5B13">
        <w:rPr>
          <w:rFonts w:eastAsia="Calibri" w:hint="cs"/>
          <w:rtl/>
        </w:rPr>
        <w:t xml:space="preserve"> ושיפוץ בשיתוף הקהילה. נוסף על כך קידמה המינהלת מיזם ובו הופעלו</w:t>
      </w:r>
      <w:r w:rsidRPr="00DC5B13">
        <w:rPr>
          <w:rFonts w:eastAsia="Calibri"/>
          <w:rtl/>
        </w:rPr>
        <w:t xml:space="preserve"> מילגאים ומתנדבים </w:t>
      </w:r>
      <w:r w:rsidRPr="00DC5B13">
        <w:rPr>
          <w:rFonts w:eastAsia="Calibri" w:hint="cs"/>
          <w:rtl/>
        </w:rPr>
        <w:t>לשם יצירת</w:t>
      </w:r>
      <w:r w:rsidRPr="00DC5B13">
        <w:rPr>
          <w:rFonts w:eastAsia="Calibri"/>
          <w:rtl/>
        </w:rPr>
        <w:t xml:space="preserve"> קשר </w:t>
      </w:r>
      <w:r w:rsidRPr="00DC5B13">
        <w:rPr>
          <w:rFonts w:eastAsia="Calibri" w:hint="cs"/>
          <w:rtl/>
        </w:rPr>
        <w:t xml:space="preserve">אנושי </w:t>
      </w:r>
      <w:r w:rsidRPr="00DC5B13">
        <w:rPr>
          <w:rFonts w:eastAsia="Calibri"/>
          <w:rtl/>
        </w:rPr>
        <w:t xml:space="preserve">שוטף בין בעלי הדירות, כולל חלוקת שי וחומרי פרסום של עקרונות </w:t>
      </w:r>
      <w:r w:rsidRPr="00DC5B13">
        <w:rPr>
          <w:rFonts w:eastAsia="Calibri" w:hint="cs"/>
          <w:rtl/>
        </w:rPr>
        <w:t>ל</w:t>
      </w:r>
      <w:r w:rsidRPr="00DC5B13">
        <w:rPr>
          <w:rFonts w:eastAsia="Calibri"/>
          <w:rtl/>
        </w:rPr>
        <w:t>קידום תהליכי התחדשות עירונית.</w:t>
      </w:r>
      <w:r w:rsidRPr="00DC5B13">
        <w:rPr>
          <w:rFonts w:eastAsia="Calibri" w:hint="cs"/>
          <w:rtl/>
        </w:rPr>
        <w:t xml:space="preserve"> המינהלת קידמה מיזמים אלה לשם</w:t>
      </w:r>
      <w:r w:rsidRPr="00DC5B13">
        <w:rPr>
          <w:rFonts w:eastAsia="Calibri"/>
          <w:rtl/>
        </w:rPr>
        <w:t xml:space="preserve"> </w:t>
      </w:r>
      <w:r w:rsidRPr="00DC5B13">
        <w:rPr>
          <w:rFonts w:eastAsia="Calibri" w:hint="cs"/>
          <w:rtl/>
        </w:rPr>
        <w:t>חיזוק הרצון של האוכלוסייה לקדם התחדשות עירונית</w:t>
      </w:r>
      <w:r w:rsidRPr="00DC5B13">
        <w:rPr>
          <w:rFonts w:eastAsia="Calibri"/>
          <w:rtl/>
        </w:rPr>
        <w:t xml:space="preserve"> ו</w:t>
      </w:r>
      <w:r w:rsidRPr="00DC5B13">
        <w:rPr>
          <w:rFonts w:eastAsia="Calibri" w:hint="cs"/>
          <w:rtl/>
        </w:rPr>
        <w:t xml:space="preserve">כן כדי ליצור </w:t>
      </w:r>
      <w:r w:rsidRPr="00DC5B13">
        <w:rPr>
          <w:rFonts w:eastAsia="Calibri"/>
          <w:rtl/>
        </w:rPr>
        <w:t xml:space="preserve">ערוץ שיח </w:t>
      </w:r>
      <w:r w:rsidRPr="00DC5B13">
        <w:rPr>
          <w:rFonts w:eastAsia="Calibri" w:hint="cs"/>
          <w:rtl/>
        </w:rPr>
        <w:t>בינה לבין המינהלת אשר איננו תלוי ישירות בכוח האדם שלה</w:t>
      </w:r>
      <w:r w:rsidRPr="00DC5B13">
        <w:rPr>
          <w:rFonts w:eastAsia="Calibri"/>
          <w:rtl/>
        </w:rPr>
        <w:t>.</w:t>
      </w:r>
    </w:p>
    <w:p w:rsidR="00DC5B13" w:rsidRPr="00DC5B13" w:rsidP="00C34B23">
      <w:pPr>
        <w:spacing w:line="269" w:lineRule="auto"/>
        <w:rPr>
          <w:rFonts w:eastAsia="Calibri"/>
          <w:rtl/>
        </w:rPr>
      </w:pPr>
    </w:p>
    <w:p w:rsidR="00DC5B13" w:rsidRPr="00DC5B13" w:rsidP="00C34B23">
      <w:pPr>
        <w:keepNext/>
        <w:keepLines/>
        <w:spacing w:line="269" w:lineRule="auto"/>
        <w:outlineLvl w:val="4"/>
        <w:rPr>
          <w:rFonts w:eastAsia="Times New Roman"/>
          <w:bCs/>
          <w:spacing w:val="40"/>
          <w:rtl/>
        </w:rPr>
      </w:pPr>
      <w:r w:rsidRPr="00DC5B13">
        <w:rPr>
          <w:rFonts w:eastAsia="Times New Roman" w:hint="cs"/>
          <w:bCs/>
          <w:spacing w:val="40"/>
          <w:rtl/>
        </w:rPr>
        <w:t>קריית שמונה</w:t>
      </w:r>
    </w:p>
    <w:p w:rsidR="00DC5B13" w:rsidRPr="00DC5B13" w:rsidP="00C34B23">
      <w:pPr>
        <w:spacing w:line="269" w:lineRule="auto"/>
        <w:rPr>
          <w:rFonts w:eastAsia="Calibri"/>
          <w:szCs w:val="20"/>
          <w:rtl/>
        </w:rPr>
      </w:pPr>
      <w:bookmarkStart w:id="30" w:name="_Hlk216013204"/>
    </w:p>
    <w:p w:rsidR="00DC5B13" w:rsidRPr="00DC5B13" w:rsidP="00C34B23">
      <w:pPr>
        <w:spacing w:line="269" w:lineRule="auto"/>
        <w:rPr>
          <w:rFonts w:eastAsia="Calibri"/>
          <w:rtl/>
        </w:rPr>
      </w:pPr>
      <w:r w:rsidRPr="00DC5B13">
        <w:rPr>
          <w:rFonts w:eastAsia="Calibri" w:hint="cs"/>
          <w:rtl/>
        </w:rPr>
        <w:t>ב</w:t>
      </w:r>
      <w:r w:rsidRPr="00DC5B13">
        <w:rPr>
          <w:rFonts w:eastAsia="Calibri"/>
          <w:rtl/>
        </w:rPr>
        <w:t>החלטת הממשלה 1</w:t>
      </w:r>
      <w:r w:rsidRPr="00DC5B13">
        <w:rPr>
          <w:rFonts w:eastAsia="Calibri" w:hint="cs"/>
          <w:rtl/>
        </w:rPr>
        <w:t>7</w:t>
      </w:r>
      <w:r w:rsidRPr="00DC5B13">
        <w:rPr>
          <w:rFonts w:eastAsia="Calibri"/>
          <w:rtl/>
        </w:rPr>
        <w:t xml:space="preserve">86 </w:t>
      </w:r>
      <w:r w:rsidRPr="00DC5B13">
        <w:rPr>
          <w:rFonts w:eastAsia="Calibri" w:hint="cs"/>
          <w:rtl/>
        </w:rPr>
        <w:t>ממאי 2024 בנושא</w:t>
      </w:r>
      <w:r w:rsidRPr="00DC5B13">
        <w:rPr>
          <w:rFonts w:eastAsia="Calibri"/>
          <w:rtl/>
        </w:rPr>
        <w:t xml:space="preserve"> "תוכנית למענים בטווח המיידי והקרוב וקידום מתווה רב-שנתי לשיקום ופיתוח הצפון"</w:t>
      </w:r>
      <w:r w:rsidRPr="00DC5B13">
        <w:rPr>
          <w:rFonts w:eastAsia="Calibri" w:hint="cs"/>
          <w:rtl/>
        </w:rPr>
        <w:t xml:space="preserve"> נקבע בין היתר כי תוקם בקריית שמונה מינהלת התחדשות עירונית(להלן - מינהלת קריית שמונה) למשך שלוש שנים. הסכם להקמת המינהלת נחתם בין העירייה ובין הרשות להתחדשות בדצמבר 2024, והמינהלת החלה לפעול ביולי 2025.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צוות המינהלת הנוכחי הועסק במחלקת התכנון באגף הנדסה בעירייה משנת 2023, ועבר למינהלת כשהחלה לפעול. כמו כן, מתנהל תהליך לאיתור וגיוס מתכנן בתקן קבע. בעירייה פעלה מנהלת מיזמים בתחום ההתחדשות עירונית בתקן של משרד השיכון החל מ-2020 ועד אוגוסט 2025. נוסף על כך מבקשת המינהלת לגייס מזכיר ומנהל מיזמים ולהעסיקם בתקני קבע.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עוד בטרם הוקמה המינהלת זכתה עיריית קריית שמונה בשנת 2023 בקול קורא 2/2023 לקבלת שירותי ייעוץ חיצוניים בתחום ההתחדשות העירונית ("מינהלת אזורית")</w:t>
      </w:r>
      <w:r>
        <w:rPr>
          <w:rFonts w:eastAsia="Calibri"/>
          <w:vertAlign w:val="superscript"/>
          <w:rtl/>
        </w:rPr>
        <w:footnoteReference w:id="109"/>
      </w:r>
      <w:r w:rsidRPr="00DC5B13">
        <w:rPr>
          <w:rFonts w:eastAsia="Calibri" w:hint="cs"/>
          <w:rtl/>
        </w:rPr>
        <w:t>. בעקבות פינוי העיר במהלך מלחמת חרבות ברזל למשך שנה וחצי בקירוב, לא דרשה הרשות להתחדשות מעיריית קריית שמונה או מהמינהלת העירונית החדשה להגיש תוכניות יעדים ותוכניות עבודה.</w:t>
      </w:r>
    </w:p>
    <w:p w:rsidR="00DC5B13" w:rsidRPr="00DC5B13" w:rsidP="00C34B23">
      <w:pPr>
        <w:spacing w:line="269" w:lineRule="auto"/>
        <w:jc w:val="center"/>
        <w:rPr>
          <w:rFonts w:eastAsia="Calibri"/>
          <w:rtl/>
        </w:rPr>
      </w:pPr>
      <w:r w:rsidRPr="00DC5B13">
        <w:rPr>
          <w:rFonts w:eastAsia="Calibri"/>
          <w:noProof/>
          <w:rtl/>
          <w:lang w:val="he-IL"/>
        </w:rPr>
        <w:drawing>
          <wp:anchor distT="0" distB="0" distL="114300" distR="114300" simplePos="0" relativeHeight="251677696" behindDoc="0" locked="0" layoutInCell="1" allowOverlap="1">
            <wp:simplePos x="0" y="0"/>
            <wp:positionH relativeFrom="column">
              <wp:align>center</wp:align>
            </wp:positionH>
            <wp:positionV relativeFrom="paragraph">
              <wp:posOffset>204943</wp:posOffset>
            </wp:positionV>
            <wp:extent cx="5220000" cy="7923600"/>
            <wp:effectExtent l="0" t="0" r="0" b="1270"/>
            <wp:wrapTopAndBottom/>
            <wp:docPr id="75" name="תמונה 75" descr="תצלום של חזית מבנה מגורים בן מספר קומות, שבו קירותיו החיצוניים מכוסים בכתמי פיח שחורים נרחבים. בקומת הקרקע חסומים פתחי המבנה באמצעות לוחות עץ, ומעליהם בולטים אלמנטים שרופים ומפוחמים לצד מנוע מזגן המקובע לקיר המושחר. בחלק הימני התחתון נראה חיפוי של אריחים ריבועיים בגווני לבן ואפור, ובחזית המבנה נפרשת קרקע חשופה עם שאריות פסולת ונתז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5"/>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t="2956" b="11586"/>
                    <a:stretch>
                      <a:fillRect/>
                    </a:stretch>
                  </pic:blipFill>
                  <pic:spPr bwMode="auto">
                    <a:xfrm>
                      <a:off x="0" y="0"/>
                      <a:ext cx="5220000" cy="79236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5B13">
        <w:rPr>
          <w:rFonts w:eastAsia="Calibri" w:hint="cs"/>
          <w:rtl/>
        </w:rPr>
        <w:t xml:space="preserve">תמונה 5: </w:t>
      </w:r>
      <w:r w:rsidRPr="00DC5B13">
        <w:rPr>
          <w:rFonts w:eastAsia="Calibri" w:hint="cs"/>
          <w:b/>
          <w:bCs/>
          <w:rtl/>
        </w:rPr>
        <w:t>בנייני מגורים בקריית שמונה שניזוקו במהלך מלחמת חרבות ברזל</w:t>
      </w:r>
    </w:p>
    <w:p w:rsidR="00DC5B13" w:rsidRPr="00DC5B13" w:rsidP="00C34B23">
      <w:pPr>
        <w:spacing w:line="269" w:lineRule="auto"/>
        <w:rPr>
          <w:rFonts w:eastAsia="Calibri"/>
          <w:sz w:val="16"/>
          <w:szCs w:val="20"/>
          <w:rtl/>
        </w:rPr>
      </w:pPr>
      <w:r w:rsidRPr="00DC5B13">
        <w:rPr>
          <w:rFonts w:eastAsia="Calibri" w:hint="cs"/>
          <w:sz w:val="16"/>
          <w:szCs w:val="20"/>
          <w:rtl/>
        </w:rPr>
        <w:t>צילום: אורטל שושני, עיריית קריית שמונה.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עד חודש מאי 2025 עסקה המינהלת בין היתר בקידומם של מתחמי התחדשות עירונית בעיר כמפורט בלוח שלהלן.</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rtl/>
        </w:rPr>
      </w:pPr>
      <w:r w:rsidRPr="00DC5B13">
        <w:rPr>
          <w:rFonts w:ascii="David" w:eastAsia="Calibri" w:hAnsi="David"/>
          <w:sz w:val="24"/>
          <w:rtl/>
        </w:rPr>
        <w:t xml:space="preserve">לוח </w:t>
      </w:r>
      <w:r w:rsidRPr="00DC5B13">
        <w:rPr>
          <w:rFonts w:ascii="David" w:eastAsia="Calibri" w:hAnsi="David" w:hint="cs"/>
          <w:sz w:val="24"/>
          <w:rtl/>
        </w:rPr>
        <w:t>10</w:t>
      </w:r>
      <w:r w:rsidRPr="00DC5B13">
        <w:rPr>
          <w:rFonts w:ascii="David" w:eastAsia="Calibri" w:hAnsi="David"/>
          <w:sz w:val="24"/>
          <w:rtl/>
        </w:rPr>
        <w:t>:</w:t>
      </w:r>
      <w:r w:rsidRPr="00DC5B13">
        <w:rPr>
          <w:rFonts w:eastAsia="Calibri"/>
          <w:rtl/>
        </w:rPr>
        <w:t xml:space="preserve"> </w:t>
      </w:r>
      <w:r w:rsidRPr="00DC5B13">
        <w:rPr>
          <w:rFonts w:eastAsia="Calibri" w:hint="eastAsia"/>
          <w:b/>
          <w:bCs/>
          <w:rtl/>
        </w:rPr>
        <w:t>מספר</w:t>
      </w:r>
      <w:r w:rsidRPr="00DC5B13">
        <w:rPr>
          <w:rFonts w:eastAsia="Calibri" w:hint="cs"/>
          <w:b/>
          <w:bCs/>
          <w:rtl/>
        </w:rPr>
        <w:t xml:space="preserve"> יחידות הדיור בהתחדשות מתחמית בקריית שמונה, 2025</w:t>
      </w:r>
      <w:r w:rsidRPr="00DC5B13">
        <w:rPr>
          <w:rFonts w:eastAsia="Calibri" w:hint="cs"/>
          <w:rtl/>
        </w:rPr>
        <w:t>*</w:t>
      </w:r>
    </w:p>
    <w:bookmarkEnd w:id="30"/>
    <w:tbl>
      <w:tblPr>
        <w:bidiVisual/>
        <w:tblW w:w="82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904"/>
        <w:gridCol w:w="1420"/>
        <w:gridCol w:w="1631"/>
        <w:gridCol w:w="1618"/>
        <w:gridCol w:w="1633"/>
      </w:tblGrid>
      <w:tr w:rsidTr="00DC5B13">
        <w:tblPrEx>
          <w:tblW w:w="82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Ex>
        <w:trPr>
          <w:trHeight w:val="619"/>
          <w:jc w:val="center"/>
        </w:trPr>
        <w:tc>
          <w:tcPr>
            <w:tcW w:w="1904" w:type="dxa"/>
            <w:vMerge w:val="restart"/>
            <w:shd w:val="clear" w:color="000000" w:fill="4F81BD"/>
          </w:tcPr>
          <w:p w:rsidR="00DC5B13" w:rsidRPr="00DC5B13" w:rsidP="00C34B23">
            <w:pPr>
              <w:spacing w:line="269" w:lineRule="auto"/>
              <w:jc w:val="center"/>
              <w:rPr>
                <w:rFonts w:ascii="David" w:eastAsia="Times New Roman" w:hAnsi="David"/>
                <w:b/>
                <w:bCs/>
                <w:color w:val="FFFFFF"/>
                <w:sz w:val="22"/>
                <w:szCs w:val="22"/>
                <w:rtl/>
              </w:rPr>
            </w:pPr>
          </w:p>
        </w:tc>
        <w:tc>
          <w:tcPr>
            <w:tcW w:w="3051" w:type="dxa"/>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התכנון</w:t>
            </w:r>
          </w:p>
        </w:tc>
        <w:tc>
          <w:tcPr>
            <w:tcW w:w="3251" w:type="dxa"/>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הרישוי</w:t>
            </w:r>
          </w:p>
        </w:tc>
      </w:tr>
      <w:tr w:rsidTr="00DC5B13">
        <w:tblPrEx>
          <w:tblW w:w="8206" w:type="dxa"/>
          <w:jc w:val="center"/>
          <w:tblLayout w:type="fixed"/>
          <w:tblLook w:val="04A0"/>
        </w:tblPrEx>
        <w:trPr>
          <w:trHeight w:val="619"/>
          <w:jc w:val="center"/>
        </w:trPr>
        <w:tc>
          <w:tcPr>
            <w:tcW w:w="1904" w:type="dxa"/>
            <w:vMerge/>
            <w:shd w:val="clear" w:color="000000" w:fill="4F81BD"/>
          </w:tcPr>
          <w:p w:rsidR="00DC5B13" w:rsidRPr="00DC5B13" w:rsidP="00C34B23">
            <w:pPr>
              <w:spacing w:line="269" w:lineRule="auto"/>
              <w:jc w:val="center"/>
              <w:rPr>
                <w:rFonts w:ascii="David" w:eastAsia="Times New Roman" w:hAnsi="David"/>
                <w:color w:val="FFFFFF"/>
                <w:sz w:val="22"/>
                <w:szCs w:val="22"/>
                <w:rtl/>
              </w:rPr>
            </w:pPr>
          </w:p>
        </w:tc>
        <w:tc>
          <w:tcPr>
            <w:tcW w:w="1420" w:type="dxa"/>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 xml:space="preserve">יח"ד במצב קיים </w:t>
            </w:r>
          </w:p>
        </w:tc>
        <w:tc>
          <w:tcPr>
            <w:tcW w:w="1631" w:type="dxa"/>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יח"ד במצב מוצע</w:t>
            </w:r>
          </w:p>
        </w:tc>
        <w:tc>
          <w:tcPr>
            <w:tcW w:w="1618" w:type="dxa"/>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 xml:space="preserve">יח"ד במצב קיים </w:t>
            </w:r>
          </w:p>
        </w:tc>
        <w:tc>
          <w:tcPr>
            <w:tcW w:w="1633" w:type="dxa"/>
            <w:shd w:val="clear" w:color="000000" w:fill="4F81BD"/>
            <w:vAlign w:val="center"/>
            <w:hideMark/>
          </w:tcPr>
          <w:p w:rsidR="00DC5B13" w:rsidRPr="00DC5B13" w:rsidP="00C34B23">
            <w:pPr>
              <w:spacing w:line="269" w:lineRule="auto"/>
              <w:jc w:val="center"/>
              <w:rPr>
                <w:rFonts w:ascii="David" w:eastAsia="Times New Roman" w:hAnsi="David"/>
                <w:color w:val="FFFFFF"/>
                <w:sz w:val="22"/>
                <w:szCs w:val="22"/>
                <w:rtl/>
              </w:rPr>
            </w:pPr>
            <w:r w:rsidRPr="00DC5B13">
              <w:rPr>
                <w:rFonts w:ascii="David" w:eastAsia="Times New Roman" w:hAnsi="David" w:hint="cs"/>
                <w:color w:val="FFFFFF"/>
                <w:sz w:val="22"/>
                <w:szCs w:val="22"/>
                <w:rtl/>
              </w:rPr>
              <w:t>יח"ד במצב מוצע</w:t>
            </w:r>
          </w:p>
        </w:tc>
      </w:tr>
      <w:tr w:rsidTr="00DC5B13">
        <w:tblPrEx>
          <w:tblW w:w="8206" w:type="dxa"/>
          <w:jc w:val="center"/>
          <w:tblLayout w:type="fixed"/>
          <w:tblLook w:val="04A0"/>
        </w:tblPrEx>
        <w:trPr>
          <w:trHeight w:val="619"/>
          <w:jc w:val="center"/>
        </w:trPr>
        <w:tc>
          <w:tcPr>
            <w:tcW w:w="1904" w:type="dxa"/>
            <w:shd w:val="clear" w:color="auto" w:fill="4F81BD"/>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לוח המחוונים באתר המרשתת של משרד השיכון</w:t>
            </w:r>
          </w:p>
        </w:tc>
        <w:tc>
          <w:tcPr>
            <w:tcW w:w="1420"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917</w:t>
            </w:r>
          </w:p>
        </w:tc>
        <w:tc>
          <w:tcPr>
            <w:tcW w:w="1631"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2,124</w:t>
            </w:r>
          </w:p>
        </w:tc>
        <w:tc>
          <w:tcPr>
            <w:tcW w:w="1618"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0</w:t>
            </w:r>
          </w:p>
        </w:tc>
        <w:tc>
          <w:tcPr>
            <w:tcW w:w="1633"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216</w:t>
            </w:r>
          </w:p>
        </w:tc>
      </w:tr>
      <w:tr w:rsidTr="00DC5B13">
        <w:tblPrEx>
          <w:tblW w:w="8206" w:type="dxa"/>
          <w:jc w:val="center"/>
          <w:tblLayout w:type="fixed"/>
          <w:tblLook w:val="04A0"/>
        </w:tblPrEx>
        <w:trPr>
          <w:trHeight w:val="619"/>
          <w:jc w:val="center"/>
        </w:trPr>
        <w:tc>
          <w:tcPr>
            <w:tcW w:w="1904" w:type="dxa"/>
            <w:shd w:val="clear" w:color="auto" w:fill="4F81BD"/>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 הרשות להתחדשות</w:t>
            </w:r>
          </w:p>
        </w:tc>
        <w:tc>
          <w:tcPr>
            <w:tcW w:w="1420"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_</w:t>
            </w:r>
          </w:p>
        </w:tc>
        <w:tc>
          <w:tcPr>
            <w:tcW w:w="1631"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_</w:t>
            </w:r>
          </w:p>
        </w:tc>
        <w:tc>
          <w:tcPr>
            <w:tcW w:w="1618"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_</w:t>
            </w:r>
          </w:p>
        </w:tc>
        <w:tc>
          <w:tcPr>
            <w:tcW w:w="1633"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_</w:t>
            </w:r>
          </w:p>
        </w:tc>
      </w:tr>
      <w:tr w:rsidTr="00DC5B13">
        <w:tblPrEx>
          <w:tblW w:w="8206" w:type="dxa"/>
          <w:jc w:val="center"/>
          <w:tblLayout w:type="fixed"/>
          <w:tblLook w:val="04A0"/>
        </w:tblPrEx>
        <w:trPr>
          <w:trHeight w:val="619"/>
          <w:jc w:val="center"/>
        </w:trPr>
        <w:tc>
          <w:tcPr>
            <w:tcW w:w="1904" w:type="dxa"/>
            <w:shd w:val="clear" w:color="auto" w:fill="4F81BD"/>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נתונים שהתקבלו מהרשויות שנבדקו</w:t>
            </w:r>
          </w:p>
        </w:tc>
        <w:tc>
          <w:tcPr>
            <w:tcW w:w="1420"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2,095</w:t>
            </w:r>
          </w:p>
        </w:tc>
        <w:tc>
          <w:tcPr>
            <w:tcW w:w="1631"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8,989</w:t>
            </w:r>
            <w:r w:rsidRPr="00DC5B13">
              <w:rPr>
                <w:rFonts w:ascii="David" w:eastAsia="Times New Roman" w:hAnsi="David" w:hint="cs"/>
                <w:color w:val="000000"/>
                <w:sz w:val="22"/>
                <w:szCs w:val="22"/>
                <w:rtl/>
              </w:rPr>
              <w:t>**</w:t>
            </w:r>
          </w:p>
        </w:tc>
        <w:tc>
          <w:tcPr>
            <w:tcW w:w="1618"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60</w:t>
            </w:r>
          </w:p>
        </w:tc>
        <w:tc>
          <w:tcPr>
            <w:tcW w:w="1633" w:type="dxa"/>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216</w:t>
            </w:r>
          </w:p>
        </w:tc>
      </w:tr>
    </w:tbl>
    <w:p w:rsidR="00DC5B13" w:rsidRPr="00DC5B13" w:rsidP="00C34B23">
      <w:pPr>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נתוני</w:t>
      </w:r>
      <w:r w:rsidRPr="00DC5B13">
        <w:rPr>
          <w:rFonts w:eastAsia="Calibri"/>
          <w:szCs w:val="20"/>
          <w:rtl/>
        </w:rPr>
        <w:t xml:space="preserve"> משרד השיכון והבינוי </w:t>
      </w:r>
      <w:r w:rsidRPr="00DC5B13">
        <w:rPr>
          <w:rFonts w:eastAsia="Calibri" w:hint="eastAsia"/>
          <w:szCs w:val="20"/>
          <w:rtl/>
        </w:rPr>
        <w:t>ממאי</w:t>
      </w:r>
      <w:r w:rsidRPr="00DC5B13">
        <w:rPr>
          <w:rFonts w:eastAsia="Calibri"/>
          <w:szCs w:val="20"/>
          <w:rtl/>
        </w:rPr>
        <w:t xml:space="preserve"> 2025; </w:t>
      </w:r>
      <w:r w:rsidRPr="00DC5B13">
        <w:rPr>
          <w:rFonts w:eastAsia="Calibri" w:hint="eastAsia"/>
          <w:szCs w:val="20"/>
          <w:rtl/>
        </w:rPr>
        <w:t>עיריית</w:t>
      </w:r>
      <w:r w:rsidRPr="00DC5B13">
        <w:rPr>
          <w:rFonts w:eastAsia="Calibri"/>
          <w:szCs w:val="20"/>
          <w:rtl/>
        </w:rPr>
        <w:t xml:space="preserve"> קריית שמונה - </w:t>
      </w:r>
      <w:r w:rsidRPr="00DC5B13">
        <w:rPr>
          <w:rFonts w:eastAsia="Calibri" w:hint="eastAsia"/>
          <w:szCs w:val="20"/>
          <w:rtl/>
        </w:rPr>
        <w:t>מספטמבר</w:t>
      </w:r>
      <w:r w:rsidRPr="00DC5B13">
        <w:rPr>
          <w:rFonts w:eastAsia="Calibri"/>
          <w:szCs w:val="20"/>
          <w:rtl/>
        </w:rPr>
        <w:t xml:space="preserve"> 2025 </w:t>
      </w:r>
      <w:r w:rsidRPr="00DC5B13">
        <w:rPr>
          <w:rFonts w:eastAsia="Calibri" w:hint="eastAsia"/>
          <w:szCs w:val="20"/>
          <w:rtl/>
        </w:rPr>
        <w:t>והדוחות</w:t>
      </w:r>
      <w:r w:rsidRPr="00DC5B13">
        <w:rPr>
          <w:rFonts w:eastAsia="Calibri"/>
          <w:szCs w:val="20"/>
          <w:rtl/>
        </w:rPr>
        <w:t xml:space="preserve"> </w:t>
      </w:r>
      <w:r w:rsidRPr="00DC5B13">
        <w:rPr>
          <w:rFonts w:eastAsia="Calibri" w:hint="eastAsia"/>
          <w:szCs w:val="20"/>
          <w:rtl/>
        </w:rPr>
        <w:t>הכספיים</w:t>
      </w:r>
      <w:r w:rsidRPr="00DC5B13">
        <w:rPr>
          <w:rFonts w:eastAsia="Calibri"/>
          <w:szCs w:val="20"/>
          <w:rtl/>
        </w:rPr>
        <w:t xml:space="preserve"> </w:t>
      </w:r>
      <w:r w:rsidRPr="00DC5B13">
        <w:rPr>
          <w:rFonts w:eastAsia="Calibri" w:hint="eastAsia"/>
          <w:szCs w:val="20"/>
          <w:rtl/>
        </w:rPr>
        <w:t>של</w:t>
      </w:r>
      <w:r w:rsidRPr="00DC5B13">
        <w:rPr>
          <w:rFonts w:eastAsia="Calibri"/>
          <w:szCs w:val="20"/>
          <w:rtl/>
        </w:rPr>
        <w:t xml:space="preserve"> </w:t>
      </w:r>
      <w:r w:rsidRPr="00DC5B13">
        <w:rPr>
          <w:rFonts w:eastAsia="Calibri" w:hint="eastAsia"/>
          <w:szCs w:val="20"/>
          <w:rtl/>
        </w:rPr>
        <w:t>הרשויות</w:t>
      </w:r>
      <w:r w:rsidRPr="00DC5B13">
        <w:rPr>
          <w:rFonts w:eastAsia="Calibri"/>
          <w:szCs w:val="20"/>
          <w:rtl/>
        </w:rPr>
        <w:t xml:space="preserve"> </w:t>
      </w:r>
      <w:r w:rsidRPr="00DC5B13">
        <w:rPr>
          <w:rFonts w:eastAsia="Calibri" w:hint="eastAsia"/>
          <w:szCs w:val="20"/>
          <w:rtl/>
        </w:rPr>
        <w:t>המקומיות</w:t>
      </w:r>
      <w:r w:rsidRPr="00DC5B13">
        <w:rPr>
          <w:rFonts w:eastAsia="Calibri"/>
          <w:szCs w:val="20"/>
          <w:rtl/>
        </w:rPr>
        <w:t xml:space="preserve"> </w:t>
      </w:r>
      <w:r w:rsidRPr="00DC5B13">
        <w:rPr>
          <w:rFonts w:eastAsia="Calibri" w:hint="eastAsia"/>
          <w:szCs w:val="20"/>
          <w:rtl/>
        </w:rPr>
        <w:t>לשנת</w:t>
      </w:r>
      <w:r w:rsidRPr="00DC5B13">
        <w:rPr>
          <w:rFonts w:eastAsia="Calibri"/>
          <w:szCs w:val="20"/>
          <w:rtl/>
        </w:rPr>
        <w:t xml:space="preserve"> 2023, </w:t>
      </w:r>
      <w:r w:rsidRPr="00DC5B13">
        <w:rPr>
          <w:rFonts w:eastAsia="Calibri" w:hint="eastAsia"/>
          <w:szCs w:val="20"/>
          <w:rtl/>
        </w:rPr>
        <w:t>בעיבוד</w:t>
      </w:r>
      <w:r w:rsidRPr="00DC5B13">
        <w:rPr>
          <w:rFonts w:eastAsia="Calibri"/>
          <w:szCs w:val="20"/>
          <w:rtl/>
        </w:rPr>
        <w:t xml:space="preserve"> </w:t>
      </w:r>
      <w:r w:rsidRPr="00DC5B13">
        <w:rPr>
          <w:rFonts w:eastAsia="Calibri" w:hint="eastAsia"/>
          <w:szCs w:val="20"/>
          <w:rtl/>
        </w:rPr>
        <w:t>משרד</w:t>
      </w:r>
      <w:r w:rsidRPr="00DC5B13">
        <w:rPr>
          <w:rFonts w:eastAsia="Calibri"/>
          <w:szCs w:val="20"/>
          <w:rtl/>
        </w:rPr>
        <w:t xml:space="preserve"> </w:t>
      </w:r>
      <w:r w:rsidRPr="00DC5B13">
        <w:rPr>
          <w:rFonts w:eastAsia="Calibri" w:hint="eastAsia"/>
          <w:szCs w:val="20"/>
          <w:rtl/>
        </w:rPr>
        <w:t>מבקר</w:t>
      </w:r>
      <w:r w:rsidRPr="00DC5B13">
        <w:rPr>
          <w:rFonts w:eastAsia="Calibri"/>
          <w:szCs w:val="20"/>
          <w:rtl/>
        </w:rPr>
        <w:t xml:space="preserve"> </w:t>
      </w:r>
      <w:r w:rsidRPr="00DC5B13">
        <w:rPr>
          <w:rFonts w:eastAsia="Calibri" w:hint="eastAsia"/>
          <w:szCs w:val="20"/>
          <w:rtl/>
        </w:rPr>
        <w:t>המדינה</w:t>
      </w:r>
      <w:r w:rsidRPr="00DC5B13">
        <w:rPr>
          <w:rFonts w:eastAsia="Calibri"/>
          <w:szCs w:val="20"/>
          <w:rtl/>
        </w:rPr>
        <w:t>.</w:t>
      </w:r>
    </w:p>
    <w:p w:rsidR="00DC5B13" w:rsidRPr="00DC5B13" w:rsidP="00C34B23">
      <w:pPr>
        <w:spacing w:line="269" w:lineRule="auto"/>
        <w:rPr>
          <w:rFonts w:eastAsia="Calibri"/>
          <w:szCs w:val="20"/>
          <w:rtl/>
        </w:rPr>
      </w:pPr>
      <w:r w:rsidRPr="00DC5B13">
        <w:rPr>
          <w:rFonts w:eastAsia="Calibri" w:hint="cs"/>
          <w:szCs w:val="20"/>
          <w:rtl/>
        </w:rPr>
        <w:t>* במסד שמסרה הרשות להתחדשות נכון לחודש יולי 2025, נתוני קריית שמונה אינם מופיעים.</w:t>
      </w:r>
    </w:p>
    <w:p w:rsidR="00DC5B13" w:rsidRPr="00DC5B13" w:rsidP="00C34B23">
      <w:pPr>
        <w:spacing w:line="269" w:lineRule="auto"/>
        <w:rPr>
          <w:rFonts w:eastAsia="Calibri"/>
          <w:szCs w:val="20"/>
          <w:rtl/>
        </w:rPr>
      </w:pPr>
      <w:r w:rsidRPr="00DC5B13">
        <w:rPr>
          <w:rFonts w:eastAsia="Calibri" w:hint="cs"/>
          <w:szCs w:val="20"/>
          <w:rtl/>
        </w:rPr>
        <w:t>** הנתון מתייחס ליח"ד בתוכניות שטרם אושרו בהתאם לנתונים שהתקבלו מעיריית קריית שמונה. הנתון כולל גם יח"ד על פי תוכנית עקרונית שהוגשה על ידי היזם במסגרת פרה-רולינג לבחינת היתכנות המיזם.</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eastAsia"/>
          <w:rtl/>
        </w:rPr>
        <w:t>מהנתונים</w:t>
      </w:r>
      <w:r w:rsidRPr="00DC5B13">
        <w:rPr>
          <w:rFonts w:eastAsia="Calibri"/>
          <w:rtl/>
        </w:rPr>
        <w:t xml:space="preserve"> </w:t>
      </w:r>
      <w:r w:rsidRPr="00DC5B13">
        <w:rPr>
          <w:rFonts w:eastAsia="Calibri" w:hint="eastAsia"/>
          <w:rtl/>
        </w:rPr>
        <w:t>המוצגים</w:t>
      </w:r>
      <w:r w:rsidRPr="00DC5B13">
        <w:rPr>
          <w:rFonts w:eastAsia="Calibri"/>
          <w:rtl/>
        </w:rPr>
        <w:t xml:space="preserve"> </w:t>
      </w:r>
      <w:r w:rsidRPr="00DC5B13">
        <w:rPr>
          <w:rFonts w:eastAsia="Calibri" w:hint="eastAsia"/>
          <w:rtl/>
        </w:rPr>
        <w:t>בלוח</w:t>
      </w:r>
      <w:r w:rsidRPr="00DC5B13">
        <w:rPr>
          <w:rFonts w:eastAsia="Calibri"/>
          <w:rtl/>
        </w:rPr>
        <w:t xml:space="preserve"> </w:t>
      </w:r>
      <w:r w:rsidRPr="00DC5B13">
        <w:rPr>
          <w:rFonts w:eastAsia="Calibri" w:hint="eastAsia"/>
          <w:rtl/>
        </w:rPr>
        <w:t>עולים</w:t>
      </w:r>
      <w:r w:rsidRPr="00DC5B13">
        <w:rPr>
          <w:rFonts w:eastAsia="Calibri"/>
          <w:rtl/>
        </w:rPr>
        <w:t xml:space="preserve"> </w:t>
      </w:r>
      <w:r w:rsidRPr="00DC5B13">
        <w:rPr>
          <w:rFonts w:eastAsia="Calibri" w:hint="eastAsia"/>
          <w:rtl/>
        </w:rPr>
        <w:t>פערים</w:t>
      </w:r>
      <w:r w:rsidRPr="00DC5B13">
        <w:rPr>
          <w:rFonts w:eastAsia="Calibri"/>
          <w:rtl/>
        </w:rPr>
        <w:t xml:space="preserve"> </w:t>
      </w:r>
      <w:r w:rsidRPr="00DC5B13">
        <w:rPr>
          <w:rFonts w:eastAsia="Calibri" w:hint="eastAsia"/>
          <w:rtl/>
        </w:rPr>
        <w:t>ניכרים</w:t>
      </w:r>
      <w:r w:rsidRPr="00DC5B13">
        <w:rPr>
          <w:rFonts w:eastAsia="Calibri"/>
          <w:rtl/>
        </w:rPr>
        <w:t xml:space="preserve"> </w:t>
      </w:r>
      <w:r w:rsidRPr="00DC5B13">
        <w:rPr>
          <w:rFonts w:eastAsia="Calibri" w:hint="eastAsia"/>
          <w:rtl/>
        </w:rPr>
        <w:t>בין</w:t>
      </w:r>
      <w:r w:rsidRPr="00DC5B13">
        <w:rPr>
          <w:rFonts w:eastAsia="Calibri"/>
          <w:rtl/>
        </w:rPr>
        <w:t xml:space="preserve"> </w:t>
      </w:r>
      <w:r w:rsidRPr="00DC5B13">
        <w:rPr>
          <w:rFonts w:eastAsia="Calibri" w:hint="eastAsia"/>
          <w:rtl/>
        </w:rPr>
        <w:t>הנתונים</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עיריית</w:t>
      </w:r>
      <w:r w:rsidRPr="00DC5B13">
        <w:rPr>
          <w:rFonts w:eastAsia="Calibri"/>
          <w:rtl/>
        </w:rPr>
        <w:t xml:space="preserve"> </w:t>
      </w:r>
      <w:r w:rsidRPr="00DC5B13">
        <w:rPr>
          <w:rFonts w:eastAsia="Calibri" w:hint="eastAsia"/>
          <w:rtl/>
        </w:rPr>
        <w:t>קריית</w:t>
      </w:r>
      <w:r w:rsidRPr="00DC5B13">
        <w:rPr>
          <w:rFonts w:eastAsia="Calibri"/>
          <w:rtl/>
        </w:rPr>
        <w:t xml:space="preserve"> </w:t>
      </w:r>
      <w:r w:rsidRPr="00DC5B13">
        <w:rPr>
          <w:rFonts w:eastAsia="Calibri" w:hint="eastAsia"/>
          <w:rtl/>
        </w:rPr>
        <w:t>שמונה</w:t>
      </w:r>
      <w:r w:rsidRPr="00DC5B13">
        <w:rPr>
          <w:rFonts w:eastAsia="Calibri"/>
          <w:rtl/>
        </w:rPr>
        <w:t xml:space="preserve"> </w:t>
      </w:r>
      <w:r w:rsidRPr="00DC5B13">
        <w:rPr>
          <w:rFonts w:eastAsia="Calibri" w:hint="eastAsia"/>
          <w:rtl/>
        </w:rPr>
        <w:t>ובין</w:t>
      </w:r>
      <w:r w:rsidRPr="00DC5B13">
        <w:rPr>
          <w:rFonts w:eastAsia="Calibri"/>
          <w:rtl/>
        </w:rPr>
        <w:t xml:space="preserve"> </w:t>
      </w:r>
      <w:r w:rsidRPr="00DC5B13">
        <w:rPr>
          <w:rFonts w:eastAsia="Calibri" w:hint="eastAsia"/>
          <w:rtl/>
        </w:rPr>
        <w:t>הנתונים</w:t>
      </w:r>
      <w:r w:rsidRPr="00DC5B13">
        <w:rPr>
          <w:rFonts w:eastAsia="Calibri"/>
          <w:rtl/>
        </w:rPr>
        <w:t xml:space="preserve"> </w:t>
      </w:r>
      <w:r w:rsidRPr="00DC5B13">
        <w:rPr>
          <w:rFonts w:eastAsia="Calibri" w:hint="eastAsia"/>
          <w:rtl/>
        </w:rPr>
        <w:t>שהתקבלו</w:t>
      </w:r>
      <w:r w:rsidRPr="00DC5B13">
        <w:rPr>
          <w:rFonts w:eastAsia="Calibri"/>
          <w:rtl/>
        </w:rPr>
        <w:t xml:space="preserve"> </w:t>
      </w:r>
      <w:r w:rsidRPr="00DC5B13">
        <w:rPr>
          <w:rFonts w:eastAsia="Calibri" w:hint="eastAsia"/>
          <w:rtl/>
        </w:rPr>
        <w:t>מהרשות</w:t>
      </w:r>
      <w:r w:rsidRPr="00DC5B13">
        <w:rPr>
          <w:rFonts w:eastAsia="Calibri"/>
          <w:rtl/>
        </w:rPr>
        <w:t xml:space="preserve"> </w:t>
      </w:r>
      <w:r w:rsidRPr="00DC5B13">
        <w:rPr>
          <w:rFonts w:eastAsia="Calibri" w:hint="eastAsia"/>
          <w:rtl/>
        </w:rPr>
        <w:t>להתחדשות</w:t>
      </w:r>
      <w:r w:rsidRPr="00DC5B13">
        <w:rPr>
          <w:rFonts w:eastAsia="Calibri"/>
          <w:rtl/>
        </w:rPr>
        <w:t xml:space="preserve"> </w:t>
      </w:r>
      <w:r w:rsidRPr="00DC5B13">
        <w:rPr>
          <w:rFonts w:eastAsia="Calibri" w:hint="eastAsia"/>
          <w:rtl/>
        </w:rPr>
        <w:t>והנתונים</w:t>
      </w:r>
      <w:r w:rsidRPr="00DC5B13">
        <w:rPr>
          <w:rFonts w:eastAsia="Calibri"/>
          <w:rtl/>
        </w:rPr>
        <w:t xml:space="preserve"> </w:t>
      </w:r>
      <w:r w:rsidRPr="00DC5B13">
        <w:rPr>
          <w:rFonts w:eastAsia="Calibri" w:hint="eastAsia"/>
          <w:rtl/>
        </w:rPr>
        <w:t>המפורסמים</w:t>
      </w:r>
      <w:r w:rsidRPr="00DC5B13">
        <w:rPr>
          <w:rFonts w:eastAsia="Calibri"/>
          <w:rtl/>
        </w:rPr>
        <w:t xml:space="preserve"> </w:t>
      </w:r>
      <w:r w:rsidRPr="00DC5B13">
        <w:rPr>
          <w:rFonts w:eastAsia="Calibri" w:hint="eastAsia"/>
          <w:rtl/>
        </w:rPr>
        <w:t>באתר</w:t>
      </w:r>
      <w:r w:rsidRPr="00DC5B13">
        <w:rPr>
          <w:rFonts w:eastAsia="Calibri"/>
          <w:rtl/>
        </w:rPr>
        <w:t xml:space="preserve"> </w:t>
      </w:r>
      <w:r w:rsidRPr="00DC5B13">
        <w:rPr>
          <w:rFonts w:eastAsia="Calibri" w:hint="eastAsia"/>
          <w:rtl/>
        </w:rPr>
        <w:t>המרשתת</w:t>
      </w:r>
      <w:r w:rsidRPr="00DC5B13">
        <w:rPr>
          <w:rFonts w:eastAsia="Calibri"/>
          <w:rtl/>
        </w:rPr>
        <w:t xml:space="preserve"> </w:t>
      </w:r>
      <w:r w:rsidRPr="00DC5B13">
        <w:rPr>
          <w:rFonts w:eastAsia="Calibri" w:hint="eastAsia"/>
          <w:rtl/>
        </w:rPr>
        <w:t>של</w:t>
      </w:r>
      <w:r w:rsidRPr="00DC5B13">
        <w:rPr>
          <w:rFonts w:eastAsia="Calibri"/>
          <w:rtl/>
        </w:rPr>
        <w:t xml:space="preserve"> </w:t>
      </w:r>
      <w:r w:rsidRPr="00DC5B13">
        <w:rPr>
          <w:rFonts w:eastAsia="Calibri" w:hint="eastAsia"/>
          <w:rtl/>
        </w:rPr>
        <w:t>משרד</w:t>
      </w:r>
      <w:r w:rsidRPr="00DC5B13">
        <w:rPr>
          <w:rFonts w:eastAsia="Calibri"/>
          <w:rtl/>
        </w:rPr>
        <w:t xml:space="preserve"> </w:t>
      </w:r>
      <w:r w:rsidRPr="00DC5B13">
        <w:rPr>
          <w:rFonts w:eastAsia="Calibri" w:hint="eastAsia"/>
          <w:rtl/>
        </w:rPr>
        <w:t>השיכון</w:t>
      </w:r>
      <w:r w:rsidRPr="00DC5B13">
        <w:rPr>
          <w:rFonts w:eastAsia="Calibri"/>
          <w:rtl/>
        </w:rPr>
        <w:t xml:space="preserve"> - </w:t>
      </w:r>
      <w:r w:rsidRPr="00DC5B13">
        <w:rPr>
          <w:rFonts w:eastAsia="Calibri" w:hint="eastAsia"/>
          <w:rtl/>
        </w:rPr>
        <w:t>בייחוד</w:t>
      </w:r>
      <w:r w:rsidRPr="00DC5B13">
        <w:rPr>
          <w:rFonts w:eastAsia="Calibri"/>
          <w:rtl/>
        </w:rPr>
        <w:t xml:space="preserve"> </w:t>
      </w:r>
      <w:r w:rsidRPr="00DC5B13">
        <w:rPr>
          <w:rFonts w:eastAsia="Calibri" w:hint="eastAsia"/>
          <w:rtl/>
        </w:rPr>
        <w:t>במספר</w:t>
      </w:r>
      <w:r w:rsidRPr="00DC5B13">
        <w:rPr>
          <w:rFonts w:eastAsia="Calibri"/>
          <w:rtl/>
        </w:rPr>
        <w:t xml:space="preserve"> </w:t>
      </w:r>
      <w:r w:rsidRPr="00DC5B13">
        <w:rPr>
          <w:rFonts w:eastAsia="Calibri" w:hint="eastAsia"/>
          <w:rtl/>
        </w:rPr>
        <w:t>יח</w:t>
      </w:r>
      <w:r w:rsidRPr="00DC5B13">
        <w:rPr>
          <w:rFonts w:eastAsia="Calibri"/>
          <w:rtl/>
        </w:rPr>
        <w:t xml:space="preserve">"ד </w:t>
      </w:r>
      <w:r w:rsidRPr="00DC5B13">
        <w:rPr>
          <w:rFonts w:eastAsia="Calibri" w:hint="eastAsia"/>
          <w:rtl/>
        </w:rPr>
        <w:t>במצב</w:t>
      </w:r>
      <w:r w:rsidRPr="00DC5B13">
        <w:rPr>
          <w:rFonts w:eastAsia="Calibri"/>
          <w:rtl/>
        </w:rPr>
        <w:t xml:space="preserve"> </w:t>
      </w:r>
      <w:r w:rsidRPr="00DC5B13">
        <w:rPr>
          <w:rFonts w:eastAsia="Calibri" w:hint="eastAsia"/>
          <w:rtl/>
        </w:rPr>
        <w:t>מוצע</w:t>
      </w:r>
      <w:r w:rsidRPr="00DC5B13">
        <w:rPr>
          <w:rFonts w:eastAsia="Calibri"/>
          <w:rtl/>
        </w:rPr>
        <w:t xml:space="preserve">. </w:t>
      </w:r>
      <w:r w:rsidRPr="00DC5B13">
        <w:rPr>
          <w:rFonts w:eastAsia="Calibri" w:hint="cs"/>
          <w:rtl/>
        </w:rPr>
        <w:t xml:space="preserve">יש הבדלים בין הנתונים הנוגעים לשלב התכנון: העירייה דיווחה על 8,989 יח"ד במצב מוצע, ואילו לפי לוח המחוונים של משרד השיכון יש כ-2,124 יח"ד. </w:t>
      </w:r>
      <w:r w:rsidRPr="00DC5B13">
        <w:rPr>
          <w:rFonts w:eastAsia="Calibri" w:hint="eastAsia"/>
          <w:rtl/>
        </w:rPr>
        <w:t>הרשות</w:t>
      </w:r>
      <w:r w:rsidRPr="00DC5B13">
        <w:rPr>
          <w:rFonts w:eastAsia="Calibri"/>
          <w:rtl/>
        </w:rPr>
        <w:t xml:space="preserve"> להתחדשות לא מסרה נתונים על </w:t>
      </w:r>
      <w:r w:rsidRPr="00DC5B13">
        <w:rPr>
          <w:rFonts w:eastAsia="Calibri" w:hint="eastAsia"/>
          <w:rtl/>
        </w:rPr>
        <w:t>מספר</w:t>
      </w:r>
      <w:r w:rsidRPr="00DC5B13">
        <w:rPr>
          <w:rFonts w:eastAsia="Calibri"/>
          <w:rtl/>
        </w:rPr>
        <w:t xml:space="preserve"> </w:t>
      </w:r>
      <w:r w:rsidRPr="00DC5B13">
        <w:rPr>
          <w:rFonts w:eastAsia="Calibri" w:hint="eastAsia"/>
          <w:rtl/>
        </w:rPr>
        <w:t>יח</w:t>
      </w:r>
      <w:r w:rsidRPr="00DC5B13">
        <w:rPr>
          <w:rFonts w:eastAsia="Calibri"/>
          <w:rtl/>
        </w:rPr>
        <w:t xml:space="preserve">"ד </w:t>
      </w:r>
      <w:r w:rsidRPr="00DC5B13">
        <w:rPr>
          <w:rFonts w:eastAsia="Calibri" w:hint="eastAsia"/>
          <w:rtl/>
        </w:rPr>
        <w:t>המעורבות</w:t>
      </w:r>
      <w:r w:rsidRPr="00DC5B13">
        <w:rPr>
          <w:rFonts w:eastAsia="Calibri"/>
          <w:rtl/>
        </w:rPr>
        <w:t xml:space="preserve"> </w:t>
      </w:r>
      <w:r w:rsidRPr="00DC5B13">
        <w:rPr>
          <w:rFonts w:eastAsia="Calibri" w:hint="eastAsia"/>
          <w:rtl/>
        </w:rPr>
        <w:t>בתהליכי</w:t>
      </w:r>
      <w:r w:rsidRPr="00DC5B13">
        <w:rPr>
          <w:rFonts w:eastAsia="Calibri"/>
          <w:rtl/>
        </w:rPr>
        <w:t xml:space="preserve"> </w:t>
      </w:r>
      <w:r w:rsidRPr="00DC5B13">
        <w:rPr>
          <w:rFonts w:eastAsia="Calibri" w:hint="eastAsia"/>
          <w:rtl/>
        </w:rPr>
        <w:t>ההתחדשות</w:t>
      </w:r>
      <w:r w:rsidRPr="00DC5B13">
        <w:rPr>
          <w:rFonts w:eastAsia="Calibri"/>
          <w:rtl/>
        </w:rPr>
        <w:t xml:space="preserve"> </w:t>
      </w:r>
      <w:r w:rsidRPr="00DC5B13">
        <w:rPr>
          <w:rFonts w:eastAsia="Calibri" w:hint="eastAsia"/>
          <w:rtl/>
        </w:rPr>
        <w:t>העירונית</w:t>
      </w:r>
      <w:r w:rsidRPr="00DC5B13">
        <w:rPr>
          <w:rFonts w:eastAsia="Calibri"/>
          <w:rtl/>
        </w:rPr>
        <w:t xml:space="preserve"> </w:t>
      </w:r>
      <w:r w:rsidRPr="00DC5B13">
        <w:rPr>
          <w:rFonts w:eastAsia="Calibri" w:hint="eastAsia"/>
          <w:rtl/>
        </w:rPr>
        <w:t>בקריית</w:t>
      </w:r>
      <w:r w:rsidRPr="00DC5B13">
        <w:rPr>
          <w:rFonts w:eastAsia="Calibri"/>
          <w:rtl/>
        </w:rPr>
        <w:t xml:space="preserve"> </w:t>
      </w:r>
      <w:r w:rsidRPr="00DC5B13">
        <w:rPr>
          <w:rFonts w:eastAsia="Calibri" w:hint="eastAsia"/>
          <w:rtl/>
        </w:rPr>
        <w:t>שמונה</w:t>
      </w:r>
      <w:r w:rsidRPr="00DC5B13">
        <w:rPr>
          <w:rFonts w:eastAsia="Calibri"/>
          <w:rtl/>
        </w:rPr>
        <w:t xml:space="preserve"> </w:t>
      </w:r>
      <w:r w:rsidRPr="00DC5B13">
        <w:rPr>
          <w:rFonts w:eastAsia="Calibri" w:hint="eastAsia"/>
          <w:rtl/>
        </w:rPr>
        <w:t>אף</w:t>
      </w:r>
      <w:r w:rsidRPr="00DC5B13">
        <w:rPr>
          <w:rFonts w:eastAsia="Calibri"/>
          <w:rtl/>
        </w:rPr>
        <w:t xml:space="preserve"> </w:t>
      </w:r>
      <w:r w:rsidRPr="00DC5B13">
        <w:rPr>
          <w:rFonts w:eastAsia="Calibri" w:hint="eastAsia"/>
          <w:rtl/>
        </w:rPr>
        <w:t>שהיא</w:t>
      </w:r>
      <w:r w:rsidRPr="00DC5B13">
        <w:rPr>
          <w:rFonts w:eastAsia="Calibri"/>
          <w:rtl/>
        </w:rPr>
        <w:t xml:space="preserve"> </w:t>
      </w:r>
      <w:r w:rsidRPr="00DC5B13">
        <w:rPr>
          <w:rFonts w:eastAsia="Calibri" w:hint="eastAsia"/>
          <w:rtl/>
        </w:rPr>
        <w:t>מקדמת</w:t>
      </w:r>
      <w:r w:rsidRPr="00DC5B13">
        <w:rPr>
          <w:rFonts w:eastAsia="Calibri"/>
          <w:rtl/>
        </w:rPr>
        <w:t xml:space="preserve"> </w:t>
      </w:r>
      <w:r w:rsidRPr="00DC5B13">
        <w:rPr>
          <w:rFonts w:eastAsia="Calibri" w:hint="eastAsia"/>
          <w:rtl/>
        </w:rPr>
        <w:t>בעיר</w:t>
      </w:r>
      <w:r w:rsidRPr="00DC5B13">
        <w:rPr>
          <w:rFonts w:eastAsia="Calibri"/>
          <w:rtl/>
        </w:rPr>
        <w:t xml:space="preserve"> </w:t>
      </w:r>
      <w:r w:rsidRPr="00DC5B13">
        <w:rPr>
          <w:rFonts w:eastAsia="Calibri" w:hint="eastAsia"/>
          <w:rtl/>
        </w:rPr>
        <w:t>כמה</w:t>
      </w:r>
      <w:r w:rsidRPr="00DC5B13">
        <w:rPr>
          <w:rFonts w:eastAsia="Calibri"/>
          <w:rtl/>
        </w:rPr>
        <w:t xml:space="preserve"> </w:t>
      </w:r>
      <w:r w:rsidRPr="00DC5B13">
        <w:rPr>
          <w:rFonts w:eastAsia="Calibri" w:hint="eastAsia"/>
          <w:rtl/>
        </w:rPr>
        <w:t>תוכניות</w:t>
      </w:r>
      <w:r w:rsidRPr="00DC5B13">
        <w:rPr>
          <w:rFonts w:eastAsia="Calibri"/>
          <w:rtl/>
        </w:rPr>
        <w:t xml:space="preserve"> </w:t>
      </w:r>
      <w:r w:rsidRPr="00DC5B13">
        <w:rPr>
          <w:rFonts w:eastAsia="Calibri" w:hint="eastAsia"/>
          <w:rtl/>
        </w:rPr>
        <w:t>במסגרת</w:t>
      </w:r>
      <w:r w:rsidRPr="00DC5B13">
        <w:rPr>
          <w:rFonts w:eastAsia="Calibri"/>
          <w:rtl/>
        </w:rPr>
        <w:t xml:space="preserve"> </w:t>
      </w:r>
      <w:r w:rsidRPr="00DC5B13">
        <w:rPr>
          <w:rFonts w:eastAsia="Calibri" w:hint="eastAsia"/>
          <w:rtl/>
        </w:rPr>
        <w:t>מסלול</w:t>
      </w:r>
      <w:r w:rsidRPr="00DC5B13">
        <w:rPr>
          <w:rFonts w:eastAsia="Calibri"/>
          <w:rtl/>
        </w:rPr>
        <w:t xml:space="preserve"> </w:t>
      </w:r>
      <w:r w:rsidRPr="00DC5B13">
        <w:rPr>
          <w:rFonts w:eastAsia="Calibri" w:hint="eastAsia"/>
          <w:rtl/>
        </w:rPr>
        <w:t>רשויות</w:t>
      </w:r>
      <w:r w:rsidRPr="00DC5B13">
        <w:rPr>
          <w:rFonts w:eastAsia="Calibri"/>
          <w:rtl/>
        </w:rPr>
        <w:t>.</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עיריית קריית שמונה מסרה בתשובתה למשרד מבקר המדינה ממרץ 2026 (להלן - תשובת עיריית קריית שמונה) כי המידע על מתחמי ההתחדשות העירונית המקודמים בתחום שיפוטה הועלה למערכת ממוחשבת שהקימה הרשות להתחדשות.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פעולות המינהלת מול הרשות המקומית:</w:t>
      </w:r>
      <w:r w:rsidRPr="00DC5B13">
        <w:rPr>
          <w:rFonts w:eastAsia="Calibri" w:hint="cs"/>
          <w:rtl/>
        </w:rPr>
        <w:t xml:space="preserve"> לפני שהוקמה המינהלת קידמה עיריית קריית שמונה התחדשות עירונית בתחומה, תוך התמודדות עם היעדר כדאיות כלכלית של תוכניות ההתחדשות מחוץ לאזורי הביקוש. הרשות להתחדשות מלווה את עיריית קריית שמונה עוד משנת 2018, בעקבות החלטת הממשלה 3740 שלפיה תקדם תוכנית אב למרכז העיר הוותיק</w:t>
      </w:r>
      <w:r>
        <w:rPr>
          <w:rFonts w:eastAsia="Calibri"/>
          <w:vertAlign w:val="superscript"/>
          <w:rtl/>
        </w:rPr>
        <w:footnoteReference w:id="110"/>
      </w:r>
      <w:r w:rsidRPr="00DC5B13">
        <w:rPr>
          <w:rFonts w:eastAsia="Calibri" w:hint="cs"/>
          <w:rtl/>
        </w:rPr>
        <w:t xml:space="preserve">. עלה כי העבודה עם המינהלת האזורית סייעה למינהלת בקריית שמונה לשפר את התכנון של תהליכים חברתיים ואת הבקרה עליהם והתארגנות תושבים.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פעולות המינהלת מול יזמים ובעלי מקצוע:</w:t>
      </w:r>
      <w:r w:rsidRPr="00DC5B13">
        <w:rPr>
          <w:rFonts w:eastAsia="Calibri" w:hint="cs"/>
          <w:rtl/>
        </w:rPr>
        <w:t xml:space="preserve"> אגף ההנדסה בעירייה הכין עבור היזמים </w:t>
      </w:r>
      <w:r w:rsidRPr="00DC5B13">
        <w:rPr>
          <w:rFonts w:eastAsia="Calibri"/>
          <w:rtl/>
        </w:rPr>
        <w:t>נוהל עבודה מול העירייה</w:t>
      </w:r>
      <w:r>
        <w:rPr>
          <w:rFonts w:eastAsia="Calibri"/>
          <w:vertAlign w:val="superscript"/>
          <w:rtl/>
        </w:rPr>
        <w:footnoteReference w:id="111"/>
      </w:r>
      <w:r w:rsidRPr="00DC5B13">
        <w:rPr>
          <w:rFonts w:eastAsia="Calibri" w:hint="cs"/>
          <w:rtl/>
        </w:rPr>
        <w:t xml:space="preserve">. בשלבי הקמתה נעזרה המינהלת העירונית בבעלי תפקידים מהמינהלת האזורית </w:t>
      </w:r>
      <w:r w:rsidRPr="00DC5B13">
        <w:rPr>
          <w:rFonts w:eastAsia="Calibri"/>
          <w:rtl/>
        </w:rPr>
        <w:t xml:space="preserve">בישיבות </w:t>
      </w:r>
      <w:r w:rsidRPr="00DC5B13">
        <w:rPr>
          <w:rFonts w:eastAsia="Calibri" w:hint="cs"/>
          <w:rtl/>
        </w:rPr>
        <w:t>של הערכה מקדמית (</w:t>
      </w:r>
      <w:r w:rsidRPr="00DC5B13">
        <w:rPr>
          <w:rFonts w:eastAsia="Calibri"/>
        </w:rPr>
        <w:t>pre-ruling</w:t>
      </w:r>
      <w:r w:rsidRPr="00DC5B13">
        <w:rPr>
          <w:rFonts w:eastAsia="Calibri" w:hint="cs"/>
          <w:rtl/>
        </w:rPr>
        <w:t>)</w:t>
      </w:r>
      <w:r w:rsidRPr="00DC5B13">
        <w:rPr>
          <w:rFonts w:eastAsia="Calibri"/>
          <w:rtl/>
        </w:rPr>
        <w:t xml:space="preserve"> עם יזמים</w:t>
      </w:r>
      <w:r w:rsidRPr="00DC5B13">
        <w:rPr>
          <w:rFonts w:eastAsia="Calibri" w:hint="cs"/>
          <w:rtl/>
        </w:rPr>
        <w:t xml:space="preserve">. </w:t>
      </w:r>
    </w:p>
    <w:p w:rsidR="00DC5B13" w:rsidRPr="00DC5B13" w:rsidP="00C34B23">
      <w:pPr>
        <w:spacing w:line="269" w:lineRule="auto"/>
        <w:jc w:val="center"/>
        <w:rPr>
          <w:rFonts w:eastAsia="Calibri"/>
          <w:b/>
          <w:bCs/>
          <w:rtl/>
        </w:rPr>
      </w:pPr>
      <w:r w:rsidRPr="00DC5B13">
        <w:rPr>
          <w:rFonts w:eastAsia="Calibri"/>
          <w:noProof/>
          <w:rtl/>
          <w:lang w:val="he-IL"/>
        </w:rPr>
        <w:drawing>
          <wp:anchor distT="0" distB="0" distL="114300" distR="114300" simplePos="0" relativeHeight="251676672" behindDoc="0" locked="0" layoutInCell="1" allowOverlap="1">
            <wp:simplePos x="0" y="0"/>
            <wp:positionH relativeFrom="column">
              <wp:posOffset>0</wp:posOffset>
            </wp:positionH>
            <wp:positionV relativeFrom="paragraph">
              <wp:posOffset>198209</wp:posOffset>
            </wp:positionV>
            <wp:extent cx="5215890" cy="3295650"/>
            <wp:effectExtent l="0" t="0" r="3810" b="0"/>
            <wp:wrapTopAndBottom/>
            <wp:docPr id="76" name="תמונה 76" descr="תצלום של מבט לאורך קומת עמודים מפולשת ומקורה במבנה מגורים, המרוצפת באריחים כהים ומובילה אל פתח יציאה מואר ברקע. בצדו הימני של המעבר מותקנים על הקיר ארון שירות אדום, מערכת צינורות וחיווט, ולמרגלותיהם מונחים מספר בלוני גז ממתכת. בצד שמאל נראים עמוד בטון רחב ומבנה עץ, ולאורך החלל נמשכת שורת עמודי תמיכה מרובעים תחת תקרת בטון שטוחה המציגה סימני לכלוך ובלאי ק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t="26296" b="26309"/>
                    <a:stretch>
                      <a:fillRect/>
                    </a:stretch>
                  </pic:blipFill>
                  <pic:spPr bwMode="auto">
                    <a:xfrm>
                      <a:off x="0" y="0"/>
                      <a:ext cx="5215890" cy="32956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5B13">
        <w:rPr>
          <w:rFonts w:eastAsia="Calibri" w:hint="cs"/>
          <w:rtl/>
        </w:rPr>
        <w:t xml:space="preserve">תמונה 6: </w:t>
      </w:r>
      <w:r w:rsidRPr="00DC5B13">
        <w:rPr>
          <w:rFonts w:eastAsia="Calibri" w:hint="cs"/>
          <w:b/>
          <w:bCs/>
          <w:rtl/>
        </w:rPr>
        <w:t>בניין מגורים במתחם התחדשות עירונית בקריית שמונה</w:t>
      </w:r>
    </w:p>
    <w:p w:rsidR="00DC5B13" w:rsidRPr="00DC5B13" w:rsidP="00C34B23">
      <w:pPr>
        <w:spacing w:line="269" w:lineRule="auto"/>
        <w:rPr>
          <w:rFonts w:eastAsia="Calibri"/>
          <w:sz w:val="16"/>
          <w:szCs w:val="20"/>
          <w:rtl/>
        </w:rPr>
      </w:pPr>
      <w:r w:rsidRPr="00DC5B13">
        <w:rPr>
          <w:rFonts w:eastAsia="Calibri" w:hint="cs"/>
          <w:sz w:val="16"/>
          <w:szCs w:val="20"/>
          <w:rtl/>
        </w:rPr>
        <w:t>צילום: חן רייך, עיריית קריית שמונה.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hint="eastAsia"/>
          <w:bCs/>
          <w:spacing w:val="40"/>
          <w:rtl/>
        </w:rPr>
        <w:t>פעולות</w:t>
      </w:r>
      <w:r w:rsidRPr="00DC5B13">
        <w:rPr>
          <w:rFonts w:eastAsia="Times New Roman"/>
          <w:bCs/>
          <w:spacing w:val="40"/>
          <w:rtl/>
        </w:rPr>
        <w:t xml:space="preserve"> </w:t>
      </w:r>
      <w:r w:rsidRPr="00DC5B13">
        <w:rPr>
          <w:rFonts w:eastAsia="Times New Roman" w:hint="eastAsia"/>
          <w:bCs/>
          <w:spacing w:val="40"/>
          <w:rtl/>
        </w:rPr>
        <w:t>המינהלת</w:t>
      </w:r>
      <w:r w:rsidRPr="00DC5B13">
        <w:rPr>
          <w:rFonts w:eastAsia="Times New Roman"/>
          <w:bCs/>
          <w:spacing w:val="40"/>
          <w:rtl/>
        </w:rPr>
        <w:t xml:space="preserve"> </w:t>
      </w:r>
      <w:r w:rsidRPr="00DC5B13">
        <w:rPr>
          <w:rFonts w:eastAsia="Times New Roman" w:hint="eastAsia"/>
          <w:bCs/>
          <w:spacing w:val="40"/>
          <w:rtl/>
        </w:rPr>
        <w:t>מול</w:t>
      </w:r>
      <w:r w:rsidRPr="00DC5B13">
        <w:rPr>
          <w:rFonts w:eastAsia="Times New Roman"/>
          <w:bCs/>
          <w:spacing w:val="40"/>
          <w:rtl/>
        </w:rPr>
        <w:t xml:space="preserve"> </w:t>
      </w:r>
      <w:r w:rsidRPr="00DC5B13">
        <w:rPr>
          <w:rFonts w:eastAsia="Times New Roman" w:hint="eastAsia"/>
          <w:bCs/>
          <w:spacing w:val="40"/>
          <w:rtl/>
        </w:rPr>
        <w:t>התושבים</w:t>
      </w:r>
      <w:r w:rsidRPr="00DC5B13">
        <w:rPr>
          <w:rFonts w:eastAsia="Times New Roman"/>
          <w:bCs/>
          <w:spacing w:val="40"/>
          <w:rtl/>
        </w:rPr>
        <w:t>:</w:t>
      </w:r>
      <w:r w:rsidRPr="00DC5B13">
        <w:rPr>
          <w:rFonts w:eastAsia="Calibri" w:hint="cs"/>
        </w:rPr>
        <w:t xml:space="preserve"> </w:t>
      </w:r>
      <w:r w:rsidRPr="00DC5B13">
        <w:rPr>
          <w:rFonts w:eastAsia="Calibri" w:hint="cs"/>
          <w:rtl/>
        </w:rPr>
        <w:t>האתגר העיקרי אשר ניצב בפני המינהלת בקריית שמונה היה ועודנו יצירת קשר עם בעלי הדירות במתחמי ההתחדשות אשר</w:t>
      </w:r>
      <w:r w:rsidRPr="00DC5B13">
        <w:rPr>
          <w:rFonts w:eastAsia="Calibri"/>
          <w:rtl/>
        </w:rPr>
        <w:t xml:space="preserve"> חלקם משקיעים שאינם מתגוררים בעיר</w:t>
      </w:r>
      <w:r w:rsidRPr="00DC5B13">
        <w:rPr>
          <w:rFonts w:eastAsia="Calibri" w:hint="cs"/>
          <w:rtl/>
        </w:rPr>
        <w:t xml:space="preserve"> וחלקם התפנו מהעיר במהלך מלחמת חרבות ברזל, מה גם שבמועד סיום הביקורת דווח על שיבה של רק חלק מהתושבים לעיר. צוות המינהלת העלה כי אתגר זה משמעותי אף יותר מפאת היעדר יכולת להיעזר בנתוני הארנונה או במקורות אחרים מטעמי ההגנה על הפרטיות של התושבים. כן מקודם מהלך להקמת רשת תקשורת עם התושבים ועם היזמים, החיונית להשבת האמון של כל הגורמים המעורבים בהתחדשות העירונית בקריית שמונה. עם זאת מסרה המינהלת כי גם לאחר הקמתה של רשת זו, היא עדיין מתקשה לגבש נציגויות של 51% לפחות מבעלי הדירות, כנדרש בגיבוש כתב הסכמה לקידום תוכנית התחדשות</w:t>
      </w:r>
      <w:r>
        <w:rPr>
          <w:rFonts w:eastAsia="Calibri"/>
          <w:vertAlign w:val="superscript"/>
          <w:rtl/>
        </w:rPr>
        <w:footnoteReference w:id="112"/>
      </w:r>
      <w:r w:rsidRPr="00DC5B13">
        <w:rPr>
          <w:rFonts w:eastAsia="Calibri" w:hint="cs"/>
          <w:rtl/>
        </w:rPr>
        <w:t xml:space="preserve">. </w:t>
      </w:r>
    </w:p>
    <w:p w:rsidR="00DC5B13" w:rsidRPr="00DC5B13" w:rsidP="00C34B23">
      <w:pPr>
        <w:spacing w:line="269" w:lineRule="auto"/>
        <w:jc w:val="center"/>
        <w:rPr>
          <w:rFonts w:eastAsia="Calibri"/>
          <w:b/>
          <w:bCs/>
          <w:rtl/>
        </w:rPr>
      </w:pPr>
      <w:r w:rsidRPr="00DC5B13">
        <w:rPr>
          <w:rFonts w:eastAsia="Calibri"/>
          <w:noProof/>
          <w:rtl/>
          <w:lang w:val="he-IL"/>
        </w:rPr>
        <w:drawing>
          <wp:anchor distT="0" distB="0" distL="114300" distR="114300" simplePos="0" relativeHeight="251675648" behindDoc="0" locked="0" layoutInCell="1" allowOverlap="1">
            <wp:simplePos x="0" y="0"/>
            <wp:positionH relativeFrom="column">
              <wp:posOffset>1270</wp:posOffset>
            </wp:positionH>
            <wp:positionV relativeFrom="paragraph">
              <wp:posOffset>159517</wp:posOffset>
            </wp:positionV>
            <wp:extent cx="5219065" cy="6012180"/>
            <wp:effectExtent l="0" t="0" r="635" b="7620"/>
            <wp:wrapTopAndBottom/>
            <wp:docPr id="74" name="תמונה 74" descr="תצלום של גרם מדרגות בטון ופתח כניסה בקומת עמודים מפולשת של מבנה מגורים. רצפת החלל מרוצפת באריחים ריבועיים בהירים המציגים כתמי לכלוך נרחבים, ומובילה אל גרם המדרגות העולה מעלה לצד מעקה מתכת בגווני אדום וצהוב. קירות המבואה צבועים לבן ומציגים סימני בלאי, כאשר על הקיר הימני מודבקת מודעה כחולה ובקיר השמאלי קיימים מספר נקבים ופתחים זעירים. בתקרת החלל נראה פתח עגול וחשוף המיועד לגוף תא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t="9794" b="3790"/>
                    <a:stretch>
                      <a:fillRect/>
                    </a:stretch>
                  </pic:blipFill>
                  <pic:spPr bwMode="auto">
                    <a:xfrm>
                      <a:off x="0" y="0"/>
                      <a:ext cx="5219065" cy="60121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5B13">
        <w:rPr>
          <w:rFonts w:eastAsia="Calibri" w:hint="cs"/>
          <w:rtl/>
        </w:rPr>
        <w:t xml:space="preserve">תמונה 7: </w:t>
      </w:r>
      <w:r w:rsidR="00E44B96">
        <w:rPr>
          <w:rFonts w:eastAsia="Calibri" w:hint="cs"/>
          <w:b/>
          <w:bCs/>
          <w:rtl/>
        </w:rPr>
        <w:t>ה</w:t>
      </w:r>
      <w:r w:rsidRPr="00DC5B13">
        <w:rPr>
          <w:rFonts w:eastAsia="Calibri" w:hint="cs"/>
          <w:b/>
          <w:bCs/>
          <w:rtl/>
        </w:rPr>
        <w:t>כניסה לבניין במתחם התחדשות עירונית בקריית שמונה</w:t>
      </w:r>
    </w:p>
    <w:p w:rsidR="00DC5B13" w:rsidRPr="00DC5B13" w:rsidP="00C34B23">
      <w:pPr>
        <w:spacing w:line="269" w:lineRule="auto"/>
        <w:rPr>
          <w:rFonts w:eastAsia="Calibri"/>
          <w:sz w:val="16"/>
          <w:szCs w:val="20"/>
          <w:rtl/>
        </w:rPr>
      </w:pPr>
      <w:r w:rsidRPr="00DC5B13">
        <w:rPr>
          <w:rFonts w:eastAsia="Calibri" w:hint="cs"/>
          <w:sz w:val="16"/>
          <w:szCs w:val="20"/>
          <w:rtl/>
        </w:rPr>
        <w:t>צילום: חן רייך, עיריית קריית שמונה.</w:t>
      </w:r>
    </w:p>
    <w:p w:rsidR="00DC5B13" w:rsidRPr="00DC5B13" w:rsidP="00C34B23">
      <w:pPr>
        <w:spacing w:line="269" w:lineRule="auto"/>
        <w:rPr>
          <w:rFonts w:eastAsia="Calibri"/>
          <w:b/>
          <w:bCs/>
          <w:rtl/>
        </w:rPr>
      </w:pPr>
    </w:p>
    <w:p w:rsidR="00DC5B13" w:rsidRPr="00DC5B13" w:rsidP="00C34B23">
      <w:pPr>
        <w:keepNext/>
        <w:keepLines/>
        <w:spacing w:line="269" w:lineRule="auto"/>
        <w:outlineLvl w:val="4"/>
        <w:rPr>
          <w:rFonts w:eastAsia="Times New Roman"/>
          <w:bCs/>
          <w:spacing w:val="40"/>
          <w:rtl/>
        </w:rPr>
      </w:pPr>
      <w:r w:rsidRPr="00DC5B13">
        <w:rPr>
          <w:rFonts w:eastAsia="Times New Roman" w:hint="cs"/>
          <w:bCs/>
          <w:spacing w:val="40"/>
          <w:rtl/>
        </w:rPr>
        <w:t>רעננה</w:t>
      </w:r>
    </w:p>
    <w:p w:rsidR="00DC5B13" w:rsidRPr="00DC5B13" w:rsidP="00C34B23">
      <w:pPr>
        <w:spacing w:line="269" w:lineRule="auto"/>
        <w:rPr>
          <w:rFonts w:eastAsia="Calibri"/>
          <w:szCs w:val="20"/>
          <w:rtl/>
        </w:rPr>
      </w:pPr>
      <w:bookmarkStart w:id="31" w:name="_Hlk216013413"/>
    </w:p>
    <w:p w:rsidR="00DC5B13" w:rsidRPr="00DC5B13" w:rsidP="00C34B23">
      <w:pPr>
        <w:spacing w:line="269" w:lineRule="auto"/>
        <w:rPr>
          <w:rFonts w:eastAsia="Calibri"/>
          <w:rtl/>
        </w:rPr>
      </w:pPr>
      <w:r w:rsidRPr="00DC5B13">
        <w:rPr>
          <w:rFonts w:eastAsia="Calibri" w:hint="cs"/>
          <w:rtl/>
        </w:rPr>
        <w:t xml:space="preserve">עלה כי בעיריית </w:t>
      </w:r>
      <w:r w:rsidRPr="00DC5B13">
        <w:rPr>
          <w:rFonts w:eastAsia="Calibri" w:hint="eastAsia"/>
          <w:rtl/>
        </w:rPr>
        <w:t>רעננה</w:t>
      </w:r>
      <w:r w:rsidRPr="00DC5B13">
        <w:rPr>
          <w:rFonts w:eastAsia="Calibri" w:hint="cs"/>
          <w:rtl/>
        </w:rPr>
        <w:t xml:space="preserve"> לא הוקמה מינהלת עירונית. מחלקת התכנון, הכפופה לאגף בכיר הנדסה בעירייה, היא הגורם העיקרי העוסק בהתחדשות העירונית ברעננה (להלן - המחלקה). התחומים העיקריים שבהם עוסקת מינהלת עירונית מתחלקים בין 11 בעלי התפקידים באגף ההנדסה כולו, והם משלבים זאת בעבודתם השוטפת.</w:t>
      </w:r>
    </w:p>
    <w:p w:rsidR="00DC5B13" w:rsidRPr="00DC5B13" w:rsidP="00C34B23">
      <w:pPr>
        <w:spacing w:line="269" w:lineRule="auto"/>
        <w:ind w:left="-567"/>
        <w:rPr>
          <w:rFonts w:eastAsia="Calibri"/>
          <w:szCs w:val="20"/>
          <w:rtl/>
        </w:rPr>
      </w:pPr>
    </w:p>
    <w:p w:rsidR="00DC5B13" w:rsidRPr="00DC5B13" w:rsidP="00C34B23">
      <w:pPr>
        <w:spacing w:line="269" w:lineRule="auto"/>
        <w:jc w:val="center"/>
        <w:rPr>
          <w:rFonts w:eastAsia="Calibri"/>
          <w:b/>
          <w:bCs/>
          <w:rtl/>
        </w:rPr>
      </w:pPr>
      <w:r w:rsidRPr="00DC5B13">
        <w:rPr>
          <w:rFonts w:eastAsia="Calibri" w:hint="cs"/>
          <w:rtl/>
        </w:rPr>
        <w:t xml:space="preserve">תמונה 8: </w:t>
      </w:r>
      <w:r w:rsidR="00E44B96">
        <w:rPr>
          <w:rFonts w:eastAsia="Calibri" w:hint="cs"/>
          <w:b/>
          <w:bCs/>
          <w:rtl/>
        </w:rPr>
        <w:t>ה</w:t>
      </w:r>
      <w:r w:rsidRPr="00DC5B13">
        <w:rPr>
          <w:rFonts w:eastAsia="Calibri" w:hint="cs"/>
          <w:b/>
          <w:bCs/>
          <w:rtl/>
        </w:rPr>
        <w:t>כניסה לבניין במתחם התחדשות בניינית ברעננה</w:t>
      </w:r>
      <w:r w:rsidRPr="00DC5B13">
        <w:rPr>
          <w:rFonts w:eastAsia="Calibri"/>
          <w:noProof/>
          <w:lang w:val="he-IL"/>
        </w:rPr>
        <w:drawing>
          <wp:inline distT="0" distB="0" distL="0" distR="0">
            <wp:extent cx="5219700" cy="5207000"/>
            <wp:effectExtent l="0" t="0" r="0" b="0"/>
            <wp:docPr id="50" name="תמונה 50" descr="תצלום של חזית מבנה מגורים המצוי בעיצומו של תהליך בנייה וחיזוק, שסביבו מוקמת מערכת פיגומים ממתכת וקורות עץ. בחזית בולט אלמנט מבני מבטון ורשת אנכית צפופה של מוטות ברזל המיועדת להמשך יציקה, וסולם. קירות הבניין הישנים ברקע כוללים חלונות, תריסים ומזגנים, ובפינה הימנית התחתונה נראה חלק משלט של אתר בנייה המציג את המילה &quot;רעננ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5207000"/>
                    </a:xfrm>
                    <a:prstGeom prst="rect">
                      <a:avLst/>
                    </a:prstGeom>
                    <a:noFill/>
                    <a:ln>
                      <a:noFill/>
                    </a:ln>
                  </pic:spPr>
                </pic:pic>
              </a:graphicData>
            </a:graphic>
          </wp:inline>
        </w:drawing>
      </w:r>
    </w:p>
    <w:p w:rsidR="00DC5B13" w:rsidRPr="00DC5B13" w:rsidP="00C34B23">
      <w:pPr>
        <w:spacing w:line="269" w:lineRule="auto"/>
        <w:rPr>
          <w:rFonts w:eastAsia="Calibri"/>
          <w:sz w:val="16"/>
          <w:szCs w:val="20"/>
          <w:rtl/>
        </w:rPr>
      </w:pPr>
      <w:bookmarkStart w:id="32" w:name="_Hlk219888767"/>
      <w:r w:rsidRPr="00DC5B13">
        <w:rPr>
          <w:rFonts w:eastAsia="Calibri" w:hint="cs"/>
          <w:sz w:val="16"/>
          <w:szCs w:val="20"/>
          <w:rtl/>
        </w:rPr>
        <w:t>צולם על ידי צוות הביקורת ב-24.7.25.</w:t>
      </w:r>
      <w:bookmarkEnd w:id="32"/>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עד חודש מאי 2025 עסקה המחלקה בין היתר בקידומם של מתחמי התחדשות עירונית בעיר כמפורט בלוח שלהלן.</w:t>
      </w:r>
    </w:p>
    <w:p w:rsidR="00DC5B13" w:rsidRPr="00DC5B13" w:rsidP="00C34B23">
      <w:pPr>
        <w:bidi w:val="0"/>
        <w:spacing w:line="269" w:lineRule="auto"/>
        <w:rPr>
          <w:rFonts w:eastAsia="Calibri"/>
          <w:rtl/>
        </w:rPr>
      </w:pPr>
      <w:r w:rsidRPr="00DC5B13">
        <w:rPr>
          <w:rFonts w:eastAsia="Calibri"/>
          <w:rtl/>
        </w:rPr>
        <w:br w:type="page"/>
      </w:r>
    </w:p>
    <w:p w:rsidR="00DC5B13" w:rsidRPr="00DC5B13" w:rsidP="00C34B23">
      <w:pPr>
        <w:keepNext/>
        <w:keepLines/>
        <w:spacing w:line="269" w:lineRule="auto"/>
        <w:jc w:val="center"/>
        <w:rPr>
          <w:rFonts w:eastAsia="Calibri"/>
          <w:rtl/>
        </w:rPr>
      </w:pPr>
      <w:r w:rsidRPr="00DC5B13">
        <w:rPr>
          <w:rFonts w:ascii="David" w:eastAsia="Calibri" w:hAnsi="David"/>
          <w:sz w:val="24"/>
          <w:rtl/>
        </w:rPr>
        <w:t xml:space="preserve">לוח </w:t>
      </w:r>
      <w:r w:rsidRPr="00DC5B13">
        <w:rPr>
          <w:rFonts w:ascii="David" w:eastAsia="Calibri" w:hAnsi="David" w:hint="cs"/>
          <w:sz w:val="24"/>
          <w:rtl/>
        </w:rPr>
        <w:t>11</w:t>
      </w:r>
      <w:r w:rsidRPr="00DC5B13">
        <w:rPr>
          <w:rFonts w:ascii="David" w:eastAsia="Calibri" w:hAnsi="David"/>
          <w:sz w:val="24"/>
          <w:rtl/>
        </w:rPr>
        <w:t>:</w:t>
      </w:r>
      <w:r w:rsidRPr="00DC5B13">
        <w:rPr>
          <w:rFonts w:eastAsia="Calibri" w:hint="cs"/>
          <w:rtl/>
        </w:rPr>
        <w:t xml:space="preserve"> </w:t>
      </w:r>
      <w:r w:rsidRPr="00DC5B13">
        <w:rPr>
          <w:rFonts w:eastAsia="Calibri" w:hint="cs"/>
          <w:b/>
          <w:bCs/>
          <w:rtl/>
        </w:rPr>
        <w:t>מספר יחידות הדיור בהתחדשות מתחמית ברעננה, 2025</w:t>
      </w:r>
    </w:p>
    <w:bookmarkEnd w:id="31"/>
    <w:tbl>
      <w:tblPr>
        <w:bidiVisual/>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93"/>
        <w:gridCol w:w="1626"/>
        <w:gridCol w:w="1599"/>
        <w:gridCol w:w="1586"/>
        <w:gridCol w:w="1606"/>
      </w:tblGrid>
      <w:tr w:rsidTr="00DC5B13">
        <w:tblPrEx>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Ex>
        <w:trPr>
          <w:trHeight w:val="546"/>
          <w:jc w:val="center"/>
        </w:trPr>
        <w:tc>
          <w:tcPr>
            <w:tcW w:w="1092" w:type="pct"/>
            <w:vMerge w:val="restart"/>
            <w:shd w:val="clear" w:color="000000" w:fill="4F81BD"/>
          </w:tcPr>
          <w:p w:rsidR="00DC5B13" w:rsidRPr="00DC5B13" w:rsidP="00C34B23">
            <w:pPr>
              <w:spacing w:line="269" w:lineRule="auto"/>
              <w:jc w:val="center"/>
              <w:rPr>
                <w:rFonts w:ascii="David" w:eastAsia="Times New Roman" w:hAnsi="David"/>
                <w:b/>
                <w:bCs/>
                <w:color w:val="0070C0"/>
                <w:sz w:val="22"/>
                <w:szCs w:val="22"/>
                <w:rtl/>
              </w:rPr>
            </w:pPr>
          </w:p>
        </w:tc>
        <w:tc>
          <w:tcPr>
            <w:tcW w:w="1964" w:type="pct"/>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התכנון</w:t>
            </w:r>
          </w:p>
        </w:tc>
        <w:tc>
          <w:tcPr>
            <w:tcW w:w="1944" w:type="pct"/>
            <w:gridSpan w:val="2"/>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בשלב הרישוי</w:t>
            </w:r>
          </w:p>
        </w:tc>
      </w:tr>
      <w:tr w:rsidTr="00DC5B13">
        <w:tblPrEx>
          <w:tblW w:w="5000" w:type="pct"/>
          <w:jc w:val="center"/>
          <w:tblLook w:val="04A0"/>
        </w:tblPrEx>
        <w:trPr>
          <w:trHeight w:val="546"/>
          <w:jc w:val="center"/>
        </w:trPr>
        <w:tc>
          <w:tcPr>
            <w:tcW w:w="1092" w:type="pct"/>
            <w:vMerge/>
            <w:shd w:val="clear" w:color="000000" w:fill="4F81BD"/>
          </w:tcPr>
          <w:p w:rsidR="00DC5B13" w:rsidRPr="00DC5B13" w:rsidP="00C34B23">
            <w:pPr>
              <w:spacing w:line="269" w:lineRule="auto"/>
              <w:jc w:val="center"/>
              <w:rPr>
                <w:rFonts w:ascii="David" w:eastAsia="Times New Roman" w:hAnsi="David"/>
                <w:color w:val="FFFFFF"/>
                <w:sz w:val="22"/>
                <w:szCs w:val="22"/>
                <w:rtl/>
              </w:rPr>
            </w:pPr>
          </w:p>
        </w:tc>
        <w:tc>
          <w:tcPr>
            <w:tcW w:w="990" w:type="pct"/>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 xml:space="preserve">יח"ד במצב קיים </w:t>
            </w:r>
          </w:p>
        </w:tc>
        <w:tc>
          <w:tcPr>
            <w:tcW w:w="974" w:type="pct"/>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יח"ד במצב מוצע</w:t>
            </w:r>
          </w:p>
        </w:tc>
        <w:tc>
          <w:tcPr>
            <w:tcW w:w="966" w:type="pct"/>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 xml:space="preserve">יח"ד במצב קיים </w:t>
            </w:r>
          </w:p>
        </w:tc>
        <w:tc>
          <w:tcPr>
            <w:tcW w:w="978" w:type="pct"/>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יח"ד במצב מוצע</w:t>
            </w:r>
          </w:p>
        </w:tc>
      </w:tr>
      <w:tr w:rsidTr="00DC5B13">
        <w:tblPrEx>
          <w:tblW w:w="5000" w:type="pct"/>
          <w:jc w:val="center"/>
          <w:tblLook w:val="04A0"/>
        </w:tblPrEx>
        <w:trPr>
          <w:trHeight w:val="546"/>
          <w:jc w:val="center"/>
        </w:trPr>
        <w:tc>
          <w:tcPr>
            <w:tcW w:w="1092" w:type="pct"/>
            <w:shd w:val="clear" w:color="auto" w:fill="4F81BD"/>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לוח המחוונים באתר המרשתת של משרד</w:t>
            </w:r>
          </w:p>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השיכון</w:t>
            </w:r>
          </w:p>
        </w:tc>
        <w:tc>
          <w:tcPr>
            <w:tcW w:w="990" w:type="pct"/>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89</w:t>
            </w:r>
          </w:p>
        </w:tc>
        <w:tc>
          <w:tcPr>
            <w:tcW w:w="974" w:type="pct"/>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325</w:t>
            </w:r>
          </w:p>
        </w:tc>
        <w:tc>
          <w:tcPr>
            <w:tcW w:w="966" w:type="pct"/>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139</w:t>
            </w:r>
          </w:p>
        </w:tc>
        <w:tc>
          <w:tcPr>
            <w:tcW w:w="978" w:type="pct"/>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355</w:t>
            </w:r>
          </w:p>
        </w:tc>
      </w:tr>
      <w:tr w:rsidTr="00DC5B13">
        <w:tblPrEx>
          <w:tblW w:w="5000" w:type="pct"/>
          <w:jc w:val="center"/>
          <w:tblLook w:val="04A0"/>
        </w:tblPrEx>
        <w:trPr>
          <w:trHeight w:val="546"/>
          <w:jc w:val="center"/>
        </w:trPr>
        <w:tc>
          <w:tcPr>
            <w:tcW w:w="1092" w:type="pct"/>
            <w:shd w:val="clear" w:color="auto" w:fill="4F81BD"/>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 הרשות להתחדשות</w:t>
            </w:r>
          </w:p>
        </w:tc>
        <w:tc>
          <w:tcPr>
            <w:tcW w:w="990"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205</w:t>
            </w:r>
          </w:p>
        </w:tc>
        <w:tc>
          <w:tcPr>
            <w:tcW w:w="974"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601</w:t>
            </w:r>
          </w:p>
        </w:tc>
        <w:tc>
          <w:tcPr>
            <w:tcW w:w="966"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176</w:t>
            </w:r>
          </w:p>
        </w:tc>
        <w:tc>
          <w:tcPr>
            <w:tcW w:w="978"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523</w:t>
            </w:r>
          </w:p>
        </w:tc>
      </w:tr>
      <w:tr w:rsidTr="00DC5B13">
        <w:tblPrEx>
          <w:tblW w:w="5000" w:type="pct"/>
          <w:jc w:val="center"/>
          <w:tblLook w:val="04A0"/>
        </w:tblPrEx>
        <w:trPr>
          <w:trHeight w:val="546"/>
          <w:jc w:val="center"/>
        </w:trPr>
        <w:tc>
          <w:tcPr>
            <w:tcW w:w="1092" w:type="pct"/>
            <w:shd w:val="clear" w:color="auto" w:fill="4F81BD"/>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לפי נתונים שהתקבלו מהרשויות שנבדקו***</w:t>
            </w:r>
          </w:p>
        </w:tc>
        <w:tc>
          <w:tcPr>
            <w:tcW w:w="990"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67**</w:t>
            </w:r>
          </w:p>
        </w:tc>
        <w:tc>
          <w:tcPr>
            <w:tcW w:w="974"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4,499*</w:t>
            </w:r>
          </w:p>
        </w:tc>
        <w:tc>
          <w:tcPr>
            <w:tcW w:w="966"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360</w:t>
            </w:r>
          </w:p>
        </w:tc>
        <w:tc>
          <w:tcPr>
            <w:tcW w:w="978" w:type="pct"/>
            <w:shd w:val="clear" w:color="000000" w:fill="B8CCE4"/>
            <w:vAlign w:val="center"/>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Calibri" w:hAnsi="David"/>
                <w:color w:val="000000"/>
                <w:sz w:val="22"/>
                <w:szCs w:val="22"/>
                <w:rtl/>
              </w:rPr>
              <w:t>1,346</w:t>
            </w:r>
          </w:p>
        </w:tc>
      </w:tr>
    </w:tbl>
    <w:p w:rsidR="00DC5B13" w:rsidRPr="00DC5B13" w:rsidP="00C34B23">
      <w:pPr>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נתוני</w:t>
      </w:r>
      <w:r w:rsidRPr="00DC5B13">
        <w:rPr>
          <w:rFonts w:eastAsia="Calibri"/>
          <w:szCs w:val="20"/>
          <w:rtl/>
        </w:rPr>
        <w:t xml:space="preserve"> משרד השיכון והבינוי </w:t>
      </w:r>
      <w:r w:rsidRPr="00DC5B13">
        <w:rPr>
          <w:rFonts w:eastAsia="Calibri" w:hint="eastAsia"/>
          <w:szCs w:val="20"/>
          <w:rtl/>
        </w:rPr>
        <w:t>ממאי</w:t>
      </w:r>
      <w:r w:rsidRPr="00DC5B13">
        <w:rPr>
          <w:rFonts w:eastAsia="Calibri"/>
          <w:szCs w:val="20"/>
          <w:rtl/>
        </w:rPr>
        <w:t xml:space="preserve"> 2025, </w:t>
      </w:r>
      <w:r w:rsidRPr="00DC5B13">
        <w:rPr>
          <w:rFonts w:eastAsia="Calibri" w:hint="eastAsia"/>
          <w:szCs w:val="20"/>
          <w:rtl/>
        </w:rPr>
        <w:t>הרשות</w:t>
      </w:r>
      <w:r w:rsidRPr="00DC5B13">
        <w:rPr>
          <w:rFonts w:eastAsia="Calibri"/>
          <w:szCs w:val="20"/>
          <w:rtl/>
        </w:rPr>
        <w:t xml:space="preserve"> להתחדשות - </w:t>
      </w:r>
      <w:r w:rsidRPr="00DC5B13">
        <w:rPr>
          <w:rFonts w:eastAsia="Calibri" w:hint="eastAsia"/>
          <w:szCs w:val="20"/>
          <w:rtl/>
        </w:rPr>
        <w:t>מיולי</w:t>
      </w:r>
      <w:r w:rsidRPr="00DC5B13">
        <w:rPr>
          <w:rFonts w:eastAsia="Calibri"/>
          <w:szCs w:val="20"/>
          <w:rtl/>
        </w:rPr>
        <w:t xml:space="preserve"> 2025, </w:t>
      </w:r>
      <w:r w:rsidRPr="00DC5B13">
        <w:rPr>
          <w:rFonts w:eastAsia="Calibri" w:hint="eastAsia"/>
          <w:szCs w:val="20"/>
          <w:rtl/>
        </w:rPr>
        <w:t>עיריית</w:t>
      </w:r>
      <w:r w:rsidRPr="00DC5B13">
        <w:rPr>
          <w:rFonts w:eastAsia="Calibri"/>
          <w:szCs w:val="20"/>
          <w:rtl/>
        </w:rPr>
        <w:t xml:space="preserve"> רעננה - </w:t>
      </w:r>
      <w:r w:rsidRPr="00DC5B13">
        <w:rPr>
          <w:rFonts w:eastAsia="Calibri" w:hint="eastAsia"/>
          <w:szCs w:val="20"/>
          <w:rtl/>
        </w:rPr>
        <w:t>מספטמבר</w:t>
      </w:r>
      <w:r w:rsidRPr="00DC5B13">
        <w:rPr>
          <w:rFonts w:eastAsia="Calibri"/>
          <w:szCs w:val="20"/>
          <w:rtl/>
        </w:rPr>
        <w:t xml:space="preserve"> 2025, </w:t>
      </w:r>
      <w:r w:rsidRPr="00DC5B13">
        <w:rPr>
          <w:rFonts w:eastAsia="Calibri" w:hint="eastAsia"/>
          <w:szCs w:val="20"/>
          <w:rtl/>
        </w:rPr>
        <w:t>וכן</w:t>
      </w:r>
      <w:r w:rsidRPr="00DC5B13">
        <w:rPr>
          <w:rFonts w:eastAsia="Calibri"/>
          <w:szCs w:val="20"/>
          <w:rtl/>
        </w:rPr>
        <w:t xml:space="preserve"> </w:t>
      </w:r>
      <w:r w:rsidRPr="00DC5B13">
        <w:rPr>
          <w:rFonts w:eastAsia="Calibri" w:hint="eastAsia"/>
          <w:szCs w:val="20"/>
          <w:rtl/>
        </w:rPr>
        <w:t>הדוחות</w:t>
      </w:r>
      <w:r w:rsidRPr="00DC5B13">
        <w:rPr>
          <w:rFonts w:eastAsia="Calibri"/>
          <w:szCs w:val="20"/>
          <w:rtl/>
        </w:rPr>
        <w:t xml:space="preserve"> </w:t>
      </w:r>
      <w:r w:rsidRPr="00DC5B13">
        <w:rPr>
          <w:rFonts w:eastAsia="Calibri" w:hint="eastAsia"/>
          <w:szCs w:val="20"/>
          <w:rtl/>
        </w:rPr>
        <w:t>הכספיים</w:t>
      </w:r>
      <w:r w:rsidRPr="00DC5B13">
        <w:rPr>
          <w:rFonts w:eastAsia="Calibri"/>
          <w:szCs w:val="20"/>
          <w:rtl/>
        </w:rPr>
        <w:t xml:space="preserve"> </w:t>
      </w:r>
      <w:r w:rsidRPr="00DC5B13">
        <w:rPr>
          <w:rFonts w:eastAsia="Calibri" w:hint="eastAsia"/>
          <w:szCs w:val="20"/>
          <w:rtl/>
        </w:rPr>
        <w:t>של</w:t>
      </w:r>
      <w:r w:rsidRPr="00DC5B13">
        <w:rPr>
          <w:rFonts w:eastAsia="Calibri"/>
          <w:szCs w:val="20"/>
          <w:rtl/>
        </w:rPr>
        <w:t xml:space="preserve"> </w:t>
      </w:r>
      <w:r w:rsidRPr="00DC5B13">
        <w:rPr>
          <w:rFonts w:eastAsia="Calibri" w:hint="eastAsia"/>
          <w:szCs w:val="20"/>
          <w:rtl/>
        </w:rPr>
        <w:t>הרשויות</w:t>
      </w:r>
      <w:r w:rsidRPr="00DC5B13">
        <w:rPr>
          <w:rFonts w:eastAsia="Calibri"/>
          <w:szCs w:val="20"/>
          <w:rtl/>
        </w:rPr>
        <w:t xml:space="preserve"> </w:t>
      </w:r>
      <w:r w:rsidRPr="00DC5B13">
        <w:rPr>
          <w:rFonts w:eastAsia="Calibri" w:hint="eastAsia"/>
          <w:szCs w:val="20"/>
          <w:rtl/>
        </w:rPr>
        <w:t>המקומיות</w:t>
      </w:r>
      <w:r w:rsidRPr="00DC5B13">
        <w:rPr>
          <w:rFonts w:eastAsia="Calibri"/>
          <w:szCs w:val="20"/>
          <w:rtl/>
        </w:rPr>
        <w:t xml:space="preserve"> </w:t>
      </w:r>
      <w:r w:rsidRPr="00DC5B13">
        <w:rPr>
          <w:rFonts w:eastAsia="Calibri" w:hint="eastAsia"/>
          <w:szCs w:val="20"/>
          <w:rtl/>
        </w:rPr>
        <w:t>לשנת</w:t>
      </w:r>
      <w:r w:rsidRPr="00DC5B13">
        <w:rPr>
          <w:rFonts w:eastAsia="Calibri"/>
          <w:szCs w:val="20"/>
          <w:rtl/>
        </w:rPr>
        <w:t xml:space="preserve"> 2023, </w:t>
      </w:r>
      <w:r w:rsidRPr="00DC5B13">
        <w:rPr>
          <w:rFonts w:eastAsia="Calibri" w:hint="eastAsia"/>
          <w:szCs w:val="20"/>
          <w:rtl/>
        </w:rPr>
        <w:t>בעיבוד</w:t>
      </w:r>
      <w:r w:rsidRPr="00DC5B13">
        <w:rPr>
          <w:rFonts w:eastAsia="Calibri"/>
          <w:szCs w:val="20"/>
          <w:rtl/>
        </w:rPr>
        <w:t xml:space="preserve"> </w:t>
      </w:r>
      <w:r w:rsidRPr="00DC5B13">
        <w:rPr>
          <w:rFonts w:eastAsia="Calibri" w:hint="eastAsia"/>
          <w:szCs w:val="20"/>
          <w:rtl/>
        </w:rPr>
        <w:t>משרד</w:t>
      </w:r>
      <w:r w:rsidRPr="00DC5B13">
        <w:rPr>
          <w:rFonts w:eastAsia="Calibri"/>
          <w:szCs w:val="20"/>
          <w:rtl/>
        </w:rPr>
        <w:t xml:space="preserve"> </w:t>
      </w:r>
      <w:r w:rsidRPr="00DC5B13">
        <w:rPr>
          <w:rFonts w:eastAsia="Calibri" w:hint="eastAsia"/>
          <w:szCs w:val="20"/>
          <w:rtl/>
        </w:rPr>
        <w:t>מבקר</w:t>
      </w:r>
      <w:r w:rsidRPr="00DC5B13">
        <w:rPr>
          <w:rFonts w:eastAsia="Calibri"/>
          <w:szCs w:val="20"/>
          <w:rtl/>
        </w:rPr>
        <w:t xml:space="preserve"> </w:t>
      </w:r>
      <w:r w:rsidRPr="00DC5B13">
        <w:rPr>
          <w:rFonts w:eastAsia="Calibri" w:hint="eastAsia"/>
          <w:szCs w:val="20"/>
          <w:rtl/>
        </w:rPr>
        <w:t>המדינה</w:t>
      </w:r>
      <w:r w:rsidRPr="00DC5B13">
        <w:rPr>
          <w:rFonts w:eastAsia="Calibri"/>
          <w:szCs w:val="20"/>
          <w:rtl/>
        </w:rPr>
        <w:t>.</w:t>
      </w:r>
    </w:p>
    <w:p w:rsidR="00DC5B13" w:rsidRPr="00DC5B13" w:rsidP="00C34B23">
      <w:pPr>
        <w:spacing w:line="269" w:lineRule="auto"/>
        <w:rPr>
          <w:rFonts w:eastAsia="Calibri"/>
          <w:szCs w:val="20"/>
          <w:rtl/>
        </w:rPr>
      </w:pPr>
      <w:r w:rsidRPr="00DC5B13">
        <w:rPr>
          <w:rFonts w:eastAsia="Calibri" w:hint="cs"/>
          <w:szCs w:val="20"/>
          <w:rtl/>
        </w:rPr>
        <w:t xml:space="preserve">* </w:t>
      </w:r>
      <w:r w:rsidRPr="00DC5B13">
        <w:rPr>
          <w:rFonts w:eastAsia="Calibri"/>
          <w:szCs w:val="20"/>
          <w:rtl/>
        </w:rPr>
        <w:t xml:space="preserve">חסרים נתונים </w:t>
      </w:r>
      <w:r w:rsidRPr="00DC5B13">
        <w:rPr>
          <w:rFonts w:eastAsia="Calibri" w:hint="cs"/>
          <w:szCs w:val="20"/>
          <w:rtl/>
        </w:rPr>
        <w:t>על</w:t>
      </w:r>
      <w:r w:rsidRPr="00DC5B13">
        <w:rPr>
          <w:rFonts w:eastAsia="Calibri"/>
          <w:szCs w:val="20"/>
          <w:rtl/>
        </w:rPr>
        <w:t xml:space="preserve"> יח"ד במצב קיים מכוח רע/1010ב - תוכנית להתחדשות בניינית</w:t>
      </w:r>
      <w:r w:rsidRPr="00DC5B13">
        <w:rPr>
          <w:rFonts w:eastAsia="Calibri" w:hint="cs"/>
          <w:szCs w:val="20"/>
          <w:rtl/>
        </w:rPr>
        <w:t>;</w:t>
      </w:r>
      <w:r w:rsidRPr="00DC5B13">
        <w:rPr>
          <w:rFonts w:eastAsia="Calibri"/>
          <w:szCs w:val="20"/>
          <w:rtl/>
        </w:rPr>
        <w:t xml:space="preserve"> </w:t>
      </w:r>
      <w:r w:rsidRPr="00DC5B13">
        <w:rPr>
          <w:rFonts w:eastAsia="Calibri" w:hint="cs"/>
          <w:szCs w:val="20"/>
          <w:rtl/>
        </w:rPr>
        <w:t xml:space="preserve">על פי </w:t>
      </w:r>
      <w:r w:rsidRPr="00DC5B13">
        <w:rPr>
          <w:rFonts w:eastAsia="Calibri"/>
          <w:szCs w:val="20"/>
          <w:rtl/>
        </w:rPr>
        <w:t>הערכת העירייה</w:t>
      </w:r>
      <w:r w:rsidRPr="00DC5B13">
        <w:rPr>
          <w:rFonts w:eastAsia="Calibri" w:hint="cs"/>
          <w:szCs w:val="20"/>
          <w:rtl/>
        </w:rPr>
        <w:t>,</w:t>
      </w:r>
      <w:r w:rsidRPr="00DC5B13">
        <w:rPr>
          <w:rFonts w:eastAsia="Calibri"/>
          <w:szCs w:val="20"/>
          <w:rtl/>
        </w:rPr>
        <w:t xml:space="preserve"> </w:t>
      </w:r>
      <w:r w:rsidRPr="00DC5B13">
        <w:rPr>
          <w:rFonts w:eastAsia="Calibri" w:hint="cs"/>
          <w:szCs w:val="20"/>
          <w:rtl/>
        </w:rPr>
        <w:t>מספר</w:t>
      </w:r>
      <w:r w:rsidRPr="00DC5B13">
        <w:rPr>
          <w:rFonts w:eastAsia="Calibri"/>
          <w:szCs w:val="20"/>
          <w:rtl/>
        </w:rPr>
        <w:t xml:space="preserve"> יח"ד במצב מוצע הוא מעל ל-4</w:t>
      </w:r>
      <w:r w:rsidRPr="00DC5B13">
        <w:rPr>
          <w:rFonts w:eastAsia="Calibri" w:hint="cs"/>
          <w:szCs w:val="20"/>
          <w:rtl/>
        </w:rPr>
        <w:t>,</w:t>
      </w:r>
      <w:r w:rsidRPr="00DC5B13">
        <w:rPr>
          <w:rFonts w:eastAsia="Calibri"/>
          <w:szCs w:val="20"/>
          <w:rtl/>
        </w:rPr>
        <w:t>000 יח"ד אשר נכללו לעיל</w:t>
      </w:r>
      <w:r w:rsidRPr="00DC5B13">
        <w:rPr>
          <w:rFonts w:eastAsia="Calibri" w:hint="cs"/>
          <w:szCs w:val="20"/>
          <w:rtl/>
        </w:rPr>
        <w:t>.</w:t>
      </w:r>
    </w:p>
    <w:p w:rsidR="00DC5B13" w:rsidRPr="00DC5B13" w:rsidP="00C34B23">
      <w:pPr>
        <w:spacing w:line="269" w:lineRule="auto"/>
        <w:rPr>
          <w:rFonts w:eastAsia="Calibri"/>
          <w:szCs w:val="20"/>
          <w:rtl/>
        </w:rPr>
      </w:pPr>
      <w:r w:rsidRPr="00DC5B13">
        <w:rPr>
          <w:rFonts w:eastAsia="Calibri" w:hint="cs"/>
          <w:szCs w:val="20"/>
          <w:rtl/>
        </w:rPr>
        <w:t>** מספר</w:t>
      </w:r>
      <w:r w:rsidRPr="00DC5B13">
        <w:rPr>
          <w:rFonts w:eastAsia="Calibri"/>
          <w:szCs w:val="20"/>
          <w:rtl/>
        </w:rPr>
        <w:t xml:space="preserve"> יח"ד </w:t>
      </w:r>
      <w:r w:rsidRPr="00DC5B13">
        <w:rPr>
          <w:rFonts w:eastAsia="Calibri" w:hint="cs"/>
          <w:szCs w:val="20"/>
          <w:rtl/>
        </w:rPr>
        <w:t>ש</w:t>
      </w:r>
      <w:r w:rsidRPr="00DC5B13">
        <w:rPr>
          <w:rFonts w:eastAsia="Calibri"/>
          <w:szCs w:val="20"/>
          <w:rtl/>
        </w:rPr>
        <w:t xml:space="preserve">לגביהן הוגשה </w:t>
      </w:r>
      <w:r w:rsidRPr="00DC5B13">
        <w:rPr>
          <w:rFonts w:eastAsia="Calibri" w:hint="cs"/>
          <w:szCs w:val="20"/>
          <w:rtl/>
        </w:rPr>
        <w:t>תוכנית</w:t>
      </w:r>
      <w:r w:rsidRPr="00DC5B13">
        <w:rPr>
          <w:rFonts w:eastAsia="Calibri"/>
          <w:szCs w:val="20"/>
          <w:rtl/>
        </w:rPr>
        <w:t xml:space="preserve"> אך טרם </w:t>
      </w:r>
      <w:r w:rsidRPr="00DC5B13">
        <w:rPr>
          <w:rFonts w:eastAsia="Calibri" w:hint="cs"/>
          <w:szCs w:val="20"/>
          <w:rtl/>
        </w:rPr>
        <w:t>הוכנ</w:t>
      </w:r>
      <w:r w:rsidRPr="00DC5B13">
        <w:rPr>
          <w:rFonts w:eastAsia="Calibri"/>
          <w:szCs w:val="20"/>
          <w:rtl/>
        </w:rPr>
        <w:t>סו לתהליך הרישוי</w:t>
      </w:r>
      <w:r w:rsidRPr="00DC5B13">
        <w:rPr>
          <w:rFonts w:eastAsia="Calibri" w:hint="cs"/>
          <w:szCs w:val="20"/>
          <w:rtl/>
        </w:rPr>
        <w:t>.</w:t>
      </w:r>
    </w:p>
    <w:p w:rsidR="00DC5B13" w:rsidRPr="00DC5B13" w:rsidP="00C34B23">
      <w:pPr>
        <w:spacing w:line="269" w:lineRule="auto"/>
        <w:rPr>
          <w:rFonts w:eastAsia="Calibri"/>
          <w:szCs w:val="20"/>
          <w:rtl/>
        </w:rPr>
      </w:pPr>
      <w:r w:rsidRPr="00DC5B13">
        <w:rPr>
          <w:rFonts w:eastAsia="Calibri" w:hint="cs"/>
          <w:szCs w:val="20"/>
          <w:rtl/>
        </w:rPr>
        <w:t xml:space="preserve">*** </w:t>
      </w:r>
      <w:r w:rsidRPr="00DC5B13">
        <w:rPr>
          <w:rFonts w:eastAsia="Calibri"/>
          <w:szCs w:val="20"/>
          <w:rtl/>
        </w:rPr>
        <w:t>ללא יח"ד שחודשו במסגרת תמ"א 38</w:t>
      </w:r>
      <w:r w:rsidRPr="00DC5B13">
        <w:rPr>
          <w:rFonts w:eastAsia="Calibri" w:hint="cs"/>
          <w:szCs w:val="20"/>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eastAsia"/>
          <w:rtl/>
        </w:rPr>
        <w:t>מהנתונים</w:t>
      </w:r>
      <w:r w:rsidRPr="00DC5B13">
        <w:rPr>
          <w:rFonts w:eastAsia="Calibri"/>
          <w:rtl/>
        </w:rPr>
        <w:t xml:space="preserve"> המוצגים בלוח עולים פערים ניכרים בין נתוני עיריית רעננה ובין הנתונים שהתקבלו מהרשות להתחדשות והנתונים המפורסמים באתר המרשתת של משרד השיכון - בייחוד במספר יח"ד במצב מוצע - הן בשלב התכנון והן בשלב </w:t>
      </w:r>
      <w:r w:rsidRPr="00DC5B13">
        <w:rPr>
          <w:rFonts w:eastAsia="Calibri" w:hint="cs"/>
          <w:rtl/>
        </w:rPr>
        <w:t>הרישוי:</w:t>
      </w:r>
      <w:r w:rsidRPr="00DC5B13">
        <w:rPr>
          <w:rFonts w:eastAsia="Calibri"/>
          <w:rtl/>
        </w:rPr>
        <w:t xml:space="preserve"> </w:t>
      </w:r>
      <w:r w:rsidRPr="00DC5B13">
        <w:rPr>
          <w:rFonts w:eastAsia="Calibri" w:hint="cs"/>
          <w:rtl/>
        </w:rPr>
        <w:t>העירייה דיווחה על 4,499 יח"ד מתוכננות במצב מוצע בשלב התכנון, לפי לוח המחוונים של משרד השיכון יש 325 יח"ד - פחות מעשירית ממספר היחידות שעליו דיווחה העירייה, ואילו לפי נתוני הרשות להתחדשות יש 601 יח"ד במצב מוצע.</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 xml:space="preserve">פעולות </w:t>
      </w:r>
      <w:r w:rsidRPr="00DC5B13">
        <w:rPr>
          <w:rFonts w:eastAsia="Times New Roman" w:hint="cs"/>
          <w:bCs/>
          <w:spacing w:val="40"/>
          <w:rtl/>
        </w:rPr>
        <w:t>המחלקה</w:t>
      </w:r>
      <w:r w:rsidRPr="00DC5B13">
        <w:rPr>
          <w:rFonts w:eastAsia="Times New Roman"/>
          <w:bCs/>
          <w:spacing w:val="40"/>
          <w:rtl/>
        </w:rPr>
        <w:t xml:space="preserve"> </w:t>
      </w:r>
      <w:r w:rsidRPr="00DC5B13">
        <w:rPr>
          <w:rFonts w:eastAsia="Times New Roman" w:hint="cs"/>
          <w:bCs/>
          <w:spacing w:val="40"/>
          <w:rtl/>
        </w:rPr>
        <w:t>ב</w:t>
      </w:r>
      <w:r w:rsidRPr="00DC5B13">
        <w:rPr>
          <w:rFonts w:eastAsia="Times New Roman"/>
          <w:bCs/>
          <w:spacing w:val="40"/>
          <w:rtl/>
        </w:rPr>
        <w:t>רשות המקומית:</w:t>
      </w:r>
      <w:r w:rsidRPr="00DC5B13">
        <w:rPr>
          <w:rFonts w:eastAsia="Calibri" w:hint="cs"/>
          <w:rtl/>
        </w:rPr>
        <w:t xml:space="preserve"> עלה כי חרף היעדרה של מינהלת עירונית, בחמש השנים האחרונות פעלה המחלקה לקדם התחדשות עירונית בעיר. למשל, בשנת 2024 בנתה המחלקה את התוכנית להתחדשות בניינית בסיוע הרשות להתחדשות</w:t>
      </w:r>
      <w:r>
        <w:rPr>
          <w:rFonts w:eastAsia="Calibri"/>
          <w:vertAlign w:val="superscript"/>
          <w:rtl/>
        </w:rPr>
        <w:footnoteReference w:id="113"/>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 xml:space="preserve">פעולות </w:t>
      </w:r>
      <w:r w:rsidRPr="00DC5B13">
        <w:rPr>
          <w:rFonts w:eastAsia="Times New Roman" w:hint="cs"/>
          <w:bCs/>
          <w:spacing w:val="40"/>
          <w:rtl/>
        </w:rPr>
        <w:t>המחלקה</w:t>
      </w:r>
      <w:r w:rsidRPr="00DC5B13">
        <w:rPr>
          <w:rFonts w:eastAsia="Times New Roman"/>
          <w:bCs/>
          <w:spacing w:val="40"/>
          <w:rtl/>
        </w:rPr>
        <w:t xml:space="preserve"> מול יזמים ובעלי מקצוע:</w:t>
      </w:r>
      <w:r w:rsidRPr="00DC5B13">
        <w:rPr>
          <w:rFonts w:eastAsia="Calibri"/>
          <w:rtl/>
        </w:rPr>
        <w:t xml:space="preserve"> </w:t>
      </w:r>
      <w:r w:rsidRPr="00DC5B13">
        <w:rPr>
          <w:rFonts w:eastAsia="Calibri" w:hint="cs"/>
          <w:rtl/>
        </w:rPr>
        <w:t>מחלקת התכנון לא כתבה נוהל יזמים, אך היא מכנסת אחת לחצי שנה פורומים עם יזמים ומתכננים המוקדשים לקידום תוכניות ההתחדשות בעיר. כמו כן ארגנה המחלקה כנסים ליזמים ולבעלי מקצוע.</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המחלקה מסרה כי עובדיה, ואף מהנדס העיר, עונים באופן תדיר בכל שעה משעות היום על פניות אישיות נשנות מצד תושבים ויזמים בנושאי התחדשות. כמו כן עלה כי עצם מיקומה של מחלקת התכנון בקדמת העיסוק בהתחדשות עירונית בעיר מעמיסה במידה רבה על עבודתו השוטפת של אגף ההנדסה.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bCs/>
          <w:spacing w:val="40"/>
          <w:rtl/>
        </w:rPr>
        <w:t>פעולות המחלקה מול התושבים:</w:t>
      </w:r>
      <w:r w:rsidRPr="00DC5B13">
        <w:rPr>
          <w:rFonts w:eastAsia="Calibri" w:hint="cs"/>
          <w:rtl/>
        </w:rPr>
        <w:t xml:space="preserve"> עלה כי במהלך שנת 2010 קיימה עיריית </w:t>
      </w:r>
      <w:r w:rsidRPr="00DC5B13">
        <w:rPr>
          <w:rFonts w:eastAsia="Calibri" w:hint="eastAsia"/>
          <w:rtl/>
        </w:rPr>
        <w:t>רעננה</w:t>
      </w:r>
      <w:r w:rsidRPr="00DC5B13">
        <w:rPr>
          <w:rFonts w:eastAsia="Calibri"/>
          <w:rtl/>
        </w:rPr>
        <w:t xml:space="preserve"> </w:t>
      </w:r>
      <w:r w:rsidRPr="00DC5B13">
        <w:rPr>
          <w:rFonts w:eastAsia="Calibri" w:hint="cs"/>
          <w:rtl/>
        </w:rPr>
        <w:t xml:space="preserve">שיתופי ציבור במסגרת גיבוש תוכנית המתאר העירונית וכן שיתוף ציבור אחד ברחוב מגדל, המיועד להתחדשות עירונית, וזאת טרם פרסום מסמך מדיניות עבור מתחם זה.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עוד עלה כי חלק מהעבודה בתחום החברתי אינה נעשית במחלקת התכנון, והיא מבוזרת בין כמה אגפים בעירייה. למשל, אגף הדוברות יזם שיתופי ציבור וכינוסי דיירים טרם בחירת נציגות, אך הם אינם מתועדים במחלקת התכנון. אגף הרווחה עסק לסירוגין ב</w:t>
      </w:r>
      <w:r w:rsidRPr="00DC5B13">
        <w:rPr>
          <w:rFonts w:eastAsia="Calibri"/>
          <w:rtl/>
        </w:rPr>
        <w:t xml:space="preserve">ליווי תושבים ביישוב סכסוכים </w:t>
      </w:r>
      <w:r w:rsidRPr="00DC5B13">
        <w:rPr>
          <w:rFonts w:eastAsia="Calibri"/>
          <w:rtl/>
        </w:rPr>
        <w:t>ופיקח על עבודתם של הרכזים החברתיים מטעם היזמים</w:t>
      </w:r>
      <w:r>
        <w:rPr>
          <w:rFonts w:eastAsia="Calibri"/>
          <w:vertAlign w:val="superscript"/>
          <w:rtl/>
        </w:rPr>
        <w:footnoteReference w:id="114"/>
      </w:r>
      <w:r w:rsidRPr="00DC5B13">
        <w:rPr>
          <w:rFonts w:eastAsia="Calibri" w:hint="cs"/>
          <w:rtl/>
        </w:rPr>
        <w:t>. בצד זה עלה כי מחלוקות בין התושבים לבין היזמים מגיעות לפתחן של מחלקות התכנון והרישוי, והן גורמות לעומס במחלקות ולעיכובים בקידום התהליכים.</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b/>
          <w:bCs/>
          <w:rtl/>
        </w:rPr>
        <w:t>עלה כי בעיריית רעננה אין גורם המרכז את כלל הידע והחסמים בתחום ההתחדשות העירונית ואת הפעולות הנדרשות למניעתם או לטיפול בהם.</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Pr>
      </w:pPr>
      <w:r w:rsidRPr="00DC5B13">
        <w:rPr>
          <w:rFonts w:eastAsia="Calibri" w:hint="eastAsia"/>
          <w:b/>
          <w:bCs/>
          <w:rtl/>
        </w:rPr>
        <w:t>אגף</w:t>
      </w:r>
      <w:r w:rsidRPr="00DC5B13">
        <w:rPr>
          <w:rFonts w:eastAsia="Calibri"/>
          <w:b/>
          <w:bCs/>
          <w:rtl/>
        </w:rPr>
        <w:t xml:space="preserve"> ההנדסה בעיריית רעננה מסר כי הוא מעוניין להקים מינהלת אשר תהיה המוקד לכל הידע הדרוש לגורמים העוסקים בקידום ההתחדשות בעיר, ובכך תייעל את ההתחדשות העירונית.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נמצא כי עיריית רעננה לא ניגשה לקולות הקוראים שהפיצה הרשות הממשלתית להתחדשות עירונית להקמת מינהלות עירוניות. מחלקת התכנון מסרה כי במהלך ביקור של אנשי הרשות להתחדשות בעיר בחודש יוני 2019, שבו</w:t>
      </w:r>
      <w:r w:rsidRPr="00DC5B13">
        <w:rPr>
          <w:rFonts w:eastAsia="Calibri"/>
          <w:b/>
          <w:bCs/>
          <w:rtl/>
        </w:rPr>
        <w:t xml:space="preserve"> הוצגו מיזמים </w:t>
      </w:r>
      <w:r w:rsidRPr="00DC5B13">
        <w:rPr>
          <w:rFonts w:eastAsia="Calibri" w:hint="cs"/>
          <w:b/>
          <w:bCs/>
          <w:rtl/>
        </w:rPr>
        <w:t xml:space="preserve">בעלי </w:t>
      </w:r>
      <w:r w:rsidRPr="00DC5B13">
        <w:rPr>
          <w:rFonts w:eastAsia="Calibri"/>
          <w:b/>
          <w:bCs/>
          <w:rtl/>
        </w:rPr>
        <w:t xml:space="preserve">פוטנציאל להתחדשות עירונית, </w:t>
      </w:r>
      <w:r w:rsidRPr="00DC5B13">
        <w:rPr>
          <w:rFonts w:eastAsia="Calibri" w:hint="cs"/>
          <w:b/>
          <w:bCs/>
          <w:rtl/>
        </w:rPr>
        <w:t>טענו אנשי הרשות להתחדשות</w:t>
      </w:r>
      <w:r w:rsidRPr="00DC5B13">
        <w:rPr>
          <w:rFonts w:eastAsia="Calibri"/>
          <w:b/>
          <w:bCs/>
          <w:rtl/>
        </w:rPr>
        <w:t xml:space="preserve"> כי נראה </w:t>
      </w:r>
      <w:r w:rsidRPr="00DC5B13">
        <w:rPr>
          <w:rFonts w:eastAsia="Calibri" w:hint="cs"/>
          <w:b/>
          <w:bCs/>
          <w:rtl/>
        </w:rPr>
        <w:t xml:space="preserve">שאין </w:t>
      </w:r>
      <w:r w:rsidRPr="00DC5B13">
        <w:rPr>
          <w:rFonts w:eastAsia="Calibri"/>
          <w:b/>
          <w:bCs/>
          <w:rtl/>
        </w:rPr>
        <w:t>הצדקה ל</w:t>
      </w:r>
      <w:r w:rsidRPr="00DC5B13">
        <w:rPr>
          <w:rFonts w:eastAsia="Calibri" w:hint="cs"/>
          <w:b/>
          <w:bCs/>
          <w:rtl/>
        </w:rPr>
        <w:t xml:space="preserve">הקמת </w:t>
      </w:r>
      <w:r w:rsidRPr="00DC5B13">
        <w:rPr>
          <w:rFonts w:eastAsia="Calibri"/>
          <w:b/>
          <w:bCs/>
          <w:rtl/>
        </w:rPr>
        <w:t>מינהלת ברעננה.</w:t>
      </w:r>
      <w:r w:rsidRPr="00DC5B13">
        <w:rPr>
          <w:rFonts w:eastAsia="Calibri" w:hint="cs"/>
          <w:b/>
          <w:bCs/>
          <w:rtl/>
        </w:rPr>
        <w:t xml:space="preserve"> בהתקשרות נוספת במהלך שנת 2022 העלתה עיריית רעננה כי הרשות להתחדשות מסרה שמוטב כי תמתין לקול קורא שיצא במועד מאוחר יותר.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משרד מבקר המדינה ממליץ כי עיריית רעננה תפעל להקים מינהלת עירונית או יחידה ארגונית הבנויה והפועלת לרכז את הידע ואת הטיפול בתהליכי ההתחדשות העירונית בעיר, וזאת בהנחייתה ובסיועה של הרשות הממשלתית להתחדשות עירונית.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רעננה</w:t>
      </w:r>
      <w:r w:rsidRPr="00DC5B13">
        <w:rPr>
          <w:rFonts w:eastAsia="Calibri" w:hint="cs"/>
          <w:rtl/>
        </w:rPr>
        <w:t xml:space="preserve"> מסרה בתשובתה למשרד מבקר המדינה מאפריל 2026 כי היא פועלת "בימים אלה" להקמת מיני מינהלת עם הרשות להתחדשות, וכי היא מקדמת בימים אלה הליך לגיוס מנהל פרויקט ייעודי למיני מינהלת להתחדשות עירונית.</w:t>
      </w:r>
      <w:r w:rsidRPr="00DC5B13">
        <w:rPr>
          <w:rFonts w:eastAsia="Calibri"/>
          <w:rtl/>
        </w:rPr>
        <w:t xml:space="preserve"> תפקיד זה נועד לרכז, לתכלל ולהוביל את כלל הפעילות העירונית בתחום, החל </w:t>
      </w:r>
      <w:r w:rsidRPr="00DC5B13">
        <w:rPr>
          <w:rFonts w:eastAsia="Calibri" w:hint="cs"/>
          <w:rtl/>
        </w:rPr>
        <w:t>ב</w:t>
      </w:r>
      <w:r w:rsidRPr="00DC5B13">
        <w:rPr>
          <w:rFonts w:eastAsia="Calibri"/>
          <w:rtl/>
        </w:rPr>
        <w:t>שלב ההתארגנות</w:t>
      </w:r>
      <w:r w:rsidRPr="00DC5B13">
        <w:rPr>
          <w:rFonts w:eastAsia="Calibri" w:hint="cs"/>
          <w:rtl/>
        </w:rPr>
        <w:t xml:space="preserve"> </w:t>
      </w:r>
      <w:r w:rsidRPr="00DC5B13">
        <w:rPr>
          <w:rFonts w:eastAsia="Calibri"/>
          <w:rtl/>
        </w:rPr>
        <w:t xml:space="preserve">הראשונית של בעלי הזכויות, דרך ליווי והכוונה בתהליכי התכנון, </w:t>
      </w:r>
      <w:r w:rsidRPr="00DC5B13">
        <w:rPr>
          <w:rFonts w:eastAsia="Calibri" w:hint="cs"/>
          <w:rtl/>
        </w:rPr>
        <w:t>וכלה ב</w:t>
      </w:r>
      <w:r w:rsidRPr="00DC5B13">
        <w:rPr>
          <w:rFonts w:eastAsia="Calibri"/>
          <w:rtl/>
        </w:rPr>
        <w:t>שלבי הרישוי והביצוע. זאת, מתוך מטרה</w:t>
      </w:r>
      <w:r w:rsidRPr="00DC5B13">
        <w:rPr>
          <w:rFonts w:eastAsia="Calibri" w:hint="cs"/>
          <w:rtl/>
        </w:rPr>
        <w:t xml:space="preserve"> </w:t>
      </w:r>
      <w:r w:rsidRPr="00DC5B13">
        <w:rPr>
          <w:rFonts w:eastAsia="Calibri"/>
          <w:rtl/>
        </w:rPr>
        <w:t xml:space="preserve">להבטיח תהליכים מקצועיים, יעילים ושקופים, המעניקים </w:t>
      </w:r>
      <w:r w:rsidRPr="00DC5B13">
        <w:rPr>
          <w:rFonts w:eastAsia="Calibri" w:hint="cs"/>
          <w:rtl/>
        </w:rPr>
        <w:t>את ה</w:t>
      </w:r>
      <w:r w:rsidRPr="00DC5B13">
        <w:rPr>
          <w:rFonts w:eastAsia="Calibri"/>
          <w:rtl/>
        </w:rPr>
        <w:t xml:space="preserve">מענה </w:t>
      </w:r>
      <w:r w:rsidRPr="00DC5B13">
        <w:rPr>
          <w:rFonts w:eastAsia="Calibri" w:hint="cs"/>
          <w:rtl/>
        </w:rPr>
        <w:t>ה</w:t>
      </w:r>
      <w:r w:rsidRPr="00DC5B13">
        <w:rPr>
          <w:rFonts w:eastAsia="Calibri"/>
          <w:rtl/>
        </w:rPr>
        <w:t>מיטבי לתושבים וליזמים כאחד.</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rtl/>
        </w:rPr>
        <w:t>עוד מסרה העירייה כי היא מקדמת בימים אלה הליך לגיוס מנהל פרויקט ייעודי למיני מינהלת להתחדשות עירונית.</w:t>
      </w:r>
      <w:r w:rsidRPr="00DC5B13">
        <w:rPr>
          <w:rFonts w:eastAsia="Calibri"/>
          <w:rtl/>
        </w:rPr>
        <w:t xml:space="preserve"> תפקיד זה נועד לרכז, לתכלל ולהוביל את כלל הפעילות העירונית בתחום, החל </w:t>
      </w:r>
      <w:r w:rsidRPr="00DC5B13">
        <w:rPr>
          <w:rFonts w:eastAsia="Calibri" w:hint="cs"/>
          <w:rtl/>
        </w:rPr>
        <w:t>ב</w:t>
      </w:r>
      <w:r w:rsidRPr="00DC5B13">
        <w:rPr>
          <w:rFonts w:eastAsia="Calibri"/>
          <w:rtl/>
        </w:rPr>
        <w:t>שלב ההתארגנות</w:t>
      </w:r>
      <w:r w:rsidRPr="00DC5B13">
        <w:rPr>
          <w:rFonts w:eastAsia="Calibri" w:hint="cs"/>
          <w:rtl/>
        </w:rPr>
        <w:t xml:space="preserve"> </w:t>
      </w:r>
      <w:r w:rsidRPr="00DC5B13">
        <w:rPr>
          <w:rFonts w:eastAsia="Calibri"/>
          <w:rtl/>
        </w:rPr>
        <w:t xml:space="preserve">הראשונית של בעלי הזכויות, דרך </w:t>
      </w:r>
      <w:r w:rsidRPr="00DC5B13">
        <w:rPr>
          <w:rFonts w:eastAsia="Calibri" w:hint="cs"/>
          <w:rtl/>
        </w:rPr>
        <w:t>ה</w:t>
      </w:r>
      <w:r w:rsidRPr="00DC5B13">
        <w:rPr>
          <w:rFonts w:eastAsia="Calibri"/>
          <w:rtl/>
        </w:rPr>
        <w:t>ליווי ו</w:t>
      </w:r>
      <w:r w:rsidRPr="00DC5B13">
        <w:rPr>
          <w:rFonts w:eastAsia="Calibri" w:hint="cs"/>
          <w:rtl/>
        </w:rPr>
        <w:t>ה</w:t>
      </w:r>
      <w:r w:rsidRPr="00DC5B13">
        <w:rPr>
          <w:rFonts w:eastAsia="Calibri"/>
          <w:rtl/>
        </w:rPr>
        <w:t xml:space="preserve">הכוונה בתהליכי התכנון, </w:t>
      </w:r>
      <w:r w:rsidRPr="00DC5B13">
        <w:rPr>
          <w:rFonts w:eastAsia="Calibri" w:hint="cs"/>
          <w:rtl/>
        </w:rPr>
        <w:t>וכלה ב</w:t>
      </w:r>
      <w:r w:rsidRPr="00DC5B13">
        <w:rPr>
          <w:rFonts w:eastAsia="Calibri"/>
          <w:rtl/>
        </w:rPr>
        <w:t>שלבי הרישוי והביצוע. זאת, מתוך מטרה</w:t>
      </w:r>
      <w:r w:rsidRPr="00DC5B13">
        <w:rPr>
          <w:rFonts w:eastAsia="Calibri" w:hint="cs"/>
          <w:rtl/>
        </w:rPr>
        <w:t xml:space="preserve"> </w:t>
      </w:r>
      <w:r w:rsidRPr="00DC5B13">
        <w:rPr>
          <w:rFonts w:eastAsia="Calibri"/>
          <w:rtl/>
        </w:rPr>
        <w:t xml:space="preserve">להבטיח תהליכים מקצועיים, יעילים ושקופים, המעניקים </w:t>
      </w:r>
      <w:r w:rsidRPr="00DC5B13">
        <w:rPr>
          <w:rFonts w:eastAsia="Calibri" w:hint="cs"/>
          <w:rtl/>
        </w:rPr>
        <w:t>את ה</w:t>
      </w:r>
      <w:r w:rsidRPr="00DC5B13">
        <w:rPr>
          <w:rFonts w:eastAsia="Calibri"/>
          <w:rtl/>
        </w:rPr>
        <w:t xml:space="preserve">מענה </w:t>
      </w:r>
      <w:r w:rsidRPr="00DC5B13">
        <w:rPr>
          <w:rFonts w:eastAsia="Calibri" w:hint="cs"/>
          <w:rtl/>
        </w:rPr>
        <w:t>ה</w:t>
      </w:r>
      <w:r w:rsidRPr="00DC5B13">
        <w:rPr>
          <w:rFonts w:eastAsia="Calibri"/>
          <w:rtl/>
        </w:rPr>
        <w:t>מיטבי לתושבים וליזמים כאחד.</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עלה כי מינהלות עירוניות הוקמו בארבע מחמש הרשויות שנבדקו - לוד, נתניה, קריית ים וקריית שמונה. כל המינהלות העירוניות ברשויות שנבדקו פעלו לקידום התחדשות עירונית בתחום שיפוטן בשלושה מישורים - מול גורמים ברשות המקומית, מול יזמים ומול דיירים המתגוררים בשטחים המיועדים להתחדשות. להלן בלוח ריכוז נתונים על פעילות המינהלות ברשויות שנבדקו מאז הקמתן. יחידות הדיור המוצגות כוללות הן את אלו שבשלבי התכנון והן את אלו שעבורן התקבלו היתרי הבני</w:t>
      </w:r>
      <w:r w:rsidR="001E5EE6">
        <w:rPr>
          <w:rFonts w:eastAsia="Calibri" w:hint="cs"/>
          <w:b/>
          <w:bCs/>
          <w:rtl/>
        </w:rPr>
        <w:t>י</w:t>
      </w:r>
      <w:r w:rsidRPr="00DC5B13">
        <w:rPr>
          <w:rFonts w:eastAsia="Calibri" w:hint="cs"/>
          <w:b/>
          <w:bCs/>
          <w:rtl/>
        </w:rPr>
        <w:t xml:space="preserve">ה. </w:t>
      </w:r>
    </w:p>
    <w:p w:rsidR="00DC5B13" w:rsidRPr="00DC5B13" w:rsidP="00C34B23">
      <w:pPr>
        <w:spacing w:line="269" w:lineRule="auto"/>
        <w:ind w:left="-567"/>
        <w:rPr>
          <w:rFonts w:eastAsia="Calibri"/>
          <w:szCs w:val="20"/>
          <w:rtl/>
        </w:rPr>
      </w:pPr>
    </w:p>
    <w:p w:rsidR="001E5EE6">
      <w:pPr>
        <w:bidi w:val="0"/>
        <w:spacing w:after="200" w:line="276" w:lineRule="auto"/>
        <w:rPr>
          <w:rFonts w:eastAsia="Calibri"/>
          <w:rtl/>
        </w:rPr>
      </w:pPr>
      <w:r>
        <w:rPr>
          <w:rFonts w:eastAsia="Calibri"/>
          <w:rtl/>
        </w:rPr>
        <w:br w:type="page"/>
      </w:r>
    </w:p>
    <w:p w:rsidR="00DC5B13" w:rsidRPr="00DC5B13" w:rsidP="00C34B23">
      <w:pPr>
        <w:spacing w:line="269" w:lineRule="auto"/>
        <w:jc w:val="center"/>
        <w:rPr>
          <w:rFonts w:eastAsia="Calibri"/>
          <w:b/>
          <w:bCs/>
          <w:rtl/>
        </w:rPr>
      </w:pPr>
      <w:r w:rsidRPr="00DC5B13">
        <w:rPr>
          <w:rFonts w:eastAsia="Calibri" w:hint="cs"/>
          <w:rtl/>
        </w:rPr>
        <w:t xml:space="preserve">לוח 12: </w:t>
      </w:r>
      <w:r w:rsidRPr="00DC5B13">
        <w:rPr>
          <w:rFonts w:eastAsia="Calibri" w:hint="cs"/>
          <w:b/>
          <w:bCs/>
          <w:rtl/>
        </w:rPr>
        <w:t>נתוני מינהלות עירוניות ברשויות שנבדקו (יולי 2025)</w:t>
      </w:r>
    </w:p>
    <w:tbl>
      <w:tblPr>
        <w:tblStyle w:val="5-11"/>
        <w:bidiVisual/>
        <w:tblW w:w="4940" w:type="pct"/>
        <w:tblInd w:w="50" w:type="dxa"/>
        <w:tblLook w:val="04A0"/>
      </w:tblPr>
      <w:tblGrid>
        <w:gridCol w:w="2173"/>
        <w:gridCol w:w="1561"/>
        <w:gridCol w:w="1419"/>
        <w:gridCol w:w="1415"/>
        <w:gridCol w:w="1543"/>
      </w:tblGrid>
      <w:tr w:rsidTr="00D746C2">
        <w:tblPrEx>
          <w:tblW w:w="4940" w:type="pct"/>
          <w:tblInd w:w="50" w:type="dxa"/>
          <w:tblLook w:val="04A0"/>
        </w:tblPrEx>
        <w:trPr>
          <w:trHeight w:val="580"/>
        </w:trPr>
        <w:tc>
          <w:tcPr>
            <w:tcW w:w="1340" w:type="pct"/>
            <w:noWrap/>
            <w:vAlign w:val="center"/>
            <w:hideMark/>
          </w:tcPr>
          <w:p w:rsidR="00DC5B13" w:rsidRPr="00DC5B13" w:rsidP="00F22931">
            <w:pPr>
              <w:spacing w:line="240" w:lineRule="auto"/>
              <w:jc w:val="left"/>
              <w:rPr>
                <w:rFonts w:ascii="David" w:eastAsia="Times New Roman" w:hAnsi="David"/>
                <w:sz w:val="22"/>
                <w:szCs w:val="22"/>
              </w:rPr>
            </w:pPr>
            <w:r w:rsidRPr="00DC5B13">
              <w:rPr>
                <w:rFonts w:ascii="David" w:eastAsia="Times New Roman" w:hAnsi="David"/>
                <w:sz w:val="22"/>
                <w:szCs w:val="22"/>
                <w:rtl/>
              </w:rPr>
              <w:t xml:space="preserve">שם </w:t>
            </w:r>
            <w:r w:rsidRPr="00DC5B13">
              <w:rPr>
                <w:rFonts w:ascii="David" w:eastAsia="Times New Roman" w:hAnsi="David" w:hint="cs"/>
                <w:sz w:val="22"/>
                <w:szCs w:val="22"/>
                <w:rtl/>
              </w:rPr>
              <w:t>ה</w:t>
            </w:r>
            <w:r w:rsidRPr="00DC5B13">
              <w:rPr>
                <w:rFonts w:ascii="David" w:eastAsia="Times New Roman" w:hAnsi="David"/>
                <w:sz w:val="22"/>
                <w:szCs w:val="22"/>
                <w:rtl/>
              </w:rPr>
              <w:t>רשות</w:t>
            </w:r>
          </w:p>
        </w:tc>
        <w:tc>
          <w:tcPr>
            <w:tcW w:w="962" w:type="pct"/>
            <w:noWrap/>
            <w:vAlign w:val="center"/>
            <w:hideMark/>
          </w:tcPr>
          <w:p w:rsidR="00DC5B13" w:rsidRPr="00DC5B13" w:rsidP="00F22931">
            <w:pPr>
              <w:spacing w:line="240" w:lineRule="auto"/>
              <w:jc w:val="center"/>
              <w:rPr>
                <w:rFonts w:ascii="David" w:eastAsia="Times New Roman" w:hAnsi="David"/>
                <w:sz w:val="22"/>
                <w:szCs w:val="22"/>
                <w:rtl/>
              </w:rPr>
            </w:pPr>
            <w:r w:rsidRPr="00DC5B13">
              <w:rPr>
                <w:rFonts w:ascii="David" w:eastAsia="Times New Roman" w:hAnsi="David"/>
                <w:sz w:val="22"/>
                <w:szCs w:val="22"/>
                <w:rtl/>
              </w:rPr>
              <w:t>לוד</w:t>
            </w:r>
          </w:p>
        </w:tc>
        <w:tc>
          <w:tcPr>
            <w:tcW w:w="875" w:type="pct"/>
            <w:noWrap/>
            <w:vAlign w:val="center"/>
            <w:hideMark/>
          </w:tcPr>
          <w:p w:rsidR="00DC5B13" w:rsidRPr="00DC5B13" w:rsidP="00F22931">
            <w:pPr>
              <w:spacing w:line="240" w:lineRule="auto"/>
              <w:jc w:val="center"/>
              <w:rPr>
                <w:rFonts w:ascii="David" w:eastAsia="Times New Roman" w:hAnsi="David"/>
                <w:sz w:val="22"/>
                <w:szCs w:val="22"/>
                <w:rtl/>
              </w:rPr>
            </w:pPr>
            <w:r w:rsidRPr="00DC5B13">
              <w:rPr>
                <w:rFonts w:ascii="David" w:eastAsia="Times New Roman" w:hAnsi="David"/>
                <w:sz w:val="22"/>
                <w:szCs w:val="22"/>
                <w:rtl/>
              </w:rPr>
              <w:t>נתניה</w:t>
            </w:r>
          </w:p>
        </w:tc>
        <w:tc>
          <w:tcPr>
            <w:tcW w:w="872" w:type="pct"/>
            <w:noWrap/>
            <w:vAlign w:val="center"/>
            <w:hideMark/>
          </w:tcPr>
          <w:p w:rsidR="00DC5B13" w:rsidRPr="00DC5B13" w:rsidP="00F22931">
            <w:pPr>
              <w:spacing w:line="240" w:lineRule="auto"/>
              <w:jc w:val="center"/>
              <w:rPr>
                <w:rFonts w:ascii="David" w:eastAsia="Times New Roman" w:hAnsi="David"/>
                <w:sz w:val="22"/>
                <w:szCs w:val="22"/>
                <w:rtl/>
              </w:rPr>
            </w:pPr>
            <w:r w:rsidRPr="00DC5B13">
              <w:rPr>
                <w:rFonts w:ascii="David" w:eastAsia="Times New Roman" w:hAnsi="David"/>
                <w:sz w:val="22"/>
                <w:szCs w:val="22"/>
                <w:rtl/>
              </w:rPr>
              <w:t>קריית ים</w:t>
            </w:r>
          </w:p>
        </w:tc>
        <w:tc>
          <w:tcPr>
            <w:tcW w:w="951" w:type="pct"/>
            <w:noWrap/>
            <w:vAlign w:val="center"/>
            <w:hideMark/>
          </w:tcPr>
          <w:p w:rsidR="00DC5B13" w:rsidRPr="00DC5B13" w:rsidP="00F22931">
            <w:pPr>
              <w:spacing w:line="240" w:lineRule="auto"/>
              <w:jc w:val="center"/>
              <w:rPr>
                <w:rFonts w:ascii="David" w:eastAsia="Times New Roman" w:hAnsi="David"/>
                <w:sz w:val="22"/>
                <w:szCs w:val="22"/>
                <w:rtl/>
              </w:rPr>
            </w:pPr>
            <w:r w:rsidRPr="00DC5B13">
              <w:rPr>
                <w:rFonts w:ascii="David" w:eastAsia="Times New Roman" w:hAnsi="David"/>
                <w:sz w:val="22"/>
                <w:szCs w:val="22"/>
                <w:rtl/>
              </w:rPr>
              <w:t>קריית שמונה</w:t>
            </w:r>
            <w:r w:rsidRPr="00DC5B13">
              <w:rPr>
                <w:rFonts w:ascii="David" w:eastAsia="Times New Roman" w:hAnsi="David" w:hint="cs"/>
                <w:sz w:val="22"/>
                <w:szCs w:val="22"/>
                <w:rtl/>
              </w:rPr>
              <w:t>*</w:t>
            </w:r>
          </w:p>
        </w:tc>
      </w:tr>
      <w:tr w:rsidTr="00D746C2">
        <w:tblPrEx>
          <w:tblW w:w="4940" w:type="pct"/>
          <w:tblInd w:w="50" w:type="dxa"/>
          <w:tblLook w:val="04A0"/>
        </w:tblPrEx>
        <w:trPr>
          <w:trHeight w:val="285"/>
        </w:trPr>
        <w:tc>
          <w:tcPr>
            <w:tcW w:w="1340" w:type="pct"/>
            <w:vAlign w:val="center"/>
            <w:hideMark/>
          </w:tcPr>
          <w:p w:rsidR="00DC5B13" w:rsidRPr="00DC5B13" w:rsidP="00F22931">
            <w:pPr>
              <w:spacing w:line="240" w:lineRule="auto"/>
              <w:jc w:val="left"/>
              <w:rPr>
                <w:rFonts w:ascii="David" w:eastAsia="Times New Roman" w:hAnsi="David"/>
                <w:sz w:val="22"/>
                <w:szCs w:val="22"/>
                <w:rtl/>
              </w:rPr>
            </w:pPr>
            <w:r w:rsidRPr="00DC5B13">
              <w:rPr>
                <w:rFonts w:ascii="David" w:eastAsia="Times New Roman" w:hAnsi="David"/>
                <w:sz w:val="22"/>
                <w:szCs w:val="22"/>
                <w:rtl/>
              </w:rPr>
              <w:t xml:space="preserve">שנת </w:t>
            </w:r>
            <w:r w:rsidRPr="00DC5B13">
              <w:rPr>
                <w:rFonts w:ascii="David" w:eastAsia="Times New Roman" w:hAnsi="David" w:hint="cs"/>
                <w:sz w:val="22"/>
                <w:szCs w:val="22"/>
                <w:rtl/>
              </w:rPr>
              <w:t>ה</w:t>
            </w:r>
            <w:r w:rsidRPr="00DC5B13">
              <w:rPr>
                <w:rFonts w:ascii="David" w:eastAsia="Times New Roman" w:hAnsi="David"/>
                <w:sz w:val="22"/>
                <w:szCs w:val="22"/>
                <w:rtl/>
              </w:rPr>
              <w:t>הקמה</w:t>
            </w:r>
          </w:p>
        </w:tc>
        <w:tc>
          <w:tcPr>
            <w:tcW w:w="96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2017</w:t>
            </w:r>
          </w:p>
        </w:tc>
        <w:tc>
          <w:tcPr>
            <w:tcW w:w="875"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2017</w:t>
            </w:r>
          </w:p>
        </w:tc>
        <w:tc>
          <w:tcPr>
            <w:tcW w:w="87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2019</w:t>
            </w:r>
          </w:p>
        </w:tc>
        <w:tc>
          <w:tcPr>
            <w:tcW w:w="951"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2025</w:t>
            </w:r>
          </w:p>
        </w:tc>
      </w:tr>
      <w:tr w:rsidTr="00D746C2">
        <w:tblPrEx>
          <w:tblW w:w="4940" w:type="pct"/>
          <w:tblInd w:w="50" w:type="dxa"/>
          <w:tblLook w:val="04A0"/>
        </w:tblPrEx>
        <w:trPr>
          <w:trHeight w:val="53"/>
        </w:trPr>
        <w:tc>
          <w:tcPr>
            <w:tcW w:w="1340" w:type="pct"/>
            <w:vAlign w:val="center"/>
            <w:hideMark/>
          </w:tcPr>
          <w:p w:rsidR="00DC5B13" w:rsidRPr="00DC5B13" w:rsidP="00F22931">
            <w:pPr>
              <w:spacing w:line="240" w:lineRule="auto"/>
              <w:jc w:val="left"/>
              <w:rPr>
                <w:rFonts w:ascii="David" w:eastAsia="Times New Roman" w:hAnsi="David"/>
                <w:sz w:val="22"/>
                <w:szCs w:val="22"/>
              </w:rPr>
            </w:pPr>
            <w:r w:rsidRPr="00DC5B13">
              <w:rPr>
                <w:rFonts w:ascii="David" w:eastAsia="Times New Roman" w:hAnsi="David"/>
                <w:sz w:val="22"/>
                <w:szCs w:val="22"/>
                <w:rtl/>
              </w:rPr>
              <w:t xml:space="preserve">מספר בעלי </w:t>
            </w:r>
            <w:r w:rsidRPr="00DC5B13">
              <w:rPr>
                <w:rFonts w:ascii="David" w:eastAsia="Times New Roman" w:hAnsi="David" w:hint="cs"/>
                <w:sz w:val="22"/>
                <w:szCs w:val="22"/>
                <w:rtl/>
              </w:rPr>
              <w:t>ה</w:t>
            </w:r>
            <w:r w:rsidRPr="00DC5B13">
              <w:rPr>
                <w:rFonts w:ascii="David" w:eastAsia="Times New Roman" w:hAnsi="David"/>
                <w:sz w:val="22"/>
                <w:szCs w:val="22"/>
                <w:rtl/>
              </w:rPr>
              <w:t>תפקידים</w:t>
            </w:r>
          </w:p>
        </w:tc>
        <w:tc>
          <w:tcPr>
            <w:tcW w:w="962" w:type="pct"/>
            <w:noWrap/>
            <w:vAlign w:val="center"/>
            <w:hideMark/>
          </w:tcPr>
          <w:p w:rsidR="00DC5B13" w:rsidRPr="00DC5B13" w:rsidP="00F22931">
            <w:pPr>
              <w:bidi w:val="0"/>
              <w:spacing w:line="240" w:lineRule="auto"/>
              <w:jc w:val="center"/>
              <w:rPr>
                <w:rFonts w:ascii="David" w:eastAsia="Times New Roman" w:hAnsi="David"/>
                <w:color w:val="000000"/>
                <w:sz w:val="22"/>
                <w:szCs w:val="22"/>
                <w:rtl/>
              </w:rPr>
            </w:pPr>
            <w:r w:rsidRPr="00DC5B13">
              <w:rPr>
                <w:rFonts w:ascii="David" w:eastAsia="Times New Roman" w:hAnsi="David"/>
                <w:color w:val="000000"/>
                <w:sz w:val="22"/>
                <w:szCs w:val="22"/>
              </w:rPr>
              <w:t>9</w:t>
            </w:r>
          </w:p>
        </w:tc>
        <w:tc>
          <w:tcPr>
            <w:tcW w:w="875"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8</w:t>
            </w:r>
          </w:p>
        </w:tc>
        <w:tc>
          <w:tcPr>
            <w:tcW w:w="87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3</w:t>
            </w:r>
          </w:p>
        </w:tc>
        <w:tc>
          <w:tcPr>
            <w:tcW w:w="951"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3</w:t>
            </w:r>
          </w:p>
        </w:tc>
      </w:tr>
      <w:tr w:rsidTr="00D746C2">
        <w:tblPrEx>
          <w:tblW w:w="4940" w:type="pct"/>
          <w:tblInd w:w="50" w:type="dxa"/>
          <w:tblLook w:val="04A0"/>
        </w:tblPrEx>
        <w:trPr>
          <w:trHeight w:val="71"/>
        </w:trPr>
        <w:tc>
          <w:tcPr>
            <w:tcW w:w="1340" w:type="pct"/>
            <w:vAlign w:val="center"/>
            <w:hideMark/>
          </w:tcPr>
          <w:p w:rsidR="00DC5B13" w:rsidRPr="00DC5B13" w:rsidP="00F22931">
            <w:pPr>
              <w:spacing w:line="240" w:lineRule="auto"/>
              <w:jc w:val="left"/>
              <w:rPr>
                <w:rFonts w:ascii="David" w:eastAsia="Times New Roman" w:hAnsi="David"/>
                <w:sz w:val="22"/>
                <w:szCs w:val="22"/>
              </w:rPr>
            </w:pPr>
            <w:r w:rsidRPr="00DC5B13">
              <w:rPr>
                <w:rFonts w:ascii="David" w:eastAsia="Times New Roman" w:hAnsi="David" w:hint="cs"/>
                <w:sz w:val="22"/>
                <w:szCs w:val="22"/>
                <w:rtl/>
              </w:rPr>
              <w:t>ה</w:t>
            </w:r>
            <w:r w:rsidRPr="00DC5B13">
              <w:rPr>
                <w:rFonts w:ascii="David" w:eastAsia="Times New Roman" w:hAnsi="David"/>
                <w:sz w:val="22"/>
                <w:szCs w:val="22"/>
                <w:rtl/>
              </w:rPr>
              <w:t xml:space="preserve">כפיפות </w:t>
            </w:r>
            <w:r w:rsidRPr="00DC5B13">
              <w:rPr>
                <w:rFonts w:ascii="David" w:eastAsia="Times New Roman" w:hAnsi="David" w:hint="cs"/>
                <w:sz w:val="22"/>
                <w:szCs w:val="22"/>
                <w:rtl/>
              </w:rPr>
              <w:t>ה</w:t>
            </w:r>
            <w:r w:rsidRPr="00DC5B13">
              <w:rPr>
                <w:rFonts w:ascii="David" w:eastAsia="Times New Roman" w:hAnsi="David"/>
                <w:sz w:val="22"/>
                <w:szCs w:val="22"/>
                <w:rtl/>
              </w:rPr>
              <w:t>ארגונית</w:t>
            </w:r>
          </w:p>
        </w:tc>
        <w:tc>
          <w:tcPr>
            <w:tcW w:w="962" w:type="pct"/>
            <w:noWrap/>
            <w:vAlign w:val="center"/>
            <w:hideMark/>
          </w:tcPr>
          <w:p w:rsidR="00DC5B13" w:rsidRPr="00DC5B13" w:rsidP="00F22931">
            <w:pPr>
              <w:spacing w:line="240"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החברה הכלכלית</w:t>
            </w:r>
          </w:p>
        </w:tc>
        <w:tc>
          <w:tcPr>
            <w:tcW w:w="875" w:type="pct"/>
            <w:noWrap/>
            <w:vAlign w:val="center"/>
            <w:hideMark/>
          </w:tcPr>
          <w:p w:rsidR="00DC5B13" w:rsidRPr="00DC5B13" w:rsidP="00F22931">
            <w:pPr>
              <w:spacing w:line="240"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מהנדס העיר</w:t>
            </w:r>
          </w:p>
        </w:tc>
        <w:tc>
          <w:tcPr>
            <w:tcW w:w="872" w:type="pct"/>
            <w:noWrap/>
            <w:vAlign w:val="center"/>
            <w:hideMark/>
          </w:tcPr>
          <w:p w:rsidR="00DC5B13" w:rsidRPr="00DC5B13" w:rsidP="00F22931">
            <w:pPr>
              <w:spacing w:line="240" w:lineRule="auto"/>
              <w:jc w:val="center"/>
              <w:rPr>
                <w:rFonts w:ascii="David" w:eastAsia="Times New Roman" w:hAnsi="David"/>
                <w:color w:val="000000"/>
                <w:sz w:val="22"/>
                <w:szCs w:val="22"/>
                <w:rtl/>
              </w:rPr>
            </w:pPr>
            <w:r w:rsidRPr="00DC5B13">
              <w:rPr>
                <w:rFonts w:ascii="David" w:eastAsia="Times New Roman" w:hAnsi="David"/>
                <w:color w:val="000000"/>
                <w:sz w:val="22"/>
                <w:szCs w:val="22"/>
                <w:rtl/>
              </w:rPr>
              <w:t>מנכ"ל הרשות</w:t>
            </w:r>
          </w:p>
        </w:tc>
        <w:tc>
          <w:tcPr>
            <w:tcW w:w="951" w:type="pct"/>
            <w:noWrap/>
            <w:vAlign w:val="center"/>
            <w:hideMark/>
          </w:tcPr>
          <w:p w:rsidR="00DC5B13" w:rsidRPr="00DC5B13" w:rsidP="00F22931">
            <w:pPr>
              <w:spacing w:line="240"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מהנדסת העיר</w:t>
            </w:r>
          </w:p>
        </w:tc>
      </w:tr>
      <w:tr w:rsidTr="00D746C2">
        <w:tblPrEx>
          <w:tblW w:w="4940" w:type="pct"/>
          <w:tblInd w:w="50" w:type="dxa"/>
          <w:tblLook w:val="04A0"/>
        </w:tblPrEx>
        <w:trPr>
          <w:trHeight w:val="269"/>
        </w:trPr>
        <w:tc>
          <w:tcPr>
            <w:tcW w:w="1340" w:type="pct"/>
            <w:vAlign w:val="center"/>
            <w:hideMark/>
          </w:tcPr>
          <w:p w:rsidR="00DC5B13" w:rsidRPr="00DC5B13" w:rsidP="00F22931">
            <w:pPr>
              <w:spacing w:line="240" w:lineRule="auto"/>
              <w:jc w:val="left"/>
              <w:rPr>
                <w:rFonts w:ascii="David" w:eastAsia="Times New Roman" w:hAnsi="David"/>
                <w:sz w:val="22"/>
                <w:szCs w:val="22"/>
                <w:rtl/>
              </w:rPr>
            </w:pPr>
            <w:r w:rsidRPr="00DC5B13">
              <w:rPr>
                <w:rFonts w:ascii="David" w:eastAsia="Times New Roman" w:hAnsi="David"/>
                <w:sz w:val="22"/>
                <w:szCs w:val="22"/>
                <w:rtl/>
              </w:rPr>
              <w:t xml:space="preserve">מספר </w:t>
            </w:r>
            <w:r w:rsidRPr="00DC5B13">
              <w:rPr>
                <w:rFonts w:ascii="David" w:eastAsia="Times New Roman" w:hAnsi="David" w:hint="cs"/>
                <w:sz w:val="22"/>
                <w:szCs w:val="22"/>
                <w:rtl/>
              </w:rPr>
              <w:t>המיזמים</w:t>
            </w:r>
            <w:r w:rsidRPr="00DC5B13">
              <w:rPr>
                <w:rFonts w:ascii="David" w:eastAsia="Times New Roman" w:hAnsi="David"/>
                <w:sz w:val="22"/>
                <w:szCs w:val="22"/>
                <w:rtl/>
              </w:rPr>
              <w:t xml:space="preserve"> שקודמו מאז הקמת המינהלת</w:t>
            </w:r>
          </w:p>
        </w:tc>
        <w:tc>
          <w:tcPr>
            <w:tcW w:w="96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10</w:t>
            </w:r>
          </w:p>
        </w:tc>
        <w:tc>
          <w:tcPr>
            <w:tcW w:w="875"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41</w:t>
            </w:r>
          </w:p>
        </w:tc>
        <w:tc>
          <w:tcPr>
            <w:tcW w:w="87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6</w:t>
            </w:r>
          </w:p>
        </w:tc>
        <w:tc>
          <w:tcPr>
            <w:tcW w:w="951"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12</w:t>
            </w:r>
          </w:p>
        </w:tc>
      </w:tr>
      <w:tr w:rsidTr="00D746C2">
        <w:tblPrEx>
          <w:tblW w:w="4940" w:type="pct"/>
          <w:tblInd w:w="50" w:type="dxa"/>
          <w:tblLook w:val="04A0"/>
        </w:tblPrEx>
        <w:trPr>
          <w:trHeight w:val="119"/>
        </w:trPr>
        <w:tc>
          <w:tcPr>
            <w:tcW w:w="1340" w:type="pct"/>
            <w:vAlign w:val="center"/>
            <w:hideMark/>
          </w:tcPr>
          <w:p w:rsidR="00DC5B13" w:rsidRPr="00DC5B13" w:rsidP="00F22931">
            <w:pPr>
              <w:spacing w:line="240" w:lineRule="auto"/>
              <w:jc w:val="left"/>
              <w:rPr>
                <w:rFonts w:ascii="David" w:eastAsia="Times New Roman" w:hAnsi="David"/>
                <w:sz w:val="22"/>
                <w:szCs w:val="22"/>
              </w:rPr>
            </w:pPr>
            <w:r w:rsidRPr="00DC5B13">
              <w:rPr>
                <w:rFonts w:ascii="David" w:eastAsia="Times New Roman" w:hAnsi="David"/>
                <w:sz w:val="22"/>
                <w:szCs w:val="22"/>
                <w:rtl/>
              </w:rPr>
              <w:t xml:space="preserve">מספר </w:t>
            </w:r>
            <w:r w:rsidRPr="00DC5B13">
              <w:rPr>
                <w:rFonts w:ascii="David" w:eastAsia="Times New Roman" w:hAnsi="David" w:hint="cs"/>
                <w:sz w:val="22"/>
                <w:szCs w:val="22"/>
                <w:rtl/>
              </w:rPr>
              <w:t>מיזמים</w:t>
            </w:r>
            <w:r w:rsidRPr="00DC5B13">
              <w:rPr>
                <w:rFonts w:ascii="David" w:eastAsia="Times New Roman" w:hAnsi="David"/>
                <w:sz w:val="22"/>
                <w:szCs w:val="22"/>
                <w:rtl/>
              </w:rPr>
              <w:t xml:space="preserve"> במימוש מאז הקמת המינהלת</w:t>
            </w:r>
            <w:r w:rsidRPr="00DC5B13">
              <w:rPr>
                <w:rFonts w:ascii="David" w:eastAsia="Times New Roman" w:hAnsi="David" w:hint="cs"/>
                <w:sz w:val="22"/>
                <w:szCs w:val="22"/>
                <w:rtl/>
              </w:rPr>
              <w:t>**</w:t>
            </w:r>
          </w:p>
        </w:tc>
        <w:tc>
          <w:tcPr>
            <w:tcW w:w="96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4</w:t>
            </w:r>
          </w:p>
        </w:tc>
        <w:tc>
          <w:tcPr>
            <w:tcW w:w="875"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15</w:t>
            </w:r>
          </w:p>
        </w:tc>
        <w:tc>
          <w:tcPr>
            <w:tcW w:w="87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2</w:t>
            </w:r>
          </w:p>
        </w:tc>
        <w:tc>
          <w:tcPr>
            <w:tcW w:w="951"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0</w:t>
            </w:r>
          </w:p>
        </w:tc>
      </w:tr>
      <w:tr w:rsidTr="00D746C2">
        <w:tblPrEx>
          <w:tblW w:w="4940" w:type="pct"/>
          <w:tblInd w:w="50" w:type="dxa"/>
          <w:tblLook w:val="04A0"/>
        </w:tblPrEx>
        <w:trPr>
          <w:trHeight w:val="98"/>
        </w:trPr>
        <w:tc>
          <w:tcPr>
            <w:tcW w:w="1340" w:type="pct"/>
            <w:vAlign w:val="center"/>
            <w:hideMark/>
          </w:tcPr>
          <w:p w:rsidR="00DC5B13" w:rsidRPr="00DC5B13" w:rsidP="00F22931">
            <w:pPr>
              <w:spacing w:line="240" w:lineRule="auto"/>
              <w:jc w:val="left"/>
              <w:rPr>
                <w:rFonts w:ascii="David" w:eastAsia="Times New Roman" w:hAnsi="David"/>
                <w:sz w:val="22"/>
                <w:szCs w:val="22"/>
              </w:rPr>
            </w:pPr>
            <w:r w:rsidRPr="00DC5B13">
              <w:rPr>
                <w:rFonts w:ascii="David" w:eastAsia="Times New Roman" w:hAnsi="David"/>
                <w:sz w:val="22"/>
                <w:szCs w:val="22"/>
                <w:rtl/>
              </w:rPr>
              <w:t xml:space="preserve">מספר </w:t>
            </w:r>
            <w:r w:rsidRPr="00DC5B13">
              <w:rPr>
                <w:rFonts w:ascii="David" w:eastAsia="Times New Roman" w:hAnsi="David" w:hint="cs"/>
                <w:sz w:val="22"/>
                <w:szCs w:val="22"/>
                <w:rtl/>
              </w:rPr>
              <w:t>מיזמים</w:t>
            </w:r>
            <w:r w:rsidRPr="00DC5B13">
              <w:rPr>
                <w:rFonts w:ascii="David" w:eastAsia="Times New Roman" w:hAnsi="David"/>
                <w:sz w:val="22"/>
                <w:szCs w:val="22"/>
                <w:rtl/>
              </w:rPr>
              <w:t xml:space="preserve"> </w:t>
            </w:r>
            <w:r w:rsidRPr="00DC5B13">
              <w:rPr>
                <w:rFonts w:ascii="David" w:eastAsia="Times New Roman" w:hAnsi="David" w:hint="cs"/>
                <w:sz w:val="22"/>
                <w:szCs w:val="22"/>
                <w:rtl/>
              </w:rPr>
              <w:t>ש</w:t>
            </w:r>
            <w:r w:rsidRPr="00DC5B13">
              <w:rPr>
                <w:rFonts w:ascii="David" w:eastAsia="Times New Roman" w:hAnsi="David"/>
                <w:sz w:val="22"/>
                <w:szCs w:val="22"/>
                <w:rtl/>
              </w:rPr>
              <w:t>בהם ניתן טופס 4 מאז הקמת המינהלת</w:t>
            </w:r>
          </w:p>
        </w:tc>
        <w:tc>
          <w:tcPr>
            <w:tcW w:w="962" w:type="pct"/>
            <w:noWrap/>
            <w:vAlign w:val="center"/>
            <w:hideMark/>
          </w:tcPr>
          <w:p w:rsidR="00DC5B13" w:rsidRPr="00DC5B13" w:rsidP="00F22931">
            <w:pPr>
              <w:bidi w:val="0"/>
              <w:spacing w:line="240" w:lineRule="auto"/>
              <w:jc w:val="center"/>
              <w:rPr>
                <w:rFonts w:ascii="David" w:eastAsia="Times New Roman" w:hAnsi="David"/>
                <w:color w:val="000000"/>
                <w:sz w:val="22"/>
                <w:szCs w:val="22"/>
                <w:rtl/>
              </w:rPr>
            </w:pPr>
            <w:r w:rsidRPr="00DC5B13">
              <w:rPr>
                <w:rFonts w:ascii="David" w:eastAsia="Times New Roman" w:hAnsi="David"/>
                <w:color w:val="000000"/>
                <w:sz w:val="22"/>
                <w:szCs w:val="22"/>
              </w:rPr>
              <w:t>0</w:t>
            </w:r>
          </w:p>
        </w:tc>
        <w:tc>
          <w:tcPr>
            <w:tcW w:w="875"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3</w:t>
            </w:r>
          </w:p>
        </w:tc>
        <w:tc>
          <w:tcPr>
            <w:tcW w:w="87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0</w:t>
            </w:r>
          </w:p>
        </w:tc>
        <w:tc>
          <w:tcPr>
            <w:tcW w:w="951"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0</w:t>
            </w:r>
          </w:p>
        </w:tc>
      </w:tr>
      <w:tr w:rsidTr="00D746C2">
        <w:tblPrEx>
          <w:tblW w:w="4940" w:type="pct"/>
          <w:tblInd w:w="50" w:type="dxa"/>
          <w:tblLook w:val="04A0"/>
        </w:tblPrEx>
        <w:trPr>
          <w:trHeight w:val="75"/>
        </w:trPr>
        <w:tc>
          <w:tcPr>
            <w:tcW w:w="1340" w:type="pct"/>
            <w:vAlign w:val="center"/>
            <w:hideMark/>
          </w:tcPr>
          <w:p w:rsidR="00DC5B13" w:rsidRPr="00DC5B13" w:rsidP="00F22931">
            <w:pPr>
              <w:spacing w:line="240" w:lineRule="auto"/>
              <w:jc w:val="left"/>
              <w:rPr>
                <w:rFonts w:ascii="David" w:eastAsia="Times New Roman" w:hAnsi="David"/>
                <w:sz w:val="22"/>
                <w:szCs w:val="22"/>
              </w:rPr>
            </w:pPr>
            <w:r w:rsidRPr="00DC5B13">
              <w:rPr>
                <w:rFonts w:ascii="David" w:eastAsia="Times New Roman" w:hAnsi="David"/>
                <w:sz w:val="22"/>
                <w:szCs w:val="22"/>
                <w:rtl/>
              </w:rPr>
              <w:t xml:space="preserve">מספר יח"ד במצב </w:t>
            </w:r>
            <w:r w:rsidRPr="00DC5B13">
              <w:rPr>
                <w:rFonts w:ascii="David" w:eastAsia="Times New Roman" w:hAnsi="David" w:hint="cs"/>
                <w:sz w:val="22"/>
                <w:szCs w:val="22"/>
                <w:rtl/>
              </w:rPr>
              <w:t>מוצע</w:t>
            </w:r>
            <w:r w:rsidRPr="00DC5B13">
              <w:rPr>
                <w:rFonts w:ascii="David" w:eastAsia="Times New Roman" w:hAnsi="David"/>
                <w:sz w:val="22"/>
                <w:szCs w:val="22"/>
                <w:rtl/>
              </w:rPr>
              <w:t xml:space="preserve"> מאז הקמת המינהלת</w:t>
            </w:r>
            <w:r w:rsidRPr="00DC5B13">
              <w:rPr>
                <w:rFonts w:ascii="David" w:eastAsia="Times New Roman" w:hAnsi="David" w:hint="cs"/>
                <w:sz w:val="22"/>
                <w:szCs w:val="22"/>
                <w:rtl/>
              </w:rPr>
              <w:t xml:space="preserve"> - לרבות יח"ד בתוכניות שכבר אושרו</w:t>
            </w:r>
          </w:p>
        </w:tc>
        <w:tc>
          <w:tcPr>
            <w:tcW w:w="96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18,783</w:t>
            </w:r>
          </w:p>
        </w:tc>
        <w:tc>
          <w:tcPr>
            <w:tcW w:w="875"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15,819</w:t>
            </w:r>
          </w:p>
        </w:tc>
        <w:tc>
          <w:tcPr>
            <w:tcW w:w="87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8,792</w:t>
            </w:r>
          </w:p>
        </w:tc>
        <w:tc>
          <w:tcPr>
            <w:tcW w:w="951"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9,205</w:t>
            </w:r>
          </w:p>
        </w:tc>
      </w:tr>
      <w:tr w:rsidTr="00D746C2">
        <w:tblPrEx>
          <w:tblW w:w="4940" w:type="pct"/>
          <w:tblInd w:w="50" w:type="dxa"/>
          <w:tblLook w:val="04A0"/>
        </w:tblPrEx>
        <w:trPr>
          <w:trHeight w:val="53"/>
        </w:trPr>
        <w:tc>
          <w:tcPr>
            <w:tcW w:w="1340" w:type="pct"/>
            <w:vAlign w:val="center"/>
            <w:hideMark/>
          </w:tcPr>
          <w:p w:rsidR="00DC5B13" w:rsidRPr="00DC5B13" w:rsidP="00F22931">
            <w:pPr>
              <w:spacing w:line="240" w:lineRule="auto"/>
              <w:jc w:val="left"/>
              <w:rPr>
                <w:rFonts w:ascii="David" w:eastAsia="Times New Roman" w:hAnsi="David"/>
                <w:sz w:val="22"/>
                <w:szCs w:val="22"/>
              </w:rPr>
            </w:pPr>
            <w:r w:rsidRPr="00DC5B13">
              <w:rPr>
                <w:rFonts w:ascii="David" w:eastAsia="Times New Roman" w:hAnsi="David"/>
                <w:sz w:val="22"/>
                <w:szCs w:val="22"/>
                <w:rtl/>
              </w:rPr>
              <w:t xml:space="preserve">מספר יח"ד </w:t>
            </w:r>
            <w:r w:rsidRPr="00DC5B13">
              <w:rPr>
                <w:rFonts w:ascii="David" w:eastAsia="Times New Roman" w:hAnsi="David" w:hint="cs"/>
                <w:sz w:val="22"/>
                <w:szCs w:val="22"/>
                <w:rtl/>
              </w:rPr>
              <w:t xml:space="preserve">שקיבלו </w:t>
            </w:r>
            <w:r w:rsidRPr="00DC5B13">
              <w:rPr>
                <w:rFonts w:ascii="David" w:eastAsia="Times New Roman" w:hAnsi="David"/>
                <w:sz w:val="22"/>
                <w:szCs w:val="22"/>
                <w:rtl/>
              </w:rPr>
              <w:t xml:space="preserve">היתר </w:t>
            </w:r>
            <w:r w:rsidRPr="00DC5B13">
              <w:rPr>
                <w:rFonts w:ascii="David" w:eastAsia="Times New Roman" w:hAnsi="David" w:hint="cs"/>
                <w:sz w:val="22"/>
                <w:szCs w:val="22"/>
                <w:rtl/>
              </w:rPr>
              <w:t xml:space="preserve">בנייה </w:t>
            </w:r>
            <w:r w:rsidRPr="00DC5B13">
              <w:rPr>
                <w:rFonts w:ascii="David" w:eastAsia="Times New Roman" w:hAnsi="David"/>
                <w:sz w:val="22"/>
                <w:szCs w:val="22"/>
                <w:rtl/>
              </w:rPr>
              <w:t>מאז הקמת המינהלת</w:t>
            </w:r>
          </w:p>
        </w:tc>
        <w:tc>
          <w:tcPr>
            <w:tcW w:w="962" w:type="pct"/>
            <w:noWrap/>
            <w:vAlign w:val="center"/>
            <w:hideMark/>
          </w:tcPr>
          <w:p w:rsidR="00DC5B13" w:rsidRPr="00DC5B13" w:rsidP="00F22931">
            <w:pPr>
              <w:bidi w:val="0"/>
              <w:spacing w:line="240" w:lineRule="auto"/>
              <w:jc w:val="center"/>
              <w:rPr>
                <w:rFonts w:ascii="David" w:eastAsia="Times New Roman" w:hAnsi="David"/>
                <w:color w:val="000000"/>
                <w:sz w:val="22"/>
                <w:szCs w:val="22"/>
                <w:rtl/>
              </w:rPr>
            </w:pPr>
            <w:r w:rsidRPr="00DC5B13">
              <w:rPr>
                <w:rFonts w:ascii="David" w:eastAsia="Times New Roman" w:hAnsi="David"/>
                <w:color w:val="000000"/>
                <w:sz w:val="22"/>
                <w:szCs w:val="22"/>
              </w:rPr>
              <w:t>1,501</w:t>
            </w:r>
          </w:p>
        </w:tc>
        <w:tc>
          <w:tcPr>
            <w:tcW w:w="875"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5,626</w:t>
            </w:r>
          </w:p>
        </w:tc>
        <w:tc>
          <w:tcPr>
            <w:tcW w:w="87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609</w:t>
            </w:r>
          </w:p>
        </w:tc>
        <w:tc>
          <w:tcPr>
            <w:tcW w:w="951"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0</w:t>
            </w:r>
          </w:p>
        </w:tc>
      </w:tr>
      <w:tr w:rsidTr="00D746C2">
        <w:tblPrEx>
          <w:tblW w:w="4940" w:type="pct"/>
          <w:tblInd w:w="50" w:type="dxa"/>
          <w:tblLook w:val="04A0"/>
        </w:tblPrEx>
        <w:trPr>
          <w:trHeight w:val="53"/>
        </w:trPr>
        <w:tc>
          <w:tcPr>
            <w:tcW w:w="1340" w:type="pct"/>
            <w:vAlign w:val="center"/>
            <w:hideMark/>
          </w:tcPr>
          <w:p w:rsidR="00DC5B13" w:rsidRPr="00DC5B13" w:rsidP="00F22931">
            <w:pPr>
              <w:spacing w:line="240" w:lineRule="auto"/>
              <w:jc w:val="left"/>
              <w:rPr>
                <w:rFonts w:ascii="David" w:eastAsia="Times New Roman" w:hAnsi="David"/>
                <w:sz w:val="22"/>
                <w:szCs w:val="22"/>
              </w:rPr>
            </w:pPr>
            <w:r w:rsidRPr="00DC5B13">
              <w:rPr>
                <w:rFonts w:ascii="David" w:eastAsia="Times New Roman" w:hAnsi="David" w:hint="cs"/>
                <w:sz w:val="22"/>
                <w:szCs w:val="22"/>
                <w:rtl/>
              </w:rPr>
              <w:t xml:space="preserve">מספר </w:t>
            </w:r>
            <w:r w:rsidRPr="00DC5B13">
              <w:rPr>
                <w:rFonts w:ascii="David" w:eastAsia="Times New Roman" w:hAnsi="David"/>
                <w:sz w:val="22"/>
                <w:szCs w:val="22"/>
                <w:rtl/>
              </w:rPr>
              <w:t xml:space="preserve">יח"ד </w:t>
            </w:r>
            <w:r w:rsidRPr="00DC5B13">
              <w:rPr>
                <w:rFonts w:ascii="David" w:eastAsia="Times New Roman" w:hAnsi="David" w:hint="cs"/>
                <w:sz w:val="22"/>
                <w:szCs w:val="22"/>
                <w:rtl/>
              </w:rPr>
              <w:t xml:space="preserve">שקיבלו </w:t>
            </w:r>
            <w:r w:rsidRPr="00DC5B13">
              <w:rPr>
                <w:rFonts w:ascii="David" w:eastAsia="Times New Roman" w:hAnsi="David"/>
                <w:sz w:val="22"/>
                <w:szCs w:val="22"/>
                <w:rtl/>
              </w:rPr>
              <w:t xml:space="preserve">היתר </w:t>
            </w:r>
            <w:r w:rsidRPr="00DC5B13">
              <w:rPr>
                <w:rFonts w:ascii="David" w:eastAsia="Times New Roman" w:hAnsi="David" w:hint="cs"/>
                <w:sz w:val="22"/>
                <w:szCs w:val="22"/>
                <w:rtl/>
              </w:rPr>
              <w:t>בנייה מתוך</w:t>
            </w:r>
            <w:r w:rsidRPr="00DC5B13">
              <w:rPr>
                <w:rFonts w:ascii="David" w:eastAsia="Times New Roman" w:hAnsi="David"/>
                <w:sz w:val="22"/>
                <w:szCs w:val="22"/>
                <w:rtl/>
              </w:rPr>
              <w:t xml:space="preserve"> סך יח"ד במצב מוצע</w:t>
            </w:r>
          </w:p>
        </w:tc>
        <w:tc>
          <w:tcPr>
            <w:tcW w:w="962" w:type="pct"/>
            <w:noWrap/>
            <w:vAlign w:val="center"/>
            <w:hideMark/>
          </w:tcPr>
          <w:p w:rsidR="00DC5B13" w:rsidRPr="00DC5B13" w:rsidP="00F22931">
            <w:pPr>
              <w:bidi w:val="0"/>
              <w:spacing w:line="240" w:lineRule="auto"/>
              <w:jc w:val="center"/>
              <w:rPr>
                <w:rFonts w:ascii="David" w:eastAsia="Times New Roman" w:hAnsi="David"/>
                <w:color w:val="000000"/>
                <w:sz w:val="22"/>
                <w:szCs w:val="22"/>
                <w:rtl/>
              </w:rPr>
            </w:pPr>
            <w:r w:rsidRPr="00DC5B13">
              <w:rPr>
                <w:rFonts w:ascii="David" w:eastAsia="Times New Roman" w:hAnsi="David"/>
                <w:color w:val="000000"/>
                <w:sz w:val="22"/>
                <w:szCs w:val="22"/>
              </w:rPr>
              <w:t>7.99%</w:t>
            </w:r>
          </w:p>
        </w:tc>
        <w:tc>
          <w:tcPr>
            <w:tcW w:w="875"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35.56%</w:t>
            </w:r>
          </w:p>
        </w:tc>
        <w:tc>
          <w:tcPr>
            <w:tcW w:w="872"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6.93%</w:t>
            </w:r>
          </w:p>
        </w:tc>
        <w:tc>
          <w:tcPr>
            <w:tcW w:w="951" w:type="pct"/>
            <w:noWrap/>
            <w:vAlign w:val="center"/>
            <w:hideMark/>
          </w:tcPr>
          <w:p w:rsidR="00DC5B13" w:rsidRPr="00DC5B13" w:rsidP="00F22931">
            <w:pPr>
              <w:bidi w:val="0"/>
              <w:spacing w:line="240" w:lineRule="auto"/>
              <w:jc w:val="center"/>
              <w:rPr>
                <w:rFonts w:ascii="David" w:eastAsia="Times New Roman" w:hAnsi="David"/>
                <w:color w:val="000000"/>
                <w:sz w:val="22"/>
                <w:szCs w:val="22"/>
              </w:rPr>
            </w:pPr>
            <w:r w:rsidRPr="00DC5B13">
              <w:rPr>
                <w:rFonts w:ascii="David" w:eastAsia="Times New Roman" w:hAnsi="David"/>
                <w:color w:val="000000"/>
                <w:sz w:val="22"/>
                <w:szCs w:val="22"/>
              </w:rPr>
              <w:t>0</w:t>
            </w:r>
          </w:p>
        </w:tc>
      </w:tr>
    </w:tbl>
    <w:p w:rsidR="00DC5B13" w:rsidRPr="00DC5B13" w:rsidP="00C34B23">
      <w:pPr>
        <w:spacing w:line="269" w:lineRule="auto"/>
        <w:rPr>
          <w:rFonts w:eastAsia="Calibri"/>
          <w:rtl/>
        </w:rPr>
      </w:pPr>
      <w:r w:rsidRPr="00DC5B13">
        <w:rPr>
          <w:rFonts w:eastAsia="Calibri" w:hint="cs"/>
          <w:sz w:val="16"/>
          <w:szCs w:val="20"/>
          <w:rtl/>
        </w:rPr>
        <w:t>על פי נתוני הרשות להתחדשות</w:t>
      </w:r>
      <w:r w:rsidRPr="00DC5B13">
        <w:rPr>
          <w:rFonts w:eastAsia="Calibri" w:hint="cs"/>
          <w:rtl/>
        </w:rPr>
        <w:t>.</w:t>
      </w:r>
    </w:p>
    <w:p w:rsidR="00DC5B13" w:rsidRPr="00DC5B13" w:rsidP="00C34B23">
      <w:pPr>
        <w:spacing w:line="269" w:lineRule="auto"/>
        <w:rPr>
          <w:rFonts w:eastAsia="Calibri"/>
          <w:sz w:val="16"/>
          <w:szCs w:val="20"/>
          <w:rtl/>
        </w:rPr>
      </w:pPr>
      <w:r w:rsidRPr="00DC5B13">
        <w:rPr>
          <w:rFonts w:eastAsia="Calibri" w:hint="cs"/>
          <w:sz w:val="16"/>
          <w:szCs w:val="20"/>
          <w:rtl/>
        </w:rPr>
        <w:t>*</w:t>
      </w:r>
      <w:r w:rsidRPr="00DC5B13">
        <w:rPr>
          <w:rFonts w:eastAsia="Calibri"/>
          <w:sz w:val="16"/>
          <w:szCs w:val="20"/>
          <w:rtl/>
        </w:rPr>
        <w:t xml:space="preserve"> </w:t>
      </w:r>
      <w:r w:rsidRPr="00DC5B13">
        <w:rPr>
          <w:rFonts w:eastAsia="Calibri" w:hint="cs"/>
          <w:sz w:val="16"/>
          <w:szCs w:val="20"/>
          <w:rtl/>
        </w:rPr>
        <w:t>המינהלת העירונית בקריית שמונה הוקמה בדצמבר 2024 והחלה לפעול כמינהלת עירונית ביולי</w:t>
      </w:r>
      <w:r w:rsidRPr="00DC5B13">
        <w:rPr>
          <w:rFonts w:eastAsia="Calibri"/>
          <w:sz w:val="16"/>
          <w:szCs w:val="20"/>
          <w:rtl/>
        </w:rPr>
        <w:t xml:space="preserve"> 2025.</w:t>
      </w:r>
    </w:p>
    <w:p w:rsidR="00DC5B13" w:rsidRPr="00DC5B13" w:rsidP="00C34B23">
      <w:pPr>
        <w:spacing w:line="269" w:lineRule="auto"/>
        <w:rPr>
          <w:rFonts w:eastAsia="Calibri"/>
          <w:sz w:val="16"/>
          <w:szCs w:val="20"/>
          <w:rtl/>
        </w:rPr>
      </w:pPr>
      <w:r w:rsidRPr="00DC5B13">
        <w:rPr>
          <w:rFonts w:eastAsia="Calibri" w:hint="cs"/>
          <w:sz w:val="16"/>
          <w:szCs w:val="20"/>
          <w:rtl/>
        </w:rPr>
        <w:t xml:space="preserve">** מיזמים שבהם הוחל תהליך של הוצאת היתרי בנייה.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מנתוני הלוח עולה פער בין מספר יח"ד שקיבלו היתר בנייה לבין מספר יח"ד שתוכננו במסגרת מיזמי ההתחד</w:t>
      </w:r>
      <w:r w:rsidRPr="00DC5B13">
        <w:rPr>
          <w:rFonts w:eastAsia="Calibri" w:hint="eastAsia"/>
          <w:b/>
          <w:bCs/>
          <w:rtl/>
        </w:rPr>
        <w:t>שות</w:t>
      </w:r>
      <w:r w:rsidRPr="00DC5B13">
        <w:rPr>
          <w:rFonts w:eastAsia="Calibri"/>
          <w:b/>
          <w:bCs/>
          <w:rtl/>
        </w:rPr>
        <w:t xml:space="preserve"> </w:t>
      </w:r>
      <w:r w:rsidRPr="00DC5B13">
        <w:rPr>
          <w:rFonts w:eastAsia="Calibri" w:hint="eastAsia"/>
          <w:b/>
          <w:bCs/>
          <w:rtl/>
        </w:rPr>
        <w:t>העירונית</w:t>
      </w:r>
      <w:r w:rsidRPr="00DC5B13">
        <w:rPr>
          <w:rFonts w:eastAsia="Calibri"/>
          <w:b/>
          <w:bCs/>
          <w:rtl/>
        </w:rPr>
        <w:t xml:space="preserve"> (יח"ד </w:t>
      </w:r>
      <w:r w:rsidRPr="00DC5B13">
        <w:rPr>
          <w:rFonts w:eastAsia="Calibri" w:hint="eastAsia"/>
          <w:b/>
          <w:bCs/>
          <w:rtl/>
        </w:rPr>
        <w:t>במצב</w:t>
      </w:r>
      <w:r w:rsidRPr="00DC5B13">
        <w:rPr>
          <w:rFonts w:eastAsia="Calibri"/>
          <w:b/>
          <w:bCs/>
          <w:rtl/>
        </w:rPr>
        <w:t xml:space="preserve"> </w:t>
      </w:r>
      <w:r w:rsidRPr="00DC5B13">
        <w:rPr>
          <w:rFonts w:eastAsia="Calibri" w:hint="eastAsia"/>
          <w:b/>
          <w:bCs/>
          <w:rtl/>
        </w:rPr>
        <w:t>מוצע</w:t>
      </w:r>
      <w:r w:rsidRPr="00DC5B13">
        <w:rPr>
          <w:rFonts w:eastAsia="Calibri"/>
          <w:b/>
          <w:bCs/>
          <w:rtl/>
        </w:rPr>
        <w:t xml:space="preserve">) </w:t>
      </w:r>
      <w:r w:rsidRPr="00DC5B13">
        <w:rPr>
          <w:rFonts w:eastAsia="Calibri" w:hint="eastAsia"/>
          <w:b/>
          <w:bCs/>
          <w:rtl/>
        </w:rPr>
        <w:t>נכון</w:t>
      </w:r>
      <w:r w:rsidRPr="00DC5B13">
        <w:rPr>
          <w:rFonts w:eastAsia="Calibri"/>
          <w:b/>
          <w:bCs/>
          <w:rtl/>
        </w:rPr>
        <w:t xml:space="preserve"> </w:t>
      </w:r>
      <w:r w:rsidRPr="00DC5B13">
        <w:rPr>
          <w:rFonts w:eastAsia="Calibri" w:hint="eastAsia"/>
          <w:b/>
          <w:bCs/>
          <w:rtl/>
        </w:rPr>
        <w:t>ליולי</w:t>
      </w:r>
      <w:r w:rsidRPr="00DC5B13">
        <w:rPr>
          <w:rFonts w:eastAsia="Calibri"/>
          <w:b/>
          <w:bCs/>
          <w:rtl/>
        </w:rPr>
        <w:t xml:space="preserve"> 2025, </w:t>
      </w:r>
      <w:r w:rsidRPr="00DC5B13">
        <w:rPr>
          <w:rFonts w:eastAsia="Calibri" w:hint="eastAsia"/>
          <w:b/>
          <w:bCs/>
          <w:rtl/>
        </w:rPr>
        <w:t>כמפורט</w:t>
      </w:r>
      <w:r w:rsidRPr="00DC5B13">
        <w:rPr>
          <w:rFonts w:eastAsia="Calibri"/>
          <w:b/>
          <w:bCs/>
          <w:rtl/>
        </w:rPr>
        <w:t xml:space="preserve"> </w:t>
      </w:r>
      <w:r w:rsidRPr="00DC5B13">
        <w:rPr>
          <w:rFonts w:eastAsia="Calibri" w:hint="eastAsia"/>
          <w:b/>
          <w:bCs/>
          <w:rtl/>
        </w:rPr>
        <w:t>להלן</w:t>
      </w:r>
      <w:r w:rsidRPr="00DC5B13">
        <w:rPr>
          <w:rFonts w:eastAsia="Calibri"/>
          <w:b/>
          <w:bCs/>
          <w:rtl/>
        </w:rPr>
        <w:t xml:space="preserve">: </w:t>
      </w:r>
      <w:r w:rsidRPr="00DC5B13">
        <w:rPr>
          <w:rFonts w:eastAsia="Calibri" w:hint="eastAsia"/>
          <w:b/>
          <w:bCs/>
          <w:rtl/>
        </w:rPr>
        <w:t>בעיריית</w:t>
      </w:r>
      <w:r w:rsidRPr="00DC5B13">
        <w:rPr>
          <w:rFonts w:eastAsia="Calibri"/>
          <w:b/>
          <w:bCs/>
          <w:rtl/>
        </w:rPr>
        <w:t xml:space="preserve"> לוד הוקמה </w:t>
      </w:r>
      <w:r w:rsidRPr="00DC5B13">
        <w:rPr>
          <w:rFonts w:eastAsia="Calibri" w:hint="eastAsia"/>
          <w:b/>
          <w:bCs/>
          <w:rtl/>
        </w:rPr>
        <w:t>המינהלת</w:t>
      </w:r>
      <w:r w:rsidRPr="00DC5B13">
        <w:rPr>
          <w:rFonts w:eastAsia="Calibri"/>
          <w:b/>
          <w:bCs/>
          <w:rtl/>
        </w:rPr>
        <w:t xml:space="preserve"> ב</w:t>
      </w:r>
      <w:r w:rsidRPr="00DC5B13">
        <w:rPr>
          <w:rFonts w:eastAsia="Calibri" w:hint="eastAsia"/>
          <w:b/>
          <w:bCs/>
          <w:rtl/>
        </w:rPr>
        <w:t>שנת</w:t>
      </w:r>
      <w:r w:rsidRPr="00DC5B13">
        <w:rPr>
          <w:rFonts w:eastAsia="Calibri"/>
          <w:b/>
          <w:bCs/>
          <w:rtl/>
        </w:rPr>
        <w:t xml:space="preserve"> 2017, ומאז הקמתה </w:t>
      </w:r>
      <w:r w:rsidRPr="00DC5B13">
        <w:rPr>
          <w:rFonts w:eastAsia="Calibri" w:hint="eastAsia"/>
          <w:b/>
          <w:bCs/>
          <w:rtl/>
        </w:rPr>
        <w:t>היא</w:t>
      </w:r>
      <w:r w:rsidRPr="00DC5B13">
        <w:rPr>
          <w:rFonts w:eastAsia="Calibri"/>
          <w:b/>
          <w:bCs/>
          <w:rtl/>
        </w:rPr>
        <w:t xml:space="preserve"> קידמה </w:t>
      </w:r>
      <w:r w:rsidRPr="00DC5B13">
        <w:rPr>
          <w:rFonts w:eastAsia="Calibri" w:hint="eastAsia"/>
          <w:b/>
          <w:bCs/>
          <w:rtl/>
        </w:rPr>
        <w:t>עשרה</w:t>
      </w:r>
      <w:r w:rsidRPr="00DC5B13">
        <w:rPr>
          <w:rFonts w:eastAsia="Calibri"/>
          <w:b/>
          <w:bCs/>
          <w:rtl/>
        </w:rPr>
        <w:t xml:space="preserve"> פרויקטים של מיזמי התחדשות עירונית להקמת </w:t>
      </w:r>
      <w:r w:rsidRPr="00DC5B13">
        <w:rPr>
          <w:rFonts w:eastAsia="Calibri" w:hint="eastAsia"/>
          <w:b/>
          <w:bCs/>
          <w:rtl/>
        </w:rPr>
        <w:t>כ</w:t>
      </w:r>
      <w:r w:rsidRPr="00DC5B13">
        <w:rPr>
          <w:rFonts w:eastAsia="Calibri"/>
          <w:b/>
          <w:bCs/>
          <w:rtl/>
        </w:rPr>
        <w:t xml:space="preserve">-18,800 יח"ד, </w:t>
      </w:r>
      <w:r w:rsidRPr="00DC5B13">
        <w:rPr>
          <w:rFonts w:eastAsia="Calibri" w:hint="cs"/>
          <w:b/>
          <w:bCs/>
          <w:rtl/>
        </w:rPr>
        <w:t>ובמסגרתם הוצאו כ-1,500 היתרי בנייה (כ-8% מתוך כלל יח"ד במצב מוצע);</w:t>
      </w:r>
      <w:r w:rsidRPr="00DC5B13">
        <w:rPr>
          <w:rFonts w:eastAsia="Calibri" w:hint="cs"/>
          <w:rtl/>
        </w:rPr>
        <w:t xml:space="preserve"> </w:t>
      </w:r>
      <w:r w:rsidRPr="00DC5B13">
        <w:rPr>
          <w:rFonts w:eastAsia="Calibri" w:hint="cs"/>
          <w:b/>
          <w:bCs/>
          <w:rtl/>
        </w:rPr>
        <w:t xml:space="preserve">בעיריית נתניה הוקמה המינהלת בשנת 2017 ומאז הקמתה היא קידמה 41 פרויקטים של מיזמי התחדשות עירונית להקמת כ-15,800 יח"ד, ובמסגרתם הוצאו כ-5,600 היתרי בנייה (כ-36% מתוך כלל יח"ד במצב מוצע); המינהלת העירונית בעיריית קריית שמונה </w:t>
      </w:r>
      <w:r w:rsidRPr="00DC5B13">
        <w:rPr>
          <w:rFonts w:eastAsia="Calibri" w:hint="eastAsia"/>
          <w:b/>
          <w:bCs/>
          <w:rtl/>
        </w:rPr>
        <w:t>החלה</w:t>
      </w:r>
      <w:r w:rsidRPr="00DC5B13">
        <w:rPr>
          <w:rFonts w:eastAsia="Calibri"/>
          <w:b/>
          <w:bCs/>
          <w:rtl/>
        </w:rPr>
        <w:t xml:space="preserve"> </w:t>
      </w:r>
      <w:r w:rsidRPr="00DC5B13">
        <w:rPr>
          <w:rFonts w:eastAsia="Calibri" w:hint="eastAsia"/>
          <w:b/>
          <w:bCs/>
          <w:rtl/>
        </w:rPr>
        <w:t>לפעול</w:t>
      </w:r>
      <w:r w:rsidRPr="00DC5B13">
        <w:rPr>
          <w:rFonts w:eastAsia="Calibri"/>
          <w:b/>
          <w:bCs/>
          <w:rtl/>
        </w:rPr>
        <w:t xml:space="preserve"> </w:t>
      </w:r>
      <w:r w:rsidRPr="00DC5B13">
        <w:rPr>
          <w:rFonts w:eastAsia="Calibri" w:hint="eastAsia"/>
          <w:b/>
          <w:bCs/>
          <w:rtl/>
        </w:rPr>
        <w:t>ב</w:t>
      </w:r>
      <w:r w:rsidRPr="00DC5B13">
        <w:rPr>
          <w:rFonts w:eastAsia="Calibri" w:hint="cs"/>
          <w:b/>
          <w:bCs/>
          <w:rtl/>
        </w:rPr>
        <w:t xml:space="preserve">יולי 2025, </w:t>
      </w:r>
      <w:r w:rsidRPr="00DC5B13">
        <w:rPr>
          <w:rFonts w:ascii="David" w:eastAsia="Calibri" w:hAnsi="David" w:hint="cs"/>
          <w:b/>
          <w:bCs/>
          <w:sz w:val="24"/>
          <w:rtl/>
        </w:rPr>
        <w:t>וצוות המינהלת קידם עוד קודם לכן</w:t>
      </w:r>
      <w:r w:rsidRPr="00DC5B13">
        <w:rPr>
          <w:rFonts w:eastAsia="Calibri" w:hint="cs"/>
          <w:b/>
          <w:bCs/>
          <w:rtl/>
        </w:rPr>
        <w:t xml:space="preserve"> 12 מיזמים של התחדשות עירונית להקמת כ-9,200 יח"ד, אולם שום מיזם אינו נמצא בהליכי מימוש נכון ליולי 2025. </w:t>
      </w:r>
    </w:p>
    <w:p w:rsidR="00DC5B13" w:rsidRPr="00DC5B13" w:rsidP="00C34B23">
      <w:pPr>
        <w:spacing w:line="269" w:lineRule="auto"/>
        <w:rPr>
          <w:rFonts w:eastAsia="Calibri"/>
          <w:b/>
          <w:bCs/>
          <w:rtl/>
        </w:rPr>
      </w:pPr>
    </w:p>
    <w:p w:rsidR="00DC5B13" w:rsidRPr="00DC5B13" w:rsidP="00037943">
      <w:pPr>
        <w:spacing w:line="269" w:lineRule="auto"/>
        <w:rPr>
          <w:rFonts w:eastAsia="Calibri"/>
          <w:b/>
          <w:bCs/>
          <w:rtl/>
        </w:rPr>
      </w:pPr>
      <w:r w:rsidRPr="00DC5B13">
        <w:rPr>
          <w:rFonts w:eastAsia="Calibri" w:hint="cs"/>
          <w:rtl/>
        </w:rPr>
        <w:t>הרשות להתחדשות מסרה בתשובתה כי הפער בין מספר יחידות הדיור במצב המוצע לבין מספר יחידות הדיור שקיבלו היתר בנייה הוא פער מובנה, הנובע ממשך הזמן הדרוש להוצאת היתרי בנייה לאחר אישור תוכניות מתאר.</w:t>
      </w:r>
    </w:p>
    <w:p w:rsidR="00DC5B13" w:rsidRPr="00DC5B13" w:rsidP="00C34B23">
      <w:pPr>
        <w:spacing w:line="269" w:lineRule="auto"/>
        <w:rPr>
          <w:rFonts w:eastAsia="Calibri"/>
          <w:b/>
          <w:bCs/>
          <w:rtl/>
        </w:rPr>
      </w:pPr>
    </w:p>
    <w:p w:rsidR="00DC5B13" w:rsidRPr="00DC5B13" w:rsidP="00C34B23">
      <w:pPr>
        <w:spacing w:line="269" w:lineRule="auto"/>
        <w:jc w:val="center"/>
        <w:rPr>
          <w:rFonts w:ascii="Segoe UI Symbol" w:eastAsia="Calibri" w:hAnsi="Segoe UI Symbol" w:cs="Segoe UI Symbol"/>
          <w:sz w:val="36"/>
          <w:rtl/>
        </w:rPr>
      </w:pPr>
      <w:r w:rsidRPr="00DC5B13">
        <w:rPr>
          <w:rFonts w:ascii="Segoe UI Symbol" w:eastAsia="Calibri" w:hAnsi="Segoe UI Symbol" w:cs="Segoe UI Symbol" w:hint="cs"/>
          <w:sz w:val="36"/>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b/>
          <w:bCs/>
          <w:rtl/>
        </w:rPr>
        <w:t>מערך המינהלות הוא</w:t>
      </w:r>
      <w:r w:rsidRPr="00DC5B13">
        <w:rPr>
          <w:rFonts w:eastAsia="Calibri"/>
          <w:b/>
          <w:bCs/>
          <w:rtl/>
        </w:rPr>
        <w:t xml:space="preserve"> נדבך </w:t>
      </w:r>
      <w:r w:rsidRPr="00DC5B13">
        <w:rPr>
          <w:rFonts w:eastAsia="Calibri" w:hint="cs"/>
          <w:b/>
          <w:bCs/>
          <w:rtl/>
        </w:rPr>
        <w:t xml:space="preserve">חיוני </w:t>
      </w:r>
      <w:r w:rsidRPr="00DC5B13">
        <w:rPr>
          <w:rFonts w:eastAsia="Calibri"/>
          <w:b/>
          <w:bCs/>
          <w:rtl/>
        </w:rPr>
        <w:t>בקידום</w:t>
      </w:r>
      <w:r w:rsidRPr="00DC5B13">
        <w:rPr>
          <w:rFonts w:eastAsia="Calibri" w:hint="cs"/>
          <w:b/>
          <w:bCs/>
          <w:rtl/>
        </w:rPr>
        <w:t xml:space="preserve"> תהליכי ההתחדשות העירונית, בליווי התהליכים וביישומם. בביקורת עלה</w:t>
      </w:r>
      <w:r w:rsidRPr="00DC5B13">
        <w:rPr>
          <w:rFonts w:eastAsia="Calibri"/>
          <w:b/>
          <w:bCs/>
          <w:rtl/>
        </w:rPr>
        <w:t xml:space="preserve"> כי </w:t>
      </w:r>
      <w:r w:rsidRPr="00DC5B13">
        <w:rPr>
          <w:rFonts w:eastAsia="Calibri" w:hint="cs"/>
          <w:b/>
          <w:bCs/>
          <w:rtl/>
        </w:rPr>
        <w:t>המינהלות מביאות תועלות לרשות המקומית, לתושבים ולבעלי עניין אחרים, המתבטאות בין היתר ביכולת לרכז את הידע הרלוונטי להתחדשות העירונית בתחומי הרשות המקומית</w:t>
      </w:r>
      <w:r w:rsidRPr="00DC5B13">
        <w:rPr>
          <w:rFonts w:eastAsia="Calibri"/>
          <w:b/>
          <w:bCs/>
          <w:rtl/>
        </w:rPr>
        <w:t xml:space="preserve"> </w:t>
      </w:r>
      <w:r w:rsidRPr="00DC5B13">
        <w:rPr>
          <w:rFonts w:eastAsia="Calibri" w:hint="cs"/>
          <w:b/>
          <w:bCs/>
          <w:rtl/>
        </w:rPr>
        <w:t>לשם</w:t>
      </w:r>
      <w:r w:rsidRPr="00DC5B13">
        <w:rPr>
          <w:rFonts w:eastAsia="Calibri"/>
          <w:b/>
          <w:bCs/>
          <w:rtl/>
        </w:rPr>
        <w:t xml:space="preserve"> </w:t>
      </w:r>
      <w:r w:rsidRPr="00DC5B13">
        <w:rPr>
          <w:rFonts w:eastAsia="Calibri" w:hint="cs"/>
          <w:b/>
          <w:bCs/>
          <w:rtl/>
        </w:rPr>
        <w:t xml:space="preserve">יצירת </w:t>
      </w:r>
      <w:r w:rsidRPr="00DC5B13">
        <w:rPr>
          <w:rFonts w:eastAsia="Calibri"/>
          <w:b/>
          <w:bCs/>
          <w:rtl/>
        </w:rPr>
        <w:t xml:space="preserve">רציפות ויעילות בטיפול בתהליכים </w:t>
      </w:r>
      <w:r w:rsidRPr="00DC5B13">
        <w:rPr>
          <w:rFonts w:eastAsia="Calibri" w:hint="cs"/>
          <w:b/>
          <w:bCs/>
          <w:rtl/>
        </w:rPr>
        <w:t>ה</w:t>
      </w:r>
      <w:r w:rsidRPr="00DC5B13">
        <w:rPr>
          <w:rFonts w:eastAsia="Calibri"/>
          <w:b/>
          <w:bCs/>
          <w:rtl/>
        </w:rPr>
        <w:t>ממושכים ו</w:t>
      </w:r>
      <w:r w:rsidRPr="00DC5B13">
        <w:rPr>
          <w:rFonts w:eastAsia="Calibri" w:hint="cs"/>
          <w:b/>
          <w:bCs/>
          <w:rtl/>
        </w:rPr>
        <w:t>ה</w:t>
      </w:r>
      <w:r w:rsidRPr="00DC5B13">
        <w:rPr>
          <w:rFonts w:eastAsia="Calibri"/>
          <w:b/>
          <w:bCs/>
          <w:rtl/>
        </w:rPr>
        <w:t>מורכבים</w:t>
      </w:r>
      <w:r w:rsidRPr="00DC5B13">
        <w:rPr>
          <w:rFonts w:eastAsia="Calibri" w:hint="cs"/>
          <w:b/>
          <w:bCs/>
          <w:rtl/>
        </w:rPr>
        <w:t xml:space="preserve"> הללו. יתר על כן, המינהלות הן מוקד אחיד לפניותיהם של כלל המעורבים בתהליכי ההתחדשות, לרבות יזמים ותושבים. ברשויות שנבדקו עלה כי המינהלות קידמו עבודה חברתית וליוו ברציפות אוכלוסיות מוחלשות בתהליכי ההתחדשות.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bookmarkStart w:id="33" w:name="_Hlk217394618"/>
      <w:r w:rsidRPr="00DC5B13">
        <w:rPr>
          <w:rFonts w:eastAsia="Calibri" w:hint="cs"/>
          <w:b/>
          <w:bCs/>
          <w:rtl/>
        </w:rPr>
        <w:t xml:space="preserve">בביקורת התגלו פערים ניכרים במידע שהציגו משרד השיכון, הרשות להתחדשות עירונית והרשויות המקומיות שנבדקו בנוגע להיקפי ההתחדשות העירונית ברשויות: בלוד התגלה פער של כ-40,000 יחידות דיור המעורבות בתהליכי ההתחדשות העירונית בין הנתונים שנמסרו </w:t>
      </w:r>
      <w:r w:rsidRPr="00DC5B13">
        <w:rPr>
          <w:rFonts w:eastAsia="Calibri" w:hint="cs"/>
          <w:b/>
          <w:bCs/>
          <w:rtl/>
        </w:rPr>
        <w:t xml:space="preserve">משלושת המקורות ופער של כ-15,000 יחידות דיור המצויות בשלב הרישוי בין מקורות אלה; לרשות להתחדשות עירונית אין נתונים על המיזמים המקודמים בתחום העיר קריית שמונה. </w:t>
      </w:r>
      <w:bookmarkEnd w:id="33"/>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הפערים שתוארו בתת הפרק מצביעים על היעדר תיאום בעדכון המידע בין הגופים האמורים לשתף פעולה בתהליכי ההתחדשות העירונית - </w:t>
      </w:r>
      <w:r w:rsidRPr="00DC5B13">
        <w:rPr>
          <w:rFonts w:eastAsia="Calibri"/>
          <w:b/>
          <w:bCs/>
          <w:rtl/>
        </w:rPr>
        <w:t xml:space="preserve">דבר </w:t>
      </w:r>
      <w:r w:rsidRPr="00DC5B13">
        <w:rPr>
          <w:rFonts w:eastAsia="Calibri" w:hint="cs"/>
          <w:b/>
          <w:bCs/>
          <w:rtl/>
        </w:rPr>
        <w:t>ה</w:t>
      </w:r>
      <w:r w:rsidRPr="00DC5B13">
        <w:rPr>
          <w:rFonts w:eastAsia="Calibri"/>
          <w:b/>
          <w:bCs/>
          <w:rtl/>
        </w:rPr>
        <w:t xml:space="preserve">עלול להשפיע על קבלת </w:t>
      </w:r>
      <w:r w:rsidRPr="00DC5B13">
        <w:rPr>
          <w:rFonts w:eastAsia="Calibri" w:hint="cs"/>
          <w:b/>
          <w:bCs/>
          <w:rtl/>
        </w:rPr>
        <w:t>ה</w:t>
      </w:r>
      <w:r w:rsidRPr="00DC5B13">
        <w:rPr>
          <w:rFonts w:eastAsia="Calibri"/>
          <w:b/>
          <w:bCs/>
          <w:rtl/>
        </w:rPr>
        <w:t>החלטות ועל הפניית משאבים הולמת לצורך קידום מיזמים אלה</w:t>
      </w:r>
      <w:r w:rsidRPr="00DC5B13">
        <w:rPr>
          <w:rFonts w:eastAsia="Calibri" w:hint="cs"/>
          <w:b/>
          <w:bCs/>
          <w:rtl/>
        </w:rPr>
        <w:t>.</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Pr>
      </w:pPr>
      <w:r w:rsidRPr="00DC5B13">
        <w:rPr>
          <w:rFonts w:eastAsia="Calibri" w:hint="cs"/>
          <w:rtl/>
        </w:rPr>
        <w:t xml:space="preserve">עיריית </w:t>
      </w:r>
      <w:r w:rsidRPr="00DC5B13">
        <w:rPr>
          <w:rFonts w:eastAsia="Calibri" w:hint="cs"/>
          <w:b/>
          <w:bCs/>
          <w:rtl/>
        </w:rPr>
        <w:t>קריית ים</w:t>
      </w:r>
      <w:r w:rsidRPr="00DC5B13">
        <w:rPr>
          <w:rFonts w:eastAsia="Calibri" w:hint="cs"/>
          <w:rtl/>
        </w:rPr>
        <w:t xml:space="preserve"> מסרה בתשובה כי היא פועלת לטיוב הנתונים מול הרשות להתחדשות, וכי היא סבורה שהפער במידע נובע מהכללת מתחמים שנמצאים בשלבי תכנון מקדמיים ("טרום-הכרזה"), שהעירייה כבר מקדמת באופן פעיל.</w:t>
      </w:r>
    </w:p>
    <w:p w:rsidR="00DC5B13" w:rsidRPr="00DC5B13" w:rsidP="00C34B23">
      <w:pPr>
        <w:spacing w:line="269" w:lineRule="auto"/>
        <w:ind w:left="-567"/>
        <w:rPr>
          <w:rFonts w:eastAsia="Calibri"/>
          <w:szCs w:val="20"/>
          <w:rtl/>
        </w:rPr>
      </w:pPr>
      <w:bookmarkStart w:id="34" w:name="_Hlk219974074"/>
      <w:bookmarkStart w:id="35" w:name="_Hlk217395026"/>
    </w:p>
    <w:p w:rsidR="00DC5B13" w:rsidRPr="00DC5B13" w:rsidP="00C34B23">
      <w:pPr>
        <w:spacing w:line="269" w:lineRule="auto"/>
        <w:rPr>
          <w:rFonts w:eastAsia="Times New Roman"/>
          <w:bCs/>
          <w:szCs w:val="28"/>
          <w:u w:val="single"/>
          <w:rtl/>
        </w:rPr>
      </w:pPr>
      <w:r w:rsidRPr="00DC5B13">
        <w:rPr>
          <w:rFonts w:eastAsia="Calibri" w:hint="cs"/>
          <w:b/>
          <w:bCs/>
          <w:rtl/>
        </w:rPr>
        <w:t xml:space="preserve">מן הראוי שמשרד השיכון והרשות להתחדשות עירונית יוודאו </w:t>
      </w:r>
      <w:bookmarkEnd w:id="34"/>
      <w:r w:rsidRPr="00DC5B13">
        <w:rPr>
          <w:rFonts w:eastAsia="Calibri" w:hint="cs"/>
          <w:b/>
          <w:bCs/>
          <w:rtl/>
        </w:rPr>
        <w:t>כי המידע שברשותם עדכני ומדויק וכי המידע שהם מציגים לציבור משקף את המצב לאשורו. זאת כדי שיוכלו לעקוב ביעילות אחר תהליכי ההתחדשות העירונית, להסיק מהם מסקנות בזמן אמת, להפיק לקחים לעתיד ולהציג מידע אמין לציבור.</w:t>
      </w:r>
      <w:bookmarkEnd w:id="35"/>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משרד השיכון מסר בתשובתו למשרד מבקר המדינה כי הוא מקבל</w:t>
      </w:r>
      <w:r w:rsidRPr="00DC5B13">
        <w:rPr>
          <w:rFonts w:eastAsia="Calibri"/>
          <w:rtl/>
        </w:rPr>
        <w:t xml:space="preserve"> את המלצת המבקר. </w:t>
      </w:r>
      <w:r w:rsidRPr="00DC5B13">
        <w:rPr>
          <w:rFonts w:eastAsia="Calibri" w:hint="cs"/>
          <w:rtl/>
        </w:rPr>
        <w:t>המשרד</w:t>
      </w:r>
      <w:r w:rsidRPr="00DC5B13">
        <w:rPr>
          <w:rFonts w:eastAsia="Calibri"/>
          <w:rtl/>
        </w:rPr>
        <w:t xml:space="preserve"> יבצע בדיקה ותיאום מול הרשות להתחדשות</w:t>
      </w:r>
      <w:r w:rsidRPr="00DC5B13">
        <w:rPr>
          <w:rFonts w:eastAsia="Calibri" w:hint="cs"/>
          <w:rtl/>
        </w:rPr>
        <w:t xml:space="preserve"> </w:t>
      </w:r>
      <w:r w:rsidRPr="00DC5B13">
        <w:rPr>
          <w:rFonts w:eastAsia="Calibri"/>
          <w:rtl/>
        </w:rPr>
        <w:t xml:space="preserve">עירונית </w:t>
      </w:r>
      <w:r w:rsidRPr="00DC5B13">
        <w:rPr>
          <w:rFonts w:eastAsia="Calibri" w:hint="cs"/>
          <w:rtl/>
        </w:rPr>
        <w:t>ויפעל</w:t>
      </w:r>
      <w:r w:rsidRPr="00DC5B13">
        <w:rPr>
          <w:rFonts w:eastAsia="Calibri"/>
          <w:rtl/>
        </w:rPr>
        <w:t xml:space="preserve"> </w:t>
      </w:r>
      <w:r w:rsidRPr="00DC5B13">
        <w:rPr>
          <w:rFonts w:eastAsia="Calibri" w:hint="cs"/>
          <w:rtl/>
        </w:rPr>
        <w:t>לשיפור</w:t>
      </w:r>
      <w:r w:rsidRPr="00DC5B13">
        <w:rPr>
          <w:rFonts w:eastAsia="Calibri"/>
          <w:rtl/>
        </w:rPr>
        <w:t xml:space="preserve"> התיאום ו</w:t>
      </w:r>
      <w:r w:rsidRPr="00DC5B13">
        <w:rPr>
          <w:rFonts w:eastAsia="Calibri" w:hint="cs"/>
          <w:rtl/>
        </w:rPr>
        <w:t>ה</w:t>
      </w:r>
      <w:r w:rsidRPr="00DC5B13">
        <w:rPr>
          <w:rFonts w:eastAsia="Calibri"/>
          <w:rtl/>
        </w:rPr>
        <w:t xml:space="preserve">סנכרון </w:t>
      </w:r>
      <w:r w:rsidRPr="00DC5B13">
        <w:rPr>
          <w:rFonts w:eastAsia="Calibri" w:hint="cs"/>
          <w:rtl/>
        </w:rPr>
        <w:t xml:space="preserve">בין </w:t>
      </w:r>
      <w:r w:rsidRPr="00DC5B13">
        <w:rPr>
          <w:rFonts w:eastAsia="Calibri"/>
          <w:rtl/>
        </w:rPr>
        <w:t xml:space="preserve">המערכות </w:t>
      </w:r>
      <w:r w:rsidRPr="00DC5B13">
        <w:rPr>
          <w:rFonts w:eastAsia="Calibri" w:hint="cs"/>
          <w:rtl/>
        </w:rPr>
        <w:t>ובין</w:t>
      </w:r>
      <w:r w:rsidRPr="00DC5B13">
        <w:rPr>
          <w:rFonts w:eastAsia="Calibri"/>
          <w:rtl/>
        </w:rPr>
        <w:t xml:space="preserve"> הרשויות המקומיות, כדי לוודא שהמידע המוצג בלוח המחוונים</w:t>
      </w:r>
      <w:r w:rsidRPr="00DC5B13">
        <w:rPr>
          <w:rFonts w:eastAsia="Calibri" w:hint="cs"/>
          <w:rtl/>
        </w:rPr>
        <w:t xml:space="preserve"> </w:t>
      </w:r>
      <w:r w:rsidRPr="00DC5B13">
        <w:rPr>
          <w:rFonts w:eastAsia="Calibri"/>
          <w:rtl/>
        </w:rPr>
        <w:t xml:space="preserve">הלאומי יהיה עדכני, אמין ומדויק ויאפשר קבלת החלטות מושכלת </w:t>
      </w:r>
      <w:r w:rsidRPr="00DC5B13">
        <w:rPr>
          <w:rFonts w:eastAsia="Calibri" w:hint="cs"/>
          <w:rtl/>
        </w:rPr>
        <w:t>והקצאת</w:t>
      </w:r>
      <w:r w:rsidRPr="00DC5B13">
        <w:rPr>
          <w:rFonts w:eastAsia="Calibri"/>
          <w:rtl/>
        </w:rPr>
        <w:t xml:space="preserve"> משאבים יעילה.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קריית שמונה</w:t>
      </w:r>
      <w:r w:rsidRPr="00DC5B13">
        <w:rPr>
          <w:rFonts w:eastAsia="Calibri" w:hint="cs"/>
          <w:rtl/>
        </w:rPr>
        <w:t xml:space="preserve"> מסרה בתשובתה כי מיזמי ההתחדשות העירונית בתחום שיפוטה טרם הגיעו לשלב ההיתרים ולכן היא מתקשה למפות חסמים הנוגעים לשלב זה מתוך ניסיונה. עם זאת, העירייה צופה כי יתעוררו חסמים שיעכבו את מימוש המיזמים לאחר אישורם, וזאת בשל היעדר תקציבים להשלמת הכדאיות הכלכלית של המיזמים ולביצוע המטלות הציבוריות על ידי הרשות המקומית.</w:t>
      </w:r>
    </w:p>
    <w:p w:rsidR="00DC5B13" w:rsidRPr="00DC5B13" w:rsidP="00C34B23">
      <w:pPr>
        <w:spacing w:line="269" w:lineRule="auto"/>
        <w:rPr>
          <w:rFonts w:eastAsia="Calibri"/>
          <w:b/>
          <w:bCs/>
          <w:rtl/>
        </w:rPr>
      </w:pPr>
      <w:r w:rsidRPr="00DC5B13">
        <w:rPr>
          <w:rFonts w:eastAsia="Calibri" w:hint="cs"/>
          <w:b/>
          <w:bCs/>
          <w:rtl/>
        </w:rPr>
        <w:t>ממצאי הביקורת העלו פערים ביחס בין מספר יח"ד שקיבלו היתר בנייה לבין מספר יח"ד שתוכננו במסגרת פרויקטים של התחדשות עירונית ברשויות שנבדקו. לפיכך מומלץ כי הרשות להתחדשות והרשויות שנבדקו - לוד, נתניה קריית ים, וקריית שמונה - יבחנו וימפו את החסמים בתהליך ההתחדשות העירונית כולו, לרבות הוצאת היתרי בנייה במיזמים של התחדשות עירונית שמקדמת המינהלת העירונית בתחום שיפוטן, שגרמו לפערים האמורים.</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לנוכח תפקידן המרכזי של המינהלות העירוניות בהגברת הוודאות והשקיפות כלפי כל בעלי העניין הנוגעים בדבר ובהם תושבים, יזמים ואנשי מקצוע; ולנוכח הסיוע של פעולת המינהלות לקידום תהליכי התחדשות עירונית ברשויות שבהן הן פועלות, מומלץ כי הרשות להתחדשות תמשיך לקדם את הקמתן של מינהלות עירוניות ברשויות המקומיות.</w:t>
      </w:r>
    </w:p>
    <w:p w:rsidR="00DC5B13" w:rsidRPr="00DC5B13" w:rsidP="00C34B23">
      <w:pPr>
        <w:spacing w:line="269" w:lineRule="auto"/>
        <w:ind w:left="-567"/>
        <w:rPr>
          <w:rFonts w:eastAsia="Calibri"/>
          <w:szCs w:val="20"/>
          <w:rtl/>
        </w:rPr>
      </w:pPr>
    </w:p>
    <w:p w:rsidR="00DC5B13" w:rsidP="00C34B23">
      <w:pPr>
        <w:spacing w:line="269" w:lineRule="auto"/>
        <w:rPr>
          <w:rFonts w:eastAsia="Calibri"/>
          <w:rtl/>
        </w:rPr>
      </w:pPr>
      <w:bookmarkStart w:id="36" w:name="_Hlk230590520"/>
      <w:r w:rsidRPr="00DC5B13">
        <w:rPr>
          <w:rFonts w:eastAsia="Calibri" w:hint="cs"/>
          <w:rtl/>
        </w:rPr>
        <w:t xml:space="preserve">משרד השיכון מסר בתשובתו </w:t>
      </w:r>
      <w:bookmarkEnd w:id="36"/>
      <w:r w:rsidRPr="00DC5B13">
        <w:rPr>
          <w:rFonts w:eastAsia="Calibri" w:hint="cs"/>
          <w:rtl/>
        </w:rPr>
        <w:t>כי הוא מקבל</w:t>
      </w:r>
      <w:r w:rsidRPr="00DC5B13">
        <w:rPr>
          <w:rFonts w:eastAsia="Calibri"/>
          <w:rtl/>
        </w:rPr>
        <w:t xml:space="preserve"> את</w:t>
      </w:r>
      <w:r w:rsidRPr="00DC5B13">
        <w:rPr>
          <w:rFonts w:eastAsia="Calibri" w:hint="cs"/>
          <w:rtl/>
        </w:rPr>
        <w:t xml:space="preserve"> </w:t>
      </w:r>
      <w:r w:rsidRPr="00DC5B13">
        <w:rPr>
          <w:rFonts w:eastAsia="Calibri"/>
          <w:rtl/>
        </w:rPr>
        <w:t>המלצת המבקר</w:t>
      </w:r>
      <w:r w:rsidRPr="00DC5B13">
        <w:rPr>
          <w:rFonts w:eastAsia="Calibri" w:hint="cs"/>
          <w:rtl/>
        </w:rPr>
        <w:t>, המחזקת את מדיניות הרשות להתחדשות</w:t>
      </w:r>
      <w:r w:rsidRPr="00DC5B13">
        <w:rPr>
          <w:rFonts w:eastAsia="Calibri"/>
          <w:rtl/>
        </w:rPr>
        <w:t xml:space="preserve"> </w:t>
      </w:r>
      <w:r w:rsidRPr="00DC5B13">
        <w:rPr>
          <w:rFonts w:eastAsia="Calibri" w:hint="cs"/>
          <w:rtl/>
        </w:rPr>
        <w:t>ולפיה יש</w:t>
      </w:r>
      <w:r w:rsidRPr="00DC5B13">
        <w:rPr>
          <w:rFonts w:eastAsia="Calibri" w:hint="cs"/>
        </w:rPr>
        <w:t xml:space="preserve"> </w:t>
      </w:r>
      <w:r w:rsidRPr="00DC5B13">
        <w:rPr>
          <w:rFonts w:eastAsia="Calibri"/>
          <w:rtl/>
        </w:rPr>
        <w:t xml:space="preserve">להמשיך לקדם הקמת מינהלות נוספות, </w:t>
      </w:r>
      <w:r w:rsidRPr="00DC5B13">
        <w:rPr>
          <w:rFonts w:eastAsia="Calibri" w:hint="cs"/>
          <w:rtl/>
        </w:rPr>
        <w:t xml:space="preserve">אם </w:t>
      </w:r>
      <w:r w:rsidRPr="00DC5B13">
        <w:rPr>
          <w:rFonts w:eastAsia="Calibri"/>
          <w:rtl/>
        </w:rPr>
        <w:t xml:space="preserve">מסגרות התקציב יאפשרו זאת, </w:t>
      </w:r>
      <w:r w:rsidRPr="00DC5B13">
        <w:rPr>
          <w:rFonts w:eastAsia="Calibri" w:hint="cs"/>
          <w:rtl/>
        </w:rPr>
        <w:t>ו</w:t>
      </w:r>
      <w:r w:rsidRPr="00DC5B13">
        <w:rPr>
          <w:rFonts w:eastAsia="Calibri"/>
          <w:rtl/>
        </w:rPr>
        <w:t xml:space="preserve">עם זאת </w:t>
      </w:r>
      <w:r w:rsidRPr="00DC5B13">
        <w:rPr>
          <w:rFonts w:eastAsia="Calibri" w:hint="cs"/>
          <w:rtl/>
        </w:rPr>
        <w:t>לנוכח</w:t>
      </w:r>
      <w:r w:rsidRPr="00DC5B13">
        <w:rPr>
          <w:rFonts w:eastAsia="Calibri"/>
          <w:rtl/>
        </w:rPr>
        <w:t xml:space="preserve"> הקיצוץ</w:t>
      </w:r>
      <w:r w:rsidRPr="00DC5B13">
        <w:rPr>
          <w:rFonts w:eastAsia="Calibri" w:hint="cs"/>
          <w:rtl/>
        </w:rPr>
        <w:t xml:space="preserve"> </w:t>
      </w:r>
      <w:r w:rsidRPr="00DC5B13">
        <w:rPr>
          <w:rFonts w:eastAsia="Calibri"/>
          <w:rtl/>
        </w:rPr>
        <w:t>הצפוי בתקציב משרדי הממשלה לשנת</w:t>
      </w:r>
      <w:r w:rsidRPr="00DC5B13">
        <w:rPr>
          <w:rFonts w:eastAsia="Calibri" w:hint="cs"/>
          <w:rtl/>
        </w:rPr>
        <w:t xml:space="preserve"> 2026, </w:t>
      </w:r>
      <w:r w:rsidRPr="00DC5B13">
        <w:rPr>
          <w:rFonts w:eastAsia="Calibri"/>
          <w:rtl/>
        </w:rPr>
        <w:t>להבנתו לא יתפרסם קול קורא להקמת מינהלות חדשות בשנה זו.</w:t>
      </w:r>
    </w:p>
    <w:p w:rsidR="00D746C2" w:rsidP="00C34B23">
      <w:pPr>
        <w:spacing w:line="269" w:lineRule="auto"/>
        <w:rPr>
          <w:rFonts w:eastAsia="Calibri"/>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hint="cs"/>
          <w:bCs/>
          <w:szCs w:val="28"/>
          <w:u w:val="single"/>
          <w:rtl/>
        </w:rPr>
        <w:t>הסכמי מסגרת לקידום התחדשות עירונית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תהליכי התחדשות עירונית כרוכים בהוספת יחידות דיור ואוכלוסייה לשטח עירוני קיים - ומכאן שהם מחייבים עיבוי של התשתיות הציבוריות הקיימות כדי שיתאימו לגידול במספר התושבים ובצרכים הנובעים מכך.</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במרץ 2022 פרסמה הרשות להתחדשות מסמך </w:t>
      </w:r>
      <w:r w:rsidRPr="00DC5B13">
        <w:rPr>
          <w:rFonts w:eastAsia="Calibri"/>
          <w:rtl/>
        </w:rPr>
        <w:t>עקרונות למימון תשתיות תומכות התחדשות עירונית לרשויות מקומיות</w:t>
      </w:r>
      <w:r w:rsidRPr="00DC5B13">
        <w:rPr>
          <w:rFonts w:eastAsia="Calibri" w:hint="cs"/>
          <w:rtl/>
        </w:rPr>
        <w:t xml:space="preserve"> (להלן - מסמך הסכמי מסגרת או המסמך). המסמך נכתב בעקבות החלטת הממשלה שקבעה יעד לבניית כ-16,000 יחידות דיור בכל שנה במסגרת מיזמים </w:t>
      </w:r>
      <w:r w:rsidRPr="00DC5B13">
        <w:rPr>
          <w:rFonts w:eastAsia="Calibri" w:hint="cs"/>
          <w:rtl/>
        </w:rPr>
        <w:t>להתחדשות עירונית</w:t>
      </w:r>
      <w:r>
        <w:rPr>
          <w:rFonts w:eastAsia="Calibri"/>
          <w:vertAlign w:val="superscript"/>
          <w:rtl/>
        </w:rPr>
        <w:footnoteReference w:id="115"/>
      </w:r>
      <w:r w:rsidRPr="00DC5B13">
        <w:rPr>
          <w:rFonts w:eastAsia="Calibri" w:hint="cs"/>
          <w:rtl/>
        </w:rPr>
        <w:t>, ולאחר פרסום החלטת ממשלה ייעודית למימון, חידוש ושדרוג של תשתיות בעלות זיקה ישירה לתוכניות התחדשות עירונית, וזאת כדי לסייע בהשגת יעד הבנייה שקבעה הממשלה כאמור</w:t>
      </w:r>
      <w:r>
        <w:rPr>
          <w:rFonts w:eastAsia="Calibri"/>
          <w:vertAlign w:val="superscript"/>
          <w:rtl/>
        </w:rPr>
        <w:footnoteReference w:id="116"/>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מסמך הסכמי המסגרת קובע עקרונות לחלוקתם של כ-440 מיליון ש"ח לרשויות המקומיות הזכאיות לכך - וזאת לאחר שיקימו את התשתיות שעליהן סוכם</w:t>
      </w:r>
      <w:r>
        <w:rPr>
          <w:rFonts w:eastAsia="Calibri"/>
          <w:vertAlign w:val="superscript"/>
          <w:rtl/>
        </w:rPr>
        <w:footnoteReference w:id="117"/>
      </w:r>
      <w:r w:rsidRPr="00DC5B13">
        <w:rPr>
          <w:rFonts w:eastAsia="Calibri" w:hint="cs"/>
          <w:rtl/>
        </w:rPr>
        <w:t>. סכום זה יועמד במצטבר לזכות הרשות להתחדשות, והיא תוכל לחלקו בין הרשויות המקומיות שיחתמו על הסכמי מסגרת על פי עקרונות המסמך בעבור תשתיות שהוקמו בפועל בזיקה להתחדשות עירונית וכפוף להתחייבויות שיתוארו להלן. תקופת זכאותה של רשות מקומית לקבלת כספים מכוח ההסכם נקבעה ל-31.7.26 (לעניין הוצאת היתרי בנייה) ול-31.12.30 לעניין ביצוע התשתיות הרלוונטיות</w:t>
      </w:r>
      <w:r>
        <w:rPr>
          <w:rFonts w:eastAsia="Calibri"/>
          <w:vertAlign w:val="superscript"/>
          <w:rtl/>
        </w:rPr>
        <w:footnoteReference w:id="118"/>
      </w:r>
      <w:r w:rsidRPr="00DC5B13">
        <w:rPr>
          <w:rFonts w:eastAsia="Calibri" w:hint="cs"/>
          <w:rtl/>
        </w:rPr>
        <w:t>, כלומר הזכאות היא בגין היתרים שיינתנו עד 31.7.26 ובתנאי שביצוע התשתיות יהיה עד 31.12.30.</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לאחר בירור זכאותן של הרשויות לחתימה על הסכם המסגרת נדרשו הרשויות המקומיות להתחייב על הוצאת היתרי בנייה עבור 3,500 יחידות דיור לפחות על פני חמש שנים מיום החתימה על ההסכם ובקצב שלא יפחת מ-600 היתרים בשנה. רשות מקומית העומדת בתנאים שצוינו תהיה זכאית לתקציב הנע בין 20,000 - 30,000 ש"ח עבור כל היתר שתוציא ליחידות דיור תוספתיות</w:t>
      </w:r>
      <w:r>
        <w:rPr>
          <w:rFonts w:eastAsia="Calibri"/>
          <w:vertAlign w:val="superscript"/>
          <w:rtl/>
        </w:rPr>
        <w:footnoteReference w:id="119"/>
      </w:r>
      <w:r w:rsidRPr="00DC5B13">
        <w:rPr>
          <w:rFonts w:eastAsia="Calibri" w:hint="cs"/>
          <w:rtl/>
        </w:rPr>
        <w:t>. נוסף על כך, עיריות שיוסיפו לכוח האדם שלהן שני בודקי היתרים ייעודיים לבדיקת היתרי הבנייה של המיזמים להתחדשות עירונית, יהיו זכאיות למימון נוסף בסכום של 150 אלף ש"ח בשנה שישמש למימון שכרו של בודק היתרים נוסף. בהמשך לבירור זכאותן של הרשויות להיכלל בהסכם המסגרת הן נדרשו להצהיר על התשתיות שהן מתכוונות לחדש ואשר אושרו על ידי ועדת ההיגוי של הרשות להתחדשות</w:t>
      </w:r>
      <w:r>
        <w:rPr>
          <w:rFonts w:eastAsia="Calibri"/>
          <w:vertAlign w:val="superscript"/>
          <w:rtl/>
        </w:rPr>
        <w:footnoteReference w:id="120"/>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במהלך שנת 2023 חתמו משרד השיכון והרשות להתחדשות על הסכמי מסגרת עם 12 עיריות: </w:t>
      </w:r>
      <w:r w:rsidRPr="00DC5B13">
        <w:rPr>
          <w:rFonts w:eastAsia="Calibri" w:hint="cs"/>
          <w:b/>
          <w:bCs/>
          <w:rtl/>
        </w:rPr>
        <w:t>אשדוד</w:t>
      </w:r>
      <w:r w:rsidRPr="00DC5B13">
        <w:rPr>
          <w:rFonts w:eastAsia="Calibri" w:hint="cs"/>
          <w:rtl/>
        </w:rPr>
        <w:t xml:space="preserve">, </w:t>
      </w:r>
      <w:r w:rsidRPr="00DC5B13">
        <w:rPr>
          <w:rFonts w:eastAsia="Calibri" w:hint="cs"/>
          <w:b/>
          <w:bCs/>
          <w:rtl/>
        </w:rPr>
        <w:t>בית</w:t>
      </w:r>
      <w:r w:rsidRPr="00DC5B13">
        <w:rPr>
          <w:rFonts w:eastAsia="Calibri" w:hint="cs"/>
          <w:rtl/>
        </w:rPr>
        <w:t xml:space="preserve"> </w:t>
      </w:r>
      <w:r w:rsidRPr="00DC5B13">
        <w:rPr>
          <w:rFonts w:eastAsia="Calibri" w:hint="cs"/>
          <w:b/>
          <w:bCs/>
          <w:rtl/>
        </w:rPr>
        <w:t>שמש</w:t>
      </w:r>
      <w:r w:rsidRPr="00DC5B13">
        <w:rPr>
          <w:rFonts w:eastAsia="Calibri" w:hint="cs"/>
          <w:rtl/>
        </w:rPr>
        <w:t xml:space="preserve">, </w:t>
      </w:r>
      <w:r w:rsidRPr="00DC5B13">
        <w:rPr>
          <w:rFonts w:eastAsia="Calibri" w:hint="cs"/>
          <w:b/>
          <w:bCs/>
          <w:rtl/>
        </w:rPr>
        <w:t>בת</w:t>
      </w:r>
      <w:r w:rsidRPr="00DC5B13">
        <w:rPr>
          <w:rFonts w:eastAsia="Calibri" w:hint="cs"/>
          <w:rtl/>
        </w:rPr>
        <w:t xml:space="preserve"> </w:t>
      </w:r>
      <w:r w:rsidRPr="00DC5B13">
        <w:rPr>
          <w:rFonts w:eastAsia="Calibri" w:hint="cs"/>
          <w:b/>
          <w:bCs/>
          <w:rtl/>
        </w:rPr>
        <w:t>ים</w:t>
      </w:r>
      <w:r w:rsidRPr="00DC5B13">
        <w:rPr>
          <w:rFonts w:eastAsia="Calibri" w:hint="cs"/>
          <w:rtl/>
        </w:rPr>
        <w:t xml:space="preserve">, </w:t>
      </w:r>
      <w:r w:rsidRPr="00DC5B13">
        <w:rPr>
          <w:rFonts w:eastAsia="Calibri" w:hint="cs"/>
          <w:b/>
          <w:bCs/>
          <w:rtl/>
        </w:rPr>
        <w:t>גבעתיים</w:t>
      </w:r>
      <w:r w:rsidRPr="00DC5B13">
        <w:rPr>
          <w:rFonts w:eastAsia="Calibri" w:hint="cs"/>
          <w:rtl/>
        </w:rPr>
        <w:t xml:space="preserve">, </w:t>
      </w:r>
      <w:r w:rsidRPr="00DC5B13">
        <w:rPr>
          <w:rFonts w:eastAsia="Calibri" w:hint="cs"/>
          <w:b/>
          <w:bCs/>
          <w:rtl/>
        </w:rPr>
        <w:t>חדרה</w:t>
      </w:r>
      <w:r w:rsidRPr="00DC5B13">
        <w:rPr>
          <w:rFonts w:eastAsia="Calibri" w:hint="cs"/>
          <w:rtl/>
        </w:rPr>
        <w:t xml:space="preserve">, </w:t>
      </w:r>
      <w:r w:rsidRPr="00DC5B13">
        <w:rPr>
          <w:rFonts w:eastAsia="Calibri" w:hint="cs"/>
          <w:b/>
          <w:bCs/>
          <w:rtl/>
        </w:rPr>
        <w:t>חיפה</w:t>
      </w:r>
      <w:r w:rsidRPr="00DC5B13">
        <w:rPr>
          <w:rFonts w:eastAsia="Calibri" w:hint="cs"/>
          <w:rtl/>
        </w:rPr>
        <w:t xml:space="preserve">, </w:t>
      </w:r>
      <w:r w:rsidRPr="00DC5B13">
        <w:rPr>
          <w:rFonts w:eastAsia="Calibri" w:hint="cs"/>
          <w:b/>
          <w:bCs/>
          <w:rtl/>
        </w:rPr>
        <w:t>ירושלים</w:t>
      </w:r>
      <w:r w:rsidRPr="00DC5B13">
        <w:rPr>
          <w:rFonts w:eastAsia="Calibri" w:hint="cs"/>
          <w:rtl/>
        </w:rPr>
        <w:t xml:space="preserve">, </w:t>
      </w:r>
      <w:r w:rsidRPr="00DC5B13">
        <w:rPr>
          <w:rFonts w:eastAsia="Calibri" w:hint="cs"/>
          <w:b/>
          <w:bCs/>
          <w:rtl/>
        </w:rPr>
        <w:t>לוד</w:t>
      </w:r>
      <w:r w:rsidRPr="00DC5B13">
        <w:rPr>
          <w:rFonts w:eastAsia="Calibri" w:hint="cs"/>
          <w:rtl/>
        </w:rPr>
        <w:t xml:space="preserve">, </w:t>
      </w:r>
      <w:r w:rsidRPr="00DC5B13">
        <w:rPr>
          <w:rFonts w:eastAsia="Calibri" w:hint="cs"/>
          <w:b/>
          <w:bCs/>
          <w:rtl/>
        </w:rPr>
        <w:t>נתניה</w:t>
      </w:r>
      <w:r w:rsidRPr="00DC5B13">
        <w:rPr>
          <w:rFonts w:eastAsia="Calibri" w:hint="cs"/>
          <w:rtl/>
        </w:rPr>
        <w:t xml:space="preserve">, </w:t>
      </w:r>
      <w:r w:rsidRPr="00DC5B13">
        <w:rPr>
          <w:rFonts w:eastAsia="Calibri" w:hint="cs"/>
          <w:b/>
          <w:bCs/>
          <w:rtl/>
        </w:rPr>
        <w:t>קריית</w:t>
      </w:r>
      <w:r w:rsidRPr="00DC5B13">
        <w:rPr>
          <w:rFonts w:eastAsia="Calibri" w:hint="cs"/>
          <w:rtl/>
        </w:rPr>
        <w:t xml:space="preserve"> </w:t>
      </w:r>
      <w:r w:rsidRPr="00DC5B13">
        <w:rPr>
          <w:rFonts w:eastAsia="Calibri" w:hint="cs"/>
          <w:b/>
          <w:bCs/>
          <w:rtl/>
        </w:rPr>
        <w:t>אונו</w:t>
      </w:r>
      <w:r w:rsidRPr="00DC5B13">
        <w:rPr>
          <w:rFonts w:eastAsia="Calibri" w:hint="cs"/>
          <w:rtl/>
        </w:rPr>
        <w:t xml:space="preserve">, </w:t>
      </w:r>
      <w:r w:rsidRPr="00DC5B13">
        <w:rPr>
          <w:rFonts w:eastAsia="Calibri" w:hint="cs"/>
          <w:b/>
          <w:bCs/>
          <w:rtl/>
        </w:rPr>
        <w:t>קריית ים</w:t>
      </w:r>
      <w:r w:rsidRPr="00DC5B13">
        <w:rPr>
          <w:rFonts w:eastAsia="Calibri" w:hint="cs"/>
          <w:rtl/>
        </w:rPr>
        <w:t xml:space="preserve"> ו</w:t>
      </w:r>
      <w:r w:rsidRPr="00DC5B13">
        <w:rPr>
          <w:rFonts w:eastAsia="Calibri" w:hint="cs"/>
          <w:b/>
          <w:bCs/>
          <w:rtl/>
        </w:rPr>
        <w:t>רמת</w:t>
      </w:r>
      <w:r w:rsidRPr="00DC5B13">
        <w:rPr>
          <w:rFonts w:eastAsia="Calibri" w:hint="cs"/>
          <w:rtl/>
        </w:rPr>
        <w:t xml:space="preserve"> </w:t>
      </w:r>
      <w:r w:rsidRPr="00DC5B13">
        <w:rPr>
          <w:rFonts w:eastAsia="Calibri" w:hint="cs"/>
          <w:b/>
          <w:bCs/>
          <w:rtl/>
        </w:rPr>
        <w:t>גן</w:t>
      </w:r>
      <w:r w:rsidRPr="00DC5B13">
        <w:rPr>
          <w:rFonts w:eastAsia="Calibri" w:hint="cs"/>
          <w:rtl/>
        </w:rPr>
        <w:t xml:space="preserve"> (להלן - הסכם המסגרת הראשון). במסגרת החתימה על ההסכמים נערך תיאום בין הרשות להתחדשות ובין העיריות שצוינו לגבי התשתיות שהן ביקשו לממן בעזרת התקציבים שאושרו להן בהסכמי המסגרת (ראו להלן פירוט לגבי הרשויות שנבדקו).</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בהסכם נקבע כי הרשויות שחתמו על הסכם המסגרת הראשון יהיו זכאיות למימון על כל היתר בנייה שיינתן ליחידות תוספתיות עד ל-31.7.26 ועבור תשתיות ציבוריות שיבוצעו עד ל-31.12.30. עוד נקבע בהסכם כי הרשות להתחדשות תוכל להאריך את תוקפו בשתי תקופות נוספות שלא יעלו על שנתיים כל אחת אם תחליט שהדבר נחוץ לצורך ביצוע התשתיות שבהסכם.</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שלוש מבין הרשויות שנבדקו חתמו על הסכם המסגרת הראשון - </w:t>
      </w:r>
      <w:r w:rsidRPr="00DC5B13">
        <w:rPr>
          <w:rFonts w:eastAsia="Calibri" w:hint="cs"/>
          <w:b/>
          <w:bCs/>
          <w:rtl/>
        </w:rPr>
        <w:t>לוד</w:t>
      </w:r>
      <w:r w:rsidRPr="00DC5B13">
        <w:rPr>
          <w:rFonts w:eastAsia="Calibri" w:hint="cs"/>
          <w:rtl/>
        </w:rPr>
        <w:t xml:space="preserve">, </w:t>
      </w:r>
      <w:r w:rsidRPr="00DC5B13">
        <w:rPr>
          <w:rFonts w:eastAsia="Calibri" w:hint="cs"/>
          <w:b/>
          <w:bCs/>
          <w:rtl/>
        </w:rPr>
        <w:t>נתניה</w:t>
      </w:r>
      <w:r w:rsidRPr="00DC5B13">
        <w:rPr>
          <w:rFonts w:eastAsia="Calibri" w:hint="cs"/>
          <w:rtl/>
        </w:rPr>
        <w:t xml:space="preserve"> ו</w:t>
      </w:r>
      <w:r w:rsidRPr="00DC5B13">
        <w:rPr>
          <w:rFonts w:eastAsia="Calibri" w:hint="cs"/>
          <w:b/>
          <w:bCs/>
          <w:rtl/>
        </w:rPr>
        <w:t>קריית ים</w:t>
      </w:r>
      <w:r w:rsidRPr="00DC5B13">
        <w:rPr>
          <w:rFonts w:eastAsia="Calibri" w:hint="cs"/>
          <w:rtl/>
        </w:rPr>
        <w:t>. לשלושתן נשלחה הודעה כללית בינואר 2023 בדבר זכאותן למימון תשתיות כפוף להסכם המסגרת, ובה הנחיה להכין פירוט של התשתיות שהן מבקשות להקים או לחדש בסיוע הסכום שאושר להן.</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במאי 2024 נחתם הסכם מסגרת נוסף למימון בסך 120 מיליון ש"ח במצטבר בין משרד הבינוי והשיכון והרשות להתחדשות עירונית ובין העיריות </w:t>
      </w:r>
      <w:r w:rsidRPr="00DC5B13">
        <w:rPr>
          <w:rFonts w:eastAsia="Calibri" w:hint="cs"/>
          <w:b/>
          <w:bCs/>
          <w:rtl/>
        </w:rPr>
        <w:t>אשקלון</w:t>
      </w:r>
      <w:r w:rsidRPr="00DC5B13">
        <w:rPr>
          <w:rFonts w:eastAsia="Calibri" w:hint="cs"/>
          <w:rtl/>
        </w:rPr>
        <w:t xml:space="preserve">, </w:t>
      </w:r>
      <w:r w:rsidRPr="00DC5B13">
        <w:rPr>
          <w:rFonts w:eastAsia="Calibri" w:hint="cs"/>
          <w:b/>
          <w:bCs/>
          <w:rtl/>
        </w:rPr>
        <w:t>חולון</w:t>
      </w:r>
      <w:r w:rsidRPr="00DC5B13">
        <w:rPr>
          <w:rFonts w:eastAsia="Calibri" w:hint="cs"/>
          <w:rtl/>
        </w:rPr>
        <w:t xml:space="preserve">, </w:t>
      </w:r>
      <w:r w:rsidRPr="00DC5B13">
        <w:rPr>
          <w:rFonts w:eastAsia="Calibri" w:hint="cs"/>
          <w:b/>
          <w:bCs/>
          <w:rtl/>
        </w:rPr>
        <w:t>יהוד-מונוסון</w:t>
      </w:r>
      <w:r w:rsidRPr="00DC5B13">
        <w:rPr>
          <w:rFonts w:eastAsia="Calibri" w:hint="cs"/>
          <w:rtl/>
        </w:rPr>
        <w:t xml:space="preserve">, </w:t>
      </w:r>
      <w:r w:rsidRPr="00DC5B13">
        <w:rPr>
          <w:rFonts w:eastAsia="Calibri" w:hint="cs"/>
          <w:b/>
          <w:bCs/>
          <w:rtl/>
        </w:rPr>
        <w:t>פתח</w:t>
      </w:r>
      <w:r w:rsidRPr="00DC5B13">
        <w:rPr>
          <w:rFonts w:eastAsia="Calibri" w:hint="cs"/>
          <w:rtl/>
        </w:rPr>
        <w:t xml:space="preserve"> </w:t>
      </w:r>
      <w:r w:rsidRPr="00DC5B13">
        <w:rPr>
          <w:rFonts w:eastAsia="Calibri" w:hint="cs"/>
          <w:b/>
          <w:bCs/>
          <w:rtl/>
        </w:rPr>
        <w:t>תקווה</w:t>
      </w:r>
      <w:r w:rsidRPr="00DC5B13">
        <w:rPr>
          <w:rFonts w:eastAsia="Calibri" w:hint="cs"/>
          <w:rtl/>
        </w:rPr>
        <w:t xml:space="preserve">, </w:t>
      </w:r>
      <w:r w:rsidRPr="00DC5B13">
        <w:rPr>
          <w:rFonts w:eastAsia="Calibri" w:hint="cs"/>
          <w:b/>
          <w:bCs/>
          <w:rtl/>
        </w:rPr>
        <w:t>קריית</w:t>
      </w:r>
      <w:r w:rsidRPr="00DC5B13">
        <w:rPr>
          <w:rFonts w:eastAsia="Calibri" w:hint="cs"/>
          <w:rtl/>
        </w:rPr>
        <w:t xml:space="preserve"> </w:t>
      </w:r>
      <w:r w:rsidRPr="00DC5B13">
        <w:rPr>
          <w:rFonts w:eastAsia="Calibri" w:hint="cs"/>
          <w:b/>
          <w:bCs/>
          <w:rtl/>
        </w:rPr>
        <w:t>גת</w:t>
      </w:r>
      <w:r w:rsidRPr="00DC5B13">
        <w:rPr>
          <w:rFonts w:eastAsia="Calibri" w:hint="cs"/>
          <w:rtl/>
        </w:rPr>
        <w:t xml:space="preserve"> ו</w:t>
      </w:r>
      <w:r w:rsidRPr="00DC5B13">
        <w:rPr>
          <w:rFonts w:eastAsia="Calibri" w:hint="cs"/>
          <w:b/>
          <w:bCs/>
          <w:rtl/>
        </w:rPr>
        <w:t>רמלה</w:t>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בסך הכול הוקצו בשני הסכמי המסגרת כ-660 מיליון ש"ח למימון, חידוש ושדרוג תשתיות הקשורות בהתחדשות עירונית ב-18 עיריות - מהן שלוש עיריות שנבדקו: </w:t>
      </w:r>
      <w:r w:rsidRPr="00DC5B13">
        <w:rPr>
          <w:rFonts w:eastAsia="Calibri" w:hint="cs"/>
          <w:b/>
          <w:bCs/>
          <w:rtl/>
        </w:rPr>
        <w:t>לוד</w:t>
      </w:r>
      <w:r w:rsidRPr="00DC5B13">
        <w:rPr>
          <w:rFonts w:eastAsia="Calibri" w:hint="cs"/>
          <w:rtl/>
        </w:rPr>
        <w:t xml:space="preserve">, </w:t>
      </w:r>
      <w:r w:rsidRPr="00DC5B13">
        <w:rPr>
          <w:rFonts w:eastAsia="Calibri" w:hint="cs"/>
          <w:b/>
          <w:bCs/>
          <w:rtl/>
        </w:rPr>
        <w:t>נתניה</w:t>
      </w:r>
      <w:r w:rsidRPr="00DC5B13">
        <w:rPr>
          <w:rFonts w:eastAsia="Calibri" w:hint="cs"/>
          <w:rtl/>
        </w:rPr>
        <w:t xml:space="preserve"> ו</w:t>
      </w:r>
      <w:r w:rsidRPr="00DC5B13">
        <w:rPr>
          <w:rFonts w:eastAsia="Calibri" w:hint="cs"/>
          <w:b/>
          <w:bCs/>
          <w:rtl/>
        </w:rPr>
        <w:t>קריית ים</w:t>
      </w:r>
      <w:r w:rsidRPr="00DC5B13">
        <w:rPr>
          <w:rFonts w:eastAsia="Calibri" w:hint="cs"/>
          <w:rtl/>
        </w:rPr>
        <w:t>. נתונים לגבי השימוש בתקציבים עד אוגוסט 2025 בהסכם המסגרת הראשון מוצגים בלוח שלהלן.</w:t>
      </w:r>
    </w:p>
    <w:p w:rsidR="001E5EE6" w:rsidRPr="001E5EE6" w:rsidP="00C34B23">
      <w:pPr>
        <w:keepNext/>
        <w:keepLines/>
        <w:spacing w:line="269" w:lineRule="auto"/>
        <w:jc w:val="center"/>
        <w:rPr>
          <w:rFonts w:eastAsia="Calibri"/>
          <w:sz w:val="18"/>
          <w:szCs w:val="22"/>
          <w:rtl/>
        </w:rPr>
      </w:pPr>
    </w:p>
    <w:p w:rsidR="00DC5B13" w:rsidRPr="00DC5B13" w:rsidP="00C34B23">
      <w:pPr>
        <w:keepNext/>
        <w:keepLines/>
        <w:spacing w:line="269" w:lineRule="auto"/>
        <w:jc w:val="center"/>
        <w:rPr>
          <w:rFonts w:eastAsia="Calibri"/>
        </w:rPr>
      </w:pPr>
      <w:r w:rsidRPr="00DC5B13">
        <w:rPr>
          <w:rFonts w:eastAsia="Calibri" w:hint="eastAsia"/>
          <w:rtl/>
        </w:rPr>
        <w:t>לוח</w:t>
      </w:r>
      <w:r w:rsidRPr="00DC5B13">
        <w:rPr>
          <w:rFonts w:eastAsia="Calibri"/>
          <w:rtl/>
        </w:rPr>
        <w:t xml:space="preserve"> </w:t>
      </w:r>
      <w:r w:rsidRPr="00DC5B13">
        <w:rPr>
          <w:rFonts w:eastAsia="Calibri" w:hint="cs"/>
          <w:rtl/>
        </w:rPr>
        <w:t>13</w:t>
      </w:r>
      <w:r w:rsidRPr="00DC5B13">
        <w:rPr>
          <w:rFonts w:eastAsia="Calibri"/>
          <w:rtl/>
        </w:rPr>
        <w:t>:</w:t>
      </w:r>
      <w:r w:rsidRPr="00DC5B13">
        <w:rPr>
          <w:rFonts w:eastAsia="Calibri" w:hint="cs"/>
          <w:b/>
          <w:bCs/>
          <w:rtl/>
        </w:rPr>
        <w:t xml:space="preserve"> השימוש בתקציבים בהסכם המסגרת הראשון (אוגוסט 2025)</w:t>
      </w:r>
      <w:r w:rsidRPr="00DC5B13">
        <w:rPr>
          <w:rFonts w:eastAsia="Calibri"/>
          <w:rtl/>
        </w:rPr>
        <w:fldChar w:fldCharType="begin"/>
      </w:r>
      <w:r w:rsidRPr="00DC5B13">
        <w:rPr>
          <w:rFonts w:eastAsia="Calibri"/>
          <w:rtl/>
        </w:rPr>
        <w:instrText xml:space="preserve"> </w:instrText>
      </w:r>
      <w:r w:rsidRPr="00DC5B13">
        <w:rPr>
          <w:rFonts w:eastAsia="Calibri"/>
        </w:rPr>
        <w:instrText>LINK</w:instrText>
      </w:r>
      <w:r w:rsidRPr="00DC5B13">
        <w:rPr>
          <w:rFonts w:eastAsia="Calibri"/>
          <w:rtl/>
        </w:rPr>
        <w:instrText xml:space="preserve"> </w:instrText>
      </w:r>
      <w:r w:rsidRPr="00DC5B13">
        <w:rPr>
          <w:rFonts w:eastAsia="Calibri"/>
        </w:rPr>
        <w:instrText>Excel.Sheet.12 "\\\\mvtanas.mevaker.loc\\homefolder$\\amir_do\\Documentum\\checkout</w:instrText>
      </w:r>
      <w:r w:rsidRPr="00DC5B13">
        <w:rPr>
          <w:rFonts w:eastAsia="Calibri"/>
          <w:rtl/>
        </w:rPr>
        <w:instrText>\\###קובץ עבודה### הסכמי מסגרת למבקר המדינה - מעובד.</w:instrText>
      </w:r>
      <w:r w:rsidRPr="00DC5B13">
        <w:rPr>
          <w:rFonts w:eastAsia="Calibri"/>
        </w:rPr>
        <w:instrText>xlsx</w:instrText>
      </w:r>
      <w:r w:rsidRPr="00DC5B13">
        <w:rPr>
          <w:rFonts w:eastAsia="Calibri"/>
          <w:rtl/>
        </w:rPr>
        <w:instrText>" "גיליון2!</w:instrText>
      </w:r>
      <w:r w:rsidRPr="00DC5B13">
        <w:rPr>
          <w:rFonts w:eastAsia="Calibri"/>
        </w:rPr>
        <w:instrText>R2C1:R25C8" \a \f 5 \h</w:instrText>
      </w:r>
      <w:r w:rsidRPr="00DC5B13">
        <w:rPr>
          <w:rFonts w:eastAsia="Calibri"/>
          <w:rtl/>
        </w:rPr>
        <w:instrText xml:space="preserve">  \* </w:instrText>
      </w:r>
      <w:r w:rsidRPr="00DC5B13">
        <w:rPr>
          <w:rFonts w:eastAsia="Calibri"/>
        </w:rPr>
        <w:instrText>MERGEFORMAT</w:instrText>
      </w:r>
      <w:r w:rsidRPr="00DC5B13">
        <w:rPr>
          <w:rFonts w:eastAsia="Calibri"/>
          <w:rtl/>
        </w:rPr>
        <w:instrText xml:space="preserve"> </w:instrText>
      </w:r>
      <w:r w:rsidRPr="00DC5B13">
        <w:rPr>
          <w:rFonts w:eastAsia="Calibri"/>
          <w:rtl/>
        </w:rPr>
        <w:fldChar w:fldCharType="separate"/>
      </w:r>
    </w:p>
    <w:tbl>
      <w:tblPr>
        <w:tblStyle w:val="5-11"/>
        <w:bidiVisual/>
        <w:tblW w:w="4988" w:type="pct"/>
        <w:tblInd w:w="15" w:type="dxa"/>
        <w:tblLook w:val="04A0"/>
      </w:tblPr>
      <w:tblGrid>
        <w:gridCol w:w="965"/>
        <w:gridCol w:w="990"/>
        <w:gridCol w:w="1374"/>
        <w:gridCol w:w="1319"/>
        <w:gridCol w:w="1293"/>
        <w:gridCol w:w="1180"/>
        <w:gridCol w:w="1069"/>
      </w:tblGrid>
      <w:tr w:rsidTr="00DC5B13">
        <w:tblPrEx>
          <w:tblW w:w="4988" w:type="pct"/>
          <w:tblInd w:w="15" w:type="dxa"/>
          <w:tblLook w:val="04A0"/>
        </w:tblPrEx>
        <w:trPr>
          <w:trHeight w:val="2107"/>
          <w:tblHeader/>
        </w:trPr>
        <w:tc>
          <w:tcPr>
            <w:tcW w:w="588" w:type="pct"/>
            <w:hideMark/>
          </w:tcPr>
          <w:p w:rsidR="00DC5B13" w:rsidRPr="00DC5B13" w:rsidP="00F22931">
            <w:pPr>
              <w:spacing w:line="240" w:lineRule="auto"/>
              <w:jc w:val="center"/>
              <w:rPr>
                <w:rFonts w:eastAsia="Calibri"/>
                <w:sz w:val="22"/>
                <w:szCs w:val="22"/>
              </w:rPr>
            </w:pPr>
            <w:r w:rsidRPr="00DC5B13">
              <w:rPr>
                <w:rFonts w:eastAsia="Calibri" w:hint="cs"/>
                <w:sz w:val="22"/>
                <w:szCs w:val="22"/>
                <w:rtl/>
              </w:rPr>
              <w:t xml:space="preserve">סך הכספים שהוקצו בהסכם </w:t>
            </w:r>
            <w:r w:rsidRPr="00DC5B13">
              <w:rPr>
                <w:rFonts w:eastAsia="Calibri"/>
                <w:sz w:val="22"/>
                <w:szCs w:val="22"/>
                <w:rtl/>
              </w:rPr>
              <w:t>(</w:t>
            </w:r>
            <w:r w:rsidRPr="00DC5B13">
              <w:rPr>
                <w:rFonts w:eastAsia="Calibri" w:hint="cs"/>
                <w:sz w:val="22"/>
                <w:szCs w:val="22"/>
                <w:rtl/>
              </w:rPr>
              <w:t>ב</w:t>
            </w:r>
            <w:r w:rsidRPr="00DC5B13">
              <w:rPr>
                <w:rFonts w:eastAsia="Calibri"/>
                <w:sz w:val="22"/>
                <w:szCs w:val="22"/>
                <w:rtl/>
              </w:rPr>
              <w:t>מ</w:t>
            </w:r>
            <w:r w:rsidRPr="00DC5B13">
              <w:rPr>
                <w:rFonts w:eastAsia="Calibri" w:hint="cs"/>
                <w:sz w:val="22"/>
                <w:szCs w:val="22"/>
                <w:rtl/>
              </w:rPr>
              <w:t>י</w:t>
            </w:r>
            <w:r w:rsidRPr="00DC5B13">
              <w:rPr>
                <w:rFonts w:eastAsia="Calibri"/>
                <w:sz w:val="22"/>
                <w:szCs w:val="22"/>
                <w:rtl/>
              </w:rPr>
              <w:t>ליוני ש"ח)</w:t>
            </w:r>
          </w:p>
        </w:tc>
        <w:tc>
          <w:tcPr>
            <w:tcW w:w="604" w:type="pct"/>
            <w:hideMark/>
          </w:tcPr>
          <w:p w:rsidR="00DC5B13" w:rsidRPr="00DC5B13" w:rsidP="00F22931">
            <w:pPr>
              <w:spacing w:line="240" w:lineRule="auto"/>
              <w:jc w:val="center"/>
              <w:rPr>
                <w:rFonts w:eastAsia="Calibri"/>
                <w:sz w:val="22"/>
                <w:szCs w:val="22"/>
                <w:rtl/>
              </w:rPr>
            </w:pPr>
            <w:r w:rsidRPr="00DC5B13">
              <w:rPr>
                <w:rFonts w:eastAsia="Calibri"/>
                <w:sz w:val="22"/>
                <w:szCs w:val="22"/>
                <w:rtl/>
              </w:rPr>
              <w:t xml:space="preserve"> הרשות</w:t>
            </w:r>
          </w:p>
          <w:p w:rsidR="00DC5B13" w:rsidRPr="00DC5B13" w:rsidP="00F22931">
            <w:pPr>
              <w:spacing w:line="240" w:lineRule="auto"/>
              <w:jc w:val="center"/>
              <w:rPr>
                <w:rFonts w:eastAsia="Calibri"/>
                <w:sz w:val="22"/>
                <w:szCs w:val="22"/>
                <w:rtl/>
              </w:rPr>
            </w:pPr>
            <w:r w:rsidRPr="00DC5B13">
              <w:rPr>
                <w:rFonts w:eastAsia="Calibri" w:hint="cs"/>
                <w:sz w:val="22"/>
                <w:szCs w:val="22"/>
                <w:rtl/>
              </w:rPr>
              <w:t>המקומית</w:t>
            </w:r>
          </w:p>
        </w:tc>
        <w:tc>
          <w:tcPr>
            <w:tcW w:w="793" w:type="pct"/>
            <w:hideMark/>
          </w:tcPr>
          <w:p w:rsidR="00DC5B13" w:rsidRPr="00DC5B13" w:rsidP="00F22931">
            <w:pPr>
              <w:spacing w:line="240" w:lineRule="auto"/>
              <w:jc w:val="center"/>
              <w:rPr>
                <w:rFonts w:eastAsia="Calibri"/>
                <w:sz w:val="22"/>
                <w:szCs w:val="22"/>
                <w:rtl/>
              </w:rPr>
            </w:pPr>
            <w:r w:rsidRPr="00DC5B13">
              <w:rPr>
                <w:rFonts w:eastAsia="Calibri"/>
                <w:sz w:val="22"/>
                <w:szCs w:val="22"/>
                <w:rtl/>
              </w:rPr>
              <w:t>התחייבות הרשות להתחדשות להקצאה בעבור תשתיות ובודקי תוכניות (</w:t>
            </w:r>
            <w:r w:rsidRPr="00DC5B13">
              <w:rPr>
                <w:rFonts w:eastAsia="Calibri" w:hint="cs"/>
                <w:sz w:val="22"/>
                <w:szCs w:val="22"/>
                <w:rtl/>
              </w:rPr>
              <w:t>ב</w:t>
            </w:r>
            <w:r w:rsidRPr="00DC5B13">
              <w:rPr>
                <w:rFonts w:eastAsia="Calibri"/>
                <w:sz w:val="22"/>
                <w:szCs w:val="22"/>
                <w:rtl/>
              </w:rPr>
              <w:t>ת</w:t>
            </w:r>
            <w:r w:rsidRPr="00DC5B13">
              <w:rPr>
                <w:rFonts w:eastAsia="Calibri" w:hint="cs"/>
                <w:sz w:val="22"/>
                <w:szCs w:val="22"/>
                <w:rtl/>
              </w:rPr>
              <w:t>ו</w:t>
            </w:r>
            <w:r w:rsidRPr="00DC5B13">
              <w:rPr>
                <w:rFonts w:eastAsia="Calibri"/>
                <w:sz w:val="22"/>
                <w:szCs w:val="22"/>
                <w:rtl/>
              </w:rPr>
              <w:t>קף עד 31.7.26)</w:t>
            </w:r>
          </w:p>
        </w:tc>
        <w:tc>
          <w:tcPr>
            <w:tcW w:w="822" w:type="pct"/>
            <w:hideMark/>
          </w:tcPr>
          <w:p w:rsidR="00DC5B13" w:rsidRPr="00DC5B13" w:rsidP="00F22931">
            <w:pPr>
              <w:spacing w:line="240" w:lineRule="auto"/>
              <w:jc w:val="center"/>
              <w:rPr>
                <w:rFonts w:eastAsia="Calibri"/>
                <w:sz w:val="22"/>
                <w:szCs w:val="22"/>
                <w:rtl/>
              </w:rPr>
            </w:pPr>
            <w:r w:rsidRPr="00DC5B13">
              <w:rPr>
                <w:rFonts w:eastAsia="Calibri" w:hint="cs"/>
                <w:sz w:val="22"/>
                <w:szCs w:val="22"/>
                <w:rtl/>
              </w:rPr>
              <w:t>ה</w:t>
            </w:r>
            <w:r w:rsidRPr="00DC5B13">
              <w:rPr>
                <w:rFonts w:eastAsia="Calibri"/>
                <w:sz w:val="22"/>
                <w:szCs w:val="22"/>
                <w:rtl/>
              </w:rPr>
              <w:t>סכום שהועבר לעירייה מכוח הסכם המסגרת</w:t>
            </w:r>
          </w:p>
        </w:tc>
        <w:tc>
          <w:tcPr>
            <w:tcW w:w="805" w:type="pct"/>
            <w:hideMark/>
          </w:tcPr>
          <w:p w:rsidR="00DC5B13" w:rsidRPr="00DC5B13" w:rsidP="00F22931">
            <w:pPr>
              <w:spacing w:line="240" w:lineRule="auto"/>
              <w:jc w:val="center"/>
              <w:rPr>
                <w:rFonts w:eastAsia="Calibri"/>
                <w:sz w:val="22"/>
                <w:szCs w:val="22"/>
                <w:rtl/>
              </w:rPr>
            </w:pPr>
            <w:r w:rsidRPr="00DC5B13">
              <w:rPr>
                <w:rFonts w:eastAsia="Calibri" w:hint="cs"/>
                <w:sz w:val="22"/>
                <w:szCs w:val="22"/>
                <w:rtl/>
              </w:rPr>
              <w:t>שיעור</w:t>
            </w:r>
            <w:r w:rsidRPr="00DC5B13">
              <w:rPr>
                <w:rFonts w:eastAsia="Calibri"/>
                <w:sz w:val="22"/>
                <w:szCs w:val="22"/>
                <w:rtl/>
              </w:rPr>
              <w:t xml:space="preserve"> </w:t>
            </w:r>
            <w:r w:rsidRPr="00DC5B13">
              <w:rPr>
                <w:rFonts w:eastAsia="Calibri" w:hint="cs"/>
                <w:sz w:val="22"/>
                <w:szCs w:val="22"/>
                <w:rtl/>
              </w:rPr>
              <w:t>הש</w:t>
            </w:r>
            <w:r w:rsidRPr="00DC5B13">
              <w:rPr>
                <w:rFonts w:eastAsia="Calibri"/>
                <w:sz w:val="22"/>
                <w:szCs w:val="22"/>
                <w:rtl/>
              </w:rPr>
              <w:t>ימוש מתוך ההתחייבות להקצאה</w:t>
            </w:r>
          </w:p>
        </w:tc>
        <w:tc>
          <w:tcPr>
            <w:tcW w:w="736" w:type="pct"/>
            <w:hideMark/>
          </w:tcPr>
          <w:p w:rsidR="00DC5B13" w:rsidRPr="00DC5B13" w:rsidP="00F22931">
            <w:pPr>
              <w:spacing w:line="240" w:lineRule="auto"/>
              <w:jc w:val="center"/>
              <w:rPr>
                <w:rFonts w:eastAsia="Calibri"/>
                <w:sz w:val="22"/>
                <w:szCs w:val="22"/>
                <w:rtl/>
              </w:rPr>
            </w:pPr>
            <w:r w:rsidRPr="00DC5B13">
              <w:rPr>
                <w:rFonts w:eastAsia="Calibri" w:hint="cs"/>
                <w:sz w:val="22"/>
                <w:szCs w:val="22"/>
                <w:rtl/>
              </w:rPr>
              <w:t>שיעור</w:t>
            </w:r>
            <w:r w:rsidRPr="00DC5B13">
              <w:rPr>
                <w:rFonts w:eastAsia="Calibri"/>
                <w:sz w:val="22"/>
                <w:szCs w:val="22"/>
                <w:rtl/>
              </w:rPr>
              <w:t xml:space="preserve"> </w:t>
            </w:r>
            <w:r w:rsidRPr="00DC5B13">
              <w:rPr>
                <w:rFonts w:eastAsia="Calibri" w:hint="cs"/>
                <w:sz w:val="22"/>
                <w:szCs w:val="22"/>
                <w:rtl/>
              </w:rPr>
              <w:t>השימוש</w:t>
            </w:r>
            <w:r w:rsidRPr="00DC5B13">
              <w:rPr>
                <w:rFonts w:eastAsia="Calibri"/>
                <w:sz w:val="22"/>
                <w:szCs w:val="22"/>
                <w:rtl/>
              </w:rPr>
              <w:t xml:space="preserve"> מתוך התקציב המלא של הסכם המסגרת</w:t>
            </w:r>
          </w:p>
        </w:tc>
        <w:tc>
          <w:tcPr>
            <w:tcW w:w="652" w:type="pct"/>
          </w:tcPr>
          <w:p w:rsidR="00DC5B13" w:rsidRPr="00DC5B13" w:rsidP="00F22931">
            <w:pPr>
              <w:spacing w:line="240" w:lineRule="auto"/>
              <w:rPr>
                <w:rFonts w:eastAsia="Calibri"/>
                <w:sz w:val="22"/>
                <w:szCs w:val="22"/>
                <w:rtl/>
              </w:rPr>
            </w:pPr>
            <w:r w:rsidRPr="00DC5B13">
              <w:rPr>
                <w:rFonts w:eastAsia="Calibri" w:hint="cs"/>
                <w:sz w:val="22"/>
                <w:szCs w:val="22"/>
                <w:rtl/>
              </w:rPr>
              <w:t>סיווג הרשות המקומית*</w:t>
            </w:r>
          </w:p>
        </w:tc>
      </w:tr>
      <w:tr w:rsidTr="00DC5B13">
        <w:tblPrEx>
          <w:tblW w:w="4988" w:type="pct"/>
          <w:tblInd w:w="15" w:type="dxa"/>
          <w:tblLook w:val="04A0"/>
        </w:tblPrEx>
        <w:trPr>
          <w:trHeight w:val="315"/>
        </w:trPr>
        <w:tc>
          <w:tcPr>
            <w:tcW w:w="588" w:type="pct"/>
            <w:vMerge w:val="restart"/>
            <w:vAlign w:val="center"/>
            <w:hideMark/>
          </w:tcPr>
          <w:p w:rsidR="00DC5B13" w:rsidRPr="00DC5B13" w:rsidP="00C34B23">
            <w:pPr>
              <w:spacing w:line="269" w:lineRule="auto"/>
              <w:jc w:val="center"/>
              <w:rPr>
                <w:rFonts w:eastAsia="Calibri"/>
                <w:sz w:val="22"/>
                <w:szCs w:val="22"/>
                <w:rtl/>
              </w:rPr>
            </w:pPr>
            <w:r w:rsidRPr="00DC5B13">
              <w:rPr>
                <w:rFonts w:eastAsia="Calibri"/>
                <w:sz w:val="22"/>
                <w:szCs w:val="22"/>
                <w:rtl/>
              </w:rPr>
              <w:t>440</w:t>
            </w: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אשדוד</w:t>
            </w:r>
          </w:p>
        </w:tc>
        <w:tc>
          <w:tcPr>
            <w:tcW w:w="793" w:type="pct"/>
            <w:hideMark/>
          </w:tcPr>
          <w:p w:rsidR="00DC5B13" w:rsidRPr="00DC5B13" w:rsidP="00C34B23">
            <w:pPr>
              <w:spacing w:line="269" w:lineRule="auto"/>
              <w:jc w:val="center"/>
              <w:rPr>
                <w:rFonts w:eastAsia="Calibri"/>
                <w:sz w:val="22"/>
                <w:szCs w:val="22"/>
              </w:rPr>
            </w:pPr>
            <w:r w:rsidRPr="00DC5B13">
              <w:rPr>
                <w:rFonts w:eastAsia="Calibri"/>
                <w:sz w:val="22"/>
                <w:szCs w:val="22"/>
                <w:rtl/>
              </w:rPr>
              <w:t xml:space="preserve"> 19,380,000 </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3,422,037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18%</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0.8%</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איתנה</w:t>
            </w:r>
          </w:p>
        </w:tc>
      </w:tr>
      <w:tr w:rsidTr="00DC5B13">
        <w:tblPrEx>
          <w:tblW w:w="4988" w:type="pct"/>
          <w:tblInd w:w="15" w:type="dxa"/>
          <w:tblLook w:val="04A0"/>
        </w:tblPrEx>
        <w:trPr>
          <w:trHeight w:val="266"/>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בית שמש</w:t>
            </w:r>
          </w:p>
        </w:tc>
        <w:tc>
          <w:tcPr>
            <w:tcW w:w="793"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32,820,833 </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721,641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2%</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0.2%</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ביניים</w:t>
            </w:r>
          </w:p>
        </w:tc>
      </w:tr>
      <w:tr w:rsidTr="00DC5B13">
        <w:tblPrEx>
          <w:tblW w:w="4988" w:type="pct"/>
          <w:tblInd w:w="15" w:type="dxa"/>
          <w:tblLook w:val="04A0"/>
        </w:tblPrEx>
        <w:trPr>
          <w:trHeight w:val="315"/>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בת ים</w:t>
            </w:r>
          </w:p>
        </w:tc>
        <w:tc>
          <w:tcPr>
            <w:tcW w:w="793"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25,880,000 </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21,298,000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82%</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4.8%</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ביניים</w:t>
            </w:r>
          </w:p>
        </w:tc>
      </w:tr>
      <w:tr w:rsidTr="00DC5B13">
        <w:tblPrEx>
          <w:tblW w:w="4988" w:type="pct"/>
          <w:tblInd w:w="15" w:type="dxa"/>
          <w:tblLook w:val="04A0"/>
        </w:tblPrEx>
        <w:trPr>
          <w:trHeight w:val="315"/>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גבעתיים</w:t>
            </w:r>
          </w:p>
        </w:tc>
        <w:tc>
          <w:tcPr>
            <w:tcW w:w="793"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11,995,000 </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6,614,362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55%</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1.5%</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ביניים</w:t>
            </w:r>
          </w:p>
        </w:tc>
      </w:tr>
      <w:tr w:rsidTr="00DC5B13">
        <w:tblPrEx>
          <w:tblW w:w="4988" w:type="pct"/>
          <w:tblInd w:w="15" w:type="dxa"/>
          <w:tblLook w:val="04A0"/>
        </w:tblPrEx>
        <w:trPr>
          <w:trHeight w:val="315"/>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חדרה</w:t>
            </w:r>
          </w:p>
        </w:tc>
        <w:tc>
          <w:tcPr>
            <w:tcW w:w="793" w:type="pct"/>
            <w:hideMark/>
          </w:tcPr>
          <w:p w:rsidR="00DC5B13" w:rsidRPr="00DC5B13" w:rsidP="00C34B23">
            <w:pPr>
              <w:spacing w:line="269" w:lineRule="auto"/>
              <w:jc w:val="center"/>
              <w:rPr>
                <w:rFonts w:eastAsia="Calibri"/>
                <w:sz w:val="22"/>
                <w:szCs w:val="22"/>
              </w:rPr>
            </w:pPr>
            <w:r w:rsidRPr="00DC5B13">
              <w:rPr>
                <w:rFonts w:eastAsia="Calibri"/>
                <w:sz w:val="22"/>
                <w:szCs w:val="22"/>
                <w:rtl/>
              </w:rPr>
              <w:t xml:space="preserve"> 16,080,000 </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9,744,054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61%</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2.2%</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איתנה</w:t>
            </w:r>
          </w:p>
        </w:tc>
      </w:tr>
      <w:tr w:rsidTr="00DC5B13">
        <w:tblPrEx>
          <w:tblW w:w="4988" w:type="pct"/>
          <w:tblInd w:w="15" w:type="dxa"/>
          <w:tblLook w:val="04A0"/>
        </w:tblPrEx>
        <w:trPr>
          <w:trHeight w:val="315"/>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חיפה</w:t>
            </w:r>
          </w:p>
        </w:tc>
        <w:tc>
          <w:tcPr>
            <w:tcW w:w="793" w:type="pct"/>
            <w:hideMark/>
          </w:tcPr>
          <w:p w:rsidR="00DC5B13" w:rsidRPr="00DC5B13" w:rsidP="00C34B23">
            <w:pPr>
              <w:spacing w:line="269" w:lineRule="auto"/>
              <w:jc w:val="center"/>
              <w:rPr>
                <w:rFonts w:eastAsia="Calibri"/>
                <w:sz w:val="22"/>
                <w:szCs w:val="22"/>
                <w:rtl/>
              </w:rPr>
            </w:pPr>
            <w:r w:rsidRPr="00DC5B13">
              <w:rPr>
                <w:rFonts w:eastAsia="Calibri" w:hint="cs"/>
                <w:sz w:val="22"/>
                <w:szCs w:val="22"/>
                <w:rtl/>
              </w:rPr>
              <w:t>34,846,078</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4,507,921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16%</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1.0%</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איתנה</w:t>
            </w:r>
          </w:p>
        </w:tc>
      </w:tr>
      <w:tr w:rsidTr="00DC5B13">
        <w:tblPrEx>
          <w:tblW w:w="4988" w:type="pct"/>
          <w:tblInd w:w="15" w:type="dxa"/>
          <w:tblLook w:val="04A0"/>
        </w:tblPrEx>
        <w:trPr>
          <w:trHeight w:val="315"/>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ירושלים</w:t>
            </w:r>
          </w:p>
        </w:tc>
        <w:tc>
          <w:tcPr>
            <w:tcW w:w="793"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81,565,000 </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61,754,171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76%</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14.0%</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ביניים</w:t>
            </w:r>
          </w:p>
        </w:tc>
      </w:tr>
      <w:tr w:rsidTr="00DC5B13">
        <w:tblPrEx>
          <w:tblW w:w="4988" w:type="pct"/>
          <w:tblInd w:w="15" w:type="dxa"/>
          <w:tblLook w:val="04A0"/>
        </w:tblPrEx>
        <w:trPr>
          <w:trHeight w:val="315"/>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לוד</w:t>
            </w:r>
          </w:p>
        </w:tc>
        <w:tc>
          <w:tcPr>
            <w:tcW w:w="793" w:type="pct"/>
            <w:hideMark/>
          </w:tcPr>
          <w:p w:rsidR="00DC5B13" w:rsidRPr="00DC5B13" w:rsidP="00C34B23">
            <w:pPr>
              <w:spacing w:line="269" w:lineRule="auto"/>
              <w:jc w:val="center"/>
              <w:rPr>
                <w:rFonts w:eastAsia="Calibri"/>
                <w:sz w:val="22"/>
                <w:szCs w:val="22"/>
              </w:rPr>
            </w:pPr>
            <w:r w:rsidRPr="00DC5B13">
              <w:rPr>
                <w:rFonts w:eastAsia="Calibri"/>
                <w:sz w:val="22"/>
                <w:szCs w:val="22"/>
                <w:rtl/>
              </w:rPr>
              <w:t xml:space="preserve"> 28,665,000 </w:t>
            </w:r>
          </w:p>
        </w:tc>
        <w:tc>
          <w:tcPr>
            <w:tcW w:w="822" w:type="pct"/>
            <w:hideMark/>
          </w:tcPr>
          <w:p w:rsidR="00DC5B13" w:rsidRPr="00DC5B13" w:rsidP="00C34B23">
            <w:pPr>
              <w:spacing w:line="269" w:lineRule="auto"/>
              <w:jc w:val="center"/>
              <w:rPr>
                <w:rFonts w:eastAsia="Calibri"/>
                <w:sz w:val="22"/>
                <w:szCs w:val="22"/>
                <w:rtl/>
              </w:rPr>
            </w:pPr>
          </w:p>
        </w:tc>
        <w:tc>
          <w:tcPr>
            <w:tcW w:w="805" w:type="pct"/>
            <w:hideMark/>
          </w:tcPr>
          <w:p w:rsidR="00DC5B13" w:rsidRPr="00DC5B13" w:rsidP="00C34B23">
            <w:pPr>
              <w:spacing w:line="269" w:lineRule="auto"/>
              <w:rPr>
                <w:rFonts w:eastAsia="Calibri"/>
                <w:sz w:val="22"/>
                <w:szCs w:val="22"/>
              </w:rPr>
            </w:pPr>
            <w:r w:rsidRPr="00DC5B13">
              <w:rPr>
                <w:rFonts w:eastAsia="Calibri"/>
                <w:sz w:val="22"/>
                <w:szCs w:val="22"/>
                <w:rtl/>
              </w:rPr>
              <w:t>0%</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0.0%</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יציבה</w:t>
            </w:r>
          </w:p>
        </w:tc>
      </w:tr>
      <w:tr w:rsidTr="00DC5B13">
        <w:tblPrEx>
          <w:tblW w:w="4988" w:type="pct"/>
          <w:tblInd w:w="15" w:type="dxa"/>
          <w:tblLook w:val="04A0"/>
        </w:tblPrEx>
        <w:trPr>
          <w:trHeight w:val="315"/>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נתניה</w:t>
            </w:r>
          </w:p>
        </w:tc>
        <w:tc>
          <w:tcPr>
            <w:tcW w:w="793" w:type="pct"/>
            <w:hideMark/>
          </w:tcPr>
          <w:p w:rsidR="00DC5B13" w:rsidRPr="00DC5B13" w:rsidP="00C34B23">
            <w:pPr>
              <w:spacing w:line="269" w:lineRule="auto"/>
              <w:jc w:val="center"/>
              <w:rPr>
                <w:rFonts w:eastAsia="Calibri"/>
                <w:sz w:val="22"/>
                <w:szCs w:val="22"/>
              </w:rPr>
            </w:pPr>
            <w:r w:rsidRPr="00DC5B13">
              <w:rPr>
                <w:rFonts w:eastAsia="Calibri"/>
                <w:sz w:val="22"/>
                <w:szCs w:val="22"/>
                <w:rtl/>
              </w:rPr>
              <w:t xml:space="preserve"> 23,230,000 </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3,519,602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15%</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0.8%</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יציבה</w:t>
            </w:r>
          </w:p>
        </w:tc>
      </w:tr>
      <w:tr w:rsidTr="00DC5B13">
        <w:tblPrEx>
          <w:tblW w:w="4988" w:type="pct"/>
          <w:tblInd w:w="15" w:type="dxa"/>
          <w:tblLook w:val="04A0"/>
        </w:tblPrEx>
        <w:trPr>
          <w:trHeight w:val="570"/>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קריית אונו</w:t>
            </w:r>
          </w:p>
        </w:tc>
        <w:tc>
          <w:tcPr>
            <w:tcW w:w="793" w:type="pct"/>
            <w:hideMark/>
          </w:tcPr>
          <w:p w:rsidR="00DC5B13" w:rsidRPr="00DC5B13" w:rsidP="00C34B23">
            <w:pPr>
              <w:spacing w:line="269" w:lineRule="auto"/>
              <w:jc w:val="center"/>
              <w:rPr>
                <w:rFonts w:eastAsia="Calibri"/>
                <w:sz w:val="22"/>
                <w:szCs w:val="22"/>
              </w:rPr>
            </w:pPr>
            <w:r w:rsidRPr="00DC5B13">
              <w:rPr>
                <w:rFonts w:eastAsia="Calibri"/>
                <w:sz w:val="22"/>
                <w:szCs w:val="22"/>
                <w:rtl/>
              </w:rPr>
              <w:t xml:space="preserve"> 31,400,967 </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10,090,372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32%</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2.3%</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יציבה</w:t>
            </w:r>
          </w:p>
        </w:tc>
      </w:tr>
      <w:tr w:rsidTr="00DC5B13">
        <w:tblPrEx>
          <w:tblW w:w="4988" w:type="pct"/>
          <w:tblInd w:w="15" w:type="dxa"/>
          <w:tblLook w:val="04A0"/>
        </w:tblPrEx>
        <w:trPr>
          <w:trHeight w:val="315"/>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קריית ים</w:t>
            </w:r>
          </w:p>
        </w:tc>
        <w:tc>
          <w:tcPr>
            <w:tcW w:w="793" w:type="pct"/>
            <w:hideMark/>
          </w:tcPr>
          <w:p w:rsidR="00DC5B13" w:rsidRPr="00DC5B13" w:rsidP="00C34B23">
            <w:pPr>
              <w:spacing w:line="269" w:lineRule="auto"/>
              <w:jc w:val="center"/>
              <w:rPr>
                <w:rFonts w:eastAsia="Calibri"/>
                <w:sz w:val="22"/>
                <w:szCs w:val="22"/>
              </w:rPr>
            </w:pPr>
            <w:r w:rsidRPr="00DC5B13">
              <w:rPr>
                <w:rFonts w:eastAsia="Calibri"/>
                <w:sz w:val="22"/>
                <w:szCs w:val="22"/>
                <w:rtl/>
              </w:rPr>
              <w:t xml:space="preserve"> 12,207,500 </w:t>
            </w:r>
          </w:p>
        </w:tc>
        <w:tc>
          <w:tcPr>
            <w:tcW w:w="822" w:type="pct"/>
            <w:hideMark/>
          </w:tcPr>
          <w:p w:rsidR="00DC5B13" w:rsidRPr="00DC5B13" w:rsidP="00C34B23">
            <w:pPr>
              <w:spacing w:line="269" w:lineRule="auto"/>
              <w:jc w:val="center"/>
              <w:rPr>
                <w:rFonts w:eastAsia="Calibri"/>
                <w:sz w:val="22"/>
                <w:szCs w:val="22"/>
                <w:rtl/>
              </w:rPr>
            </w:pPr>
          </w:p>
        </w:tc>
        <w:tc>
          <w:tcPr>
            <w:tcW w:w="805" w:type="pct"/>
            <w:hideMark/>
          </w:tcPr>
          <w:p w:rsidR="00DC5B13" w:rsidRPr="00DC5B13" w:rsidP="00C34B23">
            <w:pPr>
              <w:spacing w:line="269" w:lineRule="auto"/>
              <w:rPr>
                <w:rFonts w:eastAsia="Calibri"/>
                <w:sz w:val="22"/>
                <w:szCs w:val="22"/>
              </w:rPr>
            </w:pPr>
            <w:r w:rsidRPr="00DC5B13">
              <w:rPr>
                <w:rFonts w:eastAsia="Calibri"/>
                <w:sz w:val="22"/>
                <w:szCs w:val="22"/>
                <w:rtl/>
              </w:rPr>
              <w:t>0%</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0.0%</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הבראה</w:t>
            </w:r>
          </w:p>
        </w:tc>
      </w:tr>
      <w:tr w:rsidTr="00DC5B13">
        <w:tblPrEx>
          <w:tblW w:w="4988" w:type="pct"/>
          <w:tblInd w:w="15" w:type="dxa"/>
          <w:tblLook w:val="04A0"/>
        </w:tblPrEx>
        <w:trPr>
          <w:trHeight w:val="285"/>
        </w:trPr>
        <w:tc>
          <w:tcPr>
            <w:tcW w:w="588" w:type="pct"/>
            <w:vMerge/>
            <w:hideMark/>
          </w:tcPr>
          <w:p w:rsidR="00DC5B13" w:rsidRPr="00DC5B13" w:rsidP="00C34B23">
            <w:pPr>
              <w:spacing w:line="269" w:lineRule="auto"/>
              <w:jc w:val="center"/>
              <w:rPr>
                <w:rFonts w:eastAsia="Calibri"/>
                <w:sz w:val="22"/>
                <w:szCs w:val="22"/>
              </w:rPr>
            </w:pPr>
          </w:p>
        </w:tc>
        <w:tc>
          <w:tcPr>
            <w:tcW w:w="604"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רמת גן</w:t>
            </w:r>
          </w:p>
        </w:tc>
        <w:tc>
          <w:tcPr>
            <w:tcW w:w="793"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23,250,000 </w:t>
            </w:r>
          </w:p>
        </w:tc>
        <w:tc>
          <w:tcPr>
            <w:tcW w:w="822" w:type="pct"/>
            <w:hideMark/>
          </w:tcPr>
          <w:p w:rsidR="00DC5B13" w:rsidRPr="00DC5B13" w:rsidP="00C34B23">
            <w:pPr>
              <w:spacing w:line="269" w:lineRule="auto"/>
              <w:jc w:val="center"/>
              <w:rPr>
                <w:rFonts w:eastAsia="Calibri"/>
                <w:sz w:val="22"/>
                <w:szCs w:val="22"/>
                <w:rtl/>
              </w:rPr>
            </w:pPr>
            <w:r w:rsidRPr="00DC5B13">
              <w:rPr>
                <w:rFonts w:eastAsia="Calibri"/>
                <w:sz w:val="22"/>
                <w:szCs w:val="22"/>
                <w:rtl/>
              </w:rPr>
              <w:t xml:space="preserve"> 22,875,000 </w:t>
            </w:r>
          </w:p>
        </w:tc>
        <w:tc>
          <w:tcPr>
            <w:tcW w:w="805" w:type="pct"/>
            <w:hideMark/>
          </w:tcPr>
          <w:p w:rsidR="00DC5B13" w:rsidRPr="00DC5B13" w:rsidP="00C34B23">
            <w:pPr>
              <w:spacing w:line="269" w:lineRule="auto"/>
              <w:rPr>
                <w:rFonts w:eastAsia="Calibri"/>
                <w:sz w:val="22"/>
                <w:szCs w:val="22"/>
                <w:rtl/>
              </w:rPr>
            </w:pPr>
            <w:r w:rsidRPr="00DC5B13">
              <w:rPr>
                <w:rFonts w:eastAsia="Calibri"/>
                <w:sz w:val="22"/>
                <w:szCs w:val="22"/>
                <w:rtl/>
              </w:rPr>
              <w:t>98%</w:t>
            </w:r>
          </w:p>
        </w:tc>
        <w:tc>
          <w:tcPr>
            <w:tcW w:w="736" w:type="pct"/>
            <w:hideMark/>
          </w:tcPr>
          <w:p w:rsidR="00DC5B13" w:rsidRPr="00DC5B13" w:rsidP="00C34B23">
            <w:pPr>
              <w:spacing w:line="269" w:lineRule="auto"/>
              <w:rPr>
                <w:rFonts w:eastAsia="Calibri"/>
                <w:sz w:val="22"/>
                <w:szCs w:val="22"/>
                <w:rtl/>
              </w:rPr>
            </w:pPr>
            <w:r w:rsidRPr="00DC5B13">
              <w:rPr>
                <w:rFonts w:eastAsia="Calibri"/>
                <w:sz w:val="22"/>
                <w:szCs w:val="22"/>
                <w:rtl/>
              </w:rPr>
              <w:t>5.2%</w:t>
            </w:r>
          </w:p>
        </w:tc>
        <w:tc>
          <w:tcPr>
            <w:tcW w:w="652" w:type="pct"/>
          </w:tcPr>
          <w:p w:rsidR="00DC5B13" w:rsidRPr="00DC5B13" w:rsidP="00C34B23">
            <w:pPr>
              <w:spacing w:line="269" w:lineRule="auto"/>
              <w:rPr>
                <w:rFonts w:eastAsia="Calibri"/>
                <w:sz w:val="22"/>
                <w:szCs w:val="22"/>
                <w:rtl/>
              </w:rPr>
            </w:pPr>
            <w:r w:rsidRPr="00DC5B13">
              <w:rPr>
                <w:rFonts w:eastAsia="Calibri" w:hint="cs"/>
                <w:sz w:val="22"/>
                <w:szCs w:val="22"/>
                <w:rtl/>
              </w:rPr>
              <w:t>איתנה</w:t>
            </w:r>
          </w:p>
        </w:tc>
      </w:tr>
      <w:tr w:rsidTr="00DC5B13">
        <w:tblPrEx>
          <w:tblW w:w="4988" w:type="pct"/>
          <w:tblInd w:w="15" w:type="dxa"/>
          <w:tblLook w:val="04A0"/>
        </w:tblPrEx>
        <w:trPr>
          <w:trHeight w:val="300"/>
        </w:trPr>
        <w:tc>
          <w:tcPr>
            <w:tcW w:w="588" w:type="pct"/>
            <w:hideMark/>
          </w:tcPr>
          <w:p w:rsidR="00DC5B13" w:rsidRPr="00DC5B13" w:rsidP="00C34B23">
            <w:pPr>
              <w:spacing w:line="269" w:lineRule="auto"/>
              <w:jc w:val="center"/>
              <w:rPr>
                <w:rFonts w:eastAsia="Calibri"/>
                <w:sz w:val="22"/>
                <w:szCs w:val="22"/>
                <w:rtl/>
              </w:rPr>
            </w:pPr>
          </w:p>
        </w:tc>
        <w:tc>
          <w:tcPr>
            <w:tcW w:w="604" w:type="pct"/>
            <w:hideMark/>
          </w:tcPr>
          <w:p w:rsidR="00DC5B13" w:rsidRPr="00DC5B13" w:rsidP="00C34B23">
            <w:pPr>
              <w:spacing w:line="269" w:lineRule="auto"/>
              <w:jc w:val="center"/>
              <w:rPr>
                <w:rFonts w:eastAsia="Calibri"/>
                <w:b/>
                <w:bCs/>
                <w:sz w:val="22"/>
                <w:szCs w:val="22"/>
              </w:rPr>
            </w:pPr>
            <w:r w:rsidRPr="00DC5B13">
              <w:rPr>
                <w:rFonts w:eastAsia="Calibri" w:hint="cs"/>
                <w:b/>
                <w:bCs/>
                <w:sz w:val="22"/>
                <w:szCs w:val="22"/>
                <w:rtl/>
              </w:rPr>
              <w:t xml:space="preserve">הסכום שנוצל </w:t>
            </w:r>
          </w:p>
        </w:tc>
        <w:tc>
          <w:tcPr>
            <w:tcW w:w="793" w:type="pct"/>
            <w:hideMark/>
          </w:tcPr>
          <w:p w:rsidR="00DC5B13" w:rsidRPr="00DC5B13" w:rsidP="00C34B23">
            <w:pPr>
              <w:spacing w:line="269" w:lineRule="auto"/>
              <w:jc w:val="center"/>
              <w:rPr>
                <w:rFonts w:eastAsia="Calibri"/>
                <w:b/>
                <w:bCs/>
                <w:sz w:val="22"/>
                <w:szCs w:val="22"/>
              </w:rPr>
            </w:pPr>
          </w:p>
        </w:tc>
        <w:tc>
          <w:tcPr>
            <w:tcW w:w="822" w:type="pct"/>
            <w:hideMark/>
          </w:tcPr>
          <w:p w:rsidR="00DC5B13" w:rsidRPr="00DC5B13" w:rsidP="00C34B23">
            <w:pPr>
              <w:spacing w:line="269" w:lineRule="auto"/>
              <w:jc w:val="center"/>
              <w:rPr>
                <w:rFonts w:eastAsia="Calibri"/>
                <w:sz w:val="22"/>
                <w:szCs w:val="22"/>
              </w:rPr>
            </w:pPr>
            <w:r w:rsidRPr="00DC5B13">
              <w:rPr>
                <w:rFonts w:eastAsia="Calibri"/>
                <w:b/>
                <w:bCs/>
                <w:sz w:val="22"/>
                <w:szCs w:val="22"/>
                <w:rtl/>
              </w:rPr>
              <w:t xml:space="preserve"> 144,547,159 </w:t>
            </w:r>
          </w:p>
        </w:tc>
        <w:tc>
          <w:tcPr>
            <w:tcW w:w="805" w:type="pct"/>
            <w:hideMark/>
          </w:tcPr>
          <w:p w:rsidR="00DC5B13" w:rsidRPr="00DC5B13" w:rsidP="00C34B23">
            <w:pPr>
              <w:spacing w:line="269" w:lineRule="auto"/>
              <w:rPr>
                <w:rFonts w:eastAsia="Calibri"/>
                <w:sz w:val="22"/>
                <w:szCs w:val="22"/>
                <w:rtl/>
              </w:rPr>
            </w:pPr>
          </w:p>
        </w:tc>
        <w:tc>
          <w:tcPr>
            <w:tcW w:w="736" w:type="pct"/>
            <w:hideMark/>
          </w:tcPr>
          <w:p w:rsidR="00DC5B13" w:rsidRPr="00DC5B13" w:rsidP="00C34B23">
            <w:pPr>
              <w:spacing w:line="269" w:lineRule="auto"/>
              <w:rPr>
                <w:rFonts w:eastAsia="Calibri"/>
                <w:b/>
                <w:bCs/>
                <w:sz w:val="22"/>
                <w:szCs w:val="22"/>
              </w:rPr>
            </w:pPr>
            <w:r w:rsidRPr="00DC5B13">
              <w:rPr>
                <w:rFonts w:eastAsia="Calibri"/>
                <w:b/>
                <w:bCs/>
                <w:sz w:val="22"/>
                <w:szCs w:val="22"/>
                <w:rtl/>
              </w:rPr>
              <w:t>32.9%</w:t>
            </w:r>
          </w:p>
        </w:tc>
        <w:tc>
          <w:tcPr>
            <w:tcW w:w="652" w:type="pct"/>
          </w:tcPr>
          <w:p w:rsidR="00DC5B13" w:rsidRPr="00DC5B13" w:rsidP="00C34B23">
            <w:pPr>
              <w:spacing w:line="269" w:lineRule="auto"/>
              <w:rPr>
                <w:rFonts w:eastAsia="Calibri"/>
                <w:sz w:val="22"/>
                <w:szCs w:val="22"/>
                <w:rtl/>
              </w:rPr>
            </w:pPr>
          </w:p>
        </w:tc>
      </w:tr>
      <w:tr w:rsidTr="00DC5B13">
        <w:tblPrEx>
          <w:tblW w:w="4988" w:type="pct"/>
          <w:tblInd w:w="15" w:type="dxa"/>
          <w:tblLook w:val="04A0"/>
        </w:tblPrEx>
        <w:trPr>
          <w:trHeight w:val="600"/>
        </w:trPr>
        <w:tc>
          <w:tcPr>
            <w:tcW w:w="588" w:type="pct"/>
            <w:hideMark/>
          </w:tcPr>
          <w:p w:rsidR="00DC5B13" w:rsidRPr="00DC5B13" w:rsidP="00C34B23">
            <w:pPr>
              <w:spacing w:line="269" w:lineRule="auto"/>
              <w:jc w:val="center"/>
              <w:rPr>
                <w:rFonts w:eastAsia="Calibri"/>
                <w:sz w:val="22"/>
                <w:szCs w:val="22"/>
                <w:rtl/>
              </w:rPr>
            </w:pPr>
          </w:p>
        </w:tc>
        <w:tc>
          <w:tcPr>
            <w:tcW w:w="604" w:type="pct"/>
            <w:hideMark/>
          </w:tcPr>
          <w:p w:rsidR="00DC5B13" w:rsidRPr="00DC5B13" w:rsidP="00C34B23">
            <w:pPr>
              <w:spacing w:line="269" w:lineRule="auto"/>
              <w:jc w:val="center"/>
              <w:rPr>
                <w:rFonts w:eastAsia="Calibri"/>
                <w:b/>
                <w:bCs/>
                <w:sz w:val="22"/>
                <w:szCs w:val="22"/>
              </w:rPr>
            </w:pPr>
            <w:r w:rsidRPr="00DC5B13">
              <w:rPr>
                <w:rFonts w:eastAsia="Calibri" w:hint="cs"/>
                <w:b/>
                <w:bCs/>
                <w:sz w:val="22"/>
                <w:szCs w:val="22"/>
                <w:rtl/>
              </w:rPr>
              <w:t>ה</w:t>
            </w:r>
            <w:r w:rsidRPr="00DC5B13">
              <w:rPr>
                <w:rFonts w:eastAsia="Calibri"/>
                <w:b/>
                <w:bCs/>
                <w:sz w:val="22"/>
                <w:szCs w:val="22"/>
                <w:rtl/>
              </w:rPr>
              <w:t>יתרה ל</w:t>
            </w:r>
            <w:r w:rsidRPr="00DC5B13">
              <w:rPr>
                <w:rFonts w:eastAsia="Calibri" w:hint="cs"/>
                <w:b/>
                <w:bCs/>
                <w:sz w:val="22"/>
                <w:szCs w:val="22"/>
                <w:rtl/>
              </w:rPr>
              <w:t>ש</w:t>
            </w:r>
            <w:r w:rsidRPr="00DC5B13">
              <w:rPr>
                <w:rFonts w:eastAsia="Calibri"/>
                <w:b/>
                <w:bCs/>
                <w:sz w:val="22"/>
                <w:szCs w:val="22"/>
                <w:rtl/>
              </w:rPr>
              <w:t>ימוש</w:t>
            </w:r>
          </w:p>
        </w:tc>
        <w:tc>
          <w:tcPr>
            <w:tcW w:w="793" w:type="pct"/>
            <w:hideMark/>
          </w:tcPr>
          <w:p w:rsidR="00DC5B13" w:rsidRPr="00DC5B13" w:rsidP="00C34B23">
            <w:pPr>
              <w:spacing w:line="269" w:lineRule="auto"/>
              <w:jc w:val="center"/>
              <w:rPr>
                <w:rFonts w:eastAsia="Calibri"/>
                <w:b/>
                <w:bCs/>
                <w:sz w:val="22"/>
                <w:szCs w:val="22"/>
              </w:rPr>
            </w:pPr>
          </w:p>
        </w:tc>
        <w:tc>
          <w:tcPr>
            <w:tcW w:w="822" w:type="pct"/>
            <w:hideMark/>
          </w:tcPr>
          <w:p w:rsidR="00DC5B13" w:rsidRPr="00DC5B13" w:rsidP="00C34B23">
            <w:pPr>
              <w:spacing w:line="269" w:lineRule="auto"/>
              <w:jc w:val="center"/>
              <w:rPr>
                <w:rFonts w:eastAsia="Calibri"/>
                <w:sz w:val="22"/>
                <w:szCs w:val="22"/>
              </w:rPr>
            </w:pPr>
            <w:r w:rsidRPr="00DC5B13">
              <w:rPr>
                <w:rFonts w:eastAsia="Calibri"/>
                <w:b/>
                <w:bCs/>
                <w:sz w:val="22"/>
                <w:szCs w:val="22"/>
                <w:rtl/>
              </w:rPr>
              <w:t xml:space="preserve"> 295,452,841 </w:t>
            </w:r>
          </w:p>
        </w:tc>
        <w:tc>
          <w:tcPr>
            <w:tcW w:w="805" w:type="pct"/>
            <w:hideMark/>
          </w:tcPr>
          <w:p w:rsidR="00DC5B13" w:rsidRPr="00DC5B13" w:rsidP="00C34B23">
            <w:pPr>
              <w:spacing w:line="269" w:lineRule="auto"/>
              <w:rPr>
                <w:rFonts w:eastAsia="Calibri"/>
                <w:sz w:val="22"/>
                <w:szCs w:val="22"/>
                <w:rtl/>
              </w:rPr>
            </w:pPr>
          </w:p>
        </w:tc>
        <w:tc>
          <w:tcPr>
            <w:tcW w:w="736" w:type="pct"/>
            <w:hideMark/>
          </w:tcPr>
          <w:p w:rsidR="00DC5B13" w:rsidRPr="00DC5B13" w:rsidP="00C34B23">
            <w:pPr>
              <w:spacing w:line="269" w:lineRule="auto"/>
              <w:rPr>
                <w:rFonts w:eastAsia="Calibri"/>
                <w:sz w:val="22"/>
                <w:szCs w:val="22"/>
              </w:rPr>
            </w:pPr>
            <w:r w:rsidRPr="00DC5B13">
              <w:rPr>
                <w:rFonts w:eastAsia="Calibri"/>
                <w:sz w:val="22"/>
                <w:szCs w:val="22"/>
                <w:rtl/>
              </w:rPr>
              <w:t>67.1%</w:t>
            </w:r>
          </w:p>
        </w:tc>
        <w:tc>
          <w:tcPr>
            <w:tcW w:w="652" w:type="pct"/>
          </w:tcPr>
          <w:p w:rsidR="00DC5B13" w:rsidRPr="00DC5B13" w:rsidP="00C34B23">
            <w:pPr>
              <w:spacing w:line="269" w:lineRule="auto"/>
              <w:rPr>
                <w:rFonts w:eastAsia="Calibri"/>
                <w:sz w:val="22"/>
                <w:szCs w:val="22"/>
                <w:rtl/>
              </w:rPr>
            </w:pPr>
          </w:p>
        </w:tc>
      </w:tr>
      <w:tr w:rsidTr="00DC5B13">
        <w:tblPrEx>
          <w:tblW w:w="4988" w:type="pct"/>
          <w:tblInd w:w="15" w:type="dxa"/>
          <w:tblLook w:val="04A0"/>
        </w:tblPrEx>
        <w:trPr>
          <w:trHeight w:val="300"/>
        </w:trPr>
        <w:tc>
          <w:tcPr>
            <w:tcW w:w="588" w:type="pct"/>
            <w:tcBorders>
              <w:bottom w:val="single" w:sz="18" w:space="0" w:color="FFFFFF"/>
            </w:tcBorders>
            <w:hideMark/>
          </w:tcPr>
          <w:p w:rsidR="00DC5B13" w:rsidRPr="00DC5B13" w:rsidP="00C34B23">
            <w:pPr>
              <w:spacing w:line="269" w:lineRule="auto"/>
              <w:jc w:val="center"/>
              <w:rPr>
                <w:rFonts w:eastAsia="Calibri"/>
                <w:sz w:val="22"/>
                <w:szCs w:val="22"/>
                <w:rtl/>
              </w:rPr>
            </w:pPr>
          </w:p>
        </w:tc>
        <w:tc>
          <w:tcPr>
            <w:tcW w:w="604" w:type="pct"/>
            <w:tcBorders>
              <w:bottom w:val="single" w:sz="18" w:space="0" w:color="FFFFFF"/>
            </w:tcBorders>
            <w:hideMark/>
          </w:tcPr>
          <w:p w:rsidR="00DC5B13" w:rsidRPr="00DC5B13" w:rsidP="00C34B23">
            <w:pPr>
              <w:spacing w:line="269" w:lineRule="auto"/>
              <w:jc w:val="center"/>
              <w:rPr>
                <w:rFonts w:eastAsia="Calibri"/>
                <w:b/>
                <w:bCs/>
                <w:sz w:val="22"/>
                <w:szCs w:val="22"/>
              </w:rPr>
            </w:pPr>
            <w:r w:rsidRPr="00DC5B13">
              <w:rPr>
                <w:rFonts w:eastAsia="Calibri"/>
                <w:b/>
                <w:bCs/>
                <w:sz w:val="22"/>
                <w:szCs w:val="22"/>
                <w:rtl/>
              </w:rPr>
              <w:t>סך הכ</w:t>
            </w:r>
            <w:r w:rsidRPr="00DC5B13">
              <w:rPr>
                <w:rFonts w:eastAsia="Calibri" w:hint="cs"/>
                <w:b/>
                <w:bCs/>
                <w:sz w:val="22"/>
                <w:szCs w:val="22"/>
                <w:rtl/>
              </w:rPr>
              <w:t>ו</w:t>
            </w:r>
            <w:r w:rsidRPr="00DC5B13">
              <w:rPr>
                <w:rFonts w:eastAsia="Calibri"/>
                <w:b/>
                <w:bCs/>
                <w:sz w:val="22"/>
                <w:szCs w:val="22"/>
                <w:rtl/>
              </w:rPr>
              <w:t>ל</w:t>
            </w:r>
            <w:r w:rsidRPr="00DC5B13">
              <w:rPr>
                <w:rFonts w:eastAsia="Calibri" w:hint="cs"/>
                <w:b/>
                <w:bCs/>
                <w:sz w:val="22"/>
                <w:szCs w:val="22"/>
                <w:rtl/>
              </w:rPr>
              <w:t xml:space="preserve"> </w:t>
            </w:r>
          </w:p>
        </w:tc>
        <w:tc>
          <w:tcPr>
            <w:tcW w:w="793" w:type="pct"/>
            <w:tcBorders>
              <w:bottom w:val="single" w:sz="18" w:space="0" w:color="FFFFFF"/>
            </w:tcBorders>
            <w:hideMark/>
          </w:tcPr>
          <w:p w:rsidR="00DC5B13" w:rsidRPr="00DC5B13" w:rsidP="00C34B23">
            <w:pPr>
              <w:spacing w:line="269" w:lineRule="auto"/>
              <w:jc w:val="center"/>
              <w:rPr>
                <w:rFonts w:eastAsia="Calibri"/>
                <w:sz w:val="22"/>
                <w:szCs w:val="22"/>
              </w:rPr>
            </w:pPr>
            <w:r w:rsidRPr="00DC5B13">
              <w:rPr>
                <w:rFonts w:eastAsia="Calibri" w:hint="cs"/>
                <w:b/>
                <w:bCs/>
                <w:sz w:val="22"/>
                <w:szCs w:val="22"/>
                <w:rtl/>
              </w:rPr>
              <w:t>341,320,378</w:t>
            </w:r>
            <w:r w:rsidRPr="00DC5B13">
              <w:rPr>
                <w:rFonts w:eastAsia="Calibri" w:hint="cs"/>
                <w:sz w:val="22"/>
                <w:szCs w:val="22"/>
                <w:rtl/>
              </w:rPr>
              <w:t>**</w:t>
            </w:r>
          </w:p>
        </w:tc>
        <w:tc>
          <w:tcPr>
            <w:tcW w:w="822" w:type="pct"/>
            <w:tcBorders>
              <w:bottom w:val="single" w:sz="18" w:space="0" w:color="FFFFFF"/>
            </w:tcBorders>
            <w:hideMark/>
          </w:tcPr>
          <w:p w:rsidR="00DC5B13" w:rsidRPr="00DC5B13" w:rsidP="00C34B23">
            <w:pPr>
              <w:spacing w:line="269" w:lineRule="auto"/>
              <w:jc w:val="center"/>
              <w:rPr>
                <w:rFonts w:eastAsia="Calibri"/>
                <w:b/>
                <w:bCs/>
                <w:sz w:val="22"/>
                <w:szCs w:val="22"/>
                <w:rtl/>
              </w:rPr>
            </w:pPr>
          </w:p>
        </w:tc>
        <w:tc>
          <w:tcPr>
            <w:tcW w:w="805" w:type="pct"/>
            <w:tcBorders>
              <w:bottom w:val="single" w:sz="18" w:space="0" w:color="FFFFFF"/>
            </w:tcBorders>
          </w:tcPr>
          <w:p w:rsidR="00DC5B13" w:rsidRPr="00DC5B13" w:rsidP="00C34B23">
            <w:pPr>
              <w:spacing w:line="269" w:lineRule="auto"/>
              <w:rPr>
                <w:rFonts w:eastAsia="Calibri"/>
                <w:b/>
                <w:bCs/>
                <w:sz w:val="22"/>
                <w:szCs w:val="22"/>
                <w:rtl/>
              </w:rPr>
            </w:pPr>
            <w:r w:rsidRPr="00DC5B13">
              <w:rPr>
                <w:rFonts w:eastAsia="Calibri"/>
                <w:sz w:val="22"/>
                <w:szCs w:val="22"/>
                <w:highlight w:val="green"/>
                <w:rtl/>
              </w:rPr>
              <w:t xml:space="preserve"> </w:t>
            </w:r>
          </w:p>
        </w:tc>
        <w:tc>
          <w:tcPr>
            <w:tcW w:w="736" w:type="pct"/>
            <w:tcBorders>
              <w:bottom w:val="single" w:sz="18" w:space="0" w:color="FFFFFF"/>
            </w:tcBorders>
          </w:tcPr>
          <w:p w:rsidR="00DC5B13" w:rsidRPr="00DC5B13" w:rsidP="00C34B23">
            <w:pPr>
              <w:spacing w:line="269" w:lineRule="auto"/>
              <w:rPr>
                <w:rFonts w:eastAsia="Calibri"/>
                <w:sz w:val="22"/>
                <w:szCs w:val="22"/>
                <w:rtl/>
              </w:rPr>
            </w:pPr>
          </w:p>
        </w:tc>
        <w:tc>
          <w:tcPr>
            <w:tcW w:w="652" w:type="pct"/>
            <w:tcBorders>
              <w:bottom w:val="single" w:sz="18" w:space="0" w:color="FFFFFF"/>
            </w:tcBorders>
          </w:tcPr>
          <w:p w:rsidR="00DC5B13" w:rsidRPr="00DC5B13" w:rsidP="00C34B23">
            <w:pPr>
              <w:spacing w:line="269" w:lineRule="auto"/>
              <w:rPr>
                <w:rFonts w:eastAsia="Calibri"/>
                <w:sz w:val="22"/>
                <w:szCs w:val="22"/>
                <w:rtl/>
              </w:rPr>
            </w:pPr>
          </w:p>
        </w:tc>
      </w:tr>
    </w:tbl>
    <w:p w:rsidR="00DC5B13" w:rsidRPr="00DC5B13" w:rsidP="00C34B23">
      <w:pPr>
        <w:spacing w:line="269" w:lineRule="auto"/>
        <w:rPr>
          <w:rFonts w:eastAsia="Calibri"/>
          <w:szCs w:val="20"/>
          <w:rtl/>
        </w:rPr>
      </w:pPr>
      <w:r w:rsidRPr="00DC5B13">
        <w:rPr>
          <w:rFonts w:eastAsia="Calibri"/>
          <w:rtl/>
        </w:rPr>
        <w:fldChar w:fldCharType="end"/>
      </w: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נתוני</w:t>
      </w:r>
      <w:r w:rsidRPr="00DC5B13">
        <w:rPr>
          <w:rFonts w:eastAsia="Calibri"/>
          <w:szCs w:val="20"/>
          <w:rtl/>
        </w:rPr>
        <w:t xml:space="preserve"> </w:t>
      </w:r>
      <w:r w:rsidRPr="00DC5B13">
        <w:rPr>
          <w:rFonts w:eastAsia="Calibri" w:hint="eastAsia"/>
          <w:szCs w:val="20"/>
          <w:rtl/>
        </w:rPr>
        <w:t>הרשות</w:t>
      </w:r>
      <w:r w:rsidRPr="00DC5B13">
        <w:rPr>
          <w:rFonts w:eastAsia="Calibri"/>
          <w:szCs w:val="20"/>
          <w:rtl/>
        </w:rPr>
        <w:t xml:space="preserve"> </w:t>
      </w:r>
      <w:r w:rsidRPr="00DC5B13">
        <w:rPr>
          <w:rFonts w:eastAsia="Calibri" w:hint="eastAsia"/>
          <w:szCs w:val="20"/>
          <w:rtl/>
        </w:rPr>
        <w:t>להתחדשות</w:t>
      </w:r>
      <w:r w:rsidRPr="00DC5B13">
        <w:rPr>
          <w:rFonts w:eastAsia="Calibri"/>
          <w:szCs w:val="20"/>
          <w:rtl/>
        </w:rPr>
        <w:t xml:space="preserve"> </w:t>
      </w:r>
      <w:r w:rsidRPr="00DC5B13">
        <w:rPr>
          <w:rFonts w:eastAsia="Calibri" w:hint="eastAsia"/>
          <w:szCs w:val="20"/>
          <w:rtl/>
        </w:rPr>
        <w:t>עירונית</w:t>
      </w:r>
      <w:r w:rsidRPr="00DC5B13">
        <w:rPr>
          <w:rFonts w:eastAsia="Calibri"/>
          <w:szCs w:val="20"/>
          <w:rtl/>
        </w:rPr>
        <w:t>, בעיבוד משרד מבקר המדינה.</w:t>
      </w:r>
    </w:p>
    <w:p w:rsidR="00DC5B13" w:rsidRPr="00DC5B13" w:rsidP="00C34B23">
      <w:pPr>
        <w:spacing w:line="269" w:lineRule="auto"/>
        <w:rPr>
          <w:rFonts w:eastAsia="Calibri"/>
          <w:sz w:val="16"/>
          <w:szCs w:val="20"/>
          <w:rtl/>
        </w:rPr>
      </w:pPr>
      <w:r w:rsidRPr="00DC5B13">
        <w:rPr>
          <w:rFonts w:eastAsia="Calibri" w:hint="cs"/>
          <w:sz w:val="16"/>
          <w:szCs w:val="20"/>
          <w:rtl/>
        </w:rPr>
        <w:t>* משרד הפנים מסווג את הרשויות המקומיות בישראל, בהתאם לנוהל משנת 2021, על ידי תבחינים כספיים ומינהליים בהתנהלותן, והוא מזכה אותן בהקלות שונות בהתנהלותן מול משרד הפנים בהתאם למידת עמידתן בתבחינים. משרד הפנים קבע חמישה סיווגים שונים, והם: רשות איתנה, רשות יציבה, רשות בהמראה, ורשות בתוכנית הבראה או התייעלות. רשות שאינה נכללת בשום סיווג מהסיווגים הללו מוגדרת כרשות במצב ביניים.</w:t>
      </w:r>
    </w:p>
    <w:p w:rsidR="00DC5B13" w:rsidRPr="00DC5B13" w:rsidP="00C34B23">
      <w:pPr>
        <w:spacing w:line="269" w:lineRule="auto"/>
        <w:rPr>
          <w:rFonts w:eastAsia="Calibri"/>
          <w:sz w:val="16"/>
          <w:szCs w:val="20"/>
          <w:rtl/>
        </w:rPr>
      </w:pPr>
      <w:r w:rsidRPr="00DC5B13">
        <w:rPr>
          <w:rFonts w:eastAsia="Calibri" w:hint="cs"/>
          <w:sz w:val="16"/>
          <w:szCs w:val="20"/>
          <w:rtl/>
        </w:rPr>
        <w:t>** שיעור הכספים שהקצתה הרשות להתחדשות מסך הכספים הכלולים בהסכם המסגרת הראשון הוא כ-76% (כ-335 מיליון ש"ח בהתחייבויות מתוך 440 מיליון ש"ח הכלולים בהסכם המסגרת). מכאן שכ-105 מיליון ש"ח הכלולים בהסכם המסגרת טרם הוקצו לרשויות המקומיות.</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sz w:val="24"/>
          <w:rtl/>
        </w:rPr>
      </w:pPr>
      <w:r w:rsidRPr="00DC5B13">
        <w:rPr>
          <w:rFonts w:eastAsia="Calibri" w:hint="cs"/>
          <w:b/>
          <w:bCs/>
          <w:sz w:val="24"/>
          <w:rtl/>
        </w:rPr>
        <w:t xml:space="preserve">מהנתונים המוצגים בלוח </w:t>
      </w:r>
      <w:bookmarkStart w:id="37" w:name="_Hlk220505714"/>
      <w:r w:rsidRPr="00DC5B13">
        <w:rPr>
          <w:rFonts w:eastAsia="Calibri" w:hint="cs"/>
          <w:b/>
          <w:bCs/>
          <w:sz w:val="24"/>
          <w:rtl/>
        </w:rPr>
        <w:t xml:space="preserve">עולים הבדלים ניכרים בין הרשויות המקומיות במימוש זכאותן לתקציבים שאושרו להן בהסכמי המסגרת. עלה כי יש עיריות שניצלו שיעור גבוה מהתקציב </w:t>
      </w:r>
      <w:r w:rsidRPr="00DC5B13">
        <w:rPr>
          <w:rFonts w:eastAsia="Calibri" w:hint="cs"/>
          <w:b/>
          <w:bCs/>
          <w:sz w:val="24"/>
          <w:rtl/>
        </w:rPr>
        <w:t>שהוקצה להן, ובהן עיריית רמת גן, שניצלה כ-98% מהתקציב שאושר לה בהסכם המסגרת, עיריית בת ים, שניצלה כ-82% מהתקציב, ועיריית ירושלים, שניצלה כ-76% מהתקציב. לעומת זאת היו עיריות ששיעור ניצול התקציב שהוקצה להן היה נמוך עד אפסי ובהן עיריית בית שמש שניצלה כ-2% מהתקציב שהוקצה לה, ועיריות לוד וקריית ים שלא ניצלו כלל את התקציב שאושר להן</w:t>
      </w:r>
      <w:r>
        <w:rPr>
          <w:rFonts w:eastAsia="Calibri"/>
          <w:b/>
          <w:bCs/>
          <w:sz w:val="24"/>
          <w:vertAlign w:val="superscript"/>
          <w:rtl/>
        </w:rPr>
        <w:footnoteReference w:id="121"/>
      </w:r>
      <w:r w:rsidRPr="00DC5B13">
        <w:rPr>
          <w:rFonts w:eastAsia="Calibri" w:hint="cs"/>
          <w:b/>
          <w:bCs/>
          <w:sz w:val="24"/>
          <w:rtl/>
        </w:rPr>
        <w:t xml:space="preserve">. </w:t>
      </w:r>
      <w:r w:rsidRPr="00DC5B13">
        <w:rPr>
          <w:rFonts w:eastAsia="Calibri" w:hint="cs"/>
          <w:b/>
          <w:bCs/>
          <w:rtl/>
        </w:rPr>
        <w:t xml:space="preserve">עוד עלה כי שיעור הניצול של כלל התקציבים בהסכם המסגרת הראשון הוא </w:t>
      </w:r>
      <w:r w:rsidR="00C357E1">
        <w:rPr>
          <w:rFonts w:eastAsia="Calibri"/>
          <w:b/>
          <w:bCs/>
          <w:rtl/>
        </w:rPr>
        <w:br/>
      </w:r>
      <w:r w:rsidRPr="00DC5B13">
        <w:rPr>
          <w:rFonts w:eastAsia="Calibri" w:hint="cs"/>
          <w:b/>
          <w:bCs/>
          <w:rtl/>
        </w:rPr>
        <w:t>כ-33% בלבד (בנתוני אוגוסט 2025).</w:t>
      </w:r>
    </w:p>
    <w:bookmarkEnd w:id="37"/>
    <w:p w:rsidR="00DC5B13" w:rsidRPr="00DC5B13" w:rsidP="00C34B23">
      <w:pPr>
        <w:spacing w:line="269" w:lineRule="auto"/>
        <w:rPr>
          <w:rFonts w:eastAsia="Calibri"/>
          <w:szCs w:val="20"/>
          <w:rtl/>
        </w:rPr>
      </w:pPr>
    </w:p>
    <w:p w:rsidR="00DC5B13" w:rsidRPr="00DC5B13" w:rsidP="00C34B23">
      <w:pPr>
        <w:spacing w:line="269" w:lineRule="auto"/>
        <w:rPr>
          <w:rFonts w:eastAsia="Calibri"/>
          <w:b/>
          <w:bCs/>
        </w:rPr>
      </w:pPr>
      <w:r w:rsidRPr="00DC5B13">
        <w:rPr>
          <w:rFonts w:eastAsia="Calibri" w:hint="cs"/>
          <w:b/>
          <w:bCs/>
          <w:rtl/>
        </w:rPr>
        <w:t>נוסף על כך נמצא כי סך כל התקציבים שכבר אושרו לרשויות במסגרת הסכם המסגרת הראשון עומד על כ-335 מיליון ש"ח, ומכאן שכ-105 מיליון ש"ח טרם הוקצו לרשויות שחתמו על הסכם המסגרת הראשון. יובהר כי הרשות להתחדשות עדיין יכולה להקצות את יתרת התקציב שבהסכם בהתאם לתאריכי היעד שנקבעו בו, כלומר בגין היתרי בנייה שיינתנו עד 31.7.26 עבור הקמה או שדרוג של תשתיות שיבוצעו עד תום שנת 2030.</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הרשות להתחדשות עירונית מסרה לצוות הביקורת כי היא ערה לפערים בין קבלת ההרשאה לתקציב שאושר בהסכם המסגרת ובין ניצול התקציב בפועל על ידי הרשויות המקומיות. עוד נמסר, כי להערכת הרשות להתחדשות עירונית אין די בתקציב המוצע במסגרת ההסכם למימון העלויות האמיתיות של התשתיות שהרשויות המקומיות נדרשות לממן.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ההבדלים בשיעורים של מימוש הזכאות בין הרשויות המקומיות שחתמו על הסכם המסגרת הראשון ויתרת התקציב שטרם הוקצתה עשויים להצביע על חסמים בבניית התשתיות הדרושות לקידום ההתחדשות העירונית. </w:t>
      </w:r>
    </w:p>
    <w:p w:rsidR="00DC5B13" w:rsidRPr="00DC5B13" w:rsidP="00C34B23">
      <w:pPr>
        <w:spacing w:line="269" w:lineRule="auto"/>
        <w:rPr>
          <w:rFonts w:eastAsia="Calibri"/>
          <w:b/>
          <w:bCs/>
          <w:rtl/>
        </w:rPr>
      </w:pPr>
    </w:p>
    <w:p w:rsidR="00DC5B13" w:rsidRPr="00DC5B13" w:rsidP="00C34B23">
      <w:pPr>
        <w:spacing w:line="269" w:lineRule="auto"/>
        <w:rPr>
          <w:rFonts w:eastAsia="Calibri"/>
          <w:rtl/>
        </w:rPr>
      </w:pPr>
      <w:r w:rsidRPr="00DC5B13">
        <w:rPr>
          <w:rFonts w:eastAsia="Calibri" w:hint="cs"/>
          <w:rtl/>
        </w:rPr>
        <w:t>הרשות להתחדשות מסרה בתשובתה כי אין קשר ישיר בין המיזם שעבורו הוצאו היתרי הבניה ובין התשתית שעבורה בחרה רשות מקומית לממש את התקציבים שניתנו לה. עוד מסרה הרשות כי הפער בין ההרשאה לבין מימוש התקציב עשוי להיגרם לעיתים מהחלטות הרשויות המקומיות לגבי עיתוי מימוש התקציבים.</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rtl/>
        </w:rPr>
        <w:t xml:space="preserve">עיריית </w:t>
      </w:r>
      <w:r w:rsidRPr="00DC5B13">
        <w:rPr>
          <w:rFonts w:eastAsia="Calibri"/>
          <w:b/>
          <w:bCs/>
          <w:rtl/>
        </w:rPr>
        <w:t>בית שמש</w:t>
      </w:r>
      <w:r w:rsidRPr="00DC5B13">
        <w:rPr>
          <w:rFonts w:eastAsia="Calibri"/>
          <w:rtl/>
        </w:rPr>
        <w:t xml:space="preserve"> מסרה בתשובתה למשרד מבקר המדינה מפברואר 2026 כי כ-9.8 מיליון ש"ח מתוך ההתחייבויות שאושרו לה על ידי הרשות להתחדשות יכלו להיות מנוצלים רק החל מראשית</w:t>
      </w:r>
      <w:r w:rsidRPr="00DC5B13">
        <w:rPr>
          <w:rFonts w:eastAsia="Calibri" w:hint="cs"/>
          <w:rtl/>
        </w:rPr>
        <w:t xml:space="preserve"> שנת</w:t>
      </w:r>
      <w:r w:rsidRPr="00DC5B13">
        <w:rPr>
          <w:rFonts w:eastAsia="Calibri"/>
          <w:rtl/>
        </w:rPr>
        <w:t xml:space="preserve"> 2025, </w:t>
      </w:r>
      <w:r w:rsidRPr="00DC5B13">
        <w:rPr>
          <w:rFonts w:eastAsia="Calibri" w:hint="cs"/>
          <w:rtl/>
        </w:rPr>
        <w:t>מועד שבו</w:t>
      </w:r>
      <w:r w:rsidRPr="00DC5B13">
        <w:rPr>
          <w:rFonts w:eastAsia="Calibri"/>
          <w:rtl/>
        </w:rPr>
        <w:t xml:space="preserve"> התקבלו היתרי בנ</w:t>
      </w:r>
      <w:r w:rsidRPr="00DC5B13">
        <w:rPr>
          <w:rFonts w:eastAsia="Calibri" w:hint="cs"/>
          <w:rtl/>
        </w:rPr>
        <w:t>י</w:t>
      </w:r>
      <w:r w:rsidRPr="00DC5B13">
        <w:rPr>
          <w:rFonts w:eastAsia="Calibri"/>
          <w:rtl/>
        </w:rPr>
        <w:t xml:space="preserve">יה שאפשרו </w:t>
      </w:r>
      <w:r w:rsidRPr="00DC5B13">
        <w:rPr>
          <w:rFonts w:eastAsia="Calibri" w:hint="cs"/>
          <w:rtl/>
        </w:rPr>
        <w:t xml:space="preserve">את </w:t>
      </w:r>
      <w:r w:rsidRPr="00DC5B13">
        <w:rPr>
          <w:rFonts w:eastAsia="Calibri"/>
          <w:rtl/>
        </w:rPr>
        <w:t xml:space="preserve">העברת הכספים. </w:t>
      </w:r>
      <w:r w:rsidRPr="00DC5B13">
        <w:rPr>
          <w:rFonts w:eastAsia="Calibri" w:hint="cs"/>
          <w:rtl/>
        </w:rPr>
        <w:t xml:space="preserve">כמו </w:t>
      </w:r>
      <w:r w:rsidRPr="00DC5B13">
        <w:rPr>
          <w:rFonts w:eastAsia="Calibri"/>
          <w:rtl/>
        </w:rPr>
        <w:t>כן מסרה העירייה כי נכון לפברואר 2026 היא ניצלה כ-9.1 מיליון ש"ח</w:t>
      </w:r>
      <w:r w:rsidRPr="00DC5B13">
        <w:rPr>
          <w:rFonts w:eastAsia="Calibri" w:hint="cs"/>
          <w:rtl/>
        </w:rPr>
        <w:t>,</w:t>
      </w:r>
      <w:r w:rsidRPr="00DC5B13">
        <w:rPr>
          <w:rFonts w:eastAsia="Calibri"/>
          <w:rtl/>
        </w:rPr>
        <w:t xml:space="preserve"> וכי כ-6.3 מיליון ש"ח נוספים מתוך ההתחייבות בהסכם המסגרת ינוצלו בחודשים הקרובים.</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מומלץ לרשות להתחדשות - בשיתוף הרשויות המקומיות שחתמו על הסכם המסגרת הראשון - לבחון את הסיבות לניצול החלקי (או לאי הניצול) של התקציבים שאושרו, ולבחון אם יש חסמים מובנים שניתן להתגבר עליהם באופן שיאפשר את הקצאת יתרת התקציב שנותר בהסכם המסגרת עבור הקמה או שדרוג של תשתיות עד תום שנת 2030, מועד סיום תקופת ההסכם.</w:t>
      </w:r>
    </w:p>
    <w:p w:rsidR="00DC5B13" w:rsidRPr="00DC5B13" w:rsidP="00C34B23">
      <w:pPr>
        <w:keepNext/>
        <w:keepLines/>
        <w:spacing w:line="269" w:lineRule="auto"/>
        <w:outlineLvl w:val="3"/>
        <w:rPr>
          <w:rFonts w:eastAsia="Times New Roman"/>
          <w:bCs/>
          <w:szCs w:val="26"/>
          <w:rtl/>
        </w:rPr>
      </w:pPr>
      <w:r w:rsidRPr="00DC5B13">
        <w:rPr>
          <w:rFonts w:eastAsia="Times New Roman" w:hint="cs"/>
          <w:bCs/>
          <w:szCs w:val="26"/>
          <w:rtl/>
        </w:rPr>
        <w:t>הסכמי מסגרת להתחדשות עירונית ברשויות שנבדקו</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sz w:val="24"/>
          <w:rtl/>
        </w:rPr>
        <w:t xml:space="preserve">מבין הרשויות שנבדקו ואשר נחתם עימן הסכם מסגרת, עיריית </w:t>
      </w:r>
      <w:r w:rsidRPr="00DC5B13">
        <w:rPr>
          <w:rFonts w:eastAsia="Calibri" w:hint="cs"/>
          <w:b/>
          <w:bCs/>
          <w:sz w:val="24"/>
          <w:rtl/>
        </w:rPr>
        <w:t>נתניה</w:t>
      </w:r>
      <w:r w:rsidRPr="00DC5B13">
        <w:rPr>
          <w:rFonts w:eastAsia="Calibri" w:hint="cs"/>
          <w:sz w:val="24"/>
          <w:rtl/>
        </w:rPr>
        <w:t xml:space="preserve"> היא העירייה היחידה שניצלה חלק מהתקציבים שאושרו לה (כ-15%), ואילו העיריות </w:t>
      </w:r>
      <w:r w:rsidRPr="00DC5B13">
        <w:rPr>
          <w:rFonts w:eastAsia="Calibri" w:hint="cs"/>
          <w:b/>
          <w:bCs/>
          <w:sz w:val="24"/>
          <w:rtl/>
        </w:rPr>
        <w:t>לוד</w:t>
      </w:r>
      <w:r w:rsidRPr="00DC5B13">
        <w:rPr>
          <w:rFonts w:eastAsia="Calibri" w:hint="cs"/>
          <w:sz w:val="24"/>
          <w:rtl/>
        </w:rPr>
        <w:t xml:space="preserve"> ו</w:t>
      </w:r>
      <w:r w:rsidRPr="00DC5B13">
        <w:rPr>
          <w:rFonts w:eastAsia="Calibri" w:hint="cs"/>
          <w:b/>
          <w:bCs/>
          <w:sz w:val="24"/>
          <w:rtl/>
        </w:rPr>
        <w:t>קריית ים</w:t>
      </w:r>
      <w:r w:rsidRPr="00DC5B13">
        <w:rPr>
          <w:rFonts w:eastAsia="Calibri" w:hint="cs"/>
          <w:sz w:val="24"/>
          <w:rtl/>
        </w:rPr>
        <w:t xml:space="preserve"> טרם ניצלו את </w:t>
      </w:r>
      <w:r w:rsidRPr="00DC5B13">
        <w:rPr>
          <w:rFonts w:eastAsia="Calibri" w:hint="cs"/>
          <w:rtl/>
        </w:rPr>
        <w:t>התקציבים שהוקצו להן.</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עולה כי אף שהרשויות שנבדקו, אשר חתמו על הסכם המסגרת, מייחסות חשיבות לסיוע המוצע למימון התשתיות מכוחו, ניכרת מורכבות רבה במימוש ההסכם.</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לוד</w:t>
      </w:r>
      <w:r w:rsidRPr="00DC5B13">
        <w:rPr>
          <w:rFonts w:eastAsia="Calibri" w:hint="cs"/>
          <w:rtl/>
        </w:rPr>
        <w:t xml:space="preserve"> מסרה למשרד מבקר המדינה באוקטובר 2025 כי </w:t>
      </w:r>
      <w:r w:rsidRPr="00DC5B13">
        <w:rPr>
          <w:rFonts w:eastAsia="Calibri"/>
          <w:rtl/>
        </w:rPr>
        <w:t xml:space="preserve">בשל המורכבות הרבה </w:t>
      </w:r>
      <w:r w:rsidRPr="00DC5B13">
        <w:rPr>
          <w:rFonts w:eastAsia="Calibri" w:hint="cs"/>
          <w:rtl/>
        </w:rPr>
        <w:t>הכרוכה</w:t>
      </w:r>
      <w:r w:rsidRPr="00DC5B13">
        <w:rPr>
          <w:rFonts w:eastAsia="Calibri"/>
          <w:rtl/>
        </w:rPr>
        <w:t xml:space="preserve"> </w:t>
      </w:r>
      <w:r w:rsidRPr="00DC5B13">
        <w:rPr>
          <w:rFonts w:eastAsia="Calibri" w:hint="cs"/>
          <w:rtl/>
        </w:rPr>
        <w:t>בחידושן ובהקמתן</w:t>
      </w:r>
      <w:r w:rsidRPr="00DC5B13">
        <w:rPr>
          <w:rFonts w:eastAsia="Calibri"/>
          <w:rtl/>
        </w:rPr>
        <w:t xml:space="preserve"> </w:t>
      </w:r>
      <w:r w:rsidRPr="00DC5B13">
        <w:rPr>
          <w:rFonts w:eastAsia="Calibri" w:hint="cs"/>
          <w:rtl/>
        </w:rPr>
        <w:t>של ה</w:t>
      </w:r>
      <w:r w:rsidRPr="00DC5B13">
        <w:rPr>
          <w:rFonts w:eastAsia="Calibri"/>
          <w:rtl/>
        </w:rPr>
        <w:t xml:space="preserve">תשתיות במתחמי </w:t>
      </w:r>
      <w:r w:rsidRPr="00DC5B13">
        <w:rPr>
          <w:rFonts w:eastAsia="Calibri" w:hint="cs"/>
          <w:rtl/>
        </w:rPr>
        <w:t>ה</w:t>
      </w:r>
      <w:r w:rsidRPr="00DC5B13">
        <w:rPr>
          <w:rFonts w:eastAsia="Calibri"/>
          <w:rtl/>
        </w:rPr>
        <w:t xml:space="preserve">התחדשות, </w:t>
      </w:r>
      <w:r w:rsidRPr="00DC5B13">
        <w:rPr>
          <w:rFonts w:eastAsia="Calibri" w:hint="cs"/>
          <w:rtl/>
        </w:rPr>
        <w:t xml:space="preserve">הוחלט לייעד את </w:t>
      </w:r>
      <w:r w:rsidRPr="00DC5B13">
        <w:rPr>
          <w:rFonts w:eastAsia="Calibri"/>
          <w:rtl/>
        </w:rPr>
        <w:t>התקציב למתחמים ספציפיים ש</w:t>
      </w:r>
      <w:r w:rsidRPr="00DC5B13">
        <w:rPr>
          <w:rFonts w:eastAsia="Calibri" w:hint="cs"/>
          <w:rtl/>
        </w:rPr>
        <w:t>חידושם</w:t>
      </w:r>
      <w:r w:rsidRPr="00DC5B13">
        <w:rPr>
          <w:rFonts w:eastAsia="Calibri"/>
          <w:rtl/>
        </w:rPr>
        <w:t xml:space="preserve"> יחל בעוד שנים</w:t>
      </w:r>
      <w:r w:rsidRPr="00DC5B13">
        <w:rPr>
          <w:rFonts w:eastAsia="Calibri" w:hint="cs"/>
          <w:rtl/>
        </w:rPr>
        <w:t xml:space="preserve"> אחדות. בין השאר מייעדת העירייה את התקציב להעתקת </w:t>
      </w:r>
      <w:r w:rsidRPr="00DC5B13">
        <w:rPr>
          <w:rFonts w:eastAsia="Calibri" w:hint="cs"/>
          <w:rtl/>
        </w:rPr>
        <w:t>בית כנסת, להריסת אגף הביטחון של העירייה ולהקמת אגף חדש במתחם ההתחדשות ברחובות הס וגולדברג.</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עוד מסרה העירייה כי </w:t>
      </w:r>
      <w:r w:rsidRPr="00DC5B13">
        <w:rPr>
          <w:rFonts w:eastAsia="Calibri"/>
          <w:rtl/>
        </w:rPr>
        <w:t>המימון מ</w:t>
      </w:r>
      <w:r w:rsidRPr="00DC5B13">
        <w:rPr>
          <w:rFonts w:eastAsia="Calibri" w:hint="cs"/>
          <w:rtl/>
        </w:rPr>
        <w:t>ועבר</w:t>
      </w:r>
      <w:r w:rsidRPr="00DC5B13">
        <w:rPr>
          <w:rFonts w:eastAsia="Calibri"/>
          <w:rtl/>
        </w:rPr>
        <w:t xml:space="preserve"> אחרי ביצוע התשתיות</w:t>
      </w:r>
      <w:r w:rsidRPr="00DC5B13">
        <w:rPr>
          <w:rFonts w:eastAsia="Calibri" w:hint="cs"/>
          <w:rtl/>
        </w:rPr>
        <w:t xml:space="preserve"> ולכן נוצרת בעיית נזילות, וכי</w:t>
      </w:r>
      <w:r w:rsidRPr="00DC5B13">
        <w:rPr>
          <w:rFonts w:eastAsia="Calibri"/>
          <w:rtl/>
        </w:rPr>
        <w:t xml:space="preserve"> </w:t>
      </w:r>
      <w:r w:rsidRPr="00DC5B13">
        <w:rPr>
          <w:rFonts w:eastAsia="Calibri" w:hint="cs"/>
          <w:rtl/>
        </w:rPr>
        <w:t>המינהלת להתחדשות עירונית</w:t>
      </w:r>
      <w:r w:rsidRPr="00DC5B13">
        <w:rPr>
          <w:rFonts w:eastAsia="Calibri"/>
          <w:rtl/>
        </w:rPr>
        <w:t xml:space="preserve"> </w:t>
      </w:r>
      <w:r w:rsidRPr="00DC5B13">
        <w:rPr>
          <w:rFonts w:eastAsia="Calibri" w:hint="cs"/>
          <w:rtl/>
        </w:rPr>
        <w:t>ב</w:t>
      </w:r>
      <w:r w:rsidRPr="00DC5B13">
        <w:rPr>
          <w:rFonts w:eastAsia="Calibri"/>
          <w:b/>
          <w:bCs/>
          <w:rtl/>
        </w:rPr>
        <w:t>לוד</w:t>
      </w:r>
      <w:r w:rsidRPr="00DC5B13">
        <w:rPr>
          <w:rFonts w:eastAsia="Calibri"/>
          <w:rtl/>
        </w:rPr>
        <w:t xml:space="preserve"> נסמכת על </w:t>
      </w:r>
      <w:r w:rsidRPr="00DC5B13">
        <w:rPr>
          <w:rFonts w:eastAsia="Calibri" w:hint="cs"/>
          <w:rtl/>
        </w:rPr>
        <w:t>תקציבי ה</w:t>
      </w:r>
      <w:r w:rsidRPr="00DC5B13">
        <w:rPr>
          <w:rFonts w:eastAsia="Calibri"/>
          <w:rtl/>
        </w:rPr>
        <w:t>חברה הכלכלית לשם גישור על פערי התקציב</w:t>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עוד טענה העירייה כי התקציב המאושר בהסכמי המסגרת נמוך ומאפשר להקים תשתיות שהמפרט לביצוען</w:t>
      </w:r>
      <w:r w:rsidRPr="00DC5B13">
        <w:rPr>
          <w:rFonts w:eastAsia="Calibri"/>
          <w:rtl/>
        </w:rPr>
        <w:t xml:space="preserve"> מ</w:t>
      </w:r>
      <w:r w:rsidRPr="00DC5B13">
        <w:rPr>
          <w:rFonts w:eastAsia="Calibri" w:hint="cs"/>
          <w:rtl/>
        </w:rPr>
        <w:t>צומצם</w:t>
      </w:r>
      <w:r w:rsidRPr="00DC5B13">
        <w:rPr>
          <w:rFonts w:eastAsia="Calibri"/>
          <w:rtl/>
        </w:rPr>
        <w:t xml:space="preserve"> למינימום ההכרחי </w:t>
      </w:r>
      <w:r w:rsidRPr="00DC5B13">
        <w:rPr>
          <w:rFonts w:eastAsia="Calibri" w:hint="cs"/>
          <w:rtl/>
        </w:rPr>
        <w:t>-</w:t>
      </w:r>
      <w:r w:rsidRPr="00DC5B13">
        <w:rPr>
          <w:rFonts w:eastAsia="Calibri"/>
          <w:rtl/>
        </w:rPr>
        <w:t xml:space="preserve"> </w:t>
      </w:r>
      <w:r w:rsidRPr="00DC5B13">
        <w:rPr>
          <w:rFonts w:eastAsia="Calibri" w:hint="cs"/>
          <w:rtl/>
        </w:rPr>
        <w:t>דבר העלול לפגוע באיכות התשתיות לציבור.</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 xml:space="preserve">נתניה </w:t>
      </w:r>
      <w:r w:rsidRPr="00DC5B13">
        <w:rPr>
          <w:rFonts w:eastAsia="Calibri" w:hint="cs"/>
          <w:rtl/>
        </w:rPr>
        <w:t xml:space="preserve">מסרה למשרד מבקר המדינה בנובמבר 2025 כי </w:t>
      </w:r>
      <w:r w:rsidRPr="00DC5B13">
        <w:rPr>
          <w:rFonts w:eastAsia="Calibri"/>
          <w:rtl/>
        </w:rPr>
        <w:t xml:space="preserve">העברת הכספים לאחר ביצוע התשתיות </w:t>
      </w:r>
      <w:r w:rsidRPr="00DC5B13">
        <w:rPr>
          <w:rFonts w:eastAsia="Calibri" w:hint="cs"/>
          <w:rtl/>
        </w:rPr>
        <w:t>מעמידה בפני העירייה קשיי נזילות, הנובעים הן מהצורך בשריון חלק מהתקציב העירוני לתקופת זמן בלתי ידועה והן מהצורך לגשר על הפער בין מימון התשתיות על ידי העירייה ובין קבלת המימון מכוח הסכם המסגרת</w:t>
      </w:r>
      <w:r w:rsidRPr="00DC5B13">
        <w:rPr>
          <w:rFonts w:eastAsia="Calibri"/>
          <w:rtl/>
        </w:rPr>
        <w:t>.</w:t>
      </w:r>
      <w:r w:rsidRPr="00DC5B13">
        <w:rPr>
          <w:rFonts w:eastAsia="Calibri" w:hint="cs"/>
          <w:rtl/>
        </w:rPr>
        <w:t xml:space="preserve"> </w:t>
      </w:r>
      <w:r w:rsidRPr="00DC5B13">
        <w:rPr>
          <w:rFonts w:eastAsia="Calibri"/>
          <w:rtl/>
        </w:rPr>
        <w:t>במצב הדברים כיום</w:t>
      </w:r>
      <w:r w:rsidRPr="00DC5B13">
        <w:rPr>
          <w:rFonts w:eastAsia="Calibri" w:hint="cs"/>
          <w:rtl/>
        </w:rPr>
        <w:t xml:space="preserve"> יש </w:t>
      </w:r>
      <w:r w:rsidRPr="00DC5B13">
        <w:rPr>
          <w:rFonts w:eastAsia="Calibri"/>
          <w:rtl/>
        </w:rPr>
        <w:t>לשריין</w:t>
      </w:r>
      <w:r w:rsidRPr="00DC5B13">
        <w:rPr>
          <w:rFonts w:eastAsia="Calibri" w:hint="cs"/>
          <w:rtl/>
        </w:rPr>
        <w:t xml:space="preserve"> </w:t>
      </w:r>
      <w:r w:rsidRPr="00DC5B13">
        <w:rPr>
          <w:rFonts w:eastAsia="Calibri"/>
          <w:rtl/>
        </w:rPr>
        <w:t>ש</w:t>
      </w:r>
      <w:r w:rsidRPr="00DC5B13">
        <w:rPr>
          <w:rFonts w:eastAsia="Calibri" w:hint="cs"/>
          <w:rtl/>
        </w:rPr>
        <w:t>ת</w:t>
      </w:r>
      <w:r w:rsidRPr="00DC5B13">
        <w:rPr>
          <w:rFonts w:eastAsia="Calibri"/>
          <w:rtl/>
        </w:rPr>
        <w:t xml:space="preserve">י </w:t>
      </w:r>
      <w:r w:rsidRPr="00DC5B13">
        <w:rPr>
          <w:rFonts w:eastAsia="Calibri" w:hint="cs"/>
          <w:rtl/>
        </w:rPr>
        <w:t xml:space="preserve">מסגרות תקציב </w:t>
      </w:r>
      <w:r w:rsidRPr="00DC5B13">
        <w:rPr>
          <w:rFonts w:eastAsia="Calibri"/>
          <w:rtl/>
        </w:rPr>
        <w:t>לחידוש התשתיות - האח</w:t>
      </w:r>
      <w:r w:rsidRPr="00DC5B13">
        <w:rPr>
          <w:rFonts w:eastAsia="Calibri" w:hint="cs"/>
          <w:rtl/>
        </w:rPr>
        <w:t>ת</w:t>
      </w:r>
      <w:r w:rsidRPr="00DC5B13">
        <w:rPr>
          <w:rFonts w:eastAsia="Calibri"/>
          <w:rtl/>
        </w:rPr>
        <w:t xml:space="preserve"> מהעירייה או מהחברה הכלכלית והשנ</w:t>
      </w:r>
      <w:r w:rsidRPr="00DC5B13">
        <w:rPr>
          <w:rFonts w:eastAsia="Calibri" w:hint="cs"/>
          <w:rtl/>
        </w:rPr>
        <w:t>י</w:t>
      </w:r>
      <w:r w:rsidRPr="00DC5B13">
        <w:rPr>
          <w:rFonts w:eastAsia="Calibri"/>
          <w:rtl/>
        </w:rPr>
        <w:t>י</w:t>
      </w:r>
      <w:r w:rsidRPr="00DC5B13">
        <w:rPr>
          <w:rFonts w:eastAsia="Calibri" w:hint="cs"/>
          <w:rtl/>
        </w:rPr>
        <w:t>ה</w:t>
      </w:r>
      <w:r w:rsidRPr="00DC5B13">
        <w:rPr>
          <w:rFonts w:eastAsia="Calibri"/>
          <w:rtl/>
        </w:rPr>
        <w:t xml:space="preserve"> מהסכם המסגרת</w:t>
      </w:r>
      <w:r w:rsidRPr="00DC5B13">
        <w:rPr>
          <w:rFonts w:eastAsia="Calibri" w:hint="cs"/>
          <w:rtl/>
        </w:rPr>
        <w:t xml:space="preserve"> כדי לאפשר את העברת המימון לעירייה.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עוד נמסר כי ההקמה או החידוש של </w:t>
      </w:r>
      <w:r w:rsidRPr="00DC5B13">
        <w:rPr>
          <w:rFonts w:eastAsia="Calibri"/>
          <w:rtl/>
        </w:rPr>
        <w:t xml:space="preserve">התשתית </w:t>
      </w:r>
      <w:r w:rsidRPr="00DC5B13">
        <w:rPr>
          <w:rFonts w:eastAsia="Calibri" w:hint="cs"/>
          <w:rtl/>
        </w:rPr>
        <w:t xml:space="preserve">הם </w:t>
      </w:r>
      <w:r w:rsidRPr="00DC5B13">
        <w:rPr>
          <w:rFonts w:eastAsia="Calibri"/>
          <w:rtl/>
        </w:rPr>
        <w:t xml:space="preserve">משימה מורכבת </w:t>
      </w:r>
      <w:r w:rsidRPr="00DC5B13">
        <w:rPr>
          <w:rFonts w:eastAsia="Calibri" w:hint="cs"/>
          <w:rtl/>
        </w:rPr>
        <w:t>בשל החשיפה לשינויים בלתי צפויים לאחר אישור תוכנית המתאר - וזאת מפני שהתכנון המפורט</w:t>
      </w:r>
      <w:r>
        <w:rPr>
          <w:rFonts w:eastAsia="Calibri"/>
          <w:vertAlign w:val="superscript"/>
          <w:rtl/>
        </w:rPr>
        <w:footnoteReference w:id="122"/>
      </w:r>
      <w:r w:rsidRPr="00DC5B13">
        <w:rPr>
          <w:rFonts w:eastAsia="Calibri" w:hint="cs"/>
          <w:rtl/>
        </w:rPr>
        <w:t xml:space="preserve"> הסופי של התשתיות נעשה במקביל לעריכת תוכניות לצורך קבלת היתרי בנייה. תיאום התכנון של כל המערכות השונות שנערך לפני הוצאת היתרי הבנייה עשוי להתברר כיקר יותר מהחזוי בשלב זה, ומכאן שההתחייבות מראש על סכום עשויה להתברר כבלתי מתאימה בעת הביצוע.</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קריית ים</w:t>
      </w:r>
      <w:r w:rsidRPr="00DC5B13">
        <w:rPr>
          <w:rFonts w:eastAsia="Calibri" w:hint="cs"/>
          <w:rtl/>
        </w:rPr>
        <w:t xml:space="preserve"> מסרה בנובמבר 2025 כי </w:t>
      </w:r>
      <w:r w:rsidRPr="00DC5B13">
        <w:rPr>
          <w:rFonts w:eastAsia="Calibri"/>
          <w:rtl/>
        </w:rPr>
        <w:t xml:space="preserve">עמדה בתנאי הסף לחתימה על הסכם המסגרת בזכות </w:t>
      </w:r>
      <w:r w:rsidRPr="00DC5B13">
        <w:rPr>
          <w:rFonts w:eastAsia="Calibri" w:hint="cs"/>
          <w:rtl/>
        </w:rPr>
        <w:t xml:space="preserve">הוצאת </w:t>
      </w:r>
      <w:r w:rsidRPr="00DC5B13">
        <w:rPr>
          <w:rFonts w:eastAsia="Calibri"/>
          <w:rtl/>
        </w:rPr>
        <w:t xml:space="preserve">היתרי הריסה ודיפון </w:t>
      </w:r>
      <w:r w:rsidRPr="00DC5B13">
        <w:rPr>
          <w:rFonts w:eastAsia="Calibri" w:hint="cs"/>
          <w:rtl/>
        </w:rPr>
        <w:t>ל</w:t>
      </w:r>
      <w:r w:rsidRPr="00DC5B13">
        <w:rPr>
          <w:rFonts w:eastAsia="Calibri"/>
          <w:rtl/>
        </w:rPr>
        <w:t>שני מיזמים להתחדשות עירונית בעיר</w:t>
      </w:r>
      <w:r>
        <w:rPr>
          <w:rFonts w:eastAsia="Calibri"/>
          <w:vertAlign w:val="superscript"/>
          <w:rtl/>
        </w:rPr>
        <w:footnoteReference w:id="123"/>
      </w:r>
      <w:r w:rsidRPr="00DC5B13">
        <w:rPr>
          <w:rFonts w:eastAsia="Calibri"/>
          <w:rtl/>
        </w:rPr>
        <w:t>.</w:t>
      </w:r>
      <w:r w:rsidRPr="00DC5B13">
        <w:rPr>
          <w:rFonts w:eastAsia="Calibri" w:hint="cs"/>
          <w:rtl/>
        </w:rPr>
        <w:t xml:space="preserve"> </w:t>
      </w:r>
      <w:r w:rsidRPr="00DC5B13">
        <w:rPr>
          <w:rFonts w:eastAsia="Calibri"/>
          <w:rtl/>
        </w:rPr>
        <w:t>ב</w:t>
      </w:r>
      <w:r w:rsidRPr="00DC5B13">
        <w:rPr>
          <w:rFonts w:eastAsia="Calibri" w:hint="cs"/>
          <w:rtl/>
        </w:rPr>
        <w:t xml:space="preserve">מיזם </w:t>
      </w:r>
      <w:r w:rsidRPr="00DC5B13">
        <w:rPr>
          <w:rFonts w:eastAsia="Calibri"/>
          <w:rtl/>
        </w:rPr>
        <w:t>אחד הוצא היתר בני</w:t>
      </w:r>
      <w:r w:rsidRPr="00DC5B13">
        <w:rPr>
          <w:rFonts w:eastAsia="Calibri" w:hint="cs"/>
          <w:rtl/>
        </w:rPr>
        <w:t>י</w:t>
      </w:r>
      <w:r w:rsidRPr="00DC5B13">
        <w:rPr>
          <w:rFonts w:eastAsia="Calibri"/>
          <w:rtl/>
        </w:rPr>
        <w:t xml:space="preserve">ה, אך במיזם השני, של מתחם שיכון צבא </w:t>
      </w:r>
      <w:r w:rsidRPr="00DC5B13">
        <w:rPr>
          <w:rFonts w:eastAsia="Calibri" w:hint="cs"/>
          <w:rtl/>
        </w:rPr>
        <w:t>ה</w:t>
      </w:r>
      <w:r w:rsidRPr="00DC5B13">
        <w:rPr>
          <w:rFonts w:eastAsia="Calibri"/>
          <w:rtl/>
        </w:rPr>
        <w:t xml:space="preserve">קבע, היזם משך את התוכנית המיועדת לאישור והגיש אותה לאישור מחודש בשל שינויים שהוא ביקש להוסיף </w:t>
      </w:r>
      <w:r w:rsidRPr="00DC5B13">
        <w:rPr>
          <w:rFonts w:eastAsia="Calibri" w:hint="cs"/>
          <w:rtl/>
        </w:rPr>
        <w:t>ב</w:t>
      </w:r>
      <w:r w:rsidRPr="00DC5B13">
        <w:rPr>
          <w:rFonts w:eastAsia="Calibri"/>
          <w:rtl/>
        </w:rPr>
        <w:t xml:space="preserve">קומות החניה </w:t>
      </w:r>
      <w:r w:rsidRPr="00DC5B13">
        <w:rPr>
          <w:rFonts w:eastAsia="Calibri" w:hint="cs"/>
          <w:rtl/>
        </w:rPr>
        <w:t>התת-קרקעיות</w:t>
      </w:r>
      <w:r w:rsidRPr="00DC5B13">
        <w:rPr>
          <w:rFonts w:eastAsia="Calibri"/>
          <w:rtl/>
        </w:rPr>
        <w:t xml:space="preserve"> של הבניינים. </w:t>
      </w:r>
      <w:r w:rsidRPr="00DC5B13">
        <w:rPr>
          <w:rFonts w:eastAsia="Calibri" w:hint="cs"/>
          <w:rtl/>
        </w:rPr>
        <w:t xml:space="preserve">בשל </w:t>
      </w:r>
      <w:r w:rsidRPr="00DC5B13">
        <w:rPr>
          <w:rFonts w:eastAsia="Calibri"/>
          <w:rtl/>
        </w:rPr>
        <w:t>העיכוב</w:t>
      </w:r>
      <w:r w:rsidRPr="00DC5B13">
        <w:rPr>
          <w:rFonts w:eastAsia="Calibri" w:hint="cs"/>
          <w:rtl/>
        </w:rPr>
        <w:t xml:space="preserve"> לא יכלה </w:t>
      </w:r>
      <w:r w:rsidRPr="00DC5B13">
        <w:rPr>
          <w:rFonts w:eastAsia="Calibri"/>
          <w:rtl/>
        </w:rPr>
        <w:t xml:space="preserve">עיריית קריית ים לעמוד במכסת ההיתרים </w:t>
      </w:r>
      <w:r w:rsidRPr="00DC5B13">
        <w:rPr>
          <w:rFonts w:eastAsia="Calibri" w:hint="cs"/>
          <w:rtl/>
        </w:rPr>
        <w:t>ש</w:t>
      </w:r>
      <w:r w:rsidRPr="00DC5B13">
        <w:rPr>
          <w:rFonts w:eastAsia="Calibri"/>
          <w:rtl/>
        </w:rPr>
        <w:t xml:space="preserve">עליה התחייבה, </w:t>
      </w:r>
      <w:r w:rsidRPr="00DC5B13">
        <w:rPr>
          <w:rFonts w:eastAsia="Calibri" w:hint="cs"/>
          <w:rtl/>
        </w:rPr>
        <w:t>ו</w:t>
      </w:r>
      <w:r w:rsidRPr="00DC5B13">
        <w:rPr>
          <w:rFonts w:eastAsia="Calibri"/>
          <w:rtl/>
        </w:rPr>
        <w:t>התוכנית החדשה לא אושרה בזמן</w:t>
      </w:r>
      <w:r w:rsidRPr="00DC5B13">
        <w:rPr>
          <w:rFonts w:eastAsia="Calibri" w:hint="cs"/>
          <w:rtl/>
        </w:rPr>
        <w:t xml:space="preserve"> שקבעה הרשות להתחדשות עירונית</w:t>
      </w:r>
      <w:r w:rsidRPr="00DC5B13">
        <w:rPr>
          <w:rFonts w:eastAsia="Calibri"/>
          <w:rtl/>
        </w:rPr>
        <w:t xml:space="preserve">. </w:t>
      </w:r>
      <w:r w:rsidRPr="00DC5B13">
        <w:rPr>
          <w:rFonts w:eastAsia="Calibri" w:hint="cs"/>
          <w:rtl/>
        </w:rPr>
        <w:t xml:space="preserve">העירייה דיווחה על כך </w:t>
      </w:r>
      <w:r w:rsidRPr="00DC5B13">
        <w:rPr>
          <w:rFonts w:eastAsia="Calibri"/>
          <w:rtl/>
        </w:rPr>
        <w:t xml:space="preserve">לרשות </w:t>
      </w:r>
      <w:r w:rsidRPr="00DC5B13">
        <w:rPr>
          <w:rFonts w:eastAsia="Calibri" w:hint="cs"/>
          <w:rtl/>
        </w:rPr>
        <w:t>להתחדשות,</w:t>
      </w:r>
      <w:r w:rsidRPr="00DC5B13">
        <w:rPr>
          <w:rFonts w:eastAsia="Calibri"/>
          <w:rtl/>
        </w:rPr>
        <w:t xml:space="preserve"> וב-</w:t>
      </w:r>
      <w:r w:rsidRPr="00DC5B13">
        <w:rPr>
          <w:rFonts w:eastAsia="Calibri" w:hint="cs"/>
          <w:rtl/>
        </w:rPr>
        <w:t>23</w:t>
      </w:r>
      <w:r w:rsidRPr="00DC5B13">
        <w:rPr>
          <w:rFonts w:eastAsia="Calibri"/>
          <w:rtl/>
        </w:rPr>
        <w:t>.5.24 התקבלה הודעה על הקפאת הסכומים עד להשלמת הוצאת</w:t>
      </w:r>
      <w:r w:rsidRPr="00DC5B13">
        <w:rPr>
          <w:rFonts w:eastAsia="Calibri" w:hint="cs"/>
          <w:rtl/>
        </w:rPr>
        <w:t>ו של</w:t>
      </w:r>
      <w:r w:rsidRPr="00DC5B13">
        <w:rPr>
          <w:rFonts w:eastAsia="Calibri"/>
          <w:rtl/>
        </w:rPr>
        <w:t xml:space="preserve"> היתר הבני</w:t>
      </w:r>
      <w:r w:rsidRPr="00DC5B13">
        <w:rPr>
          <w:rFonts w:eastAsia="Calibri" w:hint="cs"/>
          <w:rtl/>
        </w:rPr>
        <w:t>י</w:t>
      </w:r>
      <w:r w:rsidRPr="00DC5B13">
        <w:rPr>
          <w:rFonts w:eastAsia="Calibri"/>
          <w:rtl/>
        </w:rPr>
        <w:t>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בספטמבר 2024 </w:t>
      </w:r>
      <w:r w:rsidRPr="00DC5B13">
        <w:rPr>
          <w:rFonts w:eastAsia="Calibri"/>
          <w:rtl/>
        </w:rPr>
        <w:t>הוד</w:t>
      </w:r>
      <w:r w:rsidRPr="00DC5B13">
        <w:rPr>
          <w:rFonts w:eastAsia="Calibri" w:hint="cs"/>
          <w:rtl/>
        </w:rPr>
        <w:t>י</w:t>
      </w:r>
      <w:r w:rsidRPr="00DC5B13">
        <w:rPr>
          <w:rFonts w:eastAsia="Calibri"/>
          <w:rtl/>
        </w:rPr>
        <w:t>עה הרשות להתחדשות לעיריית קריית ים</w:t>
      </w:r>
      <w:r w:rsidRPr="00DC5B13">
        <w:rPr>
          <w:rFonts w:eastAsia="Calibri" w:hint="cs"/>
          <w:rtl/>
        </w:rPr>
        <w:t xml:space="preserve"> כי</w:t>
      </w:r>
      <w:r w:rsidRPr="00DC5B13">
        <w:rPr>
          <w:rFonts w:eastAsia="Calibri"/>
          <w:rtl/>
        </w:rPr>
        <w:t xml:space="preserve"> </w:t>
      </w:r>
      <w:r w:rsidRPr="00DC5B13">
        <w:rPr>
          <w:rFonts w:eastAsia="Calibri" w:hint="cs"/>
          <w:rtl/>
        </w:rPr>
        <w:t xml:space="preserve">אף שהיא מכירה בהיתרי הריסה לצורך קביעת הזכאות לתקצוב, יקוזזו כ-9.5 מיליון ש"ח מתוך כ-12 מיליון ש"ח שהועמדו לזכות העירייה מכוח הסכם המסגרת. </w:t>
      </w:r>
      <w:r w:rsidRPr="00DC5B13">
        <w:rPr>
          <w:rFonts w:eastAsia="Calibri" w:hint="eastAsia"/>
          <w:rtl/>
        </w:rPr>
        <w:t>זאת</w:t>
      </w:r>
      <w:r w:rsidRPr="00DC5B13">
        <w:rPr>
          <w:rFonts w:eastAsia="Calibri"/>
          <w:rtl/>
        </w:rPr>
        <w:t xml:space="preserve"> בגין היתרי הריסה שטרם הוצא להם היתר בנייה.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בנובמבר 2025</w:t>
      </w:r>
      <w:r w:rsidRPr="00DC5B13">
        <w:rPr>
          <w:rFonts w:eastAsia="Calibri"/>
          <w:rtl/>
        </w:rPr>
        <w:t xml:space="preserve"> </w:t>
      </w:r>
      <w:r w:rsidRPr="00DC5B13">
        <w:rPr>
          <w:rFonts w:eastAsia="Calibri" w:hint="cs"/>
          <w:rtl/>
        </w:rPr>
        <w:t xml:space="preserve">הודיעה </w:t>
      </w:r>
      <w:r w:rsidRPr="00DC5B13">
        <w:rPr>
          <w:rFonts w:eastAsia="Calibri"/>
          <w:rtl/>
        </w:rPr>
        <w:t xml:space="preserve">הרשות </w:t>
      </w:r>
      <w:r w:rsidRPr="00DC5B13">
        <w:rPr>
          <w:rFonts w:eastAsia="Calibri" w:hint="cs"/>
          <w:rtl/>
        </w:rPr>
        <w:t xml:space="preserve">להתחדשות לעיריית </w:t>
      </w:r>
      <w:r w:rsidRPr="00DC5B13">
        <w:rPr>
          <w:rFonts w:eastAsia="Calibri" w:hint="eastAsia"/>
          <w:b/>
          <w:bCs/>
          <w:rtl/>
        </w:rPr>
        <w:t>קריית</w:t>
      </w:r>
      <w:r w:rsidRPr="00DC5B13">
        <w:rPr>
          <w:rFonts w:eastAsia="Calibri"/>
          <w:b/>
          <w:bCs/>
          <w:rtl/>
        </w:rPr>
        <w:t xml:space="preserve"> </w:t>
      </w:r>
      <w:r w:rsidRPr="00DC5B13">
        <w:rPr>
          <w:rFonts w:eastAsia="Calibri" w:hint="eastAsia"/>
          <w:b/>
          <w:bCs/>
          <w:rtl/>
        </w:rPr>
        <w:t>ים</w:t>
      </w:r>
      <w:r w:rsidRPr="00DC5B13">
        <w:rPr>
          <w:rFonts w:eastAsia="Calibri" w:hint="cs"/>
          <w:rtl/>
        </w:rPr>
        <w:t xml:space="preserve"> כי היא אינה עומדת עוד בתנאי</w:t>
      </w:r>
      <w:r w:rsidRPr="00DC5B13">
        <w:rPr>
          <w:rFonts w:eastAsia="Calibri"/>
          <w:rtl/>
        </w:rPr>
        <w:t xml:space="preserve"> </w:t>
      </w:r>
      <w:r w:rsidRPr="00DC5B13">
        <w:rPr>
          <w:rFonts w:eastAsia="Calibri" w:hint="cs"/>
          <w:rtl/>
        </w:rPr>
        <w:t>ה</w:t>
      </w:r>
      <w:r w:rsidRPr="00DC5B13">
        <w:rPr>
          <w:rFonts w:eastAsia="Calibri"/>
          <w:rtl/>
        </w:rPr>
        <w:t xml:space="preserve">זכאות למימון לפי הסכם </w:t>
      </w:r>
      <w:r w:rsidRPr="00DC5B13">
        <w:rPr>
          <w:rFonts w:eastAsia="Calibri" w:hint="cs"/>
          <w:rtl/>
        </w:rPr>
        <w:t>ה</w:t>
      </w:r>
      <w:r w:rsidRPr="00DC5B13">
        <w:rPr>
          <w:rFonts w:eastAsia="Calibri"/>
          <w:rtl/>
        </w:rPr>
        <w:t>מסגרת למימון תשתיות תומכות התחדשות עירונית.</w:t>
      </w:r>
      <w:r w:rsidRPr="00DC5B13">
        <w:rPr>
          <w:rFonts w:eastAsia="Calibri" w:hint="cs"/>
          <w:rtl/>
        </w:rPr>
        <w:t xml:space="preserve"> יצוין כי במועד סיום הביקורת טרם קוזזה יתרת הסכום שעיריית קריית ים הייתה זכאית לו מכוח הסכם המסגרת.</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בביקורת נמצא כי עיריית לוד טרם מימשה התחייבויות לתקצוב מהרשות להתחדשות בסך </w:t>
      </w:r>
      <w:r w:rsidR="00443A77">
        <w:rPr>
          <w:rFonts w:eastAsia="Calibri"/>
          <w:b/>
          <w:bCs/>
          <w:rtl/>
        </w:rPr>
        <w:br/>
      </w:r>
      <w:r w:rsidRPr="00DC5B13">
        <w:rPr>
          <w:rFonts w:eastAsia="Calibri" w:hint="cs"/>
          <w:b/>
          <w:bCs/>
          <w:rtl/>
        </w:rPr>
        <w:t xml:space="preserve">כ-28 מיליון ש"ח; כי עיריית נתניה מימשה כ-3.5 מיליון ש"ח מתוך כ-23 מיליון ש"ח שאותם התחייבה הרשות להתחדשות להעביר לה (כ-15% שמומשו מתוך ההתחייבות); ועיריית קריית ים טרם מימשה התחייבויות לתקצוב מהרשות להתחדשות בסך כ-3 מיליון ש"ח (לאחר קיזוז </w:t>
      </w:r>
      <w:r w:rsidRPr="00DC5B13">
        <w:rPr>
          <w:rFonts w:eastAsia="Calibri" w:hint="cs"/>
          <w:b/>
          <w:bCs/>
          <w:rtl/>
        </w:rPr>
        <w:t>של 9 מיליון). מהביקורת עלה כי העיריות לוד, נתניה וקריית ים מתקשות במימוש הזכאות לתקצוב מכוח הסכם המסגרת.</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העיריות לוד ונתניה הצביעו על קשיי נזילות הנובעים מהצורך לשלם על חידוש או על הקמת התשתיות לפני קבלת המימון ועל הקושי להעריך את העלות האמיתית של התשתיות במהלך הכנתו של תחשיב הזכאות בעת החתימה על ההסכם. </w:t>
      </w:r>
      <w:bookmarkStart w:id="38" w:name="_Hlk219973184"/>
      <w:r w:rsidRPr="00DC5B13">
        <w:rPr>
          <w:rFonts w:eastAsia="Calibri" w:hint="cs"/>
          <w:b/>
          <w:bCs/>
          <w:rtl/>
        </w:rPr>
        <w:t>כן נמצא כי פקעה זכאותה של עיריית קריית ים למימון בשל אי-עמידה בתנאי הסף - וזאת בשל החלטת היזם להגיש לאישור מחדש תוכנית מתאר שהעירייה התבססה עליה לצורך חישוב זכאותה למימון.</w:t>
      </w:r>
      <w:bookmarkEnd w:id="38"/>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בביקורת עלו חסמים שפגעו במימוש הסכמי המסגרת ברשויות שנבדקו ובמרכזם קשיי הנזילות שנגרמו לרשויות. למרות נכונות הרשות להתחדשות להכיר בהיתרי הריסה לצורך מתן התקציבים, נתוני </w:t>
      </w:r>
      <w:bookmarkStart w:id="39" w:name="_Hlk219974275"/>
      <w:r w:rsidRPr="00DC5B13">
        <w:rPr>
          <w:rFonts w:eastAsia="Calibri" w:hint="cs"/>
          <w:b/>
          <w:bCs/>
          <w:rtl/>
        </w:rPr>
        <w:t xml:space="preserve">הניצול </w:t>
      </w:r>
      <w:bookmarkEnd w:id="39"/>
      <w:r w:rsidRPr="00DC5B13">
        <w:rPr>
          <w:rFonts w:eastAsia="Calibri" w:hint="cs"/>
          <w:b/>
          <w:bCs/>
          <w:rtl/>
        </w:rPr>
        <w:t xml:space="preserve">של התקציבים בהסכם המסגרת הראשון בכללותו היו נמוכים (33%) ובפרט ברשויות שנבדקו (בנתניה - 15%, בלוד ובקריית ים - 0%).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קריית ים</w:t>
      </w:r>
      <w:r w:rsidRPr="00DC5B13">
        <w:rPr>
          <w:rFonts w:eastAsia="Calibri" w:hint="cs"/>
          <w:rtl/>
        </w:rPr>
        <w:t xml:space="preserve"> מסרה בתשובתה כי בחרה שלא לנצל את התקציב באופן מיידי מתוך חשש לקיזוז תקציבי - כפי שאכן אירע כמתואר לעיל. אשר לכך שדרישות הסכם המסגרת מתנות את העברת התמיכה בעמידה במכסות קשיחות של הוצאת היתרי בנייה או הריסה, העירייה ציינה שהבקשה להוצאת היתרים אינה ביוזמת הרשות המקומית. העירייה ציינה עוד כי הייתה מודעת לקשיים אובייקטיביים של יזמים בהגעה לשלב ההיתר במיזמים שונים ולכם נמנעה מיצירת התחייבויות כספיות שהיו עלולות להיוותר ללא כיסוי ממשלתי - וזאת בעת שהיא נמצאת בתקופת הבראה.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קריית ים</w:t>
      </w:r>
      <w:r w:rsidRPr="00DC5B13">
        <w:rPr>
          <w:rFonts w:eastAsia="Calibri" w:hint="cs"/>
          <w:rtl/>
        </w:rPr>
        <w:t xml:space="preserve"> הבהירה עוד כי </w:t>
      </w:r>
      <w:r w:rsidRPr="00DC5B13">
        <w:rPr>
          <w:rFonts w:eastAsia="Calibri"/>
          <w:rtl/>
        </w:rPr>
        <w:t>הקמת מבנים ציבוריים ותשתיות תלוי בהשלמת תקציב נוסף מאגרות והיטלים שייגבו</w:t>
      </w:r>
      <w:r w:rsidRPr="00DC5B13">
        <w:rPr>
          <w:rFonts w:eastAsia="Calibri" w:hint="cs"/>
          <w:rtl/>
        </w:rPr>
        <w:t xml:space="preserve"> </w:t>
      </w:r>
      <w:r w:rsidRPr="00DC5B13">
        <w:rPr>
          <w:rFonts w:eastAsia="Calibri"/>
          <w:rtl/>
        </w:rPr>
        <w:t>מהמתחמים כתקציב משלים מצד הרשות</w:t>
      </w:r>
      <w:r w:rsidRPr="00DC5B13">
        <w:rPr>
          <w:rFonts w:eastAsia="Calibri" w:hint="cs"/>
          <w:rtl/>
        </w:rPr>
        <w:t xml:space="preserve"> המקומית</w:t>
      </w:r>
      <w:r w:rsidRPr="00DC5B13">
        <w:rPr>
          <w:rFonts w:eastAsia="Calibri"/>
          <w:rtl/>
        </w:rPr>
        <w:t>. ללא גמישות לו</w:t>
      </w:r>
      <w:r w:rsidRPr="00DC5B13">
        <w:rPr>
          <w:rFonts w:eastAsia="Calibri" w:hint="cs"/>
          <w:rtl/>
        </w:rPr>
        <w:t xml:space="preserve">ח זמנים </w:t>
      </w:r>
      <w:r w:rsidRPr="00DC5B13">
        <w:rPr>
          <w:rFonts w:eastAsia="Calibri"/>
          <w:rtl/>
        </w:rPr>
        <w:t>בהסכם</w:t>
      </w:r>
      <w:r w:rsidRPr="00DC5B13">
        <w:rPr>
          <w:rFonts w:eastAsia="Calibri" w:hint="cs"/>
          <w:rtl/>
        </w:rPr>
        <w:t xml:space="preserve"> המסגרת</w:t>
      </w:r>
      <w:r w:rsidRPr="00DC5B13">
        <w:rPr>
          <w:rFonts w:eastAsia="Calibri"/>
          <w:rtl/>
        </w:rPr>
        <w:t xml:space="preserve"> לטובת סנכרון מלא בין קצב התקדמות היזמים לבין הבטחת התקציב הממשלתי, נוצר פער מובנה</w:t>
      </w:r>
      <w:r w:rsidRPr="00DC5B13">
        <w:rPr>
          <w:rFonts w:eastAsia="Calibri" w:hint="cs"/>
          <w:rtl/>
        </w:rPr>
        <w:t xml:space="preserve"> </w:t>
      </w:r>
      <w:r w:rsidRPr="00DC5B13">
        <w:rPr>
          <w:rFonts w:eastAsia="Calibri"/>
          <w:rtl/>
        </w:rPr>
        <w:t xml:space="preserve">ביכולת </w:t>
      </w:r>
      <w:r w:rsidRPr="00DC5B13">
        <w:rPr>
          <w:rFonts w:eastAsia="Calibri" w:hint="cs"/>
          <w:rtl/>
        </w:rPr>
        <w:t>של העירייה ל</w:t>
      </w:r>
      <w:r w:rsidRPr="00DC5B13">
        <w:rPr>
          <w:rFonts w:eastAsia="Calibri"/>
          <w:rtl/>
        </w:rPr>
        <w:t>מימוש הזכאות.</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משרד השיכון מסר בתשובתו כי </w:t>
      </w:r>
      <w:r w:rsidRPr="00DC5B13">
        <w:rPr>
          <w:rFonts w:eastAsia="Calibri"/>
          <w:rtl/>
        </w:rPr>
        <w:t xml:space="preserve">הסכמי המסגרת לא נועדו להחליף את מקורות המימון של הרשות המקומית להקמת התשתיות </w:t>
      </w:r>
      <w:r w:rsidRPr="00DC5B13">
        <w:rPr>
          <w:rFonts w:eastAsia="Calibri" w:hint="cs"/>
          <w:rtl/>
        </w:rPr>
        <w:t>שבתחום שיפוטה</w:t>
      </w:r>
      <w:r w:rsidRPr="00DC5B13">
        <w:rPr>
          <w:rFonts w:eastAsia="Calibri"/>
          <w:rtl/>
        </w:rPr>
        <w:t>,</w:t>
      </w:r>
      <w:r w:rsidRPr="00DC5B13">
        <w:rPr>
          <w:rFonts w:eastAsia="Calibri" w:hint="cs"/>
          <w:rtl/>
        </w:rPr>
        <w:t xml:space="preserve"> </w:t>
      </w:r>
      <w:r w:rsidRPr="00DC5B13">
        <w:rPr>
          <w:rFonts w:eastAsia="Calibri"/>
          <w:rtl/>
        </w:rPr>
        <w:t xml:space="preserve">אלא </w:t>
      </w:r>
      <w:r w:rsidRPr="00DC5B13">
        <w:rPr>
          <w:rFonts w:eastAsia="Calibri" w:hint="cs"/>
          <w:rtl/>
        </w:rPr>
        <w:t>לשמש</w:t>
      </w:r>
      <w:r w:rsidRPr="00DC5B13">
        <w:rPr>
          <w:rFonts w:eastAsia="Calibri"/>
          <w:rtl/>
        </w:rPr>
        <w:t xml:space="preserve"> תמריץ להוצאת היתרי בנייה בהתחדשות עירונית. רשויות מקומיות </w:t>
      </w:r>
      <w:r w:rsidRPr="00DC5B13">
        <w:rPr>
          <w:rFonts w:eastAsia="Calibri" w:hint="cs"/>
          <w:rtl/>
        </w:rPr>
        <w:t>שמתקשות להקים</w:t>
      </w:r>
      <w:r w:rsidRPr="00DC5B13">
        <w:rPr>
          <w:rFonts w:eastAsia="Calibri"/>
          <w:rtl/>
        </w:rPr>
        <w:t xml:space="preserve"> תשתיות </w:t>
      </w:r>
      <w:r w:rsidRPr="00DC5B13">
        <w:rPr>
          <w:rFonts w:eastAsia="Calibri" w:hint="cs"/>
          <w:rtl/>
        </w:rPr>
        <w:t xml:space="preserve">יש להניח שיתקשו גם </w:t>
      </w:r>
      <w:r w:rsidRPr="00DC5B13">
        <w:rPr>
          <w:rFonts w:eastAsia="Calibri"/>
          <w:rtl/>
        </w:rPr>
        <w:t>בניצול הכספים</w:t>
      </w:r>
      <w:r w:rsidRPr="00DC5B13">
        <w:rPr>
          <w:rFonts w:eastAsia="Calibri" w:hint="cs"/>
          <w:rtl/>
        </w:rPr>
        <w:t xml:space="preserve"> מהסכמי המסגרת</w:t>
      </w:r>
      <w:r w:rsidRPr="00DC5B13">
        <w:rPr>
          <w:rFonts w:eastAsia="Calibri"/>
          <w:rtl/>
        </w:rPr>
        <w:t xml:space="preserve">, </w:t>
      </w:r>
      <w:r w:rsidRPr="00DC5B13">
        <w:rPr>
          <w:rFonts w:eastAsia="Calibri" w:hint="cs"/>
          <w:rtl/>
        </w:rPr>
        <w:t>אך</w:t>
      </w:r>
      <w:r w:rsidRPr="00DC5B13">
        <w:rPr>
          <w:rFonts w:eastAsia="Calibri"/>
          <w:rtl/>
        </w:rPr>
        <w:t xml:space="preserve"> </w:t>
      </w:r>
      <w:r w:rsidRPr="00DC5B13">
        <w:rPr>
          <w:rFonts w:eastAsia="Calibri" w:hint="cs"/>
          <w:rtl/>
        </w:rPr>
        <w:t>אין</w:t>
      </w:r>
      <w:r w:rsidRPr="00DC5B13">
        <w:rPr>
          <w:rFonts w:eastAsia="Calibri"/>
          <w:rtl/>
        </w:rPr>
        <w:t xml:space="preserve"> מדובר בחסם שנוגע לפעילות משרד השיכון או הרשות הממשלתית</w:t>
      </w:r>
      <w:r w:rsidRPr="00DC5B13">
        <w:rPr>
          <w:rFonts w:eastAsia="Calibri" w:hint="cs"/>
          <w:rtl/>
        </w:rPr>
        <w:t xml:space="preserve"> </w:t>
      </w:r>
      <w:r w:rsidRPr="00DC5B13">
        <w:rPr>
          <w:rFonts w:eastAsia="Calibri"/>
          <w:rtl/>
        </w:rPr>
        <w:t>להתחדשות עירונית, ולראיה</w:t>
      </w:r>
      <w:r w:rsidRPr="00DC5B13">
        <w:rPr>
          <w:rFonts w:eastAsia="Calibri" w:hint="cs"/>
          <w:rtl/>
        </w:rPr>
        <w:t xml:space="preserve"> -</w:t>
      </w:r>
      <w:r w:rsidRPr="00DC5B13">
        <w:rPr>
          <w:rFonts w:eastAsia="Calibri"/>
          <w:rtl/>
        </w:rPr>
        <w:t xml:space="preserve"> יש עיריות הקרובות לניצול מלוא התקציב.</w:t>
      </w:r>
    </w:p>
    <w:p w:rsidR="00DC5B13" w:rsidRPr="00DC5B13" w:rsidP="00C34B23">
      <w:pPr>
        <w:spacing w:line="269" w:lineRule="auto"/>
        <w:ind w:left="-567"/>
        <w:rPr>
          <w:rFonts w:eastAsia="Calibri"/>
          <w:szCs w:val="20"/>
          <w:rtl/>
        </w:rPr>
      </w:pPr>
    </w:p>
    <w:p w:rsidR="00DC5B13" w:rsidP="00C34B23">
      <w:pPr>
        <w:spacing w:line="269" w:lineRule="auto"/>
        <w:rPr>
          <w:rFonts w:eastAsia="Calibri"/>
          <w:b/>
          <w:bCs/>
          <w:rtl/>
        </w:rPr>
      </w:pPr>
      <w:r w:rsidRPr="00DC5B13">
        <w:rPr>
          <w:rFonts w:eastAsia="Calibri" w:hint="cs"/>
          <w:b/>
          <w:bCs/>
          <w:rtl/>
        </w:rPr>
        <w:t>כדי שהרשויות המקומיות יוכלו לנצל באופן המיטבי את המימון שהוצע להן במסגרת הסכמי המסגרת, מומלץ כי הרשות להתחדשות תבחן את יעילות פעולתו של מנגנון הסכמי המסגרת ותשקול אם ניתן לטייב אותו לשם השגת המטרה שלשמה נחתם ההסכם - עידוד ההתחדשות העירונית והוצאת היתרי בנייה לרבות שדרוג התשתיות הנדרשות בפרויקטים.</w:t>
      </w:r>
    </w:p>
    <w:p w:rsidR="00D746C2" w:rsidP="00C34B23">
      <w:pPr>
        <w:keepNext/>
        <w:keepLines/>
        <w:spacing w:line="269" w:lineRule="auto"/>
        <w:outlineLvl w:val="2"/>
        <w:rPr>
          <w:rFonts w:eastAsia="Times New Roman"/>
          <w:bCs/>
          <w:szCs w:val="28"/>
          <w:u w:val="single"/>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hint="cs"/>
          <w:bCs/>
          <w:szCs w:val="28"/>
          <w:u w:val="single"/>
          <w:rtl/>
        </w:rPr>
        <w:t>מסמכי מדיניות להתחדשות עירונית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מסמך מדיניות הוא מסמך במעמד של הנחיות מינהליות</w:t>
      </w:r>
      <w:r>
        <w:rPr>
          <w:rFonts w:eastAsia="Calibri"/>
          <w:vertAlign w:val="superscript"/>
          <w:rtl/>
        </w:rPr>
        <w:footnoteReference w:id="124"/>
      </w:r>
      <w:r w:rsidRPr="00DC5B13">
        <w:rPr>
          <w:rFonts w:eastAsia="Calibri" w:hint="cs"/>
          <w:rtl/>
        </w:rPr>
        <w:t>, המוגדר כ"</w:t>
      </w:r>
      <w:r w:rsidRPr="00DC5B13">
        <w:rPr>
          <w:rFonts w:eastAsia="Calibri"/>
          <w:rtl/>
        </w:rPr>
        <w:t xml:space="preserve">הכללות נורמטיביות ולא פורמליות וגמישות שרשות מנהלית קובעת לעצמה </w:t>
      </w:r>
      <w:r w:rsidRPr="00DC5B13">
        <w:rPr>
          <w:rFonts w:eastAsia="Calibri" w:hint="cs"/>
          <w:rtl/>
        </w:rPr>
        <w:t>כדי</w:t>
      </w:r>
      <w:r w:rsidRPr="00DC5B13">
        <w:rPr>
          <w:rFonts w:eastAsia="Calibri"/>
          <w:rtl/>
        </w:rPr>
        <w:t xml:space="preserve"> שידריכו אותה במסגרת פעולותיה</w:t>
      </w:r>
      <w:r w:rsidRPr="00DC5B13">
        <w:rPr>
          <w:rFonts w:eastAsia="Calibri" w:hint="cs"/>
          <w:rtl/>
        </w:rPr>
        <w:t>"</w:t>
      </w:r>
      <w:r>
        <w:rPr>
          <w:rFonts w:eastAsia="Calibri"/>
          <w:vertAlign w:val="superscript"/>
          <w:rtl/>
        </w:rPr>
        <w:footnoteReference w:id="125"/>
      </w:r>
      <w:r w:rsidRPr="00DC5B13">
        <w:rPr>
          <w:rFonts w:eastAsia="Calibri" w:hint="cs"/>
          <w:rtl/>
        </w:rPr>
        <w:t xml:space="preserve">. </w:t>
      </w:r>
      <w:r w:rsidRPr="00DC5B13">
        <w:rPr>
          <w:rFonts w:eastAsia="Calibri" w:hint="cs"/>
          <w:rtl/>
        </w:rPr>
        <w:t>מסמך מדיניות מוגדר כ"מסמך המציג בעיה מעשית ודרכים מושכלות ומנומקות לפתרונה והוא משמש ככלי מנחה לקבלת החלטות שיובילו אל עבר הפתרונות המוצעים"</w:t>
      </w:r>
      <w:r>
        <w:rPr>
          <w:rFonts w:eastAsia="Calibri"/>
          <w:vertAlign w:val="superscript"/>
          <w:rtl/>
        </w:rPr>
        <w:footnoteReference w:id="126"/>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מינהל התכנון מגדיר מסמך מדיניות במארג מסמכי התכנון כ"</w:t>
      </w:r>
      <w:r w:rsidRPr="00DC5B13">
        <w:rPr>
          <w:rFonts w:eastAsia="Calibri"/>
          <w:rtl/>
        </w:rPr>
        <w:t>כלי שאינו סטטוטורי המאפשר לגבש ראיה תכנונית כוללת כשלב מקדים לקידום תוכניות.</w:t>
      </w:r>
      <w:r w:rsidRPr="00DC5B13">
        <w:rPr>
          <w:rFonts w:eastAsia="Calibri" w:hint="cs"/>
          <w:rtl/>
        </w:rPr>
        <w:t xml:space="preserve"> </w:t>
      </w:r>
      <w:r w:rsidRPr="00DC5B13">
        <w:rPr>
          <w:rFonts w:eastAsia="Calibri"/>
          <w:rtl/>
        </w:rPr>
        <w:t>מכיוון שתפקידו לשמש ככלי מנחה לתכנון ובסיס לקבלת החלטות, חשוב שהוא יהיה נגיש ופתוח לציבור. לצד</w:t>
      </w:r>
      <w:r w:rsidRPr="00DC5B13">
        <w:rPr>
          <w:rFonts w:eastAsia="Calibri" w:hint="cs"/>
          <w:rtl/>
        </w:rPr>
        <w:t xml:space="preserve"> </w:t>
      </w:r>
      <w:r w:rsidRPr="00DC5B13">
        <w:rPr>
          <w:rFonts w:eastAsia="Calibri"/>
          <w:rtl/>
        </w:rPr>
        <w:t>זה, מסמך מדיניות מקוון יאפשר תיעוד ושקיפות ביחס להחלטות מוסד התכנון לגביו וכן יביא לשימור ידע</w:t>
      </w:r>
      <w:r w:rsidRPr="00DC5B13">
        <w:rPr>
          <w:rFonts w:eastAsia="Calibri" w:hint="cs"/>
          <w:rtl/>
        </w:rPr>
        <w:t xml:space="preserve"> </w:t>
      </w:r>
      <w:r w:rsidRPr="00DC5B13">
        <w:rPr>
          <w:rFonts w:eastAsia="Calibri"/>
          <w:rtl/>
        </w:rPr>
        <w:t>ברמת הארגון</w:t>
      </w:r>
      <w:r w:rsidRPr="00DC5B13">
        <w:rPr>
          <w:rFonts w:eastAsia="Calibri" w:hint="cs"/>
          <w:rtl/>
        </w:rPr>
        <w:t>"</w:t>
      </w:r>
      <w:r>
        <w:rPr>
          <w:rFonts w:eastAsia="Calibri"/>
          <w:vertAlign w:val="superscript"/>
          <w:rtl/>
        </w:rPr>
        <w:footnoteReference w:id="127"/>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 חוות דעת בנושא "מסמכי מדיניות במוסדות התכנון" שפרסם משרד המשפטים ב-2021 רואה בחיוב הכנת מסמכי מדיניות במוסדות התכנון ומייחסת להכנתם יתרונות רבים. עם זאת נכתב בחוות הדעת כי על מוסדות התכנון לשקול מה תהא הדרך הנכונה למתן מענה על הצורך בקביעת מדיניות אחידה, ודאית ושקופה, אם בדרך של תכנון סטטוטורי - שהיא הדרך שנקבעה בחוק לקבלת החלטות תכנון - ואם בדרך של הכנת מסמך מדיניות, המאפשרת גמישות ובחינת שיקולים רחבים</w:t>
      </w:r>
      <w:r>
        <w:rPr>
          <w:rFonts w:eastAsia="Calibri"/>
          <w:vertAlign w:val="superscript"/>
          <w:rtl/>
        </w:rPr>
        <w:footnoteReference w:id="128"/>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הרשות להתחדשות עירונית התנתה את תמיכתה במינהלות התחדשות עירוניות בהכנת מסמכי מדיניות ובפרסומם. בקולות הקוראים שפרסמה להשתתפות במימון הפעלתן של מינהלות עירוניות להתחדשות עירונית ב-2018 וב-2022</w:t>
      </w:r>
      <w:r>
        <w:rPr>
          <w:rFonts w:eastAsia="Calibri"/>
          <w:vertAlign w:val="superscript"/>
          <w:rtl/>
        </w:rPr>
        <w:footnoteReference w:id="129"/>
      </w:r>
      <w:r w:rsidRPr="00DC5B13">
        <w:rPr>
          <w:rFonts w:eastAsia="Calibri" w:hint="cs"/>
          <w:rtl/>
        </w:rPr>
        <w:t xml:space="preserve"> צוינה הכנתו של מסמך מדיניות ופרסומו ברבים כאחת ההתחייבויות של הרשות המקומית</w:t>
      </w:r>
      <w:r>
        <w:rPr>
          <w:rFonts w:eastAsia="Calibri"/>
          <w:vertAlign w:val="superscript"/>
          <w:rtl/>
        </w:rPr>
        <w:footnoteReference w:id="130"/>
      </w:r>
      <w:r w:rsidRPr="00DC5B13">
        <w:rPr>
          <w:rFonts w:eastAsia="Calibri" w:hint="cs"/>
          <w:rtl/>
        </w:rPr>
        <w:t xml:space="preserve">. </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hint="cs"/>
          <w:rtl/>
        </w:rPr>
        <w:t>הגדרתו ותפקידיו של מסמך המדיניות הורחבו ועודכנו בעת פרסומו של הקול הקורא 7/2022. בקול הקורא 3/2018 נכתב באופן כללי כי על מסמך המדיניות לכלול "נוהל עבודה מפורט וסדור לקידום פרוייקטים... במסלולים השונים, לרבות תהליכי העבודה עם התושבים וכן רשימת האישורים והמסמכים הנדרשים בכל שלב", ובקול הקורא 7/2022 נוספה הגדרה של מסמך המדיניות הדרוש, ולפיה "מסמך מדיניות יכלול פירוט של האזורים ביישוב המיועדים להתחדשות עירונית; את סוגי ההתחדשות המותרים בכל אזור; ואת מאפייני ההתחדשות המותרים בכל אזור - ובהם גובה הבניינים המירבי, כמות הדירות להריסה וכמות הדירות המותרת לבנייה ('מכפיל'). תוכניות מתאר, תוכניות אב ותוכניות כוללניות הכוללות התייחסות לסוגיות אלה נחשבות כמסמך מדיניות לעניין זה".</w:t>
      </w:r>
    </w:p>
    <w:p w:rsidR="00AA3F2B" w:rsidRPr="00DC5B13" w:rsidP="00C34B23">
      <w:pPr>
        <w:spacing w:line="269" w:lineRule="auto"/>
        <w:rPr>
          <w:rFonts w:eastAsia="Calibri"/>
          <w:rtl/>
        </w:rPr>
      </w:pPr>
    </w:p>
    <w:p w:rsidR="00DC5B13" w:rsidRPr="00DC5B13" w:rsidP="00C34B23">
      <w:pPr>
        <w:spacing w:line="269" w:lineRule="auto"/>
        <w:rPr>
          <w:rFonts w:eastAsia="Calibri"/>
          <w:b/>
          <w:bCs/>
          <w:rtl/>
        </w:rPr>
      </w:pPr>
      <w:r w:rsidRPr="00DC5B13">
        <w:rPr>
          <w:rFonts w:eastAsia="Calibri" w:hint="cs"/>
          <w:b/>
          <w:bCs/>
          <w:rtl/>
        </w:rPr>
        <w:t>חוק התכנון והבנייה קובע כי על הוועדות המקומיות להכין תוכנית כוללת להתחדשות עירונית (שיכולה להיות מוכרת על ידי הרשות להתחדשות עירונית כמסמך מדיניות) אך אינו מגדיר עיתוי מדויק להכנת תוכנית כזו (ראו להלן)</w:t>
      </w:r>
      <w:r>
        <w:rPr>
          <w:rFonts w:eastAsia="Calibri"/>
          <w:b/>
          <w:bCs/>
          <w:vertAlign w:val="superscript"/>
          <w:rtl/>
        </w:rPr>
        <w:footnoteReference w:id="131"/>
      </w:r>
      <w:r w:rsidRPr="00DC5B13">
        <w:rPr>
          <w:rFonts w:eastAsia="Calibri" w:hint="cs"/>
          <w:b/>
          <w:bCs/>
          <w:rtl/>
        </w:rPr>
        <w:t xml:space="preserve">. התוכנית תוכן ביוזמת הוועדה המקומית או בהוראת הוועדה המחוזית אם מצאה צורך בכך בתוך המועד שתקבע או בהוראת הרשות להתחדשות אם זו מצאה כי יש בכך צורך וזאת בתוך 18 חודשים מיום קבלת ההוראה לעשות כן. כצעד משלים להוראתו של חוק התכנון והבנייה, חוק הרשות הממשלתית להתחדשות עירונית מסמיך את </w:t>
      </w:r>
      <w:r w:rsidRPr="00DC5B13">
        <w:rPr>
          <w:rFonts w:eastAsia="Calibri" w:hint="cs"/>
          <w:b/>
          <w:bCs/>
          <w:rtl/>
        </w:rPr>
        <w:t>הרשות לפעול לאיתור אזורים עירוניים המתאימים להתחדשות עירונית ולהכנת תוכניות להתחדשות עירונית - במקומה של הוועדה המקומית אם זו לא מילאה את הוראתה לעשות כן.</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b/>
          <w:bCs/>
          <w:rtl/>
        </w:rPr>
        <w:t>מהאמור לעיל עולה חשיבות הכנתם של מסמכי מדיניות כאמצעי מקדים לקראת תכנון וביצוע התחדשות עירונית, וכי בידי הרשות להתחדשות כלים לפעול מול הרשויות המקומיות להכנת מסמכי מדיניות או חלפיהם שיאפשרו קידום של תוכניות מפורטות להתחדשות עירונית</w:t>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באתר המרשתת של הרשות להתחדשות עירונית מופיעים הגדרה כללית של מסמך מדיניות ודוגמאות למסמכי מדיניות שקידם מינהל התכנון, אולם אין בו הוראות הנוגעות להליך כתיבתו. כפי שיוצג להלן, הדבר מוביל ליצירת מסמכי מדיניות שונים, העוסקים במגוון היבטים של ההתחדשות העירונית. </w:t>
      </w:r>
    </w:p>
    <w:p w:rsidR="00DC5B13" w:rsidRPr="00DC5B13" w:rsidP="00C34B23">
      <w:pPr>
        <w:spacing w:line="269" w:lineRule="auto"/>
        <w:rPr>
          <w:rFonts w:eastAsia="Calibri"/>
          <w:szCs w:val="20"/>
          <w:rtl/>
        </w:rPr>
      </w:pPr>
      <w:bookmarkStart w:id="40" w:name="_Hlk219973247"/>
    </w:p>
    <w:p w:rsidR="00DC5B13" w:rsidRPr="00DC5B13" w:rsidP="00C34B23">
      <w:pPr>
        <w:spacing w:line="269" w:lineRule="auto"/>
        <w:rPr>
          <w:rFonts w:eastAsia="Calibri"/>
          <w:rtl/>
        </w:rPr>
      </w:pPr>
      <w:r w:rsidRPr="00DC5B13">
        <w:rPr>
          <w:rFonts w:eastAsia="Calibri" w:hint="cs"/>
          <w:b/>
          <w:bCs/>
          <w:rtl/>
        </w:rPr>
        <w:t>הבדיקה העלתה כי על אף חשיבות הכנתו של מסמך מדיניות בהתחדשות עירונית, הרשות להתחדשות ומינהל התכנון לא קבעו קריטריונים ברורים ביחס לאופן הכנתו של המסמך או לתוכנו</w:t>
      </w:r>
      <w:bookmarkEnd w:id="40"/>
      <w:r>
        <w:rPr>
          <w:rFonts w:eastAsia="Calibri"/>
          <w:b/>
          <w:bCs/>
          <w:vertAlign w:val="superscript"/>
          <w:rtl/>
        </w:rPr>
        <w:footnoteReference w:id="132"/>
      </w:r>
      <w:r w:rsidRPr="00DC5B13">
        <w:rPr>
          <w:rFonts w:eastAsia="Calibri" w:hint="cs"/>
          <w:b/>
          <w:bCs/>
          <w:rtl/>
        </w:rPr>
        <w:t>.</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hint="cs"/>
          <w:rtl/>
        </w:rPr>
        <w:t xml:space="preserve">מינהל התכנון מסר בתשובתו כי </w:t>
      </w:r>
      <w:r w:rsidRPr="00DC5B13">
        <w:rPr>
          <w:rFonts w:eastAsia="Calibri"/>
          <w:rtl/>
        </w:rPr>
        <w:t>חשוב לשמור על גמישות במסמכי מדיניות</w:t>
      </w:r>
      <w:r w:rsidRPr="00DC5B13">
        <w:rPr>
          <w:rFonts w:eastAsia="Calibri" w:hint="cs"/>
          <w:rtl/>
        </w:rPr>
        <w:t>.</w:t>
      </w:r>
      <w:r w:rsidRPr="00DC5B13">
        <w:rPr>
          <w:rFonts w:eastAsia="Calibri"/>
          <w:rtl/>
        </w:rPr>
        <w:t xml:space="preserve"> </w:t>
      </w:r>
      <w:r w:rsidRPr="00DC5B13">
        <w:rPr>
          <w:rFonts w:eastAsia="Calibri" w:hint="cs"/>
          <w:rtl/>
        </w:rPr>
        <w:t xml:space="preserve">לטענתו, אחד </w:t>
      </w:r>
      <w:r w:rsidRPr="00DC5B13">
        <w:rPr>
          <w:rFonts w:eastAsia="Calibri"/>
          <w:rtl/>
        </w:rPr>
        <w:t>היתרו</w:t>
      </w:r>
      <w:r w:rsidRPr="00DC5B13">
        <w:rPr>
          <w:rFonts w:eastAsia="Calibri" w:hint="cs"/>
          <w:rtl/>
        </w:rPr>
        <w:t>נות</w:t>
      </w:r>
      <w:r w:rsidRPr="00DC5B13">
        <w:rPr>
          <w:rFonts w:eastAsia="Calibri"/>
          <w:rtl/>
        </w:rPr>
        <w:t xml:space="preserve"> </w:t>
      </w:r>
      <w:r w:rsidRPr="00DC5B13">
        <w:rPr>
          <w:rFonts w:eastAsia="Calibri" w:hint="cs"/>
          <w:rtl/>
        </w:rPr>
        <w:t xml:space="preserve">הטמונים </w:t>
      </w:r>
      <w:r w:rsidRPr="00DC5B13">
        <w:rPr>
          <w:rFonts w:eastAsia="Calibri"/>
          <w:rtl/>
        </w:rPr>
        <w:t>במסמכי</w:t>
      </w:r>
      <w:r w:rsidRPr="00DC5B13">
        <w:rPr>
          <w:rFonts w:eastAsia="Calibri" w:hint="cs"/>
          <w:rtl/>
        </w:rPr>
        <w:t xml:space="preserve"> </w:t>
      </w:r>
      <w:r w:rsidRPr="00DC5B13">
        <w:rPr>
          <w:rFonts w:eastAsia="Calibri"/>
          <w:rtl/>
        </w:rPr>
        <w:t xml:space="preserve">מדיניות </w:t>
      </w:r>
      <w:r w:rsidRPr="00DC5B13">
        <w:rPr>
          <w:rFonts w:eastAsia="Calibri" w:hint="cs"/>
          <w:rtl/>
        </w:rPr>
        <w:t>הוא ש</w:t>
      </w:r>
      <w:r w:rsidRPr="00DC5B13">
        <w:rPr>
          <w:rFonts w:eastAsia="Calibri"/>
          <w:rtl/>
        </w:rPr>
        <w:t>ניתן להתאימם לאזור</w:t>
      </w:r>
      <w:r w:rsidRPr="00DC5B13">
        <w:rPr>
          <w:rFonts w:eastAsia="Calibri" w:hint="cs"/>
          <w:rtl/>
        </w:rPr>
        <w:t>,</w:t>
      </w:r>
      <w:r w:rsidRPr="00DC5B13">
        <w:rPr>
          <w:rFonts w:eastAsia="Calibri"/>
          <w:rtl/>
        </w:rPr>
        <w:t xml:space="preserve"> לצורך ולנושא</w:t>
      </w:r>
      <w:r w:rsidRPr="00DC5B13">
        <w:rPr>
          <w:rFonts w:eastAsia="Calibri" w:hint="cs"/>
          <w:rtl/>
        </w:rPr>
        <w:t>ים</w:t>
      </w:r>
      <w:r w:rsidRPr="00DC5B13">
        <w:rPr>
          <w:rFonts w:eastAsia="Calibri"/>
          <w:rtl/>
        </w:rPr>
        <w:t xml:space="preserve"> מסוי</w:t>
      </w:r>
      <w:r w:rsidRPr="00DC5B13">
        <w:rPr>
          <w:rFonts w:eastAsia="Calibri" w:hint="cs"/>
          <w:rtl/>
        </w:rPr>
        <w:t>מי</w:t>
      </w:r>
      <w:r w:rsidRPr="00DC5B13">
        <w:rPr>
          <w:rFonts w:eastAsia="Calibri"/>
          <w:rtl/>
        </w:rPr>
        <w:t>ם</w:t>
      </w:r>
      <w:r w:rsidRPr="00DC5B13">
        <w:rPr>
          <w:rFonts w:eastAsia="Calibri" w:hint="cs"/>
          <w:rtl/>
        </w:rPr>
        <w:t xml:space="preserve">. מינהל התכנון ציין כי להבנתו </w:t>
      </w:r>
      <w:r w:rsidRPr="00DC5B13">
        <w:rPr>
          <w:rFonts w:eastAsia="Calibri"/>
          <w:rtl/>
        </w:rPr>
        <w:t xml:space="preserve">מקובל </w:t>
      </w:r>
      <w:r w:rsidRPr="00DC5B13">
        <w:rPr>
          <w:rFonts w:eastAsia="Calibri" w:hint="cs"/>
          <w:rtl/>
        </w:rPr>
        <w:t>לגבש</w:t>
      </w:r>
      <w:r w:rsidRPr="00DC5B13">
        <w:rPr>
          <w:rFonts w:eastAsia="Calibri"/>
          <w:rtl/>
        </w:rPr>
        <w:t xml:space="preserve"> הנחיה פשוטה וכללית לקידום מסמכי מדיניות והנחיות גמישות</w:t>
      </w:r>
      <w:r w:rsidRPr="00DC5B13">
        <w:rPr>
          <w:rFonts w:eastAsia="Calibri" w:hint="cs"/>
          <w:rtl/>
        </w:rPr>
        <w:t xml:space="preserve"> </w:t>
      </w:r>
      <w:r w:rsidRPr="00DC5B13">
        <w:rPr>
          <w:rFonts w:eastAsia="Calibri"/>
          <w:rtl/>
        </w:rPr>
        <w:t>ובסיסיות</w:t>
      </w:r>
      <w:r w:rsidRPr="00DC5B13">
        <w:rPr>
          <w:rFonts w:eastAsia="Calibri" w:hint="cs"/>
          <w:rtl/>
        </w:rPr>
        <w:t xml:space="preserve"> מאוד</w:t>
      </w:r>
      <w:r w:rsidRPr="00DC5B13">
        <w:rPr>
          <w:rFonts w:eastAsia="Calibri"/>
          <w:rtl/>
        </w:rPr>
        <w:t xml:space="preserve"> למבנה המסמך</w:t>
      </w:r>
      <w:r w:rsidRPr="00DC5B13">
        <w:rPr>
          <w:rFonts w:eastAsia="Calibri" w:hint="cs"/>
          <w:rtl/>
        </w:rPr>
        <w:t xml:space="preserve">, וכי </w:t>
      </w:r>
      <w:r w:rsidRPr="00DC5B13">
        <w:rPr>
          <w:rFonts w:eastAsia="Calibri"/>
          <w:rtl/>
        </w:rPr>
        <w:t>יש לה</w:t>
      </w:r>
      <w:r w:rsidRPr="00DC5B13">
        <w:rPr>
          <w:rFonts w:eastAsia="Calibri" w:hint="cs"/>
          <w:rtl/>
        </w:rPr>
        <w:t>י</w:t>
      </w:r>
      <w:r w:rsidRPr="00DC5B13">
        <w:rPr>
          <w:rFonts w:eastAsia="Calibri"/>
          <w:rtl/>
        </w:rPr>
        <w:t>זהר</w:t>
      </w:r>
      <w:r w:rsidRPr="00DC5B13">
        <w:rPr>
          <w:rFonts w:eastAsia="Calibri" w:hint="cs"/>
          <w:rtl/>
        </w:rPr>
        <w:t xml:space="preserve"> </w:t>
      </w:r>
      <w:r w:rsidRPr="00DC5B13">
        <w:rPr>
          <w:rFonts w:eastAsia="Calibri"/>
          <w:rtl/>
        </w:rPr>
        <w:t>מיצירת מתווה אחיד.</w:t>
      </w:r>
      <w:r w:rsidRPr="00DC5B13">
        <w:rPr>
          <w:rFonts w:eastAsia="Calibri" w:hint="cs"/>
          <w:rtl/>
        </w:rPr>
        <w:t xml:space="preserve"> </w:t>
      </w:r>
    </w:p>
    <w:p w:rsidR="00DC5B13" w:rsidRPr="00DC5B13" w:rsidP="00C34B23">
      <w:pPr>
        <w:spacing w:line="269" w:lineRule="auto"/>
        <w:rPr>
          <w:rFonts w:eastAsia="Calibri"/>
          <w:szCs w:val="20"/>
          <w:rtl/>
        </w:rPr>
      </w:pPr>
      <w:bookmarkStart w:id="41" w:name="_Hlk219974356"/>
    </w:p>
    <w:p w:rsidR="00DC5B13" w:rsidP="00C34B23">
      <w:pPr>
        <w:spacing w:line="269" w:lineRule="auto"/>
        <w:rPr>
          <w:rFonts w:eastAsia="Calibri"/>
          <w:b/>
          <w:bCs/>
          <w:rtl/>
        </w:rPr>
      </w:pPr>
      <w:r w:rsidRPr="00DC5B13">
        <w:rPr>
          <w:rFonts w:eastAsia="Calibri" w:hint="cs"/>
          <w:b/>
          <w:bCs/>
          <w:rtl/>
        </w:rPr>
        <w:t>לצד ההכרה בחשיבות השמירה על הפשטות ועל הגמישות בעת כתיבת מסמכי מדיניות העולה מתשובת מינהל התכנון, מומלץ כי הרשות להתחדשות בשיתוף מינהל התכנון יגדירו קריטריונים ברורים לכתיבת מסמך מדיניות להתחדשות עירונית ולאופן הכנתו, כדי שיגובש בהליך ראוי, יכלול את כלל ההיבטים הנוגעים להתחדשות עירונית ויבטיח ודאות ושקיפות.</w:t>
      </w:r>
    </w:p>
    <w:p w:rsidR="00037943" w:rsidRPr="00DC5B13" w:rsidP="00C34B23">
      <w:pPr>
        <w:spacing w:line="269" w:lineRule="auto"/>
        <w:rPr>
          <w:rFonts w:eastAsia="Calibri"/>
          <w:b/>
          <w:bCs/>
          <w:rtl/>
        </w:rPr>
      </w:pPr>
    </w:p>
    <w:bookmarkEnd w:id="41"/>
    <w:p w:rsidR="00DC5B13" w:rsidRPr="00DC5B13" w:rsidP="00C34B23">
      <w:pPr>
        <w:keepNext/>
        <w:keepLines/>
        <w:spacing w:line="269" w:lineRule="auto"/>
        <w:outlineLvl w:val="3"/>
        <w:rPr>
          <w:rFonts w:eastAsia="Times New Roman"/>
          <w:b/>
          <w:bCs/>
          <w:sz w:val="24"/>
          <w:szCs w:val="26"/>
          <w:rtl/>
        </w:rPr>
      </w:pPr>
      <w:r w:rsidRPr="00DC5B13">
        <w:rPr>
          <w:rFonts w:eastAsia="Times New Roman" w:hint="cs"/>
          <w:bCs/>
          <w:szCs w:val="26"/>
          <w:rtl/>
        </w:rPr>
        <w:t xml:space="preserve">מסמכי מדיניות להתחדשות עירונית </w:t>
      </w:r>
      <w:r w:rsidRPr="00DC5B13">
        <w:rPr>
          <w:rFonts w:eastAsia="Times New Roman" w:hint="cs"/>
          <w:b/>
          <w:bCs/>
          <w:sz w:val="24"/>
          <w:szCs w:val="26"/>
          <w:rtl/>
        </w:rPr>
        <w:t>ברשויות שנבדקו</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משרד מבקר המדינה בדק את מסמכי המדיניות שהכינו הרשויות שנבדקו לצורך היערכותן לקידום ולביצוע מיזמים להתחדשות עירונית בשטחן. כפי שיפורט להלן, חלק ממסמכי המדיניות עוסקים במישרין בהתחדשות עירונית (באופן כללי או במרחב מסוים) וחלקם קשורים בעקיפין להתחדשות עירונית.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הבדיקה כללה השוואה בין מסמכי המדיניות שפורסמו והובאו בחשבון כמה היבטים בני השוואה: </w:t>
      </w:r>
      <w:r w:rsidRPr="00DC5B13">
        <w:rPr>
          <w:rFonts w:eastAsia="Calibri" w:hint="cs"/>
          <w:b/>
          <w:bCs/>
          <w:rtl/>
        </w:rPr>
        <w:t>היקף המדיניות</w:t>
      </w:r>
      <w:r w:rsidRPr="00DC5B13">
        <w:rPr>
          <w:rFonts w:eastAsia="Calibri" w:hint="cs"/>
          <w:rtl/>
        </w:rPr>
        <w:t xml:space="preserve"> - הסוג והמספר של המסמכים שפרסמו הרשויות שנבדקו והתחומים שבהם עסקו; </w:t>
      </w:r>
      <w:r w:rsidRPr="00DC5B13">
        <w:rPr>
          <w:rFonts w:eastAsia="Calibri" w:hint="cs"/>
          <w:b/>
          <w:bCs/>
          <w:rtl/>
        </w:rPr>
        <w:t>מועד הפרסום</w:t>
      </w:r>
      <w:r w:rsidRPr="00DC5B13">
        <w:rPr>
          <w:rFonts w:eastAsia="Calibri" w:hint="cs"/>
          <w:rtl/>
        </w:rPr>
        <w:t xml:space="preserve"> - שנת פרסום המסמכים; </w:t>
      </w:r>
      <w:r w:rsidRPr="00DC5B13">
        <w:rPr>
          <w:rFonts w:eastAsia="Calibri" w:hint="cs"/>
          <w:b/>
          <w:bCs/>
          <w:rtl/>
        </w:rPr>
        <w:t>תוקף</w:t>
      </w:r>
      <w:r w:rsidRPr="00DC5B13">
        <w:rPr>
          <w:rFonts w:eastAsia="Calibri" w:hint="cs"/>
          <w:rtl/>
        </w:rPr>
        <w:t xml:space="preserve"> - זהות הגורמים שהכינו את המסמכים והגורמים שאישרו אותם - מידת מעורבותה של הרשות המקומית בהכנת המסמכים ואם תוכנם אושר על ידי מועצת הרשות או על ידי הוועדה המקומית לתכנון ובנייה; </w:t>
      </w:r>
      <w:r w:rsidRPr="00DC5B13">
        <w:rPr>
          <w:rFonts w:eastAsia="Calibri" w:hint="cs"/>
          <w:b/>
          <w:bCs/>
          <w:rtl/>
        </w:rPr>
        <w:t xml:space="preserve">מיקוד </w:t>
      </w:r>
      <w:r w:rsidRPr="00DC5B13">
        <w:rPr>
          <w:rFonts w:eastAsia="Calibri" w:hint="cs"/>
          <w:rtl/>
        </w:rPr>
        <w:t xml:space="preserve">- האזורים ברחבי העיר שעליהם חלה המדיניות; </w:t>
      </w:r>
      <w:r w:rsidRPr="00DC5B13">
        <w:rPr>
          <w:rFonts w:eastAsia="Calibri" w:hint="cs"/>
          <w:b/>
          <w:bCs/>
          <w:rtl/>
        </w:rPr>
        <w:t>פרסום</w:t>
      </w:r>
      <w:r w:rsidRPr="00DC5B13">
        <w:rPr>
          <w:rFonts w:eastAsia="Calibri" w:hint="cs"/>
          <w:rtl/>
        </w:rPr>
        <w:t xml:space="preserve"> - הצגת המסמכים לציבור באמצעות פרסומם במרשתת במגוון שפות; </w:t>
      </w:r>
      <w:r w:rsidRPr="00DC5B13">
        <w:rPr>
          <w:rFonts w:eastAsia="Calibri" w:hint="cs"/>
          <w:b/>
          <w:bCs/>
          <w:rtl/>
        </w:rPr>
        <w:t>ישימות</w:t>
      </w:r>
      <w:r w:rsidRPr="00DC5B13">
        <w:rPr>
          <w:rFonts w:eastAsia="Calibri" w:hint="cs"/>
          <w:rtl/>
        </w:rPr>
        <w:t xml:space="preserve"> - הצבתם של יעדים מובחנים לביצוע במסגרת המדיניות והכללת הנחיות לשלבי ההיתרים והבנייה; </w:t>
      </w:r>
      <w:r w:rsidRPr="00DC5B13">
        <w:rPr>
          <w:rFonts w:eastAsia="Calibri" w:hint="cs"/>
          <w:b/>
          <w:bCs/>
          <w:rtl/>
        </w:rPr>
        <w:t>שנת הפרסום של תוכנית המתאר הכוללנית (לרבות תוכנית כוללנית במהותה)</w:t>
      </w:r>
      <w:r>
        <w:rPr>
          <w:rFonts w:eastAsia="Calibri"/>
          <w:b/>
          <w:bCs/>
          <w:vertAlign w:val="superscript"/>
          <w:rtl/>
        </w:rPr>
        <w:footnoteReference w:id="133"/>
      </w:r>
      <w:r w:rsidRPr="00DC5B13">
        <w:rPr>
          <w:rFonts w:eastAsia="Calibri" w:hint="cs"/>
          <w:b/>
          <w:bCs/>
          <w:rtl/>
        </w:rPr>
        <w:t xml:space="preserve"> </w:t>
      </w:r>
      <w:r w:rsidRPr="00DC5B13">
        <w:rPr>
          <w:rFonts w:eastAsia="Calibri"/>
          <w:rtl/>
        </w:rPr>
        <w:t>-</w:t>
      </w:r>
      <w:r w:rsidRPr="00DC5B13">
        <w:rPr>
          <w:rFonts w:eastAsia="Calibri" w:hint="cs"/>
          <w:b/>
          <w:bCs/>
          <w:rtl/>
        </w:rPr>
        <w:t xml:space="preserve"> </w:t>
      </w:r>
      <w:r w:rsidRPr="00DC5B13">
        <w:rPr>
          <w:rFonts w:eastAsia="Calibri" w:hint="cs"/>
          <w:rtl/>
        </w:rPr>
        <w:t xml:space="preserve">תוכנית המתאר הכוללנית היא מסמך התכנון העיקרי של תחום הרשות המקומית. </w:t>
      </w:r>
      <w:r w:rsidRPr="00DC5B13">
        <w:rPr>
          <w:rFonts w:eastAsia="Calibri" w:hint="cs"/>
          <w:rtl/>
        </w:rPr>
        <w:t>סמיכות הזמנים בין פרסומה של תוכנית המתאר הכוללנית ולבין פרסום המדיניות להתחדשות עירונית מצביע על ההלימה ביניהן.</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sz w:val="16"/>
          <w:szCs w:val="20"/>
          <w:rtl/>
        </w:rPr>
      </w:pPr>
      <w:r w:rsidRPr="00DC5B13">
        <w:rPr>
          <w:rFonts w:eastAsia="Calibri" w:hint="eastAsia"/>
          <w:rtl/>
        </w:rPr>
        <w:t>לוח</w:t>
      </w:r>
      <w:r w:rsidRPr="00DC5B13">
        <w:rPr>
          <w:rFonts w:eastAsia="Calibri"/>
          <w:rtl/>
        </w:rPr>
        <w:t xml:space="preserve"> </w:t>
      </w:r>
      <w:r w:rsidRPr="00DC5B13">
        <w:rPr>
          <w:rFonts w:eastAsia="Calibri" w:hint="cs"/>
          <w:rtl/>
        </w:rPr>
        <w:t>14</w:t>
      </w:r>
      <w:r w:rsidRPr="00DC5B13">
        <w:rPr>
          <w:rFonts w:eastAsia="Calibri"/>
          <w:rtl/>
        </w:rPr>
        <w:t>:</w:t>
      </w:r>
      <w:r w:rsidRPr="00DC5B13">
        <w:rPr>
          <w:rFonts w:eastAsia="Calibri" w:hint="cs"/>
          <w:rtl/>
        </w:rPr>
        <w:t xml:space="preserve"> </w:t>
      </w:r>
      <w:r w:rsidRPr="00DC5B13">
        <w:rPr>
          <w:rFonts w:eastAsia="Calibri" w:hint="cs"/>
          <w:b/>
          <w:bCs/>
          <w:rtl/>
        </w:rPr>
        <w:t>השוואת מסמכי המדיניות ברשויות שנבדקו</w:t>
      </w:r>
    </w:p>
    <w:tbl>
      <w:tblPr>
        <w:tblStyle w:val="5-11"/>
        <w:bidiVisual/>
        <w:tblW w:w="4934" w:type="pct"/>
        <w:tblInd w:w="55" w:type="dxa"/>
        <w:tblLayout w:type="fixed"/>
        <w:tblLook w:val="04A0"/>
      </w:tblPr>
      <w:tblGrid>
        <w:gridCol w:w="1332"/>
        <w:gridCol w:w="1254"/>
        <w:gridCol w:w="1468"/>
        <w:gridCol w:w="1230"/>
        <w:gridCol w:w="1418"/>
        <w:gridCol w:w="1400"/>
      </w:tblGrid>
      <w:tr w:rsidTr="00AA3F2B">
        <w:tblPrEx>
          <w:tblW w:w="4934" w:type="pct"/>
          <w:tblInd w:w="55" w:type="dxa"/>
          <w:tblLayout w:type="fixed"/>
          <w:tblLook w:val="04A0"/>
        </w:tblPrEx>
        <w:trPr>
          <w:trHeight w:val="344"/>
          <w:tblHeader/>
        </w:trPr>
        <w:tc>
          <w:tcPr>
            <w:tcW w:w="822" w:type="pct"/>
            <w:vAlign w:val="center"/>
          </w:tcPr>
          <w:p w:rsidR="00DC5B13" w:rsidRPr="00DC5B13" w:rsidP="00C34B23">
            <w:pPr>
              <w:spacing w:line="269" w:lineRule="auto"/>
              <w:jc w:val="left"/>
              <w:rPr>
                <w:rFonts w:eastAsia="Calibri"/>
                <w:sz w:val="18"/>
                <w:szCs w:val="22"/>
                <w:rtl/>
              </w:rPr>
            </w:pPr>
          </w:p>
        </w:tc>
        <w:tc>
          <w:tcPr>
            <w:tcW w:w="774"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לוד</w:t>
            </w:r>
          </w:p>
        </w:tc>
        <w:tc>
          <w:tcPr>
            <w:tcW w:w="906"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נתניה</w:t>
            </w:r>
          </w:p>
        </w:tc>
        <w:tc>
          <w:tcPr>
            <w:tcW w:w="759"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קריית ים</w:t>
            </w:r>
          </w:p>
        </w:tc>
        <w:tc>
          <w:tcPr>
            <w:tcW w:w="87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קריית שמונה</w:t>
            </w:r>
          </w:p>
        </w:tc>
        <w:tc>
          <w:tcPr>
            <w:tcW w:w="865" w:type="pct"/>
            <w:vAlign w:val="center"/>
          </w:tcPr>
          <w:p w:rsidR="00DC5B13" w:rsidRPr="00DC5B13" w:rsidP="00C34B23">
            <w:pPr>
              <w:spacing w:line="269" w:lineRule="auto"/>
              <w:jc w:val="center"/>
              <w:rPr>
                <w:rFonts w:eastAsia="Calibri"/>
                <w:sz w:val="18"/>
                <w:szCs w:val="22"/>
                <w:rtl/>
              </w:rPr>
            </w:pPr>
            <w:r w:rsidRPr="00DC5B13">
              <w:rPr>
                <w:rFonts w:eastAsia="Calibri" w:hint="cs"/>
                <w:sz w:val="18"/>
                <w:szCs w:val="22"/>
                <w:rtl/>
              </w:rPr>
              <w:t>רעננה</w:t>
            </w:r>
          </w:p>
        </w:tc>
      </w:tr>
      <w:tr w:rsidTr="00AA3F2B">
        <w:tblPrEx>
          <w:tblW w:w="4934" w:type="pct"/>
          <w:tblInd w:w="55" w:type="dxa"/>
          <w:tblLayout w:type="fixed"/>
          <w:tblLook w:val="04A0"/>
        </w:tblPrEx>
        <w:tc>
          <w:tcPr>
            <w:tcW w:w="822"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סוג מסמכי המדיניות ומספרם</w:t>
            </w:r>
          </w:p>
        </w:tc>
        <w:tc>
          <w:tcPr>
            <w:tcW w:w="774" w:type="pct"/>
          </w:tcPr>
          <w:p w:rsidR="00DC5B13" w:rsidRPr="00DC5B13" w:rsidP="00C34B23">
            <w:pPr>
              <w:spacing w:line="269" w:lineRule="auto"/>
              <w:jc w:val="left"/>
              <w:rPr>
                <w:rFonts w:eastAsia="Calibri"/>
                <w:szCs w:val="20"/>
                <w:rtl/>
              </w:rPr>
            </w:pPr>
            <w:r w:rsidRPr="00DC5B13">
              <w:rPr>
                <w:rFonts w:eastAsia="Calibri" w:hint="cs"/>
                <w:szCs w:val="20"/>
                <w:rtl/>
              </w:rPr>
              <w:t>מסמך מדיניות אחד להתחדשות עירונית</w:t>
            </w:r>
          </w:p>
        </w:tc>
        <w:tc>
          <w:tcPr>
            <w:tcW w:w="906" w:type="pct"/>
          </w:tcPr>
          <w:p w:rsidR="00DC5B13" w:rsidRPr="00DC5B13" w:rsidP="00C34B23">
            <w:pPr>
              <w:spacing w:line="269" w:lineRule="auto"/>
              <w:jc w:val="left"/>
              <w:rPr>
                <w:rFonts w:eastAsia="Calibri"/>
                <w:szCs w:val="20"/>
                <w:rtl/>
              </w:rPr>
            </w:pPr>
            <w:r w:rsidRPr="00DC5B13">
              <w:rPr>
                <w:rFonts w:eastAsia="Calibri" w:hint="cs"/>
                <w:szCs w:val="20"/>
                <w:rtl/>
              </w:rPr>
              <w:t>שלושה מסמכי מדיניות בנושא תמורות ותחזוקה;</w:t>
            </w:r>
          </w:p>
          <w:p w:rsidR="00DC5B13" w:rsidRPr="00DC5B13" w:rsidP="00C34B23">
            <w:pPr>
              <w:spacing w:line="269" w:lineRule="auto"/>
              <w:jc w:val="left"/>
              <w:rPr>
                <w:rFonts w:eastAsia="Calibri"/>
                <w:szCs w:val="20"/>
                <w:rtl/>
              </w:rPr>
            </w:pPr>
            <w:r w:rsidRPr="00DC5B13">
              <w:rPr>
                <w:rFonts w:eastAsia="Calibri" w:hint="cs"/>
                <w:szCs w:val="20"/>
                <w:rtl/>
              </w:rPr>
              <w:t>שני מסמכי מדיניות לרובע או לשכונה</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שני מסמכי מדיניות עירוניים;</w:t>
            </w:r>
          </w:p>
          <w:p w:rsidR="00DC5B13" w:rsidRPr="00DC5B13" w:rsidP="00C34B23">
            <w:pPr>
              <w:spacing w:line="269" w:lineRule="auto"/>
              <w:jc w:val="left"/>
              <w:rPr>
                <w:rFonts w:eastAsia="Calibri"/>
                <w:szCs w:val="20"/>
                <w:rtl/>
              </w:rPr>
            </w:pPr>
            <w:r w:rsidRPr="00DC5B13">
              <w:rPr>
                <w:rFonts w:eastAsia="Calibri" w:hint="cs"/>
                <w:szCs w:val="20"/>
                <w:rtl/>
              </w:rPr>
              <w:t>שלושה מסמכי מדיניות לרובע או לשכונה</w:t>
            </w:r>
          </w:p>
        </w:tc>
        <w:tc>
          <w:tcPr>
            <w:tcW w:w="875" w:type="pct"/>
          </w:tcPr>
          <w:p w:rsidR="00DC5B13" w:rsidRPr="00DC5B13" w:rsidP="00C34B23">
            <w:pPr>
              <w:spacing w:line="269" w:lineRule="auto"/>
              <w:jc w:val="left"/>
              <w:rPr>
                <w:rFonts w:eastAsia="Calibri"/>
                <w:szCs w:val="20"/>
                <w:rtl/>
              </w:rPr>
            </w:pPr>
            <w:r w:rsidRPr="00DC5B13">
              <w:rPr>
                <w:rFonts w:eastAsia="Calibri" w:hint="cs"/>
                <w:szCs w:val="20"/>
                <w:rtl/>
              </w:rPr>
              <w:t>מסמך אחד למדיניות עירונית להתחדשות עירונית;</w:t>
            </w:r>
          </w:p>
          <w:p w:rsidR="00DC5B13" w:rsidRPr="00DC5B13" w:rsidP="00C34B23">
            <w:pPr>
              <w:spacing w:line="269" w:lineRule="auto"/>
              <w:jc w:val="left"/>
              <w:rPr>
                <w:rFonts w:eastAsia="Calibri"/>
                <w:szCs w:val="20"/>
                <w:rtl/>
              </w:rPr>
            </w:pPr>
            <w:r w:rsidRPr="00DC5B13">
              <w:rPr>
                <w:rFonts w:eastAsia="Calibri" w:hint="cs"/>
                <w:szCs w:val="20"/>
                <w:rtl/>
              </w:rPr>
              <w:t>מסמך אחד למדיניות להתחדשות עירונית למרכז העיר;</w:t>
            </w: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 xml:space="preserve">אין מסמך מדיניות כולל. </w:t>
            </w:r>
          </w:p>
          <w:p w:rsidR="00DC5B13" w:rsidRPr="00DC5B13" w:rsidP="00C34B23">
            <w:pPr>
              <w:spacing w:line="269" w:lineRule="auto"/>
              <w:jc w:val="left"/>
              <w:rPr>
                <w:rFonts w:eastAsia="Calibri"/>
                <w:szCs w:val="20"/>
                <w:rtl/>
              </w:rPr>
            </w:pPr>
            <w:r w:rsidRPr="00DC5B13">
              <w:rPr>
                <w:rFonts w:eastAsia="Calibri" w:hint="cs"/>
                <w:szCs w:val="20"/>
                <w:rtl/>
              </w:rPr>
              <w:t xml:space="preserve">יש </w:t>
            </w:r>
          </w:p>
          <w:p w:rsidR="00DC5B13" w:rsidRPr="00DC5B13" w:rsidP="00C34B23">
            <w:pPr>
              <w:spacing w:line="269" w:lineRule="auto"/>
              <w:jc w:val="left"/>
              <w:rPr>
                <w:rFonts w:eastAsia="Calibri"/>
                <w:szCs w:val="20"/>
                <w:rtl/>
              </w:rPr>
            </w:pPr>
            <w:r w:rsidRPr="00DC5B13">
              <w:rPr>
                <w:rFonts w:eastAsia="Calibri" w:hint="cs"/>
                <w:szCs w:val="20"/>
                <w:rtl/>
              </w:rPr>
              <w:t xml:space="preserve">שתי תוכניות סטטוטוריות </w:t>
            </w:r>
            <w:r w:rsidR="005941B0">
              <w:rPr>
                <w:rFonts w:eastAsia="Calibri" w:hint="cs"/>
                <w:szCs w:val="20"/>
                <w:rtl/>
              </w:rPr>
              <w:t>-</w:t>
            </w:r>
            <w:r w:rsidRPr="00DC5B13">
              <w:rPr>
                <w:rFonts w:eastAsia="Calibri" w:hint="cs"/>
                <w:szCs w:val="20"/>
                <w:rtl/>
              </w:rPr>
              <w:t xml:space="preserve"> תוכנית מתאר כוללנית ותוכנית להתחדשות בניינית - הכוונה בכלים של זכויות בנייה וייעודי קרקע. פורסמו מסמכי מדיניות ל-11 אזורי התייחסות בהתאם להוראות תוכנית המתאר</w:t>
            </w:r>
          </w:p>
        </w:tc>
      </w:tr>
      <w:tr w:rsidTr="00AA3F2B">
        <w:tblPrEx>
          <w:tblW w:w="4934" w:type="pct"/>
          <w:tblInd w:w="55" w:type="dxa"/>
          <w:tblLayout w:type="fixed"/>
          <w:tblLook w:val="04A0"/>
        </w:tblPrEx>
        <w:tc>
          <w:tcPr>
            <w:tcW w:w="822" w:type="pct"/>
            <w:shd w:val="clear" w:color="auto" w:fill="DBE5F1"/>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שנות פרסום המסמכים</w:t>
            </w:r>
          </w:p>
        </w:tc>
        <w:tc>
          <w:tcPr>
            <w:tcW w:w="774" w:type="pct"/>
          </w:tcPr>
          <w:p w:rsidR="00DC5B13" w:rsidRPr="00DC5B13" w:rsidP="00C34B23">
            <w:pPr>
              <w:spacing w:line="269" w:lineRule="auto"/>
              <w:jc w:val="left"/>
              <w:rPr>
                <w:rFonts w:eastAsia="Calibri"/>
                <w:szCs w:val="20"/>
                <w:rtl/>
              </w:rPr>
            </w:pPr>
            <w:r w:rsidRPr="00DC5B13">
              <w:rPr>
                <w:rFonts w:eastAsia="Calibri" w:hint="cs"/>
                <w:szCs w:val="20"/>
                <w:rtl/>
              </w:rPr>
              <w:t>2019</w:t>
            </w:r>
          </w:p>
        </w:tc>
        <w:tc>
          <w:tcPr>
            <w:tcW w:w="906" w:type="pct"/>
          </w:tcPr>
          <w:p w:rsidR="00DC5B13" w:rsidRPr="00DC5B13" w:rsidP="00C34B23">
            <w:pPr>
              <w:spacing w:line="269" w:lineRule="auto"/>
              <w:jc w:val="left"/>
              <w:rPr>
                <w:rFonts w:eastAsia="Calibri"/>
                <w:szCs w:val="20"/>
                <w:rtl/>
              </w:rPr>
            </w:pPr>
            <w:r w:rsidRPr="00DC5B13">
              <w:rPr>
                <w:rFonts w:eastAsia="Calibri" w:hint="cs"/>
                <w:szCs w:val="20"/>
                <w:rtl/>
              </w:rPr>
              <w:t>2022 - 2025</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2015 - 2024</w:t>
            </w:r>
          </w:p>
        </w:tc>
        <w:tc>
          <w:tcPr>
            <w:tcW w:w="875" w:type="pct"/>
          </w:tcPr>
          <w:p w:rsidR="00DC5B13" w:rsidRPr="00DC5B13" w:rsidP="00C34B23">
            <w:pPr>
              <w:spacing w:line="269" w:lineRule="auto"/>
              <w:jc w:val="left"/>
              <w:rPr>
                <w:rFonts w:eastAsia="Calibri"/>
                <w:szCs w:val="20"/>
                <w:rtl/>
              </w:rPr>
            </w:pPr>
            <w:r w:rsidRPr="00DC5B13">
              <w:rPr>
                <w:rFonts w:eastAsia="Calibri" w:hint="cs"/>
                <w:szCs w:val="20"/>
                <w:rtl/>
              </w:rPr>
              <w:t>2021 - 2022</w:t>
            </w: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2016 - 2024</w:t>
            </w:r>
          </w:p>
        </w:tc>
      </w:tr>
      <w:tr w:rsidTr="00AA3F2B">
        <w:tblPrEx>
          <w:tblW w:w="4934" w:type="pct"/>
          <w:tblInd w:w="55" w:type="dxa"/>
          <w:tblLayout w:type="fixed"/>
          <w:tblLook w:val="04A0"/>
        </w:tblPrEx>
        <w:tc>
          <w:tcPr>
            <w:tcW w:w="822"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הגורם המכין</w:t>
            </w:r>
          </w:p>
        </w:tc>
        <w:tc>
          <w:tcPr>
            <w:tcW w:w="774" w:type="pct"/>
          </w:tcPr>
          <w:p w:rsidR="00DC5B13" w:rsidRPr="00DC5B13" w:rsidP="00C34B23">
            <w:pPr>
              <w:spacing w:line="269" w:lineRule="auto"/>
              <w:jc w:val="left"/>
              <w:rPr>
                <w:rFonts w:eastAsia="Calibri"/>
                <w:szCs w:val="20"/>
                <w:rtl/>
              </w:rPr>
            </w:pPr>
            <w:r w:rsidRPr="00DC5B13">
              <w:rPr>
                <w:rFonts w:eastAsia="Calibri" w:hint="cs"/>
                <w:szCs w:val="20"/>
                <w:rtl/>
              </w:rPr>
              <w:t>'מבואה' - המינהלת העירונית להתחדשות בחברה הכלכלית של לוד בסיוע משרד תכנון פרטי</w:t>
            </w:r>
          </w:p>
        </w:tc>
        <w:tc>
          <w:tcPr>
            <w:tcW w:w="906" w:type="pct"/>
          </w:tcPr>
          <w:p w:rsidR="00DC5B13" w:rsidRPr="00DC5B13" w:rsidP="00C34B23">
            <w:pPr>
              <w:spacing w:line="269" w:lineRule="auto"/>
              <w:jc w:val="left"/>
              <w:rPr>
                <w:rFonts w:eastAsia="Calibri"/>
                <w:szCs w:val="20"/>
                <w:rtl/>
              </w:rPr>
            </w:pPr>
            <w:r w:rsidRPr="00DC5B13">
              <w:rPr>
                <w:rFonts w:eastAsia="Calibri" w:hint="cs"/>
                <w:szCs w:val="20"/>
                <w:rtl/>
              </w:rPr>
              <w:t>עיריית נתניה והרשות להתחדשות עירונית בסיוע משרדי תכנון פרטיים</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עיריית קריית ים, הרשות להתחדשות עירונית בסיוע משרדי תכנון פרטיים</w:t>
            </w:r>
          </w:p>
        </w:tc>
        <w:tc>
          <w:tcPr>
            <w:tcW w:w="875" w:type="pct"/>
          </w:tcPr>
          <w:p w:rsidR="00DC5B13" w:rsidRPr="00DC5B13" w:rsidP="00C34B23">
            <w:pPr>
              <w:spacing w:line="269" w:lineRule="auto"/>
              <w:jc w:val="left"/>
              <w:rPr>
                <w:rFonts w:eastAsia="Calibri"/>
                <w:szCs w:val="20"/>
                <w:rtl/>
              </w:rPr>
            </w:pPr>
            <w:r w:rsidRPr="00DC5B13">
              <w:rPr>
                <w:rFonts w:eastAsia="Calibri" w:hint="cs"/>
                <w:szCs w:val="20"/>
                <w:rtl/>
              </w:rPr>
              <w:t>עיריית קריית שמונה, מינהל התכנון והרשות להתחדשות עירונית בסיוע משרדי תכנון פרטיים</w:t>
            </w: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הוועדה המקומית לתכנון ולבנייה רעננה</w:t>
            </w:r>
          </w:p>
        </w:tc>
      </w:tr>
      <w:tr w:rsidTr="00AA3F2B">
        <w:tblPrEx>
          <w:tblW w:w="4934" w:type="pct"/>
          <w:tblInd w:w="55" w:type="dxa"/>
          <w:tblLayout w:type="fixed"/>
          <w:tblLook w:val="04A0"/>
        </w:tblPrEx>
        <w:tc>
          <w:tcPr>
            <w:tcW w:w="822" w:type="pct"/>
            <w:shd w:val="clear" w:color="auto" w:fill="DBE5F1"/>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הגורם המאשר</w:t>
            </w:r>
          </w:p>
        </w:tc>
        <w:tc>
          <w:tcPr>
            <w:tcW w:w="774" w:type="pct"/>
          </w:tcPr>
          <w:p w:rsidR="00DC5B13" w:rsidRPr="00DC5B13" w:rsidP="00C34B23">
            <w:pPr>
              <w:spacing w:line="269" w:lineRule="auto"/>
              <w:jc w:val="left"/>
              <w:rPr>
                <w:rFonts w:eastAsia="Calibri"/>
                <w:szCs w:val="20"/>
                <w:rtl/>
              </w:rPr>
            </w:pPr>
            <w:r w:rsidRPr="00DC5B13">
              <w:rPr>
                <w:rFonts w:eastAsia="Calibri" w:hint="cs"/>
                <w:szCs w:val="20"/>
                <w:rtl/>
              </w:rPr>
              <w:t>מועצת העיר לוד</w:t>
            </w:r>
          </w:p>
        </w:tc>
        <w:tc>
          <w:tcPr>
            <w:tcW w:w="906" w:type="pct"/>
          </w:tcPr>
          <w:p w:rsidR="00DC5B13" w:rsidRPr="00DC5B13" w:rsidP="00C34B23">
            <w:pPr>
              <w:spacing w:line="269" w:lineRule="auto"/>
              <w:jc w:val="left"/>
              <w:rPr>
                <w:rFonts w:eastAsia="Calibri"/>
                <w:szCs w:val="20"/>
                <w:rtl/>
              </w:rPr>
            </w:pPr>
            <w:r w:rsidRPr="00DC5B13">
              <w:rPr>
                <w:rFonts w:eastAsia="Calibri" w:hint="cs"/>
                <w:szCs w:val="20"/>
                <w:rtl/>
              </w:rPr>
              <w:t>הוועדה המקומית לתכנון ולבנייה נתניה</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מועצת העיר והוועדה המחוזית לתכנון ולבנייה מחוז חיפה - תוכנית שלד מרכז העיר;</w:t>
            </w:r>
          </w:p>
          <w:p w:rsidR="00DC5B13" w:rsidRPr="00DC5B13" w:rsidP="00C34B23">
            <w:pPr>
              <w:spacing w:line="269" w:lineRule="auto"/>
              <w:jc w:val="left"/>
              <w:rPr>
                <w:rFonts w:eastAsia="Calibri"/>
                <w:szCs w:val="20"/>
                <w:rtl/>
              </w:rPr>
            </w:pPr>
            <w:r w:rsidRPr="00DC5B13">
              <w:rPr>
                <w:rFonts w:eastAsia="Calibri" w:hint="cs"/>
                <w:szCs w:val="20"/>
                <w:rtl/>
              </w:rPr>
              <w:t>משרד התחבורה - הטמעת עקרונות תוכנית אב לניידות במסמכי עבודה</w:t>
            </w:r>
          </w:p>
          <w:p w:rsidR="00DC5B13" w:rsidRPr="00DC5B13" w:rsidP="00C34B23">
            <w:pPr>
              <w:spacing w:line="269" w:lineRule="auto"/>
              <w:jc w:val="left"/>
              <w:rPr>
                <w:rFonts w:eastAsia="Calibri"/>
                <w:szCs w:val="20"/>
                <w:highlight w:val="green"/>
                <w:rtl/>
              </w:rPr>
            </w:pPr>
          </w:p>
        </w:tc>
        <w:tc>
          <w:tcPr>
            <w:tcW w:w="875" w:type="pct"/>
          </w:tcPr>
          <w:p w:rsidR="00DC5B13" w:rsidRPr="00DC5B13" w:rsidP="00C34B23">
            <w:pPr>
              <w:spacing w:line="269" w:lineRule="auto"/>
              <w:jc w:val="left"/>
              <w:rPr>
                <w:rFonts w:eastAsia="Calibri"/>
                <w:szCs w:val="20"/>
                <w:rtl/>
              </w:rPr>
            </w:pPr>
            <w:r w:rsidRPr="00DC5B13">
              <w:rPr>
                <w:rFonts w:eastAsia="Calibri" w:hint="cs"/>
                <w:szCs w:val="20"/>
                <w:rtl/>
              </w:rPr>
              <w:t>מינהל התכנון (תוכנית מדיניות)</w:t>
            </w:r>
            <w:r w:rsidR="00AA3F2B">
              <w:rPr>
                <w:rFonts w:eastAsia="Calibri" w:hint="cs"/>
                <w:szCs w:val="20"/>
                <w:rtl/>
              </w:rPr>
              <w:t>;</w:t>
            </w:r>
          </w:p>
          <w:p w:rsidR="00DC5B13" w:rsidRPr="00DC5B13" w:rsidP="00C34B23">
            <w:pPr>
              <w:spacing w:line="269" w:lineRule="auto"/>
              <w:jc w:val="left"/>
              <w:rPr>
                <w:rFonts w:eastAsia="Calibri"/>
                <w:szCs w:val="20"/>
                <w:rtl/>
              </w:rPr>
            </w:pPr>
          </w:p>
          <w:p w:rsidR="00DC5B13" w:rsidRPr="00DC5B13" w:rsidP="00C34B23">
            <w:pPr>
              <w:spacing w:line="269" w:lineRule="auto"/>
              <w:jc w:val="left"/>
              <w:rPr>
                <w:rFonts w:eastAsia="Calibri"/>
                <w:szCs w:val="20"/>
                <w:rtl/>
              </w:rPr>
            </w:pPr>
            <w:r w:rsidRPr="00DC5B13">
              <w:rPr>
                <w:rFonts w:eastAsia="Calibri" w:hint="cs"/>
                <w:szCs w:val="20"/>
                <w:rtl/>
              </w:rPr>
              <w:t xml:space="preserve">הרשות להתחדשות עירונית </w:t>
            </w:r>
          </w:p>
          <w:p w:rsidR="00DC5B13" w:rsidRPr="00DC5B13" w:rsidP="00C34B23">
            <w:pPr>
              <w:spacing w:line="269" w:lineRule="auto"/>
              <w:jc w:val="left"/>
              <w:rPr>
                <w:rFonts w:eastAsia="Calibri"/>
                <w:szCs w:val="20"/>
                <w:rtl/>
              </w:rPr>
            </w:pPr>
            <w:r w:rsidRPr="00DC5B13">
              <w:rPr>
                <w:rFonts w:eastAsia="Calibri" w:hint="cs"/>
                <w:szCs w:val="20"/>
                <w:rtl/>
              </w:rPr>
              <w:t xml:space="preserve">(תוכנית אב להתחדשות מרכז העיר) </w:t>
            </w:r>
          </w:p>
          <w:p w:rsidR="00DC5B13" w:rsidRPr="00DC5B13" w:rsidP="00C34B23">
            <w:pPr>
              <w:spacing w:line="269" w:lineRule="auto"/>
              <w:jc w:val="left"/>
              <w:rPr>
                <w:rFonts w:eastAsia="Calibri"/>
                <w:szCs w:val="20"/>
                <w:rtl/>
              </w:rPr>
            </w:pP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הוועדה המחוזית לתכנון ולבנייה מחוז המרכז</w:t>
            </w:r>
          </w:p>
        </w:tc>
      </w:tr>
      <w:tr w:rsidTr="00AA3F2B">
        <w:tblPrEx>
          <w:tblW w:w="4934" w:type="pct"/>
          <w:tblInd w:w="55" w:type="dxa"/>
          <w:tblLayout w:type="fixed"/>
          <w:tblLook w:val="04A0"/>
        </w:tblPrEx>
        <w:tc>
          <w:tcPr>
            <w:tcW w:w="822"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ה</w:t>
            </w:r>
            <w:r w:rsidRPr="00DC5B13">
              <w:rPr>
                <w:rFonts w:eastAsia="Calibri"/>
                <w:sz w:val="18"/>
                <w:szCs w:val="22"/>
                <w:rtl/>
              </w:rPr>
              <w:t xml:space="preserve">אזורים בעיר </w:t>
            </w:r>
            <w:r w:rsidRPr="00DC5B13">
              <w:rPr>
                <w:rFonts w:eastAsia="Calibri" w:hint="cs"/>
                <w:sz w:val="18"/>
                <w:szCs w:val="22"/>
                <w:rtl/>
              </w:rPr>
              <w:t>הנכללים ב</w:t>
            </w:r>
            <w:r w:rsidRPr="00DC5B13">
              <w:rPr>
                <w:rFonts w:eastAsia="Calibri"/>
                <w:sz w:val="18"/>
                <w:szCs w:val="22"/>
                <w:rtl/>
              </w:rPr>
              <w:t xml:space="preserve">מדיניות </w:t>
            </w:r>
          </w:p>
        </w:tc>
        <w:tc>
          <w:tcPr>
            <w:tcW w:w="774" w:type="pct"/>
          </w:tcPr>
          <w:p w:rsidR="00DC5B13" w:rsidRPr="00DC5B13" w:rsidP="00C34B23">
            <w:pPr>
              <w:spacing w:line="269" w:lineRule="auto"/>
              <w:jc w:val="left"/>
              <w:rPr>
                <w:rFonts w:eastAsia="Calibri"/>
                <w:szCs w:val="20"/>
                <w:rtl/>
              </w:rPr>
            </w:pPr>
            <w:r w:rsidRPr="00DC5B13">
              <w:rPr>
                <w:rFonts w:eastAsia="Calibri"/>
                <w:szCs w:val="20"/>
                <w:rtl/>
              </w:rPr>
              <w:t>ממוקד במרחב הו</w:t>
            </w:r>
            <w:r w:rsidRPr="00DC5B13">
              <w:rPr>
                <w:rFonts w:eastAsia="Calibri" w:hint="cs"/>
                <w:szCs w:val="20"/>
                <w:rtl/>
              </w:rPr>
              <w:t>ו</w:t>
            </w:r>
            <w:r w:rsidRPr="00DC5B13">
              <w:rPr>
                <w:rFonts w:eastAsia="Calibri"/>
                <w:szCs w:val="20"/>
                <w:rtl/>
              </w:rPr>
              <w:t>תיק (אזורי)</w:t>
            </w:r>
          </w:p>
        </w:tc>
        <w:tc>
          <w:tcPr>
            <w:tcW w:w="906" w:type="pct"/>
          </w:tcPr>
          <w:p w:rsidR="00DC5B13" w:rsidRPr="00DC5B13" w:rsidP="00C34B23">
            <w:pPr>
              <w:spacing w:line="269" w:lineRule="auto"/>
              <w:jc w:val="left"/>
              <w:rPr>
                <w:rFonts w:eastAsia="Calibri"/>
                <w:szCs w:val="20"/>
                <w:rtl/>
              </w:rPr>
            </w:pPr>
            <w:r w:rsidRPr="00DC5B13">
              <w:rPr>
                <w:rFonts w:eastAsia="Calibri"/>
                <w:szCs w:val="20"/>
                <w:rtl/>
              </w:rPr>
              <w:t>שילוב מדיניות כלל-עירונית וכרטיסיות</w:t>
            </w:r>
            <w:r w:rsidRPr="00DC5B13">
              <w:rPr>
                <w:rFonts w:eastAsia="Calibri" w:hint="cs"/>
                <w:szCs w:val="20"/>
                <w:rtl/>
              </w:rPr>
              <w:t xml:space="preserve"> מפורטות לתתי-מתחמים או </w:t>
            </w:r>
            <w:r w:rsidRPr="00DC5B13">
              <w:rPr>
                <w:rFonts w:eastAsia="Calibri"/>
                <w:szCs w:val="20"/>
                <w:rtl/>
              </w:rPr>
              <w:t>מסמכי מתחם ספציפיים</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כמה אזורים בעיר</w:t>
            </w:r>
            <w:r w:rsidRPr="00DC5B13">
              <w:rPr>
                <w:rFonts w:eastAsia="Calibri"/>
                <w:szCs w:val="20"/>
                <w:rtl/>
              </w:rPr>
              <w:t xml:space="preserve"> </w:t>
            </w:r>
          </w:p>
        </w:tc>
        <w:tc>
          <w:tcPr>
            <w:tcW w:w="875" w:type="pct"/>
          </w:tcPr>
          <w:p w:rsidR="00DC5B13" w:rsidRPr="00DC5B13" w:rsidP="00C34B23">
            <w:pPr>
              <w:spacing w:line="269" w:lineRule="auto"/>
              <w:jc w:val="left"/>
              <w:rPr>
                <w:rFonts w:eastAsia="Calibri"/>
                <w:szCs w:val="20"/>
                <w:rtl/>
              </w:rPr>
            </w:pPr>
            <w:r w:rsidRPr="00DC5B13">
              <w:rPr>
                <w:rFonts w:eastAsia="Calibri"/>
                <w:szCs w:val="20"/>
                <w:rtl/>
              </w:rPr>
              <w:t xml:space="preserve">מסמך כולל לעיר (חזון כולל) </w:t>
            </w:r>
            <w:r w:rsidRPr="00DC5B13">
              <w:rPr>
                <w:rFonts w:eastAsia="Calibri" w:hint="cs"/>
                <w:szCs w:val="20"/>
                <w:rtl/>
              </w:rPr>
              <w:t>ומסמך מפורט יותר למרכז העיר</w:t>
            </w: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אזורי התכנון שהוגדרו בתוכנית המתאר הכוללנית</w:t>
            </w:r>
          </w:p>
        </w:tc>
      </w:tr>
      <w:tr w:rsidTr="00AA3F2B">
        <w:tblPrEx>
          <w:tblW w:w="4934" w:type="pct"/>
          <w:tblInd w:w="55" w:type="dxa"/>
          <w:tblLayout w:type="fixed"/>
          <w:tblLook w:val="04A0"/>
        </w:tblPrEx>
        <w:tc>
          <w:tcPr>
            <w:tcW w:w="822" w:type="pct"/>
            <w:shd w:val="clear" w:color="auto" w:fill="DBE5F1"/>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פרסום במרשתת</w:t>
            </w:r>
          </w:p>
        </w:tc>
        <w:tc>
          <w:tcPr>
            <w:tcW w:w="774" w:type="pct"/>
          </w:tcPr>
          <w:p w:rsidR="00DC5B13" w:rsidRPr="00DC5B13" w:rsidP="00C34B23">
            <w:pPr>
              <w:spacing w:line="269" w:lineRule="auto"/>
              <w:jc w:val="left"/>
              <w:rPr>
                <w:rFonts w:eastAsia="Calibri"/>
                <w:szCs w:val="20"/>
              </w:rPr>
            </w:pPr>
            <w:r w:rsidRPr="00DC5B13">
              <w:rPr>
                <w:rFonts w:eastAsia="Calibri" w:hint="cs"/>
                <w:szCs w:val="20"/>
                <w:rtl/>
              </w:rPr>
              <w:t xml:space="preserve">באתר 'מבואה' - המינהלת להתחדשות עירונית </w:t>
            </w:r>
          </w:p>
        </w:tc>
        <w:tc>
          <w:tcPr>
            <w:tcW w:w="906" w:type="pct"/>
          </w:tcPr>
          <w:p w:rsidR="00DC5B13" w:rsidRPr="00DC5B13" w:rsidP="00C34B23">
            <w:pPr>
              <w:spacing w:line="269" w:lineRule="auto"/>
              <w:jc w:val="left"/>
              <w:rPr>
                <w:rFonts w:eastAsia="Calibri"/>
                <w:szCs w:val="20"/>
                <w:rtl/>
              </w:rPr>
            </w:pPr>
            <w:r w:rsidRPr="00DC5B13">
              <w:rPr>
                <w:rFonts w:eastAsia="Calibri" w:hint="cs"/>
                <w:szCs w:val="20"/>
                <w:rtl/>
              </w:rPr>
              <w:t xml:space="preserve"> באתר העירייה</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 xml:space="preserve"> באתר העירייה</w:t>
            </w:r>
          </w:p>
        </w:tc>
        <w:tc>
          <w:tcPr>
            <w:tcW w:w="875" w:type="pct"/>
          </w:tcPr>
          <w:p w:rsidR="00DC5B13" w:rsidRPr="00DC5B13" w:rsidP="00C34B23">
            <w:pPr>
              <w:spacing w:line="269" w:lineRule="auto"/>
              <w:jc w:val="left"/>
              <w:rPr>
                <w:rFonts w:eastAsia="Calibri"/>
                <w:szCs w:val="20"/>
                <w:rtl/>
              </w:rPr>
            </w:pPr>
            <w:r w:rsidRPr="00DC5B13">
              <w:rPr>
                <w:rFonts w:eastAsia="Calibri" w:hint="cs"/>
                <w:szCs w:val="20"/>
                <w:rtl/>
              </w:rPr>
              <w:t>לא פורסם</w:t>
            </w: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במסמכי המדיניות לאזורי ההתייחסות באתר העירייה</w:t>
            </w:r>
          </w:p>
        </w:tc>
      </w:tr>
      <w:tr w:rsidTr="00AA3F2B">
        <w:tblPrEx>
          <w:tblW w:w="4934" w:type="pct"/>
          <w:tblInd w:w="55" w:type="dxa"/>
          <w:tblLayout w:type="fixed"/>
          <w:tblLook w:val="04A0"/>
        </w:tblPrEx>
        <w:tc>
          <w:tcPr>
            <w:tcW w:w="822"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שפות הפרסומים באתר המרשתת</w:t>
            </w:r>
          </w:p>
        </w:tc>
        <w:tc>
          <w:tcPr>
            <w:tcW w:w="774" w:type="pct"/>
          </w:tcPr>
          <w:p w:rsidR="00DC5B13" w:rsidRPr="00DC5B13" w:rsidP="00C34B23">
            <w:pPr>
              <w:spacing w:line="269" w:lineRule="auto"/>
              <w:jc w:val="left"/>
              <w:rPr>
                <w:rFonts w:eastAsia="Calibri"/>
                <w:szCs w:val="20"/>
                <w:rtl/>
              </w:rPr>
            </w:pPr>
            <w:r w:rsidRPr="00DC5B13">
              <w:rPr>
                <w:rFonts w:eastAsia="Calibri" w:hint="cs"/>
                <w:szCs w:val="20"/>
                <w:rtl/>
              </w:rPr>
              <w:t>עברית</w:t>
            </w:r>
          </w:p>
        </w:tc>
        <w:tc>
          <w:tcPr>
            <w:tcW w:w="906" w:type="pct"/>
          </w:tcPr>
          <w:p w:rsidR="00DC5B13" w:rsidRPr="00DC5B13" w:rsidP="00C34B23">
            <w:pPr>
              <w:spacing w:line="269" w:lineRule="auto"/>
              <w:jc w:val="left"/>
              <w:rPr>
                <w:rFonts w:eastAsia="Calibri"/>
                <w:szCs w:val="20"/>
                <w:rtl/>
              </w:rPr>
            </w:pPr>
            <w:r w:rsidRPr="00DC5B13">
              <w:rPr>
                <w:rFonts w:eastAsia="Calibri" w:hint="cs"/>
                <w:szCs w:val="20"/>
                <w:rtl/>
              </w:rPr>
              <w:t>מידע כללי - בעברית;</w:t>
            </w:r>
          </w:p>
          <w:p w:rsidR="00DC5B13" w:rsidRPr="00DC5B13" w:rsidP="00C34B23">
            <w:pPr>
              <w:spacing w:line="269" w:lineRule="auto"/>
              <w:jc w:val="left"/>
              <w:rPr>
                <w:rFonts w:eastAsia="Calibri"/>
                <w:szCs w:val="20"/>
                <w:rtl/>
              </w:rPr>
            </w:pPr>
            <w:r w:rsidRPr="00DC5B13">
              <w:rPr>
                <w:rFonts w:eastAsia="Calibri" w:hint="cs"/>
                <w:szCs w:val="20"/>
                <w:rtl/>
              </w:rPr>
              <w:t>מידע לתושבים - בעברית, באנגלית, ברוסית, באמהרית, בצרפתית</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מידע כללי - בעברית; מידע לתושבים - בעברית וברוסית</w:t>
            </w:r>
          </w:p>
        </w:tc>
        <w:tc>
          <w:tcPr>
            <w:tcW w:w="875" w:type="pct"/>
          </w:tcPr>
          <w:p w:rsidR="00DC5B13" w:rsidRPr="00DC5B13" w:rsidP="00C34B23">
            <w:pPr>
              <w:spacing w:line="269" w:lineRule="auto"/>
              <w:jc w:val="left"/>
              <w:rPr>
                <w:rFonts w:eastAsia="Calibri"/>
                <w:szCs w:val="20"/>
                <w:rtl/>
              </w:rPr>
            </w:pPr>
            <w:r w:rsidRPr="00DC5B13">
              <w:rPr>
                <w:rFonts w:eastAsia="Calibri" w:hint="cs"/>
                <w:szCs w:val="20"/>
                <w:rtl/>
              </w:rPr>
              <w:t>עברית</w:t>
            </w: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עברית</w:t>
            </w:r>
          </w:p>
        </w:tc>
      </w:tr>
      <w:tr w:rsidTr="00AA3F2B">
        <w:tblPrEx>
          <w:tblW w:w="4934" w:type="pct"/>
          <w:tblInd w:w="55" w:type="dxa"/>
          <w:tblLayout w:type="fixed"/>
          <w:tblLook w:val="04A0"/>
        </w:tblPrEx>
        <w:tc>
          <w:tcPr>
            <w:tcW w:w="822" w:type="pct"/>
            <w:shd w:val="clear" w:color="auto" w:fill="DBE5F1"/>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האם מסמכי המדיניות כוללים מטרות ויעדים</w:t>
            </w:r>
          </w:p>
        </w:tc>
        <w:tc>
          <w:tcPr>
            <w:tcW w:w="774" w:type="pct"/>
          </w:tcPr>
          <w:p w:rsidR="00DC5B13" w:rsidRPr="00DC5B13" w:rsidP="00C34B23">
            <w:pPr>
              <w:spacing w:line="269" w:lineRule="auto"/>
              <w:jc w:val="left"/>
              <w:rPr>
                <w:rFonts w:eastAsia="Calibri"/>
                <w:szCs w:val="20"/>
                <w:rtl/>
              </w:rPr>
            </w:pPr>
            <w:r w:rsidRPr="00DC5B13">
              <w:rPr>
                <w:rFonts w:eastAsia="Calibri" w:hint="cs"/>
                <w:szCs w:val="20"/>
                <w:rtl/>
              </w:rPr>
              <w:t>כן</w:t>
            </w:r>
          </w:p>
        </w:tc>
        <w:tc>
          <w:tcPr>
            <w:tcW w:w="906" w:type="pct"/>
          </w:tcPr>
          <w:p w:rsidR="00DC5B13" w:rsidRPr="00DC5B13" w:rsidP="00C34B23">
            <w:pPr>
              <w:spacing w:line="269" w:lineRule="auto"/>
              <w:jc w:val="left"/>
              <w:rPr>
                <w:rFonts w:eastAsia="Calibri"/>
                <w:szCs w:val="20"/>
                <w:rtl/>
              </w:rPr>
            </w:pPr>
            <w:r w:rsidRPr="00DC5B13">
              <w:rPr>
                <w:rFonts w:eastAsia="Calibri" w:hint="cs"/>
                <w:szCs w:val="20"/>
                <w:rtl/>
              </w:rPr>
              <w:t>כן</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כן</w:t>
            </w:r>
          </w:p>
        </w:tc>
        <w:tc>
          <w:tcPr>
            <w:tcW w:w="875" w:type="pct"/>
          </w:tcPr>
          <w:p w:rsidR="00DC5B13" w:rsidRPr="00DC5B13" w:rsidP="00C34B23">
            <w:pPr>
              <w:spacing w:line="269" w:lineRule="auto"/>
              <w:jc w:val="left"/>
              <w:rPr>
                <w:rFonts w:eastAsia="Calibri"/>
                <w:szCs w:val="20"/>
                <w:rtl/>
              </w:rPr>
            </w:pPr>
            <w:r w:rsidRPr="00DC5B13">
              <w:rPr>
                <w:rFonts w:eastAsia="Calibri" w:hint="cs"/>
                <w:szCs w:val="20"/>
                <w:rtl/>
              </w:rPr>
              <w:t>כן</w:t>
            </w: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כן</w:t>
            </w:r>
          </w:p>
        </w:tc>
      </w:tr>
      <w:tr w:rsidTr="00AA3F2B">
        <w:tblPrEx>
          <w:tblW w:w="4934" w:type="pct"/>
          <w:tblInd w:w="55" w:type="dxa"/>
          <w:tblLayout w:type="fixed"/>
          <w:tblLook w:val="04A0"/>
        </w:tblPrEx>
        <w:tc>
          <w:tcPr>
            <w:tcW w:w="822" w:type="pct"/>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הנחיות לשלבי ההיתרים והבנייה במסמכי המדיניות</w:t>
            </w:r>
          </w:p>
        </w:tc>
        <w:tc>
          <w:tcPr>
            <w:tcW w:w="774" w:type="pct"/>
          </w:tcPr>
          <w:p w:rsidR="00DC5B13" w:rsidRPr="00DC5B13" w:rsidP="00C34B23">
            <w:pPr>
              <w:spacing w:line="269" w:lineRule="auto"/>
              <w:jc w:val="left"/>
              <w:rPr>
                <w:rFonts w:eastAsia="Calibri"/>
                <w:szCs w:val="20"/>
                <w:rtl/>
              </w:rPr>
            </w:pPr>
            <w:r w:rsidRPr="00DC5B13">
              <w:rPr>
                <w:rFonts w:eastAsia="Calibri" w:hint="cs"/>
                <w:szCs w:val="20"/>
                <w:rtl/>
              </w:rPr>
              <w:t xml:space="preserve">יש רשימת דרישות לתוצרי התכנון ולתיאום בין היזם לעירייה ולמינהלת ההתחדשות </w:t>
            </w:r>
          </w:p>
        </w:tc>
        <w:tc>
          <w:tcPr>
            <w:tcW w:w="906" w:type="pct"/>
          </w:tcPr>
          <w:p w:rsidR="00DC5B13" w:rsidRPr="00DC5B13" w:rsidP="00C34B23">
            <w:pPr>
              <w:spacing w:line="269" w:lineRule="auto"/>
              <w:jc w:val="left"/>
              <w:rPr>
                <w:rFonts w:eastAsia="Calibri"/>
                <w:szCs w:val="20"/>
                <w:rtl/>
              </w:rPr>
            </w:pPr>
            <w:r w:rsidRPr="00DC5B13">
              <w:rPr>
                <w:rFonts w:eastAsia="Calibri" w:hint="cs"/>
                <w:szCs w:val="20"/>
                <w:rtl/>
              </w:rPr>
              <w:t xml:space="preserve">הפניה להנחיות תכנון ספציפיות לתתי-המתחמים בכרטיסיות </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התייחסות כללית לשלבי קידום התוכנית ללא פירוט הנוגע לדרישות ולתנאים הנדרשים בשלבים אלה</w:t>
            </w:r>
          </w:p>
        </w:tc>
        <w:tc>
          <w:tcPr>
            <w:tcW w:w="875" w:type="pct"/>
          </w:tcPr>
          <w:p w:rsidR="00DC5B13" w:rsidRPr="00DC5B13" w:rsidP="00C34B23">
            <w:pPr>
              <w:spacing w:line="269" w:lineRule="auto"/>
              <w:jc w:val="left"/>
              <w:rPr>
                <w:rFonts w:eastAsia="Calibri"/>
                <w:szCs w:val="20"/>
                <w:rtl/>
              </w:rPr>
            </w:pPr>
            <w:r w:rsidRPr="00DC5B13">
              <w:rPr>
                <w:rFonts w:eastAsia="Calibri" w:hint="cs"/>
                <w:szCs w:val="20"/>
                <w:rtl/>
              </w:rPr>
              <w:t>אין</w:t>
            </w: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אין</w:t>
            </w:r>
          </w:p>
        </w:tc>
      </w:tr>
      <w:tr w:rsidTr="00AA3F2B">
        <w:tblPrEx>
          <w:tblW w:w="4934" w:type="pct"/>
          <w:tblInd w:w="55" w:type="dxa"/>
          <w:tblLayout w:type="fixed"/>
          <w:tblLook w:val="04A0"/>
        </w:tblPrEx>
        <w:tc>
          <w:tcPr>
            <w:tcW w:w="822" w:type="pct"/>
            <w:shd w:val="clear" w:color="auto" w:fill="DBE5F1"/>
            <w:vAlign w:val="center"/>
          </w:tcPr>
          <w:p w:rsidR="00DC5B13" w:rsidRPr="00DC5B13" w:rsidP="00C34B23">
            <w:pPr>
              <w:spacing w:line="269" w:lineRule="auto"/>
              <w:jc w:val="left"/>
              <w:rPr>
                <w:rFonts w:eastAsia="Calibri"/>
                <w:sz w:val="18"/>
                <w:szCs w:val="22"/>
                <w:rtl/>
              </w:rPr>
            </w:pPr>
            <w:r w:rsidRPr="00DC5B13">
              <w:rPr>
                <w:rFonts w:eastAsia="Calibri" w:hint="cs"/>
                <w:sz w:val="18"/>
                <w:szCs w:val="22"/>
                <w:rtl/>
              </w:rPr>
              <w:t>שנת אישורה של תוכנית המתאר הכוללנית</w:t>
            </w:r>
          </w:p>
        </w:tc>
        <w:tc>
          <w:tcPr>
            <w:tcW w:w="774" w:type="pct"/>
          </w:tcPr>
          <w:p w:rsidR="00DC5B13" w:rsidRPr="00DC5B13" w:rsidP="00C34B23">
            <w:pPr>
              <w:spacing w:line="269" w:lineRule="auto"/>
              <w:jc w:val="left"/>
              <w:rPr>
                <w:rFonts w:eastAsia="Calibri"/>
                <w:szCs w:val="20"/>
                <w:rtl/>
              </w:rPr>
            </w:pPr>
            <w:r w:rsidRPr="00DC5B13">
              <w:rPr>
                <w:rFonts w:eastAsia="Calibri" w:hint="cs"/>
                <w:szCs w:val="20"/>
                <w:rtl/>
              </w:rPr>
              <w:t>1979*</w:t>
            </w:r>
          </w:p>
        </w:tc>
        <w:tc>
          <w:tcPr>
            <w:tcW w:w="906" w:type="pct"/>
          </w:tcPr>
          <w:p w:rsidR="00DC5B13" w:rsidRPr="00DC5B13" w:rsidP="00C34B23">
            <w:pPr>
              <w:spacing w:line="269" w:lineRule="auto"/>
              <w:jc w:val="left"/>
              <w:rPr>
                <w:rFonts w:eastAsia="Calibri"/>
                <w:szCs w:val="20"/>
                <w:rtl/>
              </w:rPr>
            </w:pPr>
            <w:r w:rsidRPr="00DC5B13">
              <w:rPr>
                <w:rFonts w:eastAsia="Calibri" w:hint="cs"/>
                <w:szCs w:val="20"/>
                <w:rtl/>
              </w:rPr>
              <w:t>1982**</w:t>
            </w:r>
          </w:p>
        </w:tc>
        <w:tc>
          <w:tcPr>
            <w:tcW w:w="759" w:type="pct"/>
          </w:tcPr>
          <w:p w:rsidR="00DC5B13" w:rsidRPr="00DC5B13" w:rsidP="00C34B23">
            <w:pPr>
              <w:spacing w:line="269" w:lineRule="auto"/>
              <w:jc w:val="left"/>
              <w:rPr>
                <w:rFonts w:eastAsia="Calibri"/>
                <w:szCs w:val="20"/>
                <w:rtl/>
              </w:rPr>
            </w:pPr>
            <w:r w:rsidRPr="00DC5B13">
              <w:rPr>
                <w:rFonts w:eastAsia="Calibri" w:hint="cs"/>
                <w:szCs w:val="20"/>
                <w:rtl/>
              </w:rPr>
              <w:t>2019</w:t>
            </w:r>
          </w:p>
        </w:tc>
        <w:tc>
          <w:tcPr>
            <w:tcW w:w="875" w:type="pct"/>
          </w:tcPr>
          <w:p w:rsidR="00DC5B13" w:rsidRPr="00DC5B13" w:rsidP="00C34B23">
            <w:pPr>
              <w:spacing w:line="269" w:lineRule="auto"/>
              <w:jc w:val="left"/>
              <w:rPr>
                <w:rFonts w:eastAsia="Calibri"/>
                <w:szCs w:val="20"/>
                <w:rtl/>
              </w:rPr>
            </w:pPr>
            <w:r w:rsidRPr="00DC5B13">
              <w:rPr>
                <w:rFonts w:eastAsia="Calibri" w:hint="cs"/>
                <w:szCs w:val="20"/>
                <w:rtl/>
              </w:rPr>
              <w:t>2015</w:t>
            </w:r>
          </w:p>
        </w:tc>
        <w:tc>
          <w:tcPr>
            <w:tcW w:w="865" w:type="pct"/>
          </w:tcPr>
          <w:p w:rsidR="00DC5B13" w:rsidRPr="00DC5B13" w:rsidP="00C34B23">
            <w:pPr>
              <w:spacing w:line="269" w:lineRule="auto"/>
              <w:jc w:val="left"/>
              <w:rPr>
                <w:rFonts w:eastAsia="Calibri"/>
                <w:szCs w:val="20"/>
                <w:rtl/>
              </w:rPr>
            </w:pPr>
            <w:r w:rsidRPr="00DC5B13">
              <w:rPr>
                <w:rFonts w:eastAsia="Calibri" w:hint="cs"/>
                <w:szCs w:val="20"/>
                <w:rtl/>
              </w:rPr>
              <w:t>2016</w:t>
            </w:r>
          </w:p>
        </w:tc>
      </w:tr>
    </w:tbl>
    <w:p w:rsidR="00DC5B13" w:rsidRPr="00DC5B13" w:rsidP="00C34B23">
      <w:pPr>
        <w:spacing w:line="269" w:lineRule="auto"/>
        <w:rPr>
          <w:rFonts w:ascii="David" w:eastAsia="Calibri" w:hAnsi="David"/>
          <w:sz w:val="16"/>
          <w:szCs w:val="20"/>
          <w:rtl/>
        </w:rPr>
      </w:pPr>
      <w:r w:rsidRPr="00DC5B13">
        <w:rPr>
          <w:rFonts w:ascii="David" w:eastAsia="Calibri" w:hAnsi="David"/>
          <w:sz w:val="16"/>
          <w:szCs w:val="20"/>
          <w:rtl/>
        </w:rPr>
        <w:t xml:space="preserve">* ללוד תוכנית מתאר </w:t>
      </w:r>
      <w:r w:rsidRPr="00DC5B13">
        <w:rPr>
          <w:rFonts w:ascii="David" w:eastAsia="Calibri" w:hAnsi="David" w:hint="cs"/>
          <w:sz w:val="16"/>
          <w:szCs w:val="20"/>
          <w:rtl/>
        </w:rPr>
        <w:t xml:space="preserve">כוללנית </w:t>
      </w:r>
      <w:r w:rsidRPr="00DC5B13">
        <w:rPr>
          <w:rFonts w:ascii="David" w:eastAsia="Calibri" w:hAnsi="David"/>
          <w:sz w:val="16"/>
          <w:szCs w:val="20"/>
          <w:rtl/>
        </w:rPr>
        <w:t>מאושרת משנת 1979 (לד/1000). תוכנית מתאר כוללנית חדשה (לד/10000) הופקדה ב-2015 (לאחר מילוי תנאים להפקדה שארך מ-2013), אך ב-2018 התוכנית המוצעת נדחתה</w:t>
      </w:r>
      <w:r w:rsidRPr="00DC5B13">
        <w:rPr>
          <w:rFonts w:ascii="David" w:eastAsia="Calibri" w:hAnsi="David"/>
          <w:szCs w:val="20"/>
          <w:rtl/>
        </w:rPr>
        <w:t xml:space="preserve"> </w:t>
      </w:r>
      <w:r w:rsidRPr="00DC5B13">
        <w:rPr>
          <w:rFonts w:ascii="David" w:eastAsia="Calibri" w:hAnsi="David"/>
          <w:sz w:val="16"/>
          <w:szCs w:val="20"/>
          <w:rtl/>
        </w:rPr>
        <w:t xml:space="preserve">על ידי הוועדה המחוזית לתכנון ולבנייה מרכז (דחייה סופית ב-2019), בין השאר בשל השינויים הרבים שחלו בלוד. לטענת הוועדה, שינויים אלה חייבו הכנת תוכנית מתאר חדשה, אך היא טרם הוכנה במועד סיום הביקורת. </w:t>
      </w:r>
    </w:p>
    <w:p w:rsidR="00DC5B13" w:rsidRPr="00DC5B13" w:rsidP="00C34B23">
      <w:pPr>
        <w:spacing w:line="269" w:lineRule="auto"/>
        <w:rPr>
          <w:rFonts w:ascii="David" w:eastAsia="Times New Roman" w:hAnsi="David"/>
          <w:sz w:val="16"/>
          <w:szCs w:val="20"/>
          <w:rtl/>
          <w:lang w:eastAsia="he-IL"/>
        </w:rPr>
      </w:pPr>
      <w:r w:rsidRPr="00DC5B13">
        <w:rPr>
          <w:rFonts w:ascii="David" w:eastAsia="Calibri" w:hAnsi="David"/>
          <w:sz w:val="16"/>
          <w:szCs w:val="20"/>
          <w:rtl/>
        </w:rPr>
        <w:t>** לנתניה תוכנית מתאר כוללנית מאושרת משנת 1982 (נת/400/7). תוכנית מתאר כוללנית חדשה (נת/2035) הופקדה ביולי 2021, אך במועד סיום הביקורת היא טרם נכנסה לתוקפה בשל התארכות הדיון בהתנגדויות שהוגשו לה - לרבות התנגדותה של עיריית נתניה לתוכנית המוצעת. למרות זאת, עקרונות התוכנית המוצעת משמשים כבסיס לניסוח מסמכי מדיניות התחדשות עירונית, כמפורט לעיל.</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hint="cs"/>
          <w:bCs/>
          <w:spacing w:val="40"/>
          <w:rtl/>
        </w:rPr>
        <w:t>לוד:</w:t>
      </w:r>
      <w:r w:rsidRPr="00DC5B13">
        <w:rPr>
          <w:rFonts w:eastAsia="Calibri" w:hint="cs"/>
          <w:rtl/>
        </w:rPr>
        <w:t xml:space="preserve"> מינהלת ההתחדשות העירונית של העירייה פרסמה באתר המרשתת שלה קישור למסמך מדיניות להתחדשות המרקם העירוני הוותיק שנכתב ב-2019. פרסום על אישור המדיניות על ידי מועצת העיר לוד הופיע באתר המרשתת של העירייה בנובמבר 2019. המסמך מציג לציבור ריכוז של המידע הרלוונטי בתחומי התכנון, החברה והכלכלה; מציג את המדיניות העירונית להתחדשות מרכז העיר הוותיק באופן שקוף ושוויוני; מתווה כלים לבחינה ולהערכה של מיזמים להתחדשות עירונית ולהשפעתם על המרחב העירוני בלוד, ומגדיר עקרונות מנחים לשלבי הביצוע. בהנחיות לשלב הביצוע נכללות הוראות כלליות לגבי התנאים השונים לקבלת היתרי בנייה ובהן פירוט התיאום הנדרש עם המחלקות הרלוונטיות בעירייה, אחריות היזם למציאת דיור חלופי לדיירי המתחם וחתימת היזם על הסכם לביצוע מטלות ציבוריות</w:t>
      </w:r>
      <w:r>
        <w:rPr>
          <w:rFonts w:eastAsia="Calibri"/>
          <w:vertAlign w:val="superscript"/>
          <w:rtl/>
        </w:rPr>
        <w:footnoteReference w:id="134"/>
      </w:r>
      <w:r w:rsidRPr="00DC5B13">
        <w:rPr>
          <w:rFonts w:eastAsia="Calibri" w:hint="cs"/>
          <w:rtl/>
        </w:rPr>
        <w:t>. המסמך כולל גם הוראות כלליות לגבי התנאים לאכלוס הנוגעות לחתימת הסכמים עם חברת תחזוקה למבנים שיוקמו, למסירת מטלות ציבוריות לידי העירייה ולהפקדת סכומים בקרנות תחזוקה ופחת על פי ההסכם שנחתם עם היזם.</w:t>
      </w:r>
    </w:p>
    <w:p w:rsidR="00DC5B13" w:rsidRPr="00DC5B13" w:rsidP="00C34B23">
      <w:pPr>
        <w:spacing w:line="269" w:lineRule="auto"/>
        <w:jc w:val="center"/>
        <w:rPr>
          <w:rFonts w:eastAsia="Calibri"/>
          <w:szCs w:val="20"/>
          <w:rtl/>
        </w:rPr>
      </w:pPr>
    </w:p>
    <w:p w:rsidR="00DC5B13" w:rsidRPr="00DC5B13" w:rsidP="00C34B23">
      <w:pPr>
        <w:spacing w:line="269" w:lineRule="auto"/>
        <w:jc w:val="center"/>
        <w:rPr>
          <w:rFonts w:eastAsia="Calibri"/>
          <w:rtl/>
        </w:rPr>
      </w:pPr>
      <w:r w:rsidRPr="00DC5B13">
        <w:rPr>
          <w:rFonts w:eastAsia="Calibri"/>
          <w:noProof/>
          <w:sz w:val="16"/>
          <w:szCs w:val="20"/>
          <w:rtl/>
        </w:rPr>
        <w:drawing>
          <wp:anchor distT="0" distB="0" distL="114300" distR="114300" simplePos="0" relativeHeight="251658240" behindDoc="1" locked="0" layoutInCell="1" allowOverlap="1">
            <wp:simplePos x="0" y="0"/>
            <wp:positionH relativeFrom="margin">
              <wp:align>right</wp:align>
            </wp:positionH>
            <wp:positionV relativeFrom="paragraph">
              <wp:posOffset>229131</wp:posOffset>
            </wp:positionV>
            <wp:extent cx="5219700" cy="3045460"/>
            <wp:effectExtent l="0" t="0" r="0" b="2540"/>
            <wp:wrapTopAndBottom/>
            <wp:docPr id="8" name="תמונה 8" descr="תצלום מפה גיאוגרפית המציגה את גבולות התכנון והשיפוט של העיר לוד וסביבת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04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B13">
        <w:rPr>
          <w:rFonts w:eastAsia="Calibri" w:hint="eastAsia"/>
          <w:rtl/>
        </w:rPr>
        <w:t>תרשים</w:t>
      </w:r>
      <w:r w:rsidRPr="00DC5B13">
        <w:rPr>
          <w:rFonts w:eastAsia="Calibri"/>
          <w:rtl/>
        </w:rPr>
        <w:t xml:space="preserve"> </w:t>
      </w:r>
      <w:r w:rsidRPr="00DC5B13">
        <w:rPr>
          <w:rFonts w:eastAsia="Calibri" w:hint="cs"/>
          <w:rtl/>
        </w:rPr>
        <w:t>13</w:t>
      </w:r>
      <w:r w:rsidRPr="00DC5B13">
        <w:rPr>
          <w:rFonts w:eastAsia="Calibri"/>
          <w:rtl/>
        </w:rPr>
        <w:t>:</w:t>
      </w:r>
      <w:r w:rsidRPr="00DC5B13">
        <w:rPr>
          <w:rFonts w:eastAsia="Calibri"/>
          <w:b/>
          <w:bCs/>
          <w:rtl/>
        </w:rPr>
        <w:t xml:space="preserve"> </w:t>
      </w:r>
      <w:r w:rsidRPr="00DC5B13">
        <w:rPr>
          <w:rFonts w:eastAsia="Calibri" w:hint="cs"/>
          <w:b/>
          <w:bCs/>
          <w:rtl/>
        </w:rPr>
        <w:t>ה</w:t>
      </w:r>
      <w:r w:rsidRPr="00DC5B13">
        <w:rPr>
          <w:rFonts w:eastAsia="Calibri" w:hint="eastAsia"/>
          <w:b/>
          <w:bCs/>
          <w:rtl/>
        </w:rPr>
        <w:t>מרחב</w:t>
      </w:r>
      <w:r w:rsidRPr="00DC5B13">
        <w:rPr>
          <w:rFonts w:eastAsia="Calibri"/>
          <w:b/>
          <w:bCs/>
          <w:rtl/>
        </w:rPr>
        <w:t xml:space="preserve"> </w:t>
      </w:r>
      <w:r w:rsidRPr="00DC5B13">
        <w:rPr>
          <w:rFonts w:eastAsia="Calibri" w:hint="cs"/>
          <w:b/>
          <w:bCs/>
          <w:rtl/>
        </w:rPr>
        <w:t>הנכלל ב</w:t>
      </w:r>
      <w:r w:rsidRPr="00DC5B13">
        <w:rPr>
          <w:rFonts w:eastAsia="Calibri" w:hint="eastAsia"/>
          <w:b/>
          <w:bCs/>
          <w:rtl/>
        </w:rPr>
        <w:t>מסמך</w:t>
      </w:r>
      <w:r w:rsidRPr="00DC5B13">
        <w:rPr>
          <w:rFonts w:eastAsia="Calibri"/>
          <w:b/>
          <w:bCs/>
          <w:rtl/>
        </w:rPr>
        <w:t xml:space="preserve"> </w:t>
      </w:r>
      <w:r w:rsidRPr="00DC5B13">
        <w:rPr>
          <w:rFonts w:eastAsia="Calibri" w:hint="eastAsia"/>
          <w:b/>
          <w:bCs/>
          <w:rtl/>
        </w:rPr>
        <w:t>ההתחדשות</w:t>
      </w:r>
      <w:r w:rsidRPr="00DC5B13">
        <w:rPr>
          <w:rFonts w:eastAsia="Calibri"/>
          <w:b/>
          <w:bCs/>
          <w:rtl/>
        </w:rPr>
        <w:t xml:space="preserve"> </w:t>
      </w:r>
      <w:r w:rsidRPr="00DC5B13">
        <w:rPr>
          <w:rFonts w:eastAsia="Calibri" w:hint="eastAsia"/>
          <w:b/>
          <w:bCs/>
          <w:rtl/>
        </w:rPr>
        <w:t>העירונית</w:t>
      </w:r>
      <w:r w:rsidRPr="00DC5B13">
        <w:rPr>
          <w:rFonts w:eastAsia="Calibri"/>
          <w:b/>
          <w:bCs/>
          <w:rtl/>
        </w:rPr>
        <w:t xml:space="preserve"> </w:t>
      </w:r>
      <w:r w:rsidRPr="00DC5B13">
        <w:rPr>
          <w:rFonts w:eastAsia="Calibri" w:hint="eastAsia"/>
          <w:b/>
          <w:bCs/>
          <w:rtl/>
        </w:rPr>
        <w:t>מתוך</w:t>
      </w:r>
      <w:r w:rsidRPr="00DC5B13">
        <w:rPr>
          <w:rFonts w:eastAsia="Calibri"/>
          <w:b/>
          <w:bCs/>
          <w:rtl/>
        </w:rPr>
        <w:t xml:space="preserve"> </w:t>
      </w:r>
      <w:r w:rsidRPr="00DC5B13">
        <w:rPr>
          <w:rFonts w:eastAsia="Calibri" w:hint="eastAsia"/>
          <w:b/>
          <w:bCs/>
          <w:rtl/>
        </w:rPr>
        <w:t>תחום</w:t>
      </w:r>
      <w:r w:rsidRPr="00DC5B13">
        <w:rPr>
          <w:rFonts w:eastAsia="Calibri"/>
          <w:b/>
          <w:bCs/>
          <w:rtl/>
        </w:rPr>
        <w:t xml:space="preserve"> </w:t>
      </w:r>
      <w:r w:rsidRPr="00DC5B13">
        <w:rPr>
          <w:rFonts w:eastAsia="Calibri" w:hint="eastAsia"/>
          <w:b/>
          <w:bCs/>
          <w:rtl/>
        </w:rPr>
        <w:t>השיפוט</w:t>
      </w:r>
      <w:r w:rsidRPr="00DC5B13">
        <w:rPr>
          <w:rFonts w:eastAsia="Calibri"/>
          <w:b/>
          <w:bCs/>
          <w:rtl/>
        </w:rPr>
        <w:t xml:space="preserve"> </w:t>
      </w:r>
      <w:r w:rsidRPr="00DC5B13">
        <w:rPr>
          <w:rFonts w:eastAsia="Calibri" w:hint="eastAsia"/>
          <w:b/>
          <w:bCs/>
          <w:rtl/>
        </w:rPr>
        <w:t>של</w:t>
      </w:r>
      <w:r w:rsidRPr="00DC5B13">
        <w:rPr>
          <w:rFonts w:eastAsia="Calibri"/>
          <w:b/>
          <w:bCs/>
          <w:rtl/>
        </w:rPr>
        <w:t xml:space="preserve"> </w:t>
      </w:r>
      <w:r w:rsidRPr="00DC5B13">
        <w:rPr>
          <w:rFonts w:eastAsia="Calibri" w:hint="eastAsia"/>
          <w:b/>
          <w:bCs/>
          <w:rtl/>
        </w:rPr>
        <w:t>עיריית</w:t>
      </w:r>
      <w:r w:rsidRPr="00DC5B13">
        <w:rPr>
          <w:rFonts w:eastAsia="Calibri"/>
          <w:b/>
          <w:bCs/>
          <w:rtl/>
        </w:rPr>
        <w:t xml:space="preserve"> </w:t>
      </w:r>
      <w:r w:rsidRPr="00DC5B13">
        <w:rPr>
          <w:rFonts w:eastAsia="Calibri" w:hint="eastAsia"/>
          <w:b/>
          <w:bCs/>
          <w:rtl/>
        </w:rPr>
        <w:t>לוד</w:t>
      </w:r>
    </w:p>
    <w:p w:rsidR="00DC5B13" w:rsidRPr="00DC5B13" w:rsidP="00C34B23">
      <w:pPr>
        <w:spacing w:line="269" w:lineRule="auto"/>
        <w:rPr>
          <w:rFonts w:eastAsia="Calibri"/>
          <w:rtl/>
        </w:rPr>
      </w:pPr>
      <w:r w:rsidRPr="00DC5B13">
        <w:rPr>
          <w:rFonts w:eastAsia="Calibri" w:hint="eastAsia"/>
          <w:sz w:val="16"/>
          <w:szCs w:val="20"/>
          <w:rtl/>
        </w:rPr>
        <w:t>המקור</w:t>
      </w:r>
      <w:r w:rsidRPr="00DC5B13">
        <w:rPr>
          <w:rFonts w:eastAsia="Calibri"/>
          <w:sz w:val="16"/>
          <w:szCs w:val="20"/>
          <w:rtl/>
        </w:rPr>
        <w:t xml:space="preserve">: </w:t>
      </w:r>
      <w:r w:rsidRPr="00DC5B13">
        <w:rPr>
          <w:rFonts w:eastAsia="Calibri" w:hint="eastAsia"/>
          <w:sz w:val="16"/>
          <w:szCs w:val="20"/>
          <w:rtl/>
        </w:rPr>
        <w:t>עיריית</w:t>
      </w:r>
      <w:r w:rsidRPr="00DC5B13">
        <w:rPr>
          <w:rFonts w:eastAsia="Calibri"/>
          <w:sz w:val="16"/>
          <w:szCs w:val="20"/>
          <w:rtl/>
        </w:rPr>
        <w:t xml:space="preserve"> </w:t>
      </w:r>
      <w:r w:rsidRPr="00DC5B13">
        <w:rPr>
          <w:rFonts w:eastAsia="Calibri" w:hint="eastAsia"/>
          <w:sz w:val="16"/>
          <w:szCs w:val="20"/>
          <w:rtl/>
        </w:rPr>
        <w:t>לוד</w:t>
      </w:r>
      <w:r w:rsidRPr="00DC5B13">
        <w:rPr>
          <w:rFonts w:eastAsia="Calibri" w:hint="cs"/>
          <w:sz w:val="22"/>
          <w:szCs w:val="22"/>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hint="cs"/>
          <w:bCs/>
          <w:spacing w:val="40"/>
          <w:rtl/>
        </w:rPr>
        <w:t>נתניה:</w:t>
      </w:r>
      <w:r w:rsidRPr="00DC5B13">
        <w:rPr>
          <w:rFonts w:eastAsia="Calibri" w:hint="cs"/>
          <w:rtl/>
        </w:rPr>
        <w:t xml:space="preserve"> העירייה פרסמה באתר המרשתת שלה חמישה מסמכים הנוגעים להיבטים שונים של מדיניות ההתחדשות העירונית בעיר ומידע רב נוסף. בין השאר פורסמו מסמכי מדיניות הנוגעים להקמה ולהפעלה של קרן תחזוקה</w:t>
      </w:r>
      <w:r>
        <w:rPr>
          <w:rFonts w:eastAsia="Calibri"/>
          <w:vertAlign w:val="superscript"/>
          <w:rtl/>
        </w:rPr>
        <w:footnoteReference w:id="135"/>
      </w:r>
      <w:r w:rsidRPr="00DC5B13">
        <w:rPr>
          <w:rFonts w:eastAsia="Calibri" w:hint="cs"/>
          <w:rtl/>
        </w:rPr>
        <w:t xml:space="preserve"> בבניינים מחודשים; מדיניות כלל-עירונית לקביעת הנחיות לדירות תמורה, ומסמכי מדיניות הנוגעים לאזורים שונים בעיר ובהם מרכז העיר</w:t>
      </w:r>
      <w:r>
        <w:rPr>
          <w:rFonts w:eastAsia="Calibri"/>
          <w:vertAlign w:val="superscript"/>
          <w:rtl/>
        </w:rPr>
        <w:footnoteReference w:id="136"/>
      </w:r>
      <w:r w:rsidRPr="00DC5B13">
        <w:rPr>
          <w:rFonts w:eastAsia="Calibri" w:hint="cs"/>
          <w:rtl/>
        </w:rPr>
        <w:t xml:space="preserve"> (אושר על ידי הוועדה המקומית נתניה במרץ 2025), </w:t>
      </w:r>
      <w:hyperlink r:id="rId47" w:history="1">
        <w:r w:rsidRPr="00DC5B13">
          <w:rPr>
            <w:rFonts w:eastAsia="Calibri" w:hint="cs"/>
            <w:rtl/>
          </w:rPr>
          <w:t>רמת ידין ונאות שקד</w:t>
        </w:r>
      </w:hyperlink>
      <w:r w:rsidRPr="00DC5B13">
        <w:rPr>
          <w:rFonts w:eastAsia="Calibri" w:hint="cs"/>
          <w:rtl/>
        </w:rPr>
        <w:t xml:space="preserve"> (עודכנה במאי 2024) ותוכנית המתאר להתחדשות עירונית של שכונת קריית נורדאו (אושרה בוועדה המחוזית לתכנון ובנייה מחוז המרכז במרץ 2022)</w:t>
      </w:r>
      <w:r>
        <w:rPr>
          <w:rFonts w:eastAsia="Calibri"/>
          <w:vertAlign w:val="superscript"/>
          <w:rtl/>
        </w:rPr>
        <w:footnoteReference w:id="137"/>
      </w:r>
      <w:r w:rsidRPr="00DC5B13">
        <w:rPr>
          <w:rFonts w:eastAsia="Calibri" w:hint="cs"/>
          <w:rtl/>
        </w:rPr>
        <w:t xml:space="preserve">. כן מפורסמת באתר מפה של מתחמי ההתחדשות במרכז העיר. המפה מתארת את תתי-המתחמים שבהם בניינים המיועדים להתחדשות במסגרת תוכנית אחת, והיא מספקת מידע מפורט ונרחב לגבי מצאי הבינוי ולגבי ייעודי הקרקע הקיימים וכן לגבי המצב המוצע למתחם. בין השאר מפורטים היקפי הבנייה המותרים בתת-המתחם, ההפרשות החזויות של שטחים לצורכי ציבור, מדיניות התמורות לדיירים, תמהיל יחידות הדיור, קווי המדיניות הכלליים, הנחיות חברתיות כלליות (כגון הקמת נציגויות והכנת דוח חברתי למתחם) וחלוקה למתחמי משנה בהתאם לתוכניות קיימות או לסוגיות רלוונטיות כגון סוג הבינוי הקיים ומבנים לשימור. </w:t>
      </w:r>
    </w:p>
    <w:p w:rsidR="00DC5B13" w:rsidRPr="00DC5B13" w:rsidP="00C34B23">
      <w:pPr>
        <w:spacing w:line="269" w:lineRule="auto"/>
        <w:rPr>
          <w:rFonts w:eastAsia="Calibri"/>
          <w:szCs w:val="20"/>
          <w:rtl/>
        </w:rPr>
      </w:pPr>
    </w:p>
    <w:p w:rsidR="00DC5B13" w:rsidRPr="00DC5B13" w:rsidP="00C34B23">
      <w:pPr>
        <w:spacing w:line="269" w:lineRule="auto"/>
        <w:rPr>
          <w:rFonts w:eastAsia="Calibri"/>
          <w:sz w:val="24"/>
          <w:szCs w:val="32"/>
          <w:rtl/>
        </w:rPr>
      </w:pPr>
      <w:r w:rsidRPr="00DC5B13">
        <w:rPr>
          <w:rFonts w:eastAsia="Calibri" w:hint="cs"/>
          <w:rtl/>
        </w:rPr>
        <w:t xml:space="preserve">עוד נמצא כי תוכנית המתאר המוצעת של </w:t>
      </w:r>
      <w:r w:rsidRPr="00DC5B13">
        <w:rPr>
          <w:rFonts w:eastAsia="Calibri" w:hint="eastAsia"/>
          <w:rtl/>
        </w:rPr>
        <w:t>נתניה</w:t>
      </w:r>
      <w:r w:rsidRPr="00DC5B13">
        <w:rPr>
          <w:rFonts w:eastAsia="Calibri" w:hint="cs"/>
          <w:rtl/>
        </w:rPr>
        <w:t xml:space="preserve"> (נת/2035) הופקדה להתנגדויות ביולי 2021, אך במועד סיום הביקורת טרם התקבלה החלטה אם לאשרה בשל התארכות הדיון בהתנגדויות שהוגשו לה - לרבות התנגדותה של עיריית נתניה לתוכנית המוצעת ו</w:t>
      </w:r>
      <w:r w:rsidRPr="00DC5B13">
        <w:rPr>
          <w:rFonts w:eastAsia="Calibri" w:hint="eastAsia"/>
          <w:rtl/>
        </w:rPr>
        <w:t>כי</w:t>
      </w:r>
      <w:r w:rsidRPr="00DC5B13">
        <w:rPr>
          <w:rFonts w:eastAsia="Calibri" w:hint="cs"/>
          <w:rtl/>
        </w:rPr>
        <w:t xml:space="preserve"> היא לא נכנסה לתוקף. למרות זאת, הוועדה המקומית לתכנון ולבנייה נתניה משתמשת בתוכנית המוצעת כבסיס לניסוח מסמכי מדיניות להתחדשות עירונית - בדומה למסמך המדיניות להתחדשות מרכז העיר.</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b/>
          <w:bCs/>
          <w:rtl/>
        </w:rPr>
      </w:pPr>
      <w:r w:rsidRPr="00DC5B13">
        <w:rPr>
          <w:rFonts w:eastAsia="Calibri" w:hint="eastAsia"/>
          <w:rtl/>
        </w:rPr>
        <w:t>תרשים</w:t>
      </w:r>
      <w:r w:rsidRPr="00DC5B13">
        <w:rPr>
          <w:rFonts w:eastAsia="Calibri"/>
          <w:rtl/>
        </w:rPr>
        <w:t xml:space="preserve"> </w:t>
      </w:r>
      <w:r w:rsidRPr="00DC5B13">
        <w:rPr>
          <w:rFonts w:eastAsia="Calibri" w:hint="cs"/>
          <w:rtl/>
        </w:rPr>
        <w:t>14</w:t>
      </w:r>
      <w:r w:rsidRPr="00DC5B13">
        <w:rPr>
          <w:rFonts w:eastAsia="Calibri"/>
          <w:rtl/>
        </w:rPr>
        <w:t xml:space="preserve">: </w:t>
      </w:r>
      <w:r w:rsidRPr="00DC5B13">
        <w:rPr>
          <w:rFonts w:eastAsia="Calibri" w:hint="eastAsia"/>
          <w:b/>
          <w:bCs/>
          <w:rtl/>
        </w:rPr>
        <w:t>הנחיות</w:t>
      </w:r>
      <w:r w:rsidRPr="00DC5B13">
        <w:rPr>
          <w:rFonts w:eastAsia="Calibri"/>
          <w:b/>
          <w:bCs/>
          <w:rtl/>
        </w:rPr>
        <w:t xml:space="preserve"> </w:t>
      </w:r>
      <w:r w:rsidRPr="00DC5B13">
        <w:rPr>
          <w:rFonts w:eastAsia="Calibri" w:hint="eastAsia"/>
          <w:b/>
          <w:bCs/>
          <w:rtl/>
        </w:rPr>
        <w:t>להתחדשות</w:t>
      </w:r>
      <w:r w:rsidRPr="00DC5B13">
        <w:rPr>
          <w:rFonts w:eastAsia="Calibri"/>
          <w:b/>
          <w:bCs/>
          <w:rtl/>
        </w:rPr>
        <w:t xml:space="preserve"> </w:t>
      </w:r>
      <w:r w:rsidRPr="00DC5B13">
        <w:rPr>
          <w:rFonts w:eastAsia="Calibri" w:hint="eastAsia"/>
          <w:b/>
          <w:bCs/>
          <w:rtl/>
        </w:rPr>
        <w:t>מרכז</w:t>
      </w:r>
      <w:r w:rsidRPr="00DC5B13">
        <w:rPr>
          <w:rFonts w:eastAsia="Calibri"/>
          <w:b/>
          <w:bCs/>
          <w:rtl/>
        </w:rPr>
        <w:t xml:space="preserve"> </w:t>
      </w:r>
      <w:r w:rsidRPr="00DC5B13">
        <w:rPr>
          <w:rFonts w:eastAsia="Calibri" w:hint="eastAsia"/>
          <w:b/>
          <w:bCs/>
          <w:rtl/>
        </w:rPr>
        <w:t>העיר</w:t>
      </w:r>
      <w:r w:rsidRPr="00DC5B13">
        <w:rPr>
          <w:rFonts w:eastAsia="Calibri"/>
          <w:b/>
          <w:bCs/>
          <w:rtl/>
        </w:rPr>
        <w:t xml:space="preserve"> </w:t>
      </w:r>
      <w:r w:rsidRPr="00DC5B13">
        <w:rPr>
          <w:rFonts w:eastAsia="Calibri" w:hint="eastAsia"/>
          <w:b/>
          <w:bCs/>
          <w:rtl/>
        </w:rPr>
        <w:t>נתניה</w:t>
      </w:r>
    </w:p>
    <w:p w:rsidR="00DC5B13" w:rsidRPr="00DC5B13" w:rsidP="00C34B23">
      <w:pPr>
        <w:spacing w:line="269" w:lineRule="auto"/>
        <w:jc w:val="center"/>
        <w:rPr>
          <w:rFonts w:eastAsia="Calibri"/>
          <w:b/>
          <w:bCs/>
          <w:rtl/>
        </w:rPr>
      </w:pPr>
      <w:r w:rsidRPr="00DC5B13">
        <w:rPr>
          <w:rFonts w:eastAsia="Calibri"/>
          <w:noProof/>
          <w:rtl/>
        </w:rPr>
        <w:drawing>
          <wp:inline distT="0" distB="0" distL="0" distR="0">
            <wp:extent cx="5219700" cy="5467985"/>
            <wp:effectExtent l="0" t="0" r="0" b="0"/>
            <wp:docPr id="9" name="תמונה 9" descr="תצלום מפת תכנון וחלוקה לאזורים עבור מרכז העיר נתניה, המתמקדת במרקם הבנוי ובתשתיות לאורך רצועת החוף. במרכז המפה בולט לב אזור ההתחדשות העירונית של מרכז העיר הוותי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5467985"/>
                    </a:xfrm>
                    <a:prstGeom prst="rect">
                      <a:avLst/>
                    </a:prstGeom>
                    <a:noFill/>
                    <a:ln>
                      <a:noFill/>
                    </a:ln>
                  </pic:spPr>
                </pic:pic>
              </a:graphicData>
            </a:graphic>
          </wp:inline>
        </w:drawing>
      </w:r>
    </w:p>
    <w:p w:rsidR="00DC5B13" w:rsidRPr="00DC5B13" w:rsidP="00C34B23">
      <w:pPr>
        <w:spacing w:line="269" w:lineRule="auto"/>
        <w:rPr>
          <w:rFonts w:eastAsia="Calibri"/>
          <w:szCs w:val="20"/>
          <w:rtl/>
        </w:rPr>
      </w:pPr>
      <w:r w:rsidRPr="00DC5B13">
        <w:rPr>
          <w:rFonts w:eastAsia="Calibri" w:hint="eastAsia"/>
          <w:szCs w:val="20"/>
          <w:rtl/>
        </w:rPr>
        <w:t>המקור</w:t>
      </w:r>
      <w:r w:rsidRPr="00DC5B13">
        <w:rPr>
          <w:rFonts w:eastAsia="Calibri"/>
          <w:szCs w:val="20"/>
          <w:rtl/>
        </w:rPr>
        <w:t xml:space="preserve">: </w:t>
      </w:r>
      <w:r w:rsidRPr="00DC5B13">
        <w:rPr>
          <w:rFonts w:eastAsia="Calibri" w:hint="eastAsia"/>
          <w:szCs w:val="20"/>
          <w:rtl/>
        </w:rPr>
        <w:t>מסמך</w:t>
      </w:r>
      <w:r w:rsidRPr="00DC5B13">
        <w:rPr>
          <w:rFonts w:eastAsia="Calibri"/>
          <w:szCs w:val="20"/>
          <w:rtl/>
        </w:rPr>
        <w:t xml:space="preserve"> </w:t>
      </w:r>
      <w:r w:rsidRPr="00DC5B13">
        <w:rPr>
          <w:rFonts w:eastAsia="Calibri" w:hint="eastAsia"/>
          <w:szCs w:val="20"/>
          <w:rtl/>
        </w:rPr>
        <w:t>מדיניות</w:t>
      </w:r>
      <w:r w:rsidRPr="00DC5B13">
        <w:rPr>
          <w:rFonts w:eastAsia="Calibri"/>
          <w:szCs w:val="20"/>
          <w:rtl/>
        </w:rPr>
        <w:t xml:space="preserve"> </w:t>
      </w:r>
      <w:r w:rsidRPr="00DC5B13">
        <w:rPr>
          <w:rFonts w:eastAsia="Calibri" w:hint="eastAsia"/>
          <w:szCs w:val="20"/>
          <w:rtl/>
        </w:rPr>
        <w:t>להתחדשות</w:t>
      </w:r>
      <w:r w:rsidRPr="00DC5B13">
        <w:rPr>
          <w:rFonts w:eastAsia="Calibri"/>
          <w:szCs w:val="20"/>
          <w:rtl/>
        </w:rPr>
        <w:t xml:space="preserve"> </w:t>
      </w:r>
      <w:r w:rsidRPr="00DC5B13">
        <w:rPr>
          <w:rFonts w:eastAsia="Calibri" w:hint="eastAsia"/>
          <w:szCs w:val="20"/>
          <w:rtl/>
        </w:rPr>
        <w:t>מרכז</w:t>
      </w:r>
      <w:r w:rsidRPr="00DC5B13">
        <w:rPr>
          <w:rFonts w:eastAsia="Calibri"/>
          <w:szCs w:val="20"/>
          <w:rtl/>
        </w:rPr>
        <w:t xml:space="preserve"> </w:t>
      </w:r>
      <w:r w:rsidRPr="00DC5B13">
        <w:rPr>
          <w:rFonts w:eastAsia="Calibri" w:hint="eastAsia"/>
          <w:szCs w:val="20"/>
          <w:rtl/>
        </w:rPr>
        <w:t>העיר</w:t>
      </w:r>
      <w:r w:rsidRPr="00DC5B13">
        <w:rPr>
          <w:rFonts w:eastAsia="Calibri"/>
          <w:szCs w:val="20"/>
          <w:rtl/>
        </w:rPr>
        <w:t xml:space="preserve"> </w:t>
      </w:r>
      <w:r w:rsidRPr="00DC5B13">
        <w:rPr>
          <w:rFonts w:eastAsia="Calibri" w:hint="eastAsia"/>
          <w:szCs w:val="20"/>
          <w:rtl/>
        </w:rPr>
        <w:t>נתניה</w:t>
      </w:r>
      <w:r w:rsidRPr="00DC5B13">
        <w:rPr>
          <w:rFonts w:eastAsia="Calibri"/>
          <w:szCs w:val="20"/>
          <w:rtl/>
        </w:rPr>
        <w:t>, 2025.</w:t>
      </w:r>
    </w:p>
    <w:p w:rsidR="001E5EE6" w:rsidP="00C34B23">
      <w:pPr>
        <w:spacing w:line="269" w:lineRule="auto"/>
        <w:rPr>
          <w:rFonts w:eastAsia="Times New Roman"/>
          <w:bCs/>
          <w:spacing w:val="40"/>
          <w:rtl/>
        </w:rPr>
      </w:pPr>
    </w:p>
    <w:p w:rsidR="00DC5B13" w:rsidRPr="00DC5B13" w:rsidP="00C34B23">
      <w:pPr>
        <w:spacing w:line="269" w:lineRule="auto"/>
        <w:rPr>
          <w:rFonts w:eastAsia="Calibri"/>
          <w:rtl/>
        </w:rPr>
      </w:pPr>
      <w:r w:rsidRPr="00DC5B13">
        <w:rPr>
          <w:rFonts w:eastAsia="Times New Roman" w:hint="cs"/>
          <w:bCs/>
          <w:spacing w:val="40"/>
          <w:rtl/>
        </w:rPr>
        <w:t>קריית ים:</w:t>
      </w:r>
      <w:r w:rsidRPr="00DC5B13">
        <w:rPr>
          <w:rFonts w:eastAsia="Calibri" w:hint="cs"/>
          <w:rtl/>
        </w:rPr>
        <w:t xml:space="preserve"> באתר המרשתת של עיריית קריית ים פורסמו חמישה מסמכים הנוגעים להיבטים שונים של מדיניות ההתחדשות העירונית בעיר: תוכניות אב לצורכי ציבור (2019) ולניידות (2020) לכל שטח העיר; תוכניות אסטרטגיות לפיתוח מרחבים בעלי מאפיינים ייחודיים בעיר - תוכנית שלד מרכז העיר (פורסמה ב-2015) ותוכנית רצועת חוף הים (פורסמה ב-2017); מסמך מדיניות להתחדשות שכונה ד' (2024) לצד מידע כללי על הכנת המסמך, לרבות הזמנת תושבי העיר להעיר ולהגיב על התוכנית המוצעת עד מרץ 2025. כן מפורסמים באתר הליך לקליטת הצעות תכנון במסלול יזמים (נוהל יזמים) ותוכנית המתאר הכוללנית המאושרת של קריית ים, שהיא הרקע הסטטוטורי לתוכניות הנזכרות לעיל.</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rtl/>
        </w:rPr>
      </w:pPr>
      <w:r w:rsidRPr="00DC5B13">
        <w:rPr>
          <w:rFonts w:eastAsia="Calibri" w:hint="eastAsia"/>
          <w:rtl/>
        </w:rPr>
        <w:t>תרשים</w:t>
      </w:r>
      <w:r w:rsidRPr="00DC5B13">
        <w:rPr>
          <w:rFonts w:eastAsia="Calibri"/>
          <w:rtl/>
        </w:rPr>
        <w:t xml:space="preserve"> </w:t>
      </w:r>
      <w:r w:rsidRPr="00DC5B13">
        <w:rPr>
          <w:rFonts w:eastAsia="Calibri" w:hint="cs"/>
          <w:rtl/>
        </w:rPr>
        <w:t>15</w:t>
      </w:r>
      <w:r w:rsidRPr="00DC5B13">
        <w:rPr>
          <w:rFonts w:eastAsia="Calibri"/>
          <w:rtl/>
        </w:rPr>
        <w:t>:</w:t>
      </w:r>
      <w:r w:rsidRPr="00DC5B13">
        <w:rPr>
          <w:rFonts w:eastAsia="Calibri" w:hint="cs"/>
          <w:rtl/>
        </w:rPr>
        <w:t xml:space="preserve"> </w:t>
      </w:r>
      <w:r w:rsidRPr="00DC5B13">
        <w:rPr>
          <w:rFonts w:eastAsia="Calibri" w:hint="eastAsia"/>
          <w:b/>
          <w:bCs/>
          <w:rtl/>
        </w:rPr>
        <w:t>הדמי</w:t>
      </w:r>
      <w:r w:rsidRPr="00DC5B13">
        <w:rPr>
          <w:rFonts w:eastAsia="Calibri" w:hint="cs"/>
          <w:b/>
          <w:bCs/>
          <w:rtl/>
        </w:rPr>
        <w:t>ה של</w:t>
      </w:r>
      <w:r w:rsidRPr="00DC5B13">
        <w:rPr>
          <w:rFonts w:eastAsia="Calibri"/>
          <w:b/>
          <w:bCs/>
          <w:rtl/>
        </w:rPr>
        <w:t xml:space="preserve"> </w:t>
      </w:r>
      <w:r w:rsidRPr="00DC5B13">
        <w:rPr>
          <w:rFonts w:eastAsia="Calibri" w:hint="eastAsia"/>
          <w:b/>
          <w:bCs/>
          <w:rtl/>
        </w:rPr>
        <w:t>פיתוח</w:t>
      </w:r>
      <w:r w:rsidRPr="00DC5B13">
        <w:rPr>
          <w:rFonts w:eastAsia="Calibri"/>
          <w:b/>
          <w:bCs/>
          <w:rtl/>
        </w:rPr>
        <w:t xml:space="preserve"> </w:t>
      </w:r>
      <w:r w:rsidRPr="00DC5B13">
        <w:rPr>
          <w:rFonts w:eastAsia="Calibri" w:hint="eastAsia"/>
          <w:b/>
          <w:bCs/>
          <w:rtl/>
        </w:rPr>
        <w:t>מרכז</w:t>
      </w:r>
      <w:r w:rsidRPr="00DC5B13">
        <w:rPr>
          <w:rFonts w:eastAsia="Calibri"/>
          <w:b/>
          <w:bCs/>
          <w:rtl/>
        </w:rPr>
        <w:t xml:space="preserve"> </w:t>
      </w:r>
      <w:r w:rsidRPr="00DC5B13">
        <w:rPr>
          <w:rFonts w:eastAsia="Calibri" w:hint="eastAsia"/>
          <w:b/>
          <w:bCs/>
          <w:rtl/>
        </w:rPr>
        <w:t>העיר</w:t>
      </w:r>
      <w:r w:rsidRPr="00DC5B13">
        <w:rPr>
          <w:rFonts w:eastAsia="Calibri"/>
          <w:b/>
          <w:bCs/>
          <w:rtl/>
        </w:rPr>
        <w:t xml:space="preserve"> </w:t>
      </w:r>
      <w:r w:rsidRPr="00DC5B13">
        <w:rPr>
          <w:rFonts w:eastAsia="Calibri" w:hint="eastAsia"/>
          <w:b/>
          <w:bCs/>
          <w:rtl/>
        </w:rPr>
        <w:t>קריית</w:t>
      </w:r>
      <w:r w:rsidRPr="00DC5B13">
        <w:rPr>
          <w:rFonts w:eastAsia="Calibri"/>
          <w:b/>
          <w:bCs/>
          <w:rtl/>
        </w:rPr>
        <w:t xml:space="preserve"> </w:t>
      </w:r>
      <w:r w:rsidRPr="00DC5B13">
        <w:rPr>
          <w:rFonts w:eastAsia="Calibri" w:hint="eastAsia"/>
          <w:b/>
          <w:bCs/>
          <w:rtl/>
        </w:rPr>
        <w:t>ים</w:t>
      </w:r>
      <w:r w:rsidRPr="00DC5B13">
        <w:rPr>
          <w:rFonts w:eastAsia="Calibri" w:hint="cs"/>
          <w:rtl/>
        </w:rPr>
        <w:t xml:space="preserve"> </w:t>
      </w:r>
      <w:r w:rsidRPr="00DC5B13">
        <w:rPr>
          <w:rFonts w:eastAsia="Calibri"/>
          <w:noProof/>
          <w:rtl/>
        </w:rPr>
        <w:drawing>
          <wp:inline distT="0" distB="0" distL="0" distR="0">
            <wp:extent cx="5220000" cy="2973600"/>
            <wp:effectExtent l="0" t="0" r="0" b="0"/>
            <wp:docPr id="51" name="תמונה 51" descr="הדמיה אדריכלית תלת-ממדית של פיתוח מרכז העיר קריית ים, במבט ממעוף הציפור המציג צפיפות בנויה גבוהה ליד קו החוף. המפה מציגה עשרות מגדלים המאורגנים בצפיפות לאורך רשת כבישים. בלב הרובע נפרש פארק הכולל מגרש ספורט ומספר מבני ציבור. מגרשים המיועדים להתחדשות מסומנים באופן ספצי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2973600"/>
                    </a:xfrm>
                    <a:prstGeom prst="rect">
                      <a:avLst/>
                    </a:prstGeom>
                    <a:noFill/>
                    <a:ln>
                      <a:noFill/>
                    </a:ln>
                  </pic:spPr>
                </pic:pic>
              </a:graphicData>
            </a:graphic>
          </wp:inline>
        </w:drawing>
      </w:r>
      <w:r w:rsidRPr="00DC5B13">
        <w:rPr>
          <w:rFonts w:eastAsia="Calibri" w:hint="cs"/>
          <w:rtl/>
        </w:rPr>
        <w:t xml:space="preserve"> </w:t>
      </w:r>
    </w:p>
    <w:p w:rsidR="00DC5B13" w:rsidRPr="00DC5B13" w:rsidP="00C34B23">
      <w:pPr>
        <w:spacing w:line="269" w:lineRule="auto"/>
        <w:rPr>
          <w:rFonts w:ascii="David" w:eastAsia="Calibri" w:hAnsi="David"/>
          <w:szCs w:val="20"/>
        </w:rPr>
      </w:pPr>
      <w:r w:rsidRPr="00DC5B13">
        <w:rPr>
          <w:rFonts w:ascii="David" w:eastAsia="Calibri" w:hAnsi="David"/>
          <w:szCs w:val="20"/>
          <w:rtl/>
        </w:rPr>
        <w:t>המקור: קריית ים - תוכנית אב להתחדשות מרכז העיר, אלונים גורביץ' אדריכלים בוני ערים, 2015.</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hint="cs"/>
          <w:bCs/>
          <w:spacing w:val="40"/>
          <w:rtl/>
        </w:rPr>
        <w:t>קריית שמונה:</w:t>
      </w:r>
      <w:r w:rsidRPr="00DC5B13">
        <w:rPr>
          <w:rFonts w:eastAsia="Calibri" w:hint="cs"/>
          <w:rtl/>
        </w:rPr>
        <w:t xml:space="preserve"> באוגוסט 2021 הכינה העירייה בשיתוף מינהל התכנון מסמך מדיניות כללי "להעצמה ולפיתוח העיר"</w:t>
      </w:r>
      <w:r>
        <w:rPr>
          <w:rFonts w:eastAsia="Calibri"/>
          <w:vertAlign w:val="superscript"/>
          <w:rtl/>
        </w:rPr>
        <w:footnoteReference w:id="138"/>
      </w:r>
      <w:r w:rsidRPr="00DC5B13">
        <w:rPr>
          <w:rFonts w:eastAsia="Calibri" w:hint="cs"/>
          <w:rtl/>
        </w:rPr>
        <w:t xml:space="preserve"> - וזאת בהתבסס על תוכנית המתאר הכוללנית של העיר (ג/14742) שאושרה ב-2015. מסמך המדיניות כולל איתור של מתחמים בעלי פוטנציאל להתחדשות עירונית ברחבי העיר וניתוח ראשוני של סיכויי ההיתכנות של התחדשות המתחמים בהתחשב בין השאר במיקום המתחמים בעיר, במצבם הפיזי של המבנים, בצפיפות הבינוי ובסמיכותם של המבנים לאזורים בעלי רגישות סייסמית גבוהה. עם זאת, מבדיקת השמאות שנערכה בעת הכנת המסמך עולה, כי בכל המתחמים יהיה צורך בבניית 10 דירות חדשות לפחות על כל דירה שתיהרס ("מכפיל 10") - נתון שסווג במסמך המדיניות כנתון שיקשה את ביצוע ההתחדשות העירונית</w:t>
      </w:r>
      <w:r>
        <w:rPr>
          <w:rFonts w:eastAsia="Calibri"/>
          <w:vertAlign w:val="superscript"/>
          <w:rtl/>
        </w:rPr>
        <w:footnoteReference w:id="139"/>
      </w:r>
      <w:r w:rsidRPr="00DC5B13">
        <w:rPr>
          <w:rFonts w:eastAsia="Calibri" w:hint="cs"/>
          <w:rtl/>
        </w:rPr>
        <w:t>.</w:t>
      </w:r>
    </w:p>
    <w:p w:rsidR="00DC5B13" w:rsidRPr="00DC5B13" w:rsidP="00C34B23">
      <w:pPr>
        <w:keepNext/>
        <w:keepLines/>
        <w:spacing w:line="269" w:lineRule="auto"/>
        <w:jc w:val="center"/>
        <w:rPr>
          <w:rFonts w:eastAsia="Calibri"/>
          <w:rtl/>
        </w:rPr>
      </w:pPr>
      <w:r w:rsidRPr="00DC5B13">
        <w:rPr>
          <w:rFonts w:eastAsia="Calibri"/>
          <w:noProof/>
          <w:rtl/>
          <w:lang w:val="he-IL"/>
        </w:rPr>
        <w:drawing>
          <wp:anchor distT="0" distB="0" distL="114300" distR="114300" simplePos="0" relativeHeight="251659264" behindDoc="0" locked="0" layoutInCell="1" allowOverlap="1">
            <wp:simplePos x="0" y="0"/>
            <wp:positionH relativeFrom="column">
              <wp:posOffset>635</wp:posOffset>
            </wp:positionH>
            <wp:positionV relativeFrom="paragraph">
              <wp:posOffset>383276</wp:posOffset>
            </wp:positionV>
            <wp:extent cx="5220000" cy="5223600"/>
            <wp:effectExtent l="0" t="0" r="0" b="0"/>
            <wp:wrapTopAndBottom/>
            <wp:docPr id="30" name="תמונה 30" descr="תצלום מפת לוויין המציגה את מיפוי מתחמי ההתחדשות העירונית המוצעים בקריית שמונה תחת הכותרת &quot;מצב מוצע&quot;. המתחמים השונים מסומנים ומסווגים על גבי המפה לפי סיכויי היתכנות המימוש שלהם, בהתאם למקרא המופיע בפינה הימנית התחתונה: צבע אדום מסמן מתחמים בעלי היתכנות גבוהה (כגון לב העיר, דוד רזיאל וסולומונוביץ'), צהוב-כתום מציג היתכנות בינונית (כגון שיכון ד', הטרומים, גיבור ואילת), וצהוב בהיר מורה על היתכנות נמוכה (כגון מתחם הירד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5223600"/>
                    </a:xfrm>
                    <a:prstGeom prst="rect">
                      <a:avLst/>
                    </a:prstGeom>
                    <a:noFill/>
                  </pic:spPr>
                </pic:pic>
              </a:graphicData>
            </a:graphic>
            <wp14:sizeRelH relativeFrom="page">
              <wp14:pctWidth>0</wp14:pctWidth>
            </wp14:sizeRelH>
            <wp14:sizeRelV relativeFrom="page">
              <wp14:pctHeight>0</wp14:pctHeight>
            </wp14:sizeRelV>
          </wp:anchor>
        </w:drawing>
      </w:r>
      <w:r w:rsidRPr="00DC5B13">
        <w:rPr>
          <w:rFonts w:eastAsia="Calibri" w:hint="eastAsia"/>
          <w:rtl/>
        </w:rPr>
        <w:t>תרשים</w:t>
      </w:r>
      <w:r w:rsidRPr="00DC5B13">
        <w:rPr>
          <w:rFonts w:eastAsia="Calibri"/>
          <w:rtl/>
        </w:rPr>
        <w:t xml:space="preserve"> </w:t>
      </w:r>
      <w:r w:rsidRPr="00DC5B13">
        <w:rPr>
          <w:rFonts w:eastAsia="Calibri" w:hint="cs"/>
          <w:rtl/>
        </w:rPr>
        <w:t>16</w:t>
      </w:r>
      <w:r w:rsidRPr="00DC5B13">
        <w:rPr>
          <w:rFonts w:eastAsia="Calibri"/>
          <w:rtl/>
        </w:rPr>
        <w:t xml:space="preserve">: </w:t>
      </w:r>
      <w:r w:rsidRPr="00DC5B13">
        <w:rPr>
          <w:rFonts w:eastAsia="Calibri" w:hint="eastAsia"/>
          <w:b/>
          <w:bCs/>
          <w:rtl/>
        </w:rPr>
        <w:t>מיפוי</w:t>
      </w:r>
      <w:r w:rsidRPr="00DC5B13">
        <w:rPr>
          <w:rFonts w:eastAsia="Calibri"/>
          <w:b/>
          <w:bCs/>
          <w:rtl/>
        </w:rPr>
        <w:t xml:space="preserve"> </w:t>
      </w:r>
      <w:r w:rsidRPr="00DC5B13">
        <w:rPr>
          <w:rFonts w:eastAsia="Calibri" w:hint="cs"/>
          <w:b/>
          <w:bCs/>
          <w:rtl/>
        </w:rPr>
        <w:t>ה</w:t>
      </w:r>
      <w:r w:rsidRPr="00DC5B13">
        <w:rPr>
          <w:rFonts w:eastAsia="Calibri" w:hint="eastAsia"/>
          <w:b/>
          <w:bCs/>
          <w:rtl/>
        </w:rPr>
        <w:t>מתחמים</w:t>
      </w:r>
      <w:r w:rsidRPr="00DC5B13">
        <w:rPr>
          <w:rFonts w:eastAsia="Calibri" w:hint="cs"/>
          <w:b/>
          <w:bCs/>
          <w:rtl/>
        </w:rPr>
        <w:t xml:space="preserve"> מוצעים להתחדשות עירונית בקריית שמונה לפי סיכויי היתכנות המימוש</w:t>
      </w:r>
    </w:p>
    <w:p w:rsidR="00DC5B13" w:rsidRPr="00DC5B13" w:rsidP="00C34B23">
      <w:pPr>
        <w:spacing w:line="269" w:lineRule="auto"/>
        <w:rPr>
          <w:rFonts w:eastAsia="Calibri"/>
          <w:sz w:val="16"/>
          <w:szCs w:val="20"/>
          <w:rtl/>
        </w:rPr>
      </w:pPr>
      <w:r w:rsidRPr="00DC5B13">
        <w:rPr>
          <w:rFonts w:eastAsia="Calibri" w:hint="eastAsia"/>
          <w:sz w:val="16"/>
          <w:szCs w:val="20"/>
          <w:rtl/>
        </w:rPr>
        <w:t>המקור</w:t>
      </w:r>
      <w:r w:rsidRPr="00DC5B13">
        <w:rPr>
          <w:rFonts w:eastAsia="Calibri"/>
          <w:sz w:val="16"/>
          <w:szCs w:val="20"/>
          <w:rtl/>
        </w:rPr>
        <w:t xml:space="preserve">: </w:t>
      </w:r>
      <w:r w:rsidRPr="00DC5B13">
        <w:rPr>
          <w:rFonts w:eastAsia="Calibri" w:hint="eastAsia"/>
          <w:sz w:val="16"/>
          <w:szCs w:val="20"/>
          <w:rtl/>
        </w:rPr>
        <w:t>מסמך</w:t>
      </w:r>
      <w:r w:rsidRPr="00DC5B13">
        <w:rPr>
          <w:rFonts w:eastAsia="Calibri"/>
          <w:sz w:val="16"/>
          <w:szCs w:val="20"/>
          <w:rtl/>
        </w:rPr>
        <w:t xml:space="preserve"> </w:t>
      </w:r>
      <w:r w:rsidRPr="00DC5B13">
        <w:rPr>
          <w:rFonts w:eastAsia="Calibri" w:hint="eastAsia"/>
          <w:sz w:val="16"/>
          <w:szCs w:val="20"/>
          <w:rtl/>
        </w:rPr>
        <w:t>מדיניות</w:t>
      </w:r>
      <w:r w:rsidRPr="00DC5B13">
        <w:rPr>
          <w:rFonts w:eastAsia="Calibri"/>
          <w:sz w:val="16"/>
          <w:szCs w:val="20"/>
          <w:rtl/>
        </w:rPr>
        <w:t xml:space="preserve"> </w:t>
      </w:r>
      <w:r w:rsidRPr="00DC5B13">
        <w:rPr>
          <w:rFonts w:eastAsia="Calibri" w:hint="eastAsia"/>
          <w:sz w:val="16"/>
          <w:szCs w:val="20"/>
          <w:rtl/>
        </w:rPr>
        <w:t>קריית</w:t>
      </w:r>
      <w:r w:rsidRPr="00DC5B13">
        <w:rPr>
          <w:rFonts w:eastAsia="Calibri"/>
          <w:sz w:val="16"/>
          <w:szCs w:val="20"/>
          <w:rtl/>
        </w:rPr>
        <w:t xml:space="preserve"> </w:t>
      </w:r>
      <w:r w:rsidRPr="00DC5B13">
        <w:rPr>
          <w:rFonts w:eastAsia="Calibri" w:hint="eastAsia"/>
          <w:sz w:val="16"/>
          <w:szCs w:val="20"/>
          <w:rtl/>
        </w:rPr>
        <w:t>שמונה</w:t>
      </w:r>
      <w:r w:rsidRPr="00DC5B13">
        <w:rPr>
          <w:rFonts w:eastAsia="Calibri"/>
          <w:sz w:val="16"/>
          <w:szCs w:val="20"/>
          <w:rtl/>
        </w:rPr>
        <w:t xml:space="preserve"> (2021), </w:t>
      </w:r>
      <w:r w:rsidRPr="00DC5B13">
        <w:rPr>
          <w:rFonts w:eastAsia="Calibri" w:hint="cs"/>
          <w:sz w:val="16"/>
          <w:szCs w:val="20"/>
          <w:rtl/>
        </w:rPr>
        <w:t>מינהל התכנון, דני לזר אדריכלים</w:t>
      </w:r>
      <w:r w:rsidRPr="00DC5B13">
        <w:rPr>
          <w:rFonts w:eastAsia="Calibri"/>
          <w:sz w:val="16"/>
          <w:szCs w:val="20"/>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במרץ 2022 הכינה עיריית קריית שמונה תוכנית אב להתחדשות מרכז העיר בשיתוף הרשות הממשלתית להתחדשות עירונית. בתוכנית נקבעו שלוש מטרות להתחדשות מרכז העיר: הגברת הפעילות והאינטנסיביות, יצירת מרחב ציבורי אטרקטיבי ויצירת מערכת תנועה נגישה וברורה. לאחר מכן נקבעו הנחיות מפורטות ויעדים כמותיים למימושן של מטרות התוכנית. בין השאר נקבעו יעדים של הוספת 2,000 יחידות דיור; ייעוד 80,000 מ"ר לתעסוקה</w:t>
      </w:r>
      <w:r>
        <w:rPr>
          <w:rFonts w:eastAsia="Calibri"/>
          <w:vertAlign w:val="superscript"/>
          <w:rtl/>
        </w:rPr>
        <w:footnoteReference w:id="140"/>
      </w:r>
      <w:r w:rsidRPr="00DC5B13">
        <w:rPr>
          <w:rFonts w:eastAsia="Calibri" w:hint="cs"/>
          <w:rtl/>
        </w:rPr>
        <w:t xml:space="preserve"> והקמתם של מבני ציבור, פנאי ומלונות. כן כוללת התוכנית עקרונות להקמתה ולהפעלתה של מינהלת התחדשות עירונית</w:t>
      </w:r>
      <w:r>
        <w:rPr>
          <w:rFonts w:eastAsia="Calibri"/>
          <w:vertAlign w:val="superscript"/>
          <w:rtl/>
        </w:rPr>
        <w:footnoteReference w:id="141"/>
      </w:r>
      <w:r w:rsidRPr="00DC5B13">
        <w:rPr>
          <w:rFonts w:eastAsia="Calibri" w:hint="cs"/>
          <w:rtl/>
        </w:rPr>
        <w:t xml:space="preserve"> והנחיות מפורטות לחיזוק ולעיבוי של רשת הרחובות, הוספת צמתים בצירים קיימים </w:t>
      </w:r>
      <w:r w:rsidRPr="00DC5B13">
        <w:rPr>
          <w:rFonts w:eastAsia="Calibri" w:hint="cs"/>
          <w:rtl/>
        </w:rPr>
        <w:t>ושיפור יכולת התנועה במרכז העיר</w:t>
      </w:r>
      <w:r>
        <w:rPr>
          <w:rFonts w:eastAsia="Calibri"/>
          <w:vertAlign w:val="superscript"/>
          <w:rtl/>
        </w:rPr>
        <w:footnoteReference w:id="142"/>
      </w:r>
      <w:r w:rsidRPr="00DC5B13">
        <w:rPr>
          <w:rFonts w:eastAsia="Calibri" w:hint="cs"/>
          <w:rtl/>
        </w:rPr>
        <w:t>. יצוין כי במועד סיום הביקורת דף המרשתת של המינהלת להתחדשות עירונית נמצא בהקמה ולא הכיל מידע על מדיניות ההתחדשות של העיר.</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קריית שמונה</w:t>
      </w:r>
      <w:r w:rsidRPr="00DC5B13">
        <w:rPr>
          <w:rFonts w:eastAsia="Calibri" w:hint="cs"/>
          <w:rtl/>
        </w:rPr>
        <w:t xml:space="preserve"> מסרה בתגובתה כי ניסיונותיה להכין תוכנית כוללת להתחדשות עירונית בתחום שיפוטה נתקלים בכמה קשיים, ובהם חוסר הוודאות לגבי גובה מענקי המימוש, התנאים לקבלתם ואופן מימושם; מחסור בתוכניות מקדימות, אשר יאפשרו תכנון מיזמי התחדשות, ובהן ביצוע סקר סייסמי לדיוק קווי ההעתק החוצים את העיר ומגבילים את הבנייה באזורים שונים בעיר ותוכניות כוללניות נוספות, הנוגעות לשדרוג מערכי התחבורה והשטחים הציבוריים בעיר. עוד ציינה העירייה בתשובתה כי היא מקדמת בשיתוף עם הרשות להתחדשות תוכנית לניתוח כושר הנשיאה של המרחב הציבורי.</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Times New Roman" w:hint="cs"/>
          <w:bCs/>
          <w:spacing w:val="40"/>
          <w:rtl/>
        </w:rPr>
        <w:t>רעננה:</w:t>
      </w:r>
      <w:r w:rsidRPr="00DC5B13">
        <w:rPr>
          <w:rFonts w:eastAsia="Calibri" w:hint="cs"/>
          <w:rtl/>
        </w:rPr>
        <w:t xml:space="preserve"> עיריית רעננה בחרה להציג את מדיניותה לגבי ההתחדשות העירונית באמצעות הכנת שני מסמכי תכנון סטטוטוריים - תוכנית הכוללנית של רעננה משנת 2016 (רע/3000) והתוכנית להתחדשות בניינית משנת 2024 (רע/1010ב'). התוכנית הכוללנית מגדירה עשרה אזורי התייחסות בעיר, אשר להמשך פיתוחם (כלומר, להכנת תוכניות מתאר מפורטות שמכוחן ניתן להוציא היתרי בנייה) נדרשת כתיבת מסמך מדיניות שאינו כולל עיסוק ישיר בנושא ההתחדשות העירונית</w:t>
      </w:r>
      <w:r>
        <w:rPr>
          <w:rFonts w:eastAsia="Calibri"/>
          <w:vertAlign w:val="superscript"/>
          <w:rtl/>
        </w:rPr>
        <w:footnoteReference w:id="143"/>
      </w:r>
      <w:r w:rsidRPr="00DC5B13">
        <w:rPr>
          <w:rFonts w:eastAsia="Calibri" w:hint="cs"/>
          <w:rtl/>
        </w:rPr>
        <w:t>. תוכנית ההתחדשות הבניינית, שנועדה לעמידות מבנים בפני רעידות אדמה ולהתגוננות אזרחית</w:t>
      </w:r>
      <w:r>
        <w:rPr>
          <w:rFonts w:eastAsia="Calibri"/>
          <w:vertAlign w:val="superscript"/>
          <w:rtl/>
        </w:rPr>
        <w:footnoteReference w:id="144"/>
      </w:r>
      <w:r w:rsidRPr="00DC5B13">
        <w:rPr>
          <w:rFonts w:eastAsia="Calibri" w:hint="cs"/>
          <w:rtl/>
        </w:rPr>
        <w:t>, "קובעת סל כלים עירוני מקומי להתחדשות המבנה הבודד במסלול הריסה ובנייה, תוך... שדרוג המרחב הציבורי. בנוסף, התוכנית... קובעת הנחיות לתוספת שימושים עבור מסחר, תעסוקה ומבני ציבור"</w:t>
      </w:r>
      <w:r>
        <w:rPr>
          <w:rFonts w:eastAsia="Calibri"/>
          <w:vertAlign w:val="superscript"/>
          <w:rtl/>
        </w:rPr>
        <w:footnoteReference w:id="145"/>
      </w:r>
      <w:r w:rsidRPr="00DC5B13">
        <w:rPr>
          <w:rFonts w:eastAsia="Calibri" w:hint="cs"/>
          <w:rtl/>
        </w:rPr>
        <w:t>. התוכנית מציינת את הפרשות השטחים הדרושים לצורכי ציבור בכל מגרש המצוי בתחומה, אך הפרשת שטחים אלה נעשית ברמת הבניין היחיד, ללא מבט מרחבי כולל.</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hint="cs"/>
          <w:rtl/>
        </w:rPr>
        <w:t>ב-2017, כשנה לאחר כניסתה לתוקף של התוכנית הכוללנית, פורסמו מסמכי מדיניות להתחדשותם של רוב אזורי ההתייחסות שהוגדרו בתוכנית</w:t>
      </w:r>
      <w:r>
        <w:rPr>
          <w:rFonts w:eastAsia="Calibri"/>
          <w:vertAlign w:val="superscript"/>
          <w:rtl/>
        </w:rPr>
        <w:footnoteReference w:id="146"/>
      </w:r>
      <w:r w:rsidRPr="00DC5B13">
        <w:rPr>
          <w:rFonts w:eastAsia="Calibri" w:hint="cs"/>
          <w:rtl/>
        </w:rPr>
        <w:t xml:space="preserve"> ובהם מרכז העסקים הראשי (מע"ר) של רעננה. ביולי 2025 פרסמה העירייה מסמך מדיניות להתחדשות אזור התייחסות 104 - אזור התייחסות נוסף שהוגדר בתוכנית הכוללנית. שני המסמכים עוסקים בין השאר בסוגיות אלה: פריסת שימושי הקרקע, שטחי הציבור ומבני הציבור; קביעת הנחיות הנוגעות לגובה הבינוי ולצפיפותו; פריסה וחלוקה של התמהיל של דירות בגדלים שונים; אופי הרחובות; עיצוב של מערכת התנועה במרחב בקווים כלליים</w:t>
      </w:r>
      <w:r>
        <w:rPr>
          <w:rFonts w:eastAsia="Calibri"/>
          <w:vertAlign w:val="superscript"/>
          <w:rtl/>
        </w:rPr>
        <w:footnoteReference w:id="147"/>
      </w:r>
      <w:r w:rsidRPr="00DC5B13">
        <w:rPr>
          <w:rFonts w:eastAsia="Calibri" w:hint="cs"/>
          <w:rtl/>
        </w:rPr>
        <w:t>. מסמכים אלה מכילים הנחיות מפורטות יותר להכנת תוכניות מפורטות (תוכניות שמכוחן ניתן לקבל היתרי בנייה)</w:t>
      </w:r>
      <w:r>
        <w:rPr>
          <w:rFonts w:eastAsia="Calibri"/>
          <w:vertAlign w:val="superscript"/>
          <w:rtl/>
        </w:rPr>
        <w:footnoteReference w:id="148"/>
      </w:r>
      <w:r w:rsidRPr="00DC5B13">
        <w:rPr>
          <w:rFonts w:eastAsia="Calibri" w:hint="cs"/>
          <w:rtl/>
        </w:rPr>
        <w:t>.</w:t>
      </w:r>
    </w:p>
    <w:p w:rsidR="001B4A1F" w:rsidRPr="00DC5B13" w:rsidP="00C34B23">
      <w:pPr>
        <w:spacing w:line="269" w:lineRule="auto"/>
        <w:rPr>
          <w:rFonts w:eastAsia="Calibri"/>
        </w:rPr>
      </w:pPr>
    </w:p>
    <w:p w:rsidR="00DC5B13" w:rsidP="00C34B23">
      <w:pPr>
        <w:keepNext/>
        <w:keepLines/>
        <w:spacing w:line="269" w:lineRule="auto"/>
        <w:jc w:val="center"/>
        <w:rPr>
          <w:rFonts w:eastAsia="Calibri"/>
          <w:rtl/>
        </w:rPr>
      </w:pPr>
      <w:r w:rsidRPr="00DC5B13">
        <w:rPr>
          <w:rFonts w:eastAsia="Calibri" w:hint="eastAsia"/>
          <w:rtl/>
        </w:rPr>
        <w:t>תרשים</w:t>
      </w:r>
      <w:r w:rsidRPr="00DC5B13">
        <w:rPr>
          <w:rFonts w:eastAsia="Calibri"/>
          <w:rtl/>
        </w:rPr>
        <w:t xml:space="preserve"> </w:t>
      </w:r>
      <w:r w:rsidRPr="00DC5B13">
        <w:rPr>
          <w:rFonts w:eastAsia="Calibri" w:hint="cs"/>
          <w:rtl/>
        </w:rPr>
        <w:t>17</w:t>
      </w:r>
      <w:r w:rsidRPr="00DC5B13">
        <w:rPr>
          <w:rFonts w:eastAsia="Calibri"/>
          <w:rtl/>
        </w:rPr>
        <w:t xml:space="preserve">: </w:t>
      </w:r>
      <w:r w:rsidRPr="00DC5B13">
        <w:rPr>
          <w:rFonts w:eastAsia="Calibri" w:hint="eastAsia"/>
          <w:b/>
          <w:bCs/>
          <w:rtl/>
        </w:rPr>
        <w:t>מדיניות</w:t>
      </w:r>
      <w:r w:rsidRPr="00DC5B13">
        <w:rPr>
          <w:rFonts w:eastAsia="Calibri" w:hint="cs"/>
          <w:b/>
          <w:bCs/>
          <w:rtl/>
        </w:rPr>
        <w:t xml:space="preserve"> התחדשות מע"ר אחוזה ברעננה - מפת החלוקה למתחמי משנה</w:t>
      </w:r>
    </w:p>
    <w:p w:rsidR="001B4A1F" w:rsidRPr="00DC5B13" w:rsidP="00C34B23">
      <w:pPr>
        <w:keepNext/>
        <w:keepLines/>
        <w:spacing w:line="269" w:lineRule="auto"/>
        <w:jc w:val="center"/>
        <w:rPr>
          <w:rFonts w:eastAsia="Calibri"/>
          <w:rtl/>
        </w:rPr>
      </w:pPr>
      <w:r>
        <w:rPr>
          <w:rFonts w:eastAsia="Calibri"/>
          <w:noProof/>
        </w:rPr>
        <w:drawing>
          <wp:inline distT="0" distB="0" distL="0" distR="0">
            <wp:extent cx="5143367" cy="3142473"/>
            <wp:effectExtent l="0" t="0" r="635" b="127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9789" cy="3146397"/>
                    </a:xfrm>
                    <a:prstGeom prst="rect">
                      <a:avLst/>
                    </a:prstGeom>
                    <a:noFill/>
                  </pic:spPr>
                </pic:pic>
              </a:graphicData>
            </a:graphic>
          </wp:inline>
        </w:drawing>
      </w:r>
    </w:p>
    <w:p w:rsidR="00DC5B13" w:rsidRPr="00DC5B13" w:rsidP="00C34B23">
      <w:pPr>
        <w:spacing w:line="269" w:lineRule="auto"/>
        <w:rPr>
          <w:rFonts w:eastAsia="Calibri"/>
          <w:szCs w:val="20"/>
          <w:rtl/>
        </w:rPr>
      </w:pPr>
      <w:r w:rsidRPr="00DC5B13">
        <w:rPr>
          <w:rFonts w:eastAsia="Calibri" w:hint="eastAsia"/>
          <w:szCs w:val="20"/>
          <w:rtl/>
        </w:rPr>
        <w:t>המקור</w:t>
      </w:r>
      <w:r w:rsidRPr="00DC5B13">
        <w:rPr>
          <w:rFonts w:eastAsia="Calibri"/>
          <w:szCs w:val="20"/>
          <w:rtl/>
        </w:rPr>
        <w:t xml:space="preserve">: </w:t>
      </w:r>
      <w:r w:rsidRPr="00DC5B13">
        <w:rPr>
          <w:rFonts w:eastAsia="Calibri" w:hint="eastAsia"/>
          <w:szCs w:val="20"/>
          <w:rtl/>
        </w:rPr>
        <w:t>אתר</w:t>
      </w:r>
      <w:r w:rsidRPr="00DC5B13">
        <w:rPr>
          <w:rFonts w:eastAsia="Calibri"/>
          <w:szCs w:val="20"/>
          <w:rtl/>
        </w:rPr>
        <w:t xml:space="preserve"> </w:t>
      </w:r>
      <w:r w:rsidRPr="00DC5B13">
        <w:rPr>
          <w:rFonts w:eastAsia="Calibri" w:hint="eastAsia"/>
          <w:szCs w:val="20"/>
          <w:rtl/>
        </w:rPr>
        <w:t>המרשתת</w:t>
      </w:r>
      <w:r w:rsidRPr="00DC5B13">
        <w:rPr>
          <w:rFonts w:eastAsia="Calibri"/>
          <w:szCs w:val="20"/>
          <w:rtl/>
        </w:rPr>
        <w:t xml:space="preserve"> </w:t>
      </w:r>
      <w:r w:rsidRPr="00DC5B13">
        <w:rPr>
          <w:rFonts w:eastAsia="Calibri" w:hint="eastAsia"/>
          <w:szCs w:val="20"/>
          <w:rtl/>
        </w:rPr>
        <w:t>של</w:t>
      </w:r>
      <w:r w:rsidRPr="00DC5B13">
        <w:rPr>
          <w:rFonts w:eastAsia="Calibri"/>
          <w:szCs w:val="20"/>
          <w:rtl/>
        </w:rPr>
        <w:t xml:space="preserve"> </w:t>
      </w:r>
      <w:r w:rsidRPr="00DC5B13">
        <w:rPr>
          <w:rFonts w:eastAsia="Calibri" w:hint="eastAsia"/>
          <w:szCs w:val="20"/>
          <w:rtl/>
        </w:rPr>
        <w:t>עיריית</w:t>
      </w:r>
      <w:r w:rsidRPr="00DC5B13">
        <w:rPr>
          <w:rFonts w:eastAsia="Calibri"/>
          <w:szCs w:val="20"/>
          <w:rtl/>
        </w:rPr>
        <w:t xml:space="preserve"> </w:t>
      </w:r>
      <w:r w:rsidRPr="00DC5B13">
        <w:rPr>
          <w:rFonts w:eastAsia="Calibri" w:hint="eastAsia"/>
          <w:szCs w:val="20"/>
          <w:rtl/>
        </w:rPr>
        <w:t>רעננה</w:t>
      </w:r>
      <w:r w:rsidRPr="00DC5B13">
        <w:rPr>
          <w:rFonts w:eastAsia="Calibri"/>
          <w:szCs w:val="20"/>
          <w:rtl/>
        </w:rPr>
        <w:t>.</w:t>
      </w:r>
    </w:p>
    <w:p w:rsidR="00DC5B13" w:rsidRPr="00DC5B13" w:rsidP="00C34B23">
      <w:pPr>
        <w:spacing w:line="269" w:lineRule="auto"/>
        <w:rPr>
          <w:rFonts w:eastAsia="Calibri"/>
          <w:szCs w:val="20"/>
          <w:rtl/>
          <w:lang w:eastAsia="he-IL"/>
        </w:rPr>
      </w:pPr>
    </w:p>
    <w:p w:rsidR="00DC5B13" w:rsidRPr="00DC5B13" w:rsidP="00C34B23">
      <w:pPr>
        <w:spacing w:line="269" w:lineRule="auto"/>
        <w:rPr>
          <w:rFonts w:eastAsia="Calibri"/>
          <w:b/>
          <w:bCs/>
          <w:rtl/>
          <w:lang w:eastAsia="he-IL"/>
        </w:rPr>
      </w:pPr>
      <w:r w:rsidRPr="00DC5B13">
        <w:rPr>
          <w:rFonts w:eastAsia="Calibri" w:hint="cs"/>
          <w:b/>
          <w:bCs/>
          <w:rtl/>
          <w:lang w:eastAsia="he-IL"/>
        </w:rPr>
        <w:t xml:space="preserve">מהבדיקה שנערכה עולה כי כל העיריות שנבדקו - לוד, נתניה, קריית ים, קריית שמונה ורעננה - הכינו מסמכי מדיניות להתחדשות עירונית או תוכניות מתאר העוסקות בהתחדשות עירונית - לכל תחום העיר או לחלקים ממנה. עיריית לוד הכינה מסמך אחד העוסק בהתחדשות האזור הוותיק בעיר; עיריית נתניה הכינה מסמכי מדיניות להתחדשות אזורים שונים בעיר, מסמכים העוסקים בנושאים אחרים, לא תכנוניים במישרין, הקשורים להתחדשות עירונית, ומסמכים מפורטים המספקים מידע רב על מדיניות ההתחדשות של העירייה באזורים אלה ("כרטיסיות"); עיריית קריית ים הכינה תוכניות אסטרטגיות בנושאים שונים לכלל העיר ומסמכי מדיניות להתחדשות אזורים שונים; עיריית קריית שמונה הכינה מסמך מדיניות להתחדשות בכל העיר ומסמך מפורט יותר להתחדשות מרכז העיר; עיריית רעננה הכינה מסמכים סטטוטוריים הנוגעים בעקיפין לקידום התחדשות עירונית בכל שטחה ומסמכי מדיניות לאזורי משנה שנקבעו בתוכנית המתאר שלה. </w:t>
      </w:r>
    </w:p>
    <w:p w:rsidR="00DC5B13" w:rsidRPr="00DC5B13" w:rsidP="00C34B23">
      <w:pPr>
        <w:spacing w:line="269" w:lineRule="auto"/>
        <w:rPr>
          <w:rFonts w:eastAsia="Calibri"/>
          <w:szCs w:val="20"/>
          <w:rtl/>
          <w:lang w:eastAsia="he-IL"/>
        </w:rPr>
      </w:pPr>
    </w:p>
    <w:p w:rsidR="00DC5B13" w:rsidRPr="00DC5B13" w:rsidP="00C34B23">
      <w:pPr>
        <w:spacing w:line="269" w:lineRule="auto"/>
        <w:rPr>
          <w:rFonts w:eastAsia="Calibri"/>
          <w:rtl/>
          <w:lang w:eastAsia="he-IL"/>
        </w:rPr>
      </w:pPr>
      <w:r w:rsidRPr="00DC5B13">
        <w:rPr>
          <w:rFonts w:eastAsia="Calibri" w:hint="cs"/>
          <w:rtl/>
          <w:lang w:eastAsia="he-IL"/>
        </w:rPr>
        <w:t xml:space="preserve">עוד עולה כי מהיבטי תכנון ובנייה, מסמך המדיניות של עיריית </w:t>
      </w:r>
      <w:r w:rsidRPr="00DC5B13">
        <w:rPr>
          <w:rFonts w:eastAsia="Calibri" w:hint="cs"/>
          <w:b/>
          <w:bCs/>
          <w:rtl/>
          <w:lang w:eastAsia="he-IL"/>
        </w:rPr>
        <w:t>לוד</w:t>
      </w:r>
      <w:r w:rsidRPr="00DC5B13">
        <w:rPr>
          <w:rFonts w:eastAsia="Calibri" w:hint="cs"/>
          <w:rtl/>
          <w:lang w:eastAsia="he-IL"/>
        </w:rPr>
        <w:t xml:space="preserve"> כולל עיסוק בשלבי הביצוע של התוכניות להתחדשות עירונית ואילו מסמכי המדיניות של העיריות </w:t>
      </w:r>
      <w:r w:rsidRPr="00DC5B13">
        <w:rPr>
          <w:rFonts w:eastAsia="Calibri" w:hint="cs"/>
          <w:b/>
          <w:bCs/>
          <w:rtl/>
          <w:lang w:eastAsia="he-IL"/>
        </w:rPr>
        <w:t>נתניה</w:t>
      </w:r>
      <w:r w:rsidRPr="00DC5B13">
        <w:rPr>
          <w:rFonts w:eastAsia="Calibri" w:hint="cs"/>
          <w:rtl/>
          <w:lang w:eastAsia="he-IL"/>
        </w:rPr>
        <w:t xml:space="preserve">, </w:t>
      </w:r>
      <w:r w:rsidRPr="00DC5B13">
        <w:rPr>
          <w:rFonts w:eastAsia="Calibri" w:hint="cs"/>
          <w:b/>
          <w:bCs/>
          <w:rtl/>
          <w:lang w:eastAsia="he-IL"/>
        </w:rPr>
        <w:t>קריית</w:t>
      </w:r>
      <w:r w:rsidRPr="00DC5B13">
        <w:rPr>
          <w:rFonts w:eastAsia="Calibri" w:hint="cs"/>
          <w:rtl/>
          <w:lang w:eastAsia="he-IL"/>
        </w:rPr>
        <w:t xml:space="preserve"> </w:t>
      </w:r>
      <w:r w:rsidRPr="00DC5B13">
        <w:rPr>
          <w:rFonts w:eastAsia="Calibri" w:hint="cs"/>
          <w:b/>
          <w:bCs/>
          <w:rtl/>
          <w:lang w:eastAsia="he-IL"/>
        </w:rPr>
        <w:t>ים</w:t>
      </w:r>
      <w:r w:rsidRPr="00DC5B13">
        <w:rPr>
          <w:rFonts w:eastAsia="Calibri" w:hint="cs"/>
          <w:rtl/>
          <w:lang w:eastAsia="he-IL"/>
        </w:rPr>
        <w:t xml:space="preserve"> ו</w:t>
      </w:r>
      <w:r w:rsidRPr="00DC5B13">
        <w:rPr>
          <w:rFonts w:eastAsia="Calibri" w:hint="cs"/>
          <w:b/>
          <w:bCs/>
          <w:rtl/>
          <w:lang w:eastAsia="he-IL"/>
        </w:rPr>
        <w:t xml:space="preserve">קריית שמונה </w:t>
      </w:r>
      <w:r w:rsidRPr="00DC5B13">
        <w:rPr>
          <w:rFonts w:eastAsia="Calibri" w:hint="cs"/>
          <w:rtl/>
          <w:lang w:eastAsia="he-IL"/>
        </w:rPr>
        <w:t>מתמקדים בהטמעתם של עקרונות תכנון ועיצוב עירוניים ואינם כוללים הנחיות מפורטות לשלבי הביצוע של תוכניות ההתחדשות העירונית בדמות הצעדים הנדרשים מצד יזמי התוכניות לצורך קבלת היתרי בנייה ובמהלכה.</w:t>
      </w:r>
    </w:p>
    <w:p w:rsidR="00DC5B13" w:rsidRPr="00DC5B13" w:rsidP="00C34B23">
      <w:pPr>
        <w:spacing w:line="269" w:lineRule="auto"/>
        <w:ind w:left="-567"/>
        <w:rPr>
          <w:rFonts w:eastAsia="Calibri"/>
          <w:szCs w:val="20"/>
          <w:rtl/>
          <w:lang w:eastAsia="he-IL"/>
        </w:rPr>
      </w:pPr>
    </w:p>
    <w:p w:rsidR="00DC5B13" w:rsidRPr="00DC5B13" w:rsidP="00C34B23">
      <w:pPr>
        <w:spacing w:line="269" w:lineRule="auto"/>
        <w:rPr>
          <w:rFonts w:eastAsia="Calibri"/>
          <w:rtl/>
          <w:lang w:eastAsia="he-IL"/>
        </w:rPr>
      </w:pPr>
      <w:r w:rsidRPr="00DC5B13">
        <w:rPr>
          <w:rFonts w:eastAsia="Calibri" w:hint="cs"/>
          <w:rtl/>
          <w:lang w:eastAsia="he-IL"/>
        </w:rPr>
        <w:t xml:space="preserve">עוד עלה מהביקורת כי מסמכי המדיניות להתחדשות עירונית של עיריות </w:t>
      </w:r>
      <w:r w:rsidRPr="00DC5B13">
        <w:rPr>
          <w:rFonts w:eastAsia="Calibri" w:hint="cs"/>
          <w:b/>
          <w:bCs/>
          <w:rtl/>
          <w:lang w:eastAsia="he-IL"/>
        </w:rPr>
        <w:t>לוד</w:t>
      </w:r>
      <w:r w:rsidRPr="00DC5B13">
        <w:rPr>
          <w:rFonts w:eastAsia="Calibri" w:hint="cs"/>
          <w:rtl/>
          <w:lang w:eastAsia="he-IL"/>
        </w:rPr>
        <w:t xml:space="preserve">, </w:t>
      </w:r>
      <w:r w:rsidRPr="00DC5B13">
        <w:rPr>
          <w:rFonts w:eastAsia="Calibri" w:hint="cs"/>
          <w:b/>
          <w:bCs/>
          <w:rtl/>
          <w:lang w:eastAsia="he-IL"/>
        </w:rPr>
        <w:t>נתניה</w:t>
      </w:r>
      <w:r w:rsidRPr="00DC5B13">
        <w:rPr>
          <w:rFonts w:eastAsia="Calibri" w:hint="cs"/>
          <w:rtl/>
          <w:lang w:eastAsia="he-IL"/>
        </w:rPr>
        <w:t xml:space="preserve">, </w:t>
      </w:r>
      <w:r w:rsidRPr="00DC5B13">
        <w:rPr>
          <w:rFonts w:eastAsia="Calibri" w:hint="cs"/>
          <w:b/>
          <w:bCs/>
          <w:rtl/>
          <w:lang w:eastAsia="he-IL"/>
        </w:rPr>
        <w:t>קריית ים</w:t>
      </w:r>
      <w:r w:rsidRPr="00DC5B13">
        <w:rPr>
          <w:rFonts w:eastAsia="Calibri" w:hint="cs"/>
          <w:rtl/>
          <w:lang w:eastAsia="he-IL"/>
        </w:rPr>
        <w:t xml:space="preserve"> ו</w:t>
      </w:r>
      <w:r w:rsidRPr="00DC5B13">
        <w:rPr>
          <w:rFonts w:eastAsia="Calibri" w:hint="cs"/>
          <w:b/>
          <w:bCs/>
          <w:rtl/>
          <w:lang w:eastAsia="he-IL"/>
        </w:rPr>
        <w:t>רעננה</w:t>
      </w:r>
      <w:r w:rsidRPr="00DC5B13">
        <w:rPr>
          <w:rFonts w:eastAsia="Calibri" w:hint="cs"/>
          <w:rtl/>
          <w:lang w:eastAsia="he-IL"/>
        </w:rPr>
        <w:t xml:space="preserve"> פורסמו באתרי המרשתת של מינהלת ההתחדשות העירונית או של העירייה. עיריית </w:t>
      </w:r>
      <w:r w:rsidRPr="00DC5B13">
        <w:rPr>
          <w:rFonts w:eastAsia="Calibri" w:hint="cs"/>
          <w:b/>
          <w:bCs/>
          <w:rtl/>
          <w:lang w:eastAsia="he-IL"/>
        </w:rPr>
        <w:t>קריית שמונה</w:t>
      </w:r>
      <w:r w:rsidRPr="00DC5B13">
        <w:rPr>
          <w:rFonts w:eastAsia="Calibri" w:hint="cs"/>
          <w:rtl/>
          <w:lang w:eastAsia="he-IL"/>
        </w:rPr>
        <w:t xml:space="preserve"> לא פרסמה את מסמכי המדיניות להתחדשות עירונית שהכינה באתר המרשתת של העירייה.</w:t>
      </w:r>
    </w:p>
    <w:p w:rsidR="00DC5B13" w:rsidRPr="00DC5B13" w:rsidP="00C34B23">
      <w:pPr>
        <w:spacing w:line="269" w:lineRule="auto"/>
        <w:ind w:left="-567"/>
        <w:rPr>
          <w:rFonts w:eastAsia="Calibri"/>
          <w:szCs w:val="20"/>
          <w:rtl/>
          <w:lang w:eastAsia="he-IL"/>
        </w:rPr>
      </w:pPr>
    </w:p>
    <w:p w:rsidR="00DC5B13" w:rsidRPr="00DC5B13" w:rsidP="00C34B23">
      <w:pPr>
        <w:spacing w:line="269" w:lineRule="auto"/>
        <w:rPr>
          <w:rFonts w:eastAsia="Calibri"/>
          <w:rtl/>
          <w:lang w:eastAsia="he-IL"/>
        </w:rPr>
      </w:pPr>
      <w:r w:rsidRPr="00DC5B13">
        <w:rPr>
          <w:rFonts w:eastAsia="Calibri" w:hint="cs"/>
          <w:rtl/>
          <w:lang w:eastAsia="he-IL"/>
        </w:rPr>
        <w:t xml:space="preserve">עיריית </w:t>
      </w:r>
      <w:r w:rsidRPr="00DC5B13">
        <w:rPr>
          <w:rFonts w:eastAsia="Calibri" w:hint="cs"/>
          <w:b/>
          <w:bCs/>
          <w:rtl/>
          <w:lang w:eastAsia="he-IL"/>
        </w:rPr>
        <w:t>קריית שמונה</w:t>
      </w:r>
      <w:r w:rsidRPr="00DC5B13">
        <w:rPr>
          <w:rFonts w:eastAsia="Calibri" w:hint="cs"/>
          <w:rtl/>
          <w:lang w:eastAsia="he-IL"/>
        </w:rPr>
        <w:t xml:space="preserve"> מסרה בתשובה למשרד מבקר המדינה כי כלל המסמכים מפורסמים באתר הוועדה המקומית, וניתן להגיע אליהם באמצעות קישור המצוי באתר העירייה. העירייה ציינה כי היא מקבלת את הערת משרד מבקר המדינה לגבי נגישות המידע לציבור, וכי היא פועלת להקמת אתר אינטרנט ייעודי למינהלת להתחדשות עירונית, ובו יפורסמו המסמכים הרלוונטיים.</w:t>
      </w:r>
    </w:p>
    <w:p w:rsidR="00DC5B13" w:rsidRPr="00DC5B13" w:rsidP="00C34B23">
      <w:pPr>
        <w:spacing w:line="269" w:lineRule="auto"/>
        <w:ind w:left="-567"/>
        <w:rPr>
          <w:rFonts w:eastAsia="Calibri"/>
          <w:szCs w:val="20"/>
          <w:rtl/>
          <w:lang w:eastAsia="he-IL"/>
        </w:rPr>
      </w:pPr>
    </w:p>
    <w:p w:rsidR="00DC5B13" w:rsidRPr="00DC5B13" w:rsidP="00C34B23">
      <w:pPr>
        <w:spacing w:line="269" w:lineRule="auto"/>
        <w:rPr>
          <w:rFonts w:eastAsia="Calibri"/>
          <w:rtl/>
          <w:lang w:eastAsia="he-IL"/>
        </w:rPr>
      </w:pPr>
      <w:r w:rsidRPr="00DC5B13">
        <w:rPr>
          <w:rFonts w:eastAsia="Calibri" w:hint="cs"/>
          <w:rtl/>
          <w:lang w:eastAsia="he-IL"/>
        </w:rPr>
        <w:t xml:space="preserve">עיריית </w:t>
      </w:r>
      <w:r w:rsidRPr="00DC5B13">
        <w:rPr>
          <w:rFonts w:eastAsia="Calibri" w:hint="cs"/>
          <w:b/>
          <w:bCs/>
          <w:rtl/>
          <w:lang w:eastAsia="he-IL"/>
        </w:rPr>
        <w:t>רעננה</w:t>
      </w:r>
      <w:r w:rsidRPr="00DC5B13">
        <w:rPr>
          <w:rFonts w:eastAsia="Calibri" w:hint="cs"/>
          <w:rtl/>
          <w:lang w:eastAsia="he-IL"/>
        </w:rPr>
        <w:t xml:space="preserve"> מסרה בתשובתה כי </w:t>
      </w:r>
      <w:r w:rsidRPr="00DC5B13">
        <w:rPr>
          <w:rFonts w:eastAsia="Calibri"/>
          <w:rtl/>
          <w:lang w:eastAsia="he-IL"/>
        </w:rPr>
        <w:t xml:space="preserve">מדיניות העירייה </w:t>
      </w:r>
      <w:r w:rsidRPr="00DC5B13">
        <w:rPr>
          <w:rFonts w:eastAsia="Calibri" w:hint="cs"/>
          <w:rtl/>
          <w:lang w:eastAsia="he-IL"/>
        </w:rPr>
        <w:t>היא</w:t>
      </w:r>
      <w:r w:rsidRPr="00DC5B13">
        <w:rPr>
          <w:rFonts w:eastAsia="Calibri"/>
          <w:rtl/>
          <w:lang w:eastAsia="he-IL"/>
        </w:rPr>
        <w:t xml:space="preserve"> לאפשר ולקדם את</w:t>
      </w:r>
      <w:r w:rsidRPr="00DC5B13">
        <w:rPr>
          <w:rFonts w:eastAsia="Calibri" w:hint="cs"/>
          <w:rtl/>
          <w:lang w:eastAsia="he-IL"/>
        </w:rPr>
        <w:t xml:space="preserve"> </w:t>
      </w:r>
      <w:r w:rsidRPr="00DC5B13">
        <w:rPr>
          <w:rFonts w:eastAsia="Calibri"/>
          <w:rtl/>
          <w:lang w:eastAsia="he-IL"/>
        </w:rPr>
        <w:t>כלל מסלולי ההתחדשות, תוך התאמת המענה התכנוני לכל מקרה לגופו. לצד זאת, העירייה פועלת באופן</w:t>
      </w:r>
      <w:r w:rsidRPr="00DC5B13">
        <w:rPr>
          <w:rFonts w:eastAsia="Calibri" w:hint="cs"/>
          <w:rtl/>
          <w:lang w:eastAsia="he-IL"/>
        </w:rPr>
        <w:t xml:space="preserve"> </w:t>
      </w:r>
      <w:r w:rsidRPr="00DC5B13">
        <w:rPr>
          <w:rFonts w:eastAsia="Calibri"/>
          <w:rtl/>
          <w:lang w:eastAsia="he-IL"/>
        </w:rPr>
        <w:t xml:space="preserve">יזום </w:t>
      </w:r>
      <w:r w:rsidRPr="00DC5B13">
        <w:rPr>
          <w:rFonts w:eastAsia="Calibri"/>
          <w:rtl/>
          <w:lang w:eastAsia="he-IL"/>
        </w:rPr>
        <w:t>לאיתור ו</w:t>
      </w:r>
      <w:r w:rsidRPr="00DC5B13">
        <w:rPr>
          <w:rFonts w:eastAsia="Calibri" w:hint="cs"/>
          <w:rtl/>
          <w:lang w:eastAsia="he-IL"/>
        </w:rPr>
        <w:t>ל</w:t>
      </w:r>
      <w:r w:rsidRPr="00DC5B13">
        <w:rPr>
          <w:rFonts w:eastAsia="Calibri"/>
          <w:rtl/>
          <w:lang w:eastAsia="he-IL"/>
        </w:rPr>
        <w:t xml:space="preserve">קידום </w:t>
      </w:r>
      <w:r w:rsidRPr="00DC5B13">
        <w:rPr>
          <w:rFonts w:eastAsia="Calibri" w:hint="cs"/>
          <w:rtl/>
          <w:lang w:eastAsia="he-IL"/>
        </w:rPr>
        <w:t xml:space="preserve">של </w:t>
      </w:r>
      <w:r w:rsidRPr="00DC5B13">
        <w:rPr>
          <w:rFonts w:eastAsia="Calibri"/>
          <w:rtl/>
          <w:lang w:eastAsia="he-IL"/>
        </w:rPr>
        <w:t xml:space="preserve">מתחמים פוטנציאליים להתחדשות מתחמית, </w:t>
      </w:r>
      <w:r w:rsidRPr="00DC5B13">
        <w:rPr>
          <w:rFonts w:eastAsia="Calibri" w:hint="cs"/>
          <w:rtl/>
          <w:lang w:eastAsia="he-IL"/>
        </w:rPr>
        <w:t xml:space="preserve">אם </w:t>
      </w:r>
      <w:r w:rsidRPr="00DC5B13">
        <w:rPr>
          <w:rFonts w:eastAsia="Calibri"/>
          <w:rtl/>
          <w:lang w:eastAsia="he-IL"/>
        </w:rPr>
        <w:t>הדבר מתאפשר מ</w:t>
      </w:r>
      <w:r w:rsidRPr="00DC5B13">
        <w:rPr>
          <w:rFonts w:eastAsia="Calibri" w:hint="cs"/>
          <w:rtl/>
          <w:lang w:eastAsia="he-IL"/>
        </w:rPr>
        <w:t>ה</w:t>
      </w:r>
      <w:r w:rsidRPr="00DC5B13">
        <w:rPr>
          <w:rFonts w:eastAsia="Calibri"/>
          <w:rtl/>
          <w:lang w:eastAsia="he-IL"/>
        </w:rPr>
        <w:t>בחינה</w:t>
      </w:r>
      <w:r w:rsidRPr="00DC5B13">
        <w:rPr>
          <w:rFonts w:eastAsia="Calibri" w:hint="cs"/>
          <w:rtl/>
          <w:lang w:eastAsia="he-IL"/>
        </w:rPr>
        <w:t xml:space="preserve"> ה</w:t>
      </w:r>
      <w:r w:rsidRPr="00DC5B13">
        <w:rPr>
          <w:rFonts w:eastAsia="Calibri"/>
          <w:rtl/>
          <w:lang w:eastAsia="he-IL"/>
        </w:rPr>
        <w:t xml:space="preserve">תכנונית, </w:t>
      </w:r>
      <w:r w:rsidRPr="00DC5B13">
        <w:rPr>
          <w:rFonts w:eastAsia="Calibri" w:hint="cs"/>
          <w:rtl/>
          <w:lang w:eastAsia="he-IL"/>
        </w:rPr>
        <w:t>ה</w:t>
      </w:r>
      <w:r w:rsidRPr="00DC5B13">
        <w:rPr>
          <w:rFonts w:eastAsia="Calibri"/>
          <w:rtl/>
          <w:lang w:eastAsia="he-IL"/>
        </w:rPr>
        <w:t>כלכלית ו</w:t>
      </w:r>
      <w:r w:rsidRPr="00DC5B13">
        <w:rPr>
          <w:rFonts w:eastAsia="Calibri" w:hint="cs"/>
          <w:rtl/>
          <w:lang w:eastAsia="he-IL"/>
        </w:rPr>
        <w:t>ה</w:t>
      </w:r>
      <w:r w:rsidRPr="00DC5B13">
        <w:rPr>
          <w:rFonts w:eastAsia="Calibri"/>
          <w:rtl/>
          <w:lang w:eastAsia="he-IL"/>
        </w:rPr>
        <w:t>חברתית.</w:t>
      </w:r>
      <w:r w:rsidRPr="00DC5B13">
        <w:rPr>
          <w:rFonts w:eastAsia="Calibri" w:hint="cs"/>
          <w:rtl/>
          <w:lang w:eastAsia="he-IL"/>
        </w:rPr>
        <w:t xml:space="preserve"> עוד מסרה העירייה כי נוכח ההכרה שקיימים מתחמים בעיר שבהם הכלים הסטטוטוריים הקיימים אינם מספקים מענה תכנוני או כלכלי ישים, פועלת העירייה באופן יזום לגיבוש מדיניות משלימה </w:t>
      </w:r>
      <w:r w:rsidRPr="00DC5B13">
        <w:rPr>
          <w:rFonts w:eastAsia="Calibri"/>
          <w:rtl/>
          <w:lang w:eastAsia="he-IL"/>
        </w:rPr>
        <w:t>שמטרתה לאפשר קידום התחדשות עירונית גם במקרים מורכבים</w:t>
      </w:r>
      <w:r w:rsidRPr="00DC5B13">
        <w:rPr>
          <w:rFonts w:eastAsia="Calibri" w:hint="cs"/>
          <w:rtl/>
          <w:lang w:eastAsia="he-IL"/>
        </w:rPr>
        <w:t>.</w:t>
      </w:r>
    </w:p>
    <w:p w:rsidR="00DC5B13" w:rsidRPr="00DC5B13" w:rsidP="00C34B23">
      <w:pPr>
        <w:spacing w:line="269" w:lineRule="auto"/>
        <w:rPr>
          <w:rFonts w:eastAsia="Calibri"/>
          <w:szCs w:val="20"/>
          <w:rtl/>
          <w:lang w:eastAsia="he-IL"/>
        </w:rPr>
      </w:pPr>
    </w:p>
    <w:p w:rsidR="00DC5B13" w:rsidRPr="00DC5B13" w:rsidP="00C34B23">
      <w:pPr>
        <w:spacing w:line="269" w:lineRule="auto"/>
        <w:rPr>
          <w:rFonts w:eastAsia="Calibri"/>
          <w:b/>
          <w:bCs/>
          <w:rtl/>
          <w:lang w:eastAsia="he-IL"/>
        </w:rPr>
      </w:pPr>
      <w:r w:rsidRPr="00DC5B13">
        <w:rPr>
          <w:rFonts w:eastAsia="Calibri" w:hint="cs"/>
          <w:b/>
          <w:bCs/>
          <w:rtl/>
          <w:lang w:eastAsia="he-IL"/>
        </w:rPr>
        <w:t>בבדיקה עלו הבדלים רבים בין מסמכי המדיניות להתחדשות עירונית ברשויות שנבדקו. בין השאר אותרו הבדלים מהותיים בתפיסת תפקידם של מסמכי המדיניות, במספר המסמכים, בשטח שבו הם עוסקים, בהיקף עיסוקם בנושאים הקשורים להתחדשות העירונית וכן ביחסם לשלבי ההוצאה של היתרי הבנייה ושל הבנייה עצמה. עוד עלה כי מסמכי המדיניות של עיריות נתניה, קריית ים, קריית שמונה ורעננה לא כללו התייחסות לשלבי הביצוע של מיזמי התחדשות עירונית. בהיעדר הנחיות לכתיבת מסמכי מדיניות ובהיעדר התייחסות במסמכי המדיניות לשלבי הביצוע עלול להיווצר חוסר תיאום בין הגורמים השונים העוסקים בקידום ובביצוע של המיזמים, והדבר עלול לגרום להתמשכות התהליך, להגברת ההתנגדויות לתוכנית ואף לסכסוכים משפטיים.</w:t>
      </w:r>
      <w:r w:rsidRPr="00DC5B13">
        <w:rPr>
          <w:rFonts w:eastAsia="Calibri"/>
          <w:sz w:val="16"/>
          <w:szCs w:val="16"/>
          <w:rtl/>
        </w:rPr>
        <w:t xml:space="preserve"> </w:t>
      </w:r>
      <w:r w:rsidRPr="00DC5B13">
        <w:rPr>
          <w:rFonts w:eastAsia="Calibri" w:hint="cs"/>
          <w:b/>
          <w:bCs/>
          <w:rtl/>
          <w:lang w:eastAsia="he-IL"/>
        </w:rPr>
        <w:t>התמשכות התהליך פוגעת הלכה למעשה בדיירים הממשיכים להתגורר בסביבה הדורשת התחדשות.</w:t>
      </w:r>
    </w:p>
    <w:p w:rsidR="00DC5B13" w:rsidRPr="00DC5B13" w:rsidP="00C34B23">
      <w:pPr>
        <w:spacing w:line="269" w:lineRule="auto"/>
        <w:ind w:left="-567"/>
        <w:rPr>
          <w:rFonts w:eastAsia="Calibri"/>
          <w:szCs w:val="20"/>
          <w:rtl/>
          <w:lang w:eastAsia="he-IL"/>
        </w:rPr>
      </w:pPr>
    </w:p>
    <w:p w:rsidR="00DC5B13" w:rsidRPr="00DC5B13" w:rsidP="00C34B23">
      <w:pPr>
        <w:spacing w:line="269" w:lineRule="auto"/>
        <w:rPr>
          <w:rFonts w:eastAsia="Calibri"/>
          <w:rtl/>
          <w:lang w:eastAsia="he-IL"/>
        </w:rPr>
      </w:pPr>
      <w:r w:rsidRPr="00DC5B13">
        <w:rPr>
          <w:rFonts w:eastAsia="Calibri" w:hint="cs"/>
          <w:b/>
          <w:bCs/>
          <w:rtl/>
          <w:lang w:eastAsia="he-IL"/>
        </w:rPr>
        <w:t>מוצע כי הרשות להתחדשות עירונית - בשיתוף מינהל התכנון - תפרסם קווים מנחים למסמכי מדיניות בתחום ההתחדשות העירונית הנוגעים לתוכנם ולהליך הכנתם. עוד מוצע כי הרשות להתחדשות עירונית תכלול בהנחיות שתפרסם גם היבטים הנוגעים לשלבים שלאחר אישור תוכניות מפורטות, קרי שלבי ההוצאה של היתרי הבנייה ושל הביצוע בפועל של המיזמים להתחדשות עירונית. בין השאר מוצע כי יובאו בחשבון היבטים של ביצוע תשתיות ציבוריות במתחמי ההתחדשות והנחיות לפתרונות דיור לתושבים המפונים.</w:t>
      </w:r>
    </w:p>
    <w:p w:rsidR="00DC5B13" w:rsidRPr="00DC5B13" w:rsidP="00C34B23">
      <w:pPr>
        <w:spacing w:line="269" w:lineRule="auto"/>
        <w:rPr>
          <w:rFonts w:eastAsia="Calibri"/>
          <w:szCs w:val="20"/>
          <w:rtl/>
          <w:lang w:eastAsia="he-IL"/>
        </w:rPr>
      </w:pPr>
    </w:p>
    <w:p w:rsidR="00DC5B13" w:rsidRPr="00DC5B13" w:rsidP="00C34B23">
      <w:pPr>
        <w:spacing w:line="269" w:lineRule="auto"/>
        <w:rPr>
          <w:rFonts w:eastAsia="Calibri"/>
          <w:rtl/>
          <w:lang w:eastAsia="he-IL"/>
        </w:rPr>
      </w:pPr>
      <w:r w:rsidRPr="00DC5B13">
        <w:rPr>
          <w:rFonts w:eastAsia="Calibri" w:hint="cs"/>
          <w:rtl/>
          <w:lang w:eastAsia="he-IL"/>
        </w:rPr>
        <w:t xml:space="preserve">מינהל התכנון מסר בתשובתו כי </w:t>
      </w:r>
      <w:r w:rsidRPr="00DC5B13">
        <w:rPr>
          <w:rFonts w:eastAsia="Calibri"/>
          <w:rtl/>
          <w:lang w:eastAsia="he-IL"/>
        </w:rPr>
        <w:t xml:space="preserve">מסמך מדיניות </w:t>
      </w:r>
      <w:r w:rsidRPr="00DC5B13">
        <w:rPr>
          <w:rFonts w:eastAsia="Calibri" w:hint="cs"/>
          <w:rtl/>
          <w:lang w:eastAsia="he-IL"/>
        </w:rPr>
        <w:t>יכול לסייע</w:t>
      </w:r>
      <w:r w:rsidRPr="00DC5B13">
        <w:rPr>
          <w:rFonts w:eastAsia="Calibri"/>
          <w:rtl/>
          <w:lang w:eastAsia="he-IL"/>
        </w:rPr>
        <w:t xml:space="preserve"> למפות את אותם אזורים שיש להכין בהם ת</w:t>
      </w:r>
      <w:r w:rsidRPr="00DC5B13">
        <w:rPr>
          <w:rFonts w:eastAsia="Calibri" w:hint="cs"/>
          <w:rtl/>
          <w:lang w:eastAsia="he-IL"/>
        </w:rPr>
        <w:t>ו</w:t>
      </w:r>
      <w:r w:rsidRPr="00DC5B13">
        <w:rPr>
          <w:rFonts w:eastAsia="Calibri"/>
          <w:rtl/>
          <w:lang w:eastAsia="he-IL"/>
        </w:rPr>
        <w:t>כניות מפורטות</w:t>
      </w:r>
      <w:r w:rsidRPr="00DC5B13">
        <w:rPr>
          <w:rFonts w:eastAsia="Calibri" w:hint="cs"/>
          <w:rtl/>
          <w:lang w:eastAsia="he-IL"/>
        </w:rPr>
        <w:t xml:space="preserve"> </w:t>
      </w:r>
      <w:r w:rsidRPr="00DC5B13">
        <w:rPr>
          <w:rFonts w:eastAsia="Calibri"/>
          <w:rtl/>
          <w:lang w:eastAsia="he-IL"/>
        </w:rPr>
        <w:t>להתחדשות ויכול להכיל נספח יישום שימליץ על שלביות</w:t>
      </w:r>
      <w:r w:rsidRPr="00DC5B13">
        <w:rPr>
          <w:rFonts w:eastAsia="Calibri" w:hint="cs"/>
          <w:rtl/>
          <w:lang w:eastAsia="he-IL"/>
        </w:rPr>
        <w:t xml:space="preserve"> הביצוע.</w:t>
      </w:r>
      <w:r w:rsidRPr="00DC5B13">
        <w:rPr>
          <w:rFonts w:eastAsia="Calibri"/>
          <w:rtl/>
          <w:lang w:eastAsia="he-IL"/>
        </w:rPr>
        <w:t xml:space="preserve"> הת</w:t>
      </w:r>
      <w:r w:rsidRPr="00DC5B13">
        <w:rPr>
          <w:rFonts w:eastAsia="Calibri" w:hint="cs"/>
          <w:rtl/>
          <w:lang w:eastAsia="he-IL"/>
        </w:rPr>
        <w:t>ו</w:t>
      </w:r>
      <w:r w:rsidRPr="00DC5B13">
        <w:rPr>
          <w:rFonts w:eastAsia="Calibri"/>
          <w:rtl/>
          <w:lang w:eastAsia="he-IL"/>
        </w:rPr>
        <w:t>כניות המפורטות</w:t>
      </w:r>
      <w:r w:rsidRPr="00DC5B13">
        <w:rPr>
          <w:rFonts w:eastAsia="Calibri" w:hint="cs"/>
          <w:rtl/>
          <w:lang w:eastAsia="he-IL"/>
        </w:rPr>
        <w:t xml:space="preserve"> יסתייעו </w:t>
      </w:r>
      <w:r w:rsidRPr="00DC5B13">
        <w:rPr>
          <w:rFonts w:eastAsia="Calibri"/>
          <w:rtl/>
          <w:lang w:eastAsia="he-IL"/>
        </w:rPr>
        <w:t xml:space="preserve">בהמלצות </w:t>
      </w:r>
      <w:r w:rsidRPr="00DC5B13">
        <w:rPr>
          <w:rFonts w:eastAsia="Calibri" w:hint="cs"/>
          <w:rtl/>
          <w:lang w:eastAsia="he-IL"/>
        </w:rPr>
        <w:t>של מסמך המדיניות</w:t>
      </w:r>
      <w:r w:rsidRPr="00DC5B13">
        <w:rPr>
          <w:rFonts w:eastAsia="Calibri"/>
          <w:rtl/>
          <w:lang w:eastAsia="he-IL"/>
        </w:rPr>
        <w:t xml:space="preserve"> לגבי השלד העירוני הרצוי, התניות לתכנון כדוגמת הצורך בהוספת מבני</w:t>
      </w:r>
      <w:r w:rsidRPr="00DC5B13">
        <w:rPr>
          <w:rFonts w:eastAsia="Calibri" w:hint="cs"/>
          <w:rtl/>
          <w:lang w:eastAsia="he-IL"/>
        </w:rPr>
        <w:t xml:space="preserve"> </w:t>
      </w:r>
      <w:r w:rsidRPr="00DC5B13">
        <w:rPr>
          <w:rFonts w:eastAsia="Calibri"/>
          <w:rtl/>
          <w:lang w:eastAsia="he-IL"/>
        </w:rPr>
        <w:t>ציבור או הוספת כביש לשיפור הקישוריות</w:t>
      </w:r>
      <w:r w:rsidRPr="00DC5B13">
        <w:rPr>
          <w:rFonts w:eastAsia="Calibri" w:hint="cs"/>
          <w:rtl/>
          <w:lang w:eastAsia="he-IL"/>
        </w:rPr>
        <w:t>. כמו כן, רצוי שמסמך המדיניות יתייחס גם ל</w:t>
      </w:r>
      <w:r w:rsidRPr="00DC5B13">
        <w:rPr>
          <w:rFonts w:eastAsia="Calibri"/>
          <w:rtl/>
          <w:lang w:eastAsia="he-IL"/>
        </w:rPr>
        <w:t>בחינת כושר נשיאה של המרחב מבחינת תשתיות</w:t>
      </w:r>
      <w:r w:rsidRPr="00DC5B13">
        <w:rPr>
          <w:rFonts w:eastAsia="Calibri" w:hint="cs"/>
          <w:rtl/>
          <w:lang w:eastAsia="he-IL"/>
        </w:rPr>
        <w:t xml:space="preserve"> </w:t>
      </w:r>
      <w:r w:rsidRPr="00DC5B13">
        <w:rPr>
          <w:rFonts w:eastAsia="Calibri"/>
          <w:rtl/>
          <w:lang w:eastAsia="he-IL"/>
        </w:rPr>
        <w:t>ותחבורה ומבני ציבור</w:t>
      </w:r>
      <w:r w:rsidRPr="00DC5B13">
        <w:rPr>
          <w:rFonts w:eastAsia="Calibri" w:hint="cs"/>
          <w:rtl/>
          <w:lang w:eastAsia="he-IL"/>
        </w:rPr>
        <w:t xml:space="preserve">. מינהל התכנון הוסיף בתשובתו כי </w:t>
      </w:r>
      <w:r w:rsidRPr="00DC5B13">
        <w:rPr>
          <w:rFonts w:eastAsia="Calibri"/>
          <w:rtl/>
          <w:lang w:eastAsia="he-IL"/>
        </w:rPr>
        <w:t>הרשויות המקומיות יכולות גם לקדם מסמכי מדיניות</w:t>
      </w:r>
      <w:r w:rsidRPr="00DC5B13">
        <w:rPr>
          <w:rFonts w:eastAsia="Calibri" w:hint="cs"/>
          <w:rtl/>
          <w:lang w:eastAsia="he-IL"/>
        </w:rPr>
        <w:t xml:space="preserve"> בעצמן וכן להכין</w:t>
      </w:r>
      <w:r w:rsidRPr="00DC5B13">
        <w:rPr>
          <w:rFonts w:eastAsia="Calibri"/>
          <w:rtl/>
          <w:lang w:eastAsia="he-IL"/>
        </w:rPr>
        <w:t xml:space="preserve"> ת</w:t>
      </w:r>
      <w:r w:rsidRPr="00DC5B13">
        <w:rPr>
          <w:rFonts w:eastAsia="Calibri" w:hint="cs"/>
          <w:rtl/>
          <w:lang w:eastAsia="he-IL"/>
        </w:rPr>
        <w:t>ו</w:t>
      </w:r>
      <w:r w:rsidRPr="00DC5B13">
        <w:rPr>
          <w:rFonts w:eastAsia="Calibri"/>
          <w:rtl/>
          <w:lang w:eastAsia="he-IL"/>
        </w:rPr>
        <w:t>כניות אב בתחומים מסוימים</w:t>
      </w:r>
      <w:r w:rsidRPr="00DC5B13">
        <w:rPr>
          <w:rFonts w:eastAsia="Calibri" w:hint="cs"/>
          <w:rtl/>
          <w:lang w:eastAsia="he-IL"/>
        </w:rPr>
        <w:t xml:space="preserve">, </w:t>
      </w:r>
      <w:r w:rsidRPr="00DC5B13">
        <w:rPr>
          <w:rFonts w:eastAsia="Calibri"/>
          <w:rtl/>
          <w:lang w:eastAsia="he-IL"/>
        </w:rPr>
        <w:t>כמו ת</w:t>
      </w:r>
      <w:r w:rsidRPr="00DC5B13">
        <w:rPr>
          <w:rFonts w:eastAsia="Calibri" w:hint="cs"/>
          <w:rtl/>
          <w:lang w:eastAsia="he-IL"/>
        </w:rPr>
        <w:t>ו</w:t>
      </w:r>
      <w:r w:rsidRPr="00DC5B13">
        <w:rPr>
          <w:rFonts w:eastAsia="Calibri"/>
          <w:rtl/>
          <w:lang w:eastAsia="he-IL"/>
        </w:rPr>
        <w:t>כנית אב לתחבורה או פרוגרמה עירונית לשטחי ציבור ומבני ציבור</w:t>
      </w:r>
      <w:r w:rsidRPr="00DC5B13">
        <w:rPr>
          <w:rFonts w:eastAsia="Calibri" w:hint="cs"/>
          <w:rtl/>
          <w:lang w:eastAsia="he-IL"/>
        </w:rPr>
        <w:t>,</w:t>
      </w:r>
      <w:r w:rsidRPr="00DC5B13">
        <w:rPr>
          <w:rFonts w:eastAsia="Calibri"/>
          <w:rtl/>
          <w:lang w:eastAsia="he-IL"/>
        </w:rPr>
        <w:t xml:space="preserve"> שיכולים</w:t>
      </w:r>
      <w:r w:rsidRPr="00DC5B13">
        <w:rPr>
          <w:rFonts w:eastAsia="Calibri" w:hint="cs"/>
          <w:rtl/>
          <w:lang w:eastAsia="he-IL"/>
        </w:rPr>
        <w:t xml:space="preserve"> </w:t>
      </w:r>
      <w:r w:rsidRPr="00DC5B13">
        <w:rPr>
          <w:rFonts w:eastAsia="Calibri"/>
          <w:rtl/>
          <w:lang w:eastAsia="he-IL"/>
        </w:rPr>
        <w:t>לסייע לקידו</w:t>
      </w:r>
      <w:r w:rsidRPr="00DC5B13">
        <w:rPr>
          <w:rFonts w:eastAsia="Calibri" w:hint="cs"/>
          <w:rtl/>
          <w:lang w:eastAsia="he-IL"/>
        </w:rPr>
        <w:t>ם</w:t>
      </w:r>
      <w:r w:rsidRPr="00DC5B13">
        <w:rPr>
          <w:rFonts w:eastAsia="Calibri"/>
          <w:rtl/>
          <w:lang w:eastAsia="he-IL"/>
        </w:rPr>
        <w:t xml:space="preserve"> מהיר יותר של ת</w:t>
      </w:r>
      <w:r w:rsidRPr="00DC5B13">
        <w:rPr>
          <w:rFonts w:eastAsia="Calibri" w:hint="cs"/>
          <w:rtl/>
          <w:lang w:eastAsia="he-IL"/>
        </w:rPr>
        <w:t>ו</w:t>
      </w:r>
      <w:r w:rsidRPr="00DC5B13">
        <w:rPr>
          <w:rFonts w:eastAsia="Calibri"/>
          <w:rtl/>
          <w:lang w:eastAsia="he-IL"/>
        </w:rPr>
        <w:t>כניות מפורטות להתחדשות עירונית.</w:t>
      </w:r>
    </w:p>
    <w:p w:rsidR="00DC5B13" w:rsidRPr="00DC5B13" w:rsidP="00C34B23">
      <w:pPr>
        <w:spacing w:line="269" w:lineRule="auto"/>
        <w:rPr>
          <w:rFonts w:eastAsia="Calibri"/>
          <w:szCs w:val="20"/>
          <w:rtl/>
          <w:lang w:eastAsia="he-IL"/>
        </w:rPr>
      </w:pPr>
    </w:p>
    <w:p w:rsidR="00DC5B13" w:rsidRPr="00DC5B13" w:rsidP="00C34B23">
      <w:pPr>
        <w:spacing w:line="269" w:lineRule="auto"/>
        <w:rPr>
          <w:rFonts w:eastAsia="Calibri"/>
          <w:b/>
          <w:bCs/>
          <w:rtl/>
          <w:lang w:eastAsia="he-IL"/>
        </w:rPr>
      </w:pPr>
      <w:r w:rsidRPr="00DC5B13">
        <w:rPr>
          <w:rFonts w:eastAsia="Calibri" w:hint="cs"/>
          <w:b/>
          <w:bCs/>
          <w:rtl/>
          <w:lang w:eastAsia="he-IL"/>
        </w:rPr>
        <w:t>משרד מבקר המדינה ממליץ לעיריות נתניה, קריית ים, קריית שמונה ורעננה לשלב במסמכי המדיניות שלהן הנחיות הנוגעות גם לשלבי הביצוע, וזאת עקב המורכבות הרבה של תהליכי ההתחדשות העירונית גם מעבר לשלבי התכנון.</w:t>
      </w:r>
    </w:p>
    <w:p w:rsidR="00DC5B13" w:rsidRPr="00DC5B13" w:rsidP="00C34B23">
      <w:pPr>
        <w:spacing w:line="269" w:lineRule="auto"/>
        <w:ind w:left="-567"/>
        <w:rPr>
          <w:rFonts w:eastAsia="Calibri"/>
          <w:szCs w:val="20"/>
          <w:rtl/>
          <w:lang w:eastAsia="he-IL"/>
        </w:rPr>
      </w:pPr>
    </w:p>
    <w:p w:rsidR="00DC5B13" w:rsidRPr="00DC5B13" w:rsidP="00C34B23">
      <w:pPr>
        <w:spacing w:line="269" w:lineRule="auto"/>
        <w:rPr>
          <w:rFonts w:eastAsia="Calibri"/>
          <w:rtl/>
          <w:lang w:eastAsia="he-IL"/>
        </w:rPr>
      </w:pPr>
      <w:r w:rsidRPr="00DC5B13">
        <w:rPr>
          <w:rFonts w:eastAsia="Calibri" w:hint="cs"/>
          <w:rtl/>
          <w:lang w:eastAsia="he-IL"/>
        </w:rPr>
        <w:t xml:space="preserve">עיריית </w:t>
      </w:r>
      <w:r w:rsidRPr="00DC5B13">
        <w:rPr>
          <w:rFonts w:eastAsia="Calibri" w:hint="cs"/>
          <w:b/>
          <w:bCs/>
          <w:rtl/>
          <w:lang w:eastAsia="he-IL"/>
        </w:rPr>
        <w:t>נתניה</w:t>
      </w:r>
      <w:r w:rsidRPr="00DC5B13">
        <w:rPr>
          <w:rFonts w:eastAsia="Calibri" w:hint="cs"/>
          <w:rtl/>
          <w:lang w:eastAsia="he-IL"/>
        </w:rPr>
        <w:t xml:space="preserve"> מסרה בתשובה כי היא פועלת בעת הזו לקידומם של מיזמים להתחדשות עירונית בשיטות ואמצעים נוספים שגובשו במהלך השנה האחרונה. אמצעים אלה יפורטו, יורחבו ויגובשו לכדי מדיניות סדורה ומפורטת, החל משלב אישור התוכנית ועד לתחילת הבנייה בפועל.</w:t>
      </w:r>
    </w:p>
    <w:p w:rsidR="00DC5B13" w:rsidRPr="00DC5B13" w:rsidP="00C34B23">
      <w:pPr>
        <w:spacing w:line="269" w:lineRule="auto"/>
        <w:ind w:left="-567"/>
        <w:rPr>
          <w:rFonts w:eastAsia="Calibri"/>
          <w:szCs w:val="20"/>
          <w:rtl/>
          <w:lang w:eastAsia="he-IL"/>
        </w:rPr>
      </w:pPr>
    </w:p>
    <w:p w:rsidR="00DC5B13" w:rsidRPr="00DC5B13" w:rsidP="00C34B23">
      <w:pPr>
        <w:spacing w:line="269" w:lineRule="auto"/>
        <w:rPr>
          <w:rFonts w:eastAsia="Calibri"/>
          <w:rtl/>
          <w:lang w:eastAsia="he-IL"/>
        </w:rPr>
      </w:pPr>
      <w:r w:rsidRPr="00DC5B13">
        <w:rPr>
          <w:rFonts w:eastAsia="Calibri" w:hint="cs"/>
          <w:rtl/>
          <w:lang w:eastAsia="he-IL"/>
        </w:rPr>
        <w:t xml:space="preserve">עיריית </w:t>
      </w:r>
      <w:r w:rsidRPr="00DC5B13">
        <w:rPr>
          <w:rFonts w:eastAsia="Calibri" w:hint="cs"/>
          <w:b/>
          <w:bCs/>
          <w:rtl/>
          <w:lang w:eastAsia="he-IL"/>
        </w:rPr>
        <w:t>קריית שמונה</w:t>
      </w:r>
      <w:r w:rsidRPr="00DC5B13">
        <w:rPr>
          <w:rFonts w:eastAsia="Calibri" w:hint="cs"/>
          <w:rtl/>
          <w:lang w:eastAsia="he-IL"/>
        </w:rPr>
        <w:t xml:space="preserve"> מסרה בתשובתה כי היעדר התנאים הברורים להשלמת הפער לכדאיות הכלכלית מקשה עליה ליצור מסמך מדיניות שיהיה רלוונטי לשלביות הביצוע. לצד חוסר הוודאות בנוגע למימון צמצומם של</w:t>
      </w:r>
      <w:r w:rsidRPr="00DC5B13">
        <w:rPr>
          <w:rFonts w:eastAsia="Calibri" w:hint="cs"/>
          <w:lang w:eastAsia="he-IL"/>
        </w:rPr>
        <w:t xml:space="preserve"> </w:t>
      </w:r>
      <w:r w:rsidRPr="00DC5B13">
        <w:rPr>
          <w:rFonts w:eastAsia="Calibri" w:hint="cs"/>
          <w:rtl/>
          <w:lang w:eastAsia="he-IL"/>
        </w:rPr>
        <w:t>פערי הכדאיות הכלכלית ליזמים, מצביעה העירייה בתשובתה על הקושי שלה בהעמדת תקציבים לשדרוג המרחב הציבורי באזורים המיועדים להתחדשות.</w:t>
      </w:r>
    </w:p>
    <w:p w:rsidR="00DC5B13" w:rsidRPr="00DC5B13" w:rsidP="00C34B23">
      <w:pPr>
        <w:spacing w:line="269" w:lineRule="auto"/>
        <w:ind w:left="-567"/>
        <w:rPr>
          <w:rFonts w:eastAsia="Calibri"/>
          <w:szCs w:val="20"/>
          <w:rtl/>
          <w:lang w:eastAsia="he-IL"/>
        </w:rPr>
      </w:pPr>
    </w:p>
    <w:p w:rsidR="00DC5B13" w:rsidRPr="00DC5B13" w:rsidP="00C34B23">
      <w:pPr>
        <w:spacing w:line="269" w:lineRule="auto"/>
        <w:rPr>
          <w:rFonts w:eastAsia="Calibri"/>
          <w:rtl/>
          <w:lang w:eastAsia="he-IL"/>
        </w:rPr>
      </w:pPr>
      <w:r w:rsidRPr="00DC5B13">
        <w:rPr>
          <w:rFonts w:eastAsia="Calibri" w:hint="cs"/>
          <w:rtl/>
          <w:lang w:eastAsia="he-IL"/>
        </w:rPr>
        <w:t xml:space="preserve">עיריית </w:t>
      </w:r>
      <w:r w:rsidRPr="00DC5B13">
        <w:rPr>
          <w:rFonts w:eastAsia="Calibri" w:hint="cs"/>
          <w:b/>
          <w:bCs/>
          <w:rtl/>
          <w:lang w:eastAsia="he-IL"/>
        </w:rPr>
        <w:t>קריית ים</w:t>
      </w:r>
      <w:r w:rsidRPr="00DC5B13">
        <w:rPr>
          <w:rFonts w:eastAsia="Calibri" w:hint="cs"/>
          <w:rtl/>
          <w:lang w:eastAsia="he-IL"/>
        </w:rPr>
        <w:t xml:space="preserve"> מסרה בתשובתה כי לפי עמדתה יש להשאיר בידי הרשות המקומית גמישות בקביעת מתווה הביצוע של מיזמי התחדשות עירונית. עם זאת ציינה העירייה כי מסמכי המדיניות של העירייה כוללים התייחסויות רבות לשלבי הביצוע המוטמעות כהתניות שונות בתוכניות </w:t>
      </w:r>
      <w:r w:rsidRPr="00DC5B13">
        <w:rPr>
          <w:rFonts w:eastAsia="Calibri" w:hint="cs"/>
          <w:rtl/>
          <w:lang w:eastAsia="he-IL"/>
        </w:rPr>
        <w:t>ובהנחיות המרחביות</w:t>
      </w:r>
      <w:r>
        <w:rPr>
          <w:rFonts w:eastAsia="Calibri"/>
          <w:vertAlign w:val="superscript"/>
          <w:rtl/>
          <w:lang w:eastAsia="he-IL"/>
        </w:rPr>
        <w:footnoteReference w:id="149"/>
      </w:r>
      <w:r w:rsidRPr="00DC5B13">
        <w:rPr>
          <w:rFonts w:eastAsia="Calibri" w:hint="cs"/>
          <w:rtl/>
          <w:lang w:eastAsia="he-IL"/>
        </w:rPr>
        <w:t xml:space="preserve"> לפיתוח מתחמים מרובי יזמים, המגדירים את עיצוב המבנים המתוכננים בפועל. למשל, בתוכנית התחדשות מתחם צה"ל שולבה התניה להקמת עד 40% מיחידות הדיור במתחמים הגובלים במתחם, וזאת כדי להבטיח הקמת מערכת תחבורה עתירת נוסעים בהתאם לתוכנית המדיניות בנושא זה שתוארה לעיל. </w:t>
      </w:r>
    </w:p>
    <w:p w:rsidR="00DC5B13" w:rsidRPr="001B4A1F" w:rsidP="00C34B23">
      <w:pPr>
        <w:spacing w:line="269" w:lineRule="auto"/>
        <w:ind w:left="-567"/>
        <w:rPr>
          <w:rFonts w:eastAsia="Calibri"/>
          <w:sz w:val="18"/>
          <w:szCs w:val="18"/>
          <w:rtl/>
          <w:lang w:eastAsia="he-IL"/>
        </w:rPr>
      </w:pPr>
    </w:p>
    <w:p w:rsidR="00DC5B13" w:rsidRPr="00DC5B13" w:rsidP="00C34B23">
      <w:pPr>
        <w:spacing w:line="269" w:lineRule="auto"/>
        <w:rPr>
          <w:rFonts w:eastAsia="Calibri"/>
          <w:b/>
          <w:bCs/>
          <w:rtl/>
          <w:lang w:eastAsia="he-IL"/>
        </w:rPr>
      </w:pPr>
      <w:r w:rsidRPr="00DC5B13">
        <w:rPr>
          <w:rFonts w:eastAsia="Calibri" w:hint="cs"/>
          <w:b/>
          <w:bCs/>
          <w:rtl/>
          <w:lang w:eastAsia="he-IL"/>
        </w:rPr>
        <w:t>תשובתה של עיריית קריית ים ממחישה את פערי התפיסה הקיימים בנוגע לצורך בהנחיות לגיבוש מדיניות בתחום ההתחדשות העירונית בכל דרגי השלטון ובהם הדרג המקומי. חשיבות הכנתם של מסמכי מדיניות ככלי ליצירת אחידות, שקיפות וודאות כלפי כל בעלי העניין בתהליכי התחדשות עירונית מומלץ שתתבטא גם בהתייחסות מקיפה של הרשויות המקומיות לשלב הביצוע של תוכניות התחדשות שאושרו.</w:t>
      </w:r>
    </w:p>
    <w:p w:rsidR="00DC5B13" w:rsidRPr="001B4A1F" w:rsidP="00C34B23">
      <w:pPr>
        <w:spacing w:line="269" w:lineRule="auto"/>
        <w:rPr>
          <w:rFonts w:eastAsia="Calibri"/>
          <w:sz w:val="16"/>
          <w:szCs w:val="20"/>
          <w:rtl/>
        </w:rPr>
      </w:pPr>
    </w:p>
    <w:p w:rsidR="00DC5B13" w:rsidRPr="00DC5B13" w:rsidP="00C34B23">
      <w:pPr>
        <w:keepNext/>
        <w:keepLines/>
        <w:spacing w:line="269" w:lineRule="auto"/>
        <w:jc w:val="center"/>
        <w:outlineLvl w:val="1"/>
        <w:rPr>
          <w:rFonts w:eastAsia="Times New Roman"/>
          <w:bCs/>
          <w:szCs w:val="32"/>
        </w:rPr>
      </w:pPr>
      <w:r w:rsidRPr="00DC5B13">
        <w:rPr>
          <w:rFonts w:eastAsia="Times New Roman" w:hint="cs"/>
          <w:bCs/>
          <w:szCs w:val="32"/>
          <w:rtl/>
        </w:rPr>
        <w:t>מיזמים ל</w:t>
      </w:r>
      <w:r w:rsidRPr="00DC5B13">
        <w:rPr>
          <w:rFonts w:eastAsia="Times New Roman"/>
          <w:bCs/>
          <w:szCs w:val="32"/>
          <w:rtl/>
        </w:rPr>
        <w:t>התחדשות</w:t>
      </w:r>
      <w:r w:rsidRPr="00DC5B13">
        <w:rPr>
          <w:rFonts w:eastAsia="Times New Roman" w:hint="cs"/>
          <w:bCs/>
          <w:szCs w:val="32"/>
          <w:rtl/>
        </w:rPr>
        <w:t xml:space="preserve"> עירונית ברשויות שנבדקו</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rtl/>
        </w:rPr>
        <w:t xml:space="preserve">תהליכי התחדשות עירונית הם תהליכים מורכבים </w:t>
      </w:r>
      <w:r w:rsidRPr="00DC5B13">
        <w:rPr>
          <w:rFonts w:eastAsia="Calibri" w:hint="cs"/>
          <w:rtl/>
        </w:rPr>
        <w:t>ה</w:t>
      </w:r>
      <w:r w:rsidRPr="00DC5B13">
        <w:rPr>
          <w:rFonts w:eastAsia="Calibri"/>
          <w:rtl/>
        </w:rPr>
        <w:t>אורכים זמן ממושך. במיזמים להתחדשות עירונית מעורבים גורמים שלטוניים כמו משרדי ממשלה ורשויות מקומיות ו</w:t>
      </w:r>
      <w:r w:rsidRPr="00DC5B13">
        <w:rPr>
          <w:rFonts w:eastAsia="Calibri" w:hint="cs"/>
          <w:rtl/>
        </w:rPr>
        <w:t xml:space="preserve">כן </w:t>
      </w:r>
      <w:r w:rsidRPr="00DC5B13">
        <w:rPr>
          <w:rFonts w:eastAsia="Calibri"/>
          <w:rtl/>
        </w:rPr>
        <w:t>גורמים פרטיים כמו יזמים ובעלי הדירות. לצד התועלות הרבות בהתחדשות עירונית</w:t>
      </w:r>
      <w:r w:rsidRPr="00DC5B13">
        <w:rPr>
          <w:rFonts w:eastAsia="Calibri" w:hint="cs"/>
          <w:rtl/>
        </w:rPr>
        <w:t>,</w:t>
      </w:r>
      <w:r w:rsidRPr="00DC5B13">
        <w:rPr>
          <w:rFonts w:eastAsia="Calibri"/>
          <w:rtl/>
        </w:rPr>
        <w:t xml:space="preserve"> </w:t>
      </w:r>
      <w:r w:rsidRPr="00DC5B13">
        <w:rPr>
          <w:rFonts w:eastAsia="Calibri" w:hint="cs"/>
          <w:rtl/>
        </w:rPr>
        <w:t xml:space="preserve">יש </w:t>
      </w:r>
      <w:r w:rsidRPr="00DC5B13">
        <w:rPr>
          <w:rFonts w:eastAsia="Calibri"/>
          <w:rtl/>
        </w:rPr>
        <w:t xml:space="preserve">חסמים בקידומם של המיזמים כגון חסמים תכנוניים כמו משך התהליכים במוסדות התכנון; חסמים כלכליים עקב חוסר כדאיות כלכלית </w:t>
      </w:r>
      <w:r w:rsidRPr="00DC5B13">
        <w:rPr>
          <w:rFonts w:eastAsia="Calibri" w:hint="cs"/>
          <w:rtl/>
        </w:rPr>
        <w:t xml:space="preserve">בביצוע </w:t>
      </w:r>
      <w:r w:rsidRPr="00DC5B13">
        <w:rPr>
          <w:rFonts w:eastAsia="Calibri"/>
          <w:rtl/>
        </w:rPr>
        <w:t xml:space="preserve">המיזמים, ולעיתים </w:t>
      </w:r>
      <w:r w:rsidRPr="00DC5B13">
        <w:rPr>
          <w:rFonts w:eastAsia="Calibri" w:hint="cs"/>
          <w:rtl/>
        </w:rPr>
        <w:t>אי-</w:t>
      </w:r>
      <w:r w:rsidRPr="00DC5B13">
        <w:rPr>
          <w:rFonts w:eastAsia="Calibri"/>
          <w:rtl/>
        </w:rPr>
        <w:t>ודאות כלכלי</w:t>
      </w:r>
      <w:r w:rsidRPr="00DC5B13">
        <w:rPr>
          <w:rFonts w:eastAsia="Calibri" w:hint="cs"/>
          <w:rtl/>
        </w:rPr>
        <w:t>ת</w:t>
      </w:r>
      <w:r w:rsidRPr="00DC5B13">
        <w:rPr>
          <w:rFonts w:eastAsia="Calibri"/>
          <w:rtl/>
        </w:rPr>
        <w:t xml:space="preserve"> לגבי נכסים במיזמים, שהם קניין פרטי של בעלי הדירות; חסמים הנובעים מהיחסים בין היזמים לבעלי הדירות; חסמים הנוגעים לבעלי עניין נוספים המעורבים בתהליך.</w:t>
      </w:r>
    </w:p>
    <w:p w:rsidR="00037943" w:rsidRPr="001B4A1F" w:rsidP="00C34B23">
      <w:pPr>
        <w:spacing w:line="269" w:lineRule="auto"/>
        <w:rPr>
          <w:rFonts w:eastAsia="Calibri"/>
          <w:sz w:val="14"/>
          <w:szCs w:val="18"/>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hint="cs"/>
          <w:bCs/>
          <w:szCs w:val="28"/>
          <w:u w:val="single"/>
          <w:rtl/>
        </w:rPr>
        <w:t>לוד: מתחם כצנלסון - עיכוב בשל הליך השגה על חוות דעת שמאית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מתחם כצנלסון בלוד משתרע על כ</w:t>
      </w:r>
      <w:r w:rsidRPr="00DC5B13">
        <w:rPr>
          <w:rFonts w:eastAsia="Calibri"/>
          <w:rtl/>
        </w:rPr>
        <w:t>-</w:t>
      </w:r>
      <w:r w:rsidRPr="00DC5B13">
        <w:rPr>
          <w:rFonts w:eastAsia="Calibri" w:hint="cs"/>
          <w:rtl/>
        </w:rPr>
        <w:t>3.9 דונם, בשכונת</w:t>
      </w:r>
      <w:r w:rsidRPr="00DC5B13">
        <w:rPr>
          <w:rFonts w:eastAsia="Calibri"/>
          <w:rtl/>
        </w:rPr>
        <w:t xml:space="preserve"> "רמת אלישיב"</w:t>
      </w:r>
      <w:r w:rsidRPr="00DC5B13">
        <w:rPr>
          <w:rFonts w:eastAsia="Calibri" w:hint="cs"/>
          <w:rtl/>
        </w:rPr>
        <w:t xml:space="preserve"> אשר במרכז העיר לוד לו הוגשה</w:t>
      </w:r>
      <w:r w:rsidRPr="00DC5B13">
        <w:rPr>
          <w:rFonts w:eastAsia="Calibri"/>
          <w:rtl/>
        </w:rPr>
        <w:t xml:space="preserve"> </w:t>
      </w:r>
      <w:r w:rsidRPr="00DC5B13">
        <w:rPr>
          <w:rFonts w:eastAsia="Calibri" w:hint="cs"/>
          <w:rtl/>
        </w:rPr>
        <w:t xml:space="preserve">תוכנית </w:t>
      </w:r>
      <w:r w:rsidRPr="00DC5B13">
        <w:rPr>
          <w:rFonts w:eastAsia="Calibri"/>
          <w:rtl/>
        </w:rPr>
        <w:t>מתאר מקומית מפורטת</w:t>
      </w:r>
      <w:r w:rsidRPr="00DC5B13">
        <w:rPr>
          <w:rFonts w:eastAsia="Calibri" w:hint="cs"/>
          <w:rtl/>
        </w:rPr>
        <w:t xml:space="preserve"> </w:t>
      </w:r>
      <w:r w:rsidRPr="00DC5B13">
        <w:rPr>
          <w:rFonts w:eastAsia="Calibri"/>
          <w:rtl/>
        </w:rPr>
        <w:t xml:space="preserve">בסמכות </w:t>
      </w:r>
      <w:r w:rsidRPr="00DC5B13">
        <w:rPr>
          <w:rFonts w:eastAsia="Calibri" w:hint="cs"/>
          <w:rtl/>
        </w:rPr>
        <w:t>ה</w:t>
      </w:r>
      <w:r w:rsidRPr="00DC5B13">
        <w:rPr>
          <w:rFonts w:eastAsia="Calibri"/>
          <w:rtl/>
        </w:rPr>
        <w:t>ו</w:t>
      </w:r>
      <w:r w:rsidRPr="00DC5B13">
        <w:rPr>
          <w:rFonts w:eastAsia="Calibri" w:hint="cs"/>
          <w:rtl/>
        </w:rPr>
        <w:t>ו</w:t>
      </w:r>
      <w:r w:rsidRPr="00DC5B13">
        <w:rPr>
          <w:rFonts w:eastAsia="Calibri"/>
          <w:rtl/>
        </w:rPr>
        <w:t xml:space="preserve">עדה </w:t>
      </w:r>
      <w:r w:rsidRPr="00DC5B13">
        <w:rPr>
          <w:rFonts w:eastAsia="Calibri" w:hint="cs"/>
          <w:rtl/>
        </w:rPr>
        <w:t>המחוזית לתכנון ובנייה מחוז מרכז (להלן - הוועדה המחוזית מרכז),</w:t>
      </w:r>
      <w:r w:rsidRPr="00DC5B13">
        <w:rPr>
          <w:rFonts w:eastAsia="Calibri"/>
          <w:rtl/>
        </w:rPr>
        <w:t xml:space="preserve"> להריסתם של</w:t>
      </w:r>
      <w:r w:rsidRPr="00DC5B13">
        <w:rPr>
          <w:rFonts w:eastAsia="Calibri" w:hint="cs"/>
          <w:rtl/>
        </w:rPr>
        <w:t xml:space="preserve"> שני</w:t>
      </w:r>
      <w:r w:rsidRPr="00DC5B13">
        <w:rPr>
          <w:rFonts w:eastAsia="Calibri"/>
          <w:rtl/>
        </w:rPr>
        <w:t xml:space="preserve"> מבני מגורים</w:t>
      </w:r>
      <w:r w:rsidRPr="00DC5B13">
        <w:rPr>
          <w:rFonts w:eastAsia="Calibri" w:hint="cs"/>
          <w:rtl/>
        </w:rPr>
        <w:t xml:space="preserve"> </w:t>
      </w:r>
      <w:r w:rsidRPr="00DC5B13">
        <w:rPr>
          <w:rFonts w:eastAsia="Calibri"/>
          <w:rtl/>
        </w:rPr>
        <w:t xml:space="preserve">ובהם </w:t>
      </w:r>
      <w:r w:rsidRPr="00DC5B13">
        <w:rPr>
          <w:rFonts w:eastAsia="Calibri" w:hint="cs"/>
          <w:rtl/>
        </w:rPr>
        <w:t>24</w:t>
      </w:r>
      <w:r w:rsidRPr="00DC5B13">
        <w:rPr>
          <w:rFonts w:eastAsia="Calibri"/>
          <w:rtl/>
        </w:rPr>
        <w:t xml:space="preserve"> </w:t>
      </w:r>
      <w:r w:rsidRPr="00DC5B13">
        <w:rPr>
          <w:rFonts w:eastAsia="Calibri" w:hint="cs"/>
          <w:rtl/>
        </w:rPr>
        <w:t>יח"ד. גבולות המתחם מתוארים בתרשים שלהלן:</w:t>
      </w:r>
    </w:p>
    <w:p w:rsidR="00DC5B13" w:rsidRPr="001B4A1F" w:rsidP="00C34B23">
      <w:pPr>
        <w:spacing w:line="269" w:lineRule="auto"/>
        <w:ind w:left="-567"/>
        <w:rPr>
          <w:rFonts w:eastAsia="Calibri"/>
          <w:sz w:val="16"/>
          <w:szCs w:val="16"/>
          <w:rtl/>
        </w:rPr>
      </w:pPr>
    </w:p>
    <w:p w:rsidR="00DC5B13" w:rsidRPr="00DC5B13" w:rsidP="001B4A1F">
      <w:pPr>
        <w:keepNext/>
        <w:keepLines/>
        <w:spacing w:line="269" w:lineRule="auto"/>
        <w:jc w:val="center"/>
        <w:rPr>
          <w:rFonts w:eastAsia="Calibri"/>
          <w:b/>
          <w:bCs/>
          <w:rtl/>
        </w:rPr>
      </w:pPr>
      <w:r w:rsidRPr="00DC5B13">
        <w:rPr>
          <w:rFonts w:ascii="David" w:eastAsia="Calibri" w:hAnsi="David"/>
          <w:sz w:val="24"/>
          <w:rtl/>
        </w:rPr>
        <w:t xml:space="preserve">תרשים </w:t>
      </w:r>
      <w:r w:rsidRPr="00DC5B13">
        <w:rPr>
          <w:rFonts w:ascii="David" w:eastAsia="Calibri" w:hAnsi="David"/>
          <w:sz w:val="24"/>
        </w:rPr>
        <w:t>18</w:t>
      </w:r>
      <w:r w:rsidRPr="00DC5B13">
        <w:rPr>
          <w:rFonts w:ascii="David" w:eastAsia="Calibri" w:hAnsi="David"/>
          <w:sz w:val="24"/>
          <w:rtl/>
        </w:rPr>
        <w:t>:</w:t>
      </w:r>
      <w:r w:rsidRPr="00DC5B13">
        <w:rPr>
          <w:rFonts w:eastAsia="Calibri" w:hint="cs"/>
          <w:rtl/>
        </w:rPr>
        <w:t xml:space="preserve"> </w:t>
      </w:r>
      <w:r w:rsidRPr="00DC5B13">
        <w:rPr>
          <w:rFonts w:eastAsia="Calibri" w:hint="cs"/>
          <w:b/>
          <w:bCs/>
          <w:rtl/>
        </w:rPr>
        <w:t>מתחם "כצנלסון" - המצב הקיים</w:t>
      </w:r>
    </w:p>
    <w:p w:rsidR="00DC5B13" w:rsidRPr="00DC5B13" w:rsidP="001B4A1F">
      <w:pPr>
        <w:spacing w:line="269" w:lineRule="auto"/>
        <w:jc w:val="center"/>
        <w:rPr>
          <w:rFonts w:eastAsia="Calibri"/>
          <w:rtl/>
        </w:rPr>
      </w:pPr>
      <w:r w:rsidRPr="00DC5B13">
        <w:rPr>
          <w:rFonts w:eastAsia="Calibri"/>
          <w:noProof/>
        </w:rPr>
        <w:drawing>
          <wp:inline distT="0" distB="0" distL="0" distR="0">
            <wp:extent cx="4367676" cy="2647666"/>
            <wp:effectExtent l="0" t="0" r="0" b="635"/>
            <wp:docPr id="46" name="תמונה 46" descr="תצלום אוויר של מתחם &quot;כצנלסון&quot; המציג את המצב הקיים של המתחם ומתוחם בקו היקפי בצבע תכלת,  מבנה אחד צבוע בצהוב וכולל 8 יחידות דיור, ומבנה מוארך נוסף צבוע בוורוד-אדום וכולל 16 יחידות דיור. בשטח התחום נראה גם מגרש חניה פתוח ובסביבתו הקרובה ישנם שטחים ירוקים ומבנים נוס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52">
                      <a:extLst>
                        <a:ext xmlns:a="http://schemas.openxmlformats.org/drawingml/2006/main" uri="{BEBA8EAE-BF5A-486C-A8C5-ECC9F3942E4B}">
                          <a14:imgProps xmlns:a14="http://schemas.microsoft.com/office/drawing/2010/main">
                            <a14:imgLayer>
                              <a14:imgEffect>
                                <a14:sharpenSoften amount="25000"/>
                              </a14:imgEffect>
                            </a14:imgLayer>
                          </a14:imgProps>
                        </a:ext>
                      </a:extLst>
                    </a:blip>
                    <a:srcRect l="58942" t="21251" r="12591" b="17395"/>
                    <a:stretch>
                      <a:fillRect/>
                    </a:stretch>
                  </pic:blipFill>
                  <pic:spPr bwMode="auto">
                    <a:xfrm>
                      <a:off x="0" y="0"/>
                      <a:ext cx="4390243" cy="266134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C5B13" w:rsidRPr="00DC5B13" w:rsidP="00C34B23">
      <w:pPr>
        <w:spacing w:line="269" w:lineRule="auto"/>
        <w:rPr>
          <w:rFonts w:eastAsia="Calibri"/>
          <w:szCs w:val="20"/>
          <w:rtl/>
        </w:rPr>
      </w:pPr>
      <w:r w:rsidRPr="00DC5B13">
        <w:rPr>
          <w:rFonts w:eastAsia="Calibri" w:hint="cs"/>
          <w:szCs w:val="20"/>
          <w:rtl/>
        </w:rPr>
        <w:t xml:space="preserve">המקור: </w:t>
      </w:r>
      <w:r w:rsidRPr="00DC5B13">
        <w:rPr>
          <w:rFonts w:eastAsia="Calibri"/>
          <w:szCs w:val="20"/>
          <w:rtl/>
        </w:rPr>
        <w:t>"חוות דעת לתב"ע להתחדשות עירונית מתחם כצנלסון 2 ו-4 , לוד", מינהלת התחדשות עירונית לוד, נובמבר 2019</w:t>
      </w:r>
      <w:r w:rsidRPr="00DC5B13">
        <w:rPr>
          <w:rFonts w:eastAsia="Calibri" w:hint="cs"/>
          <w:szCs w:val="20"/>
          <w:rtl/>
        </w:rPr>
        <w:t>.</w:t>
      </w:r>
    </w:p>
    <w:p w:rsidR="00DC5B13" w:rsidRPr="00DC5B13" w:rsidP="00C34B23">
      <w:pPr>
        <w:spacing w:line="269" w:lineRule="auto"/>
        <w:rPr>
          <w:rFonts w:eastAsia="Calibri"/>
          <w:rtl/>
        </w:rPr>
      </w:pPr>
      <w:r w:rsidRPr="00DC5B13">
        <w:rPr>
          <w:rFonts w:eastAsia="Calibri"/>
          <w:rtl/>
        </w:rPr>
        <w:t>המבנים הקיימים</w:t>
      </w:r>
      <w:r w:rsidRPr="00DC5B13">
        <w:rPr>
          <w:rFonts w:eastAsia="Calibri" w:hint="cs"/>
          <w:rtl/>
        </w:rPr>
        <w:t xml:space="preserve"> במתחם שרויים</w:t>
      </w:r>
      <w:r w:rsidRPr="00DC5B13">
        <w:rPr>
          <w:rFonts w:eastAsia="Calibri"/>
          <w:rtl/>
        </w:rPr>
        <w:t xml:space="preserve"> במצב פיזי ירוד, עם בעיות תשתית </w:t>
      </w:r>
      <w:r w:rsidRPr="00DC5B13">
        <w:rPr>
          <w:rFonts w:eastAsia="Calibri" w:hint="cs"/>
          <w:rtl/>
        </w:rPr>
        <w:t>שונות, ללא ממ"דים וללא חיזוק מ</w:t>
      </w:r>
      <w:r w:rsidRPr="00DC5B13">
        <w:rPr>
          <w:rFonts w:eastAsia="Calibri"/>
          <w:rtl/>
        </w:rPr>
        <w:t>פני רעידות אדמה</w:t>
      </w:r>
      <w:r>
        <w:rPr>
          <w:rFonts w:eastAsia="Calibri"/>
          <w:vertAlign w:val="superscript"/>
          <w:rtl/>
        </w:rPr>
        <w:footnoteReference w:id="150"/>
      </w:r>
      <w:r w:rsidRPr="00DC5B13">
        <w:rPr>
          <w:rFonts w:eastAsia="Calibri" w:hint="cs"/>
          <w:rtl/>
        </w:rPr>
        <w:t xml:space="preserve">. </w:t>
      </w:r>
    </w:p>
    <w:p w:rsidR="00DC5B13" w:rsidRPr="00DC5B13" w:rsidP="00C34B23">
      <w:pPr>
        <w:spacing w:line="269" w:lineRule="auto"/>
        <w:ind w:left="-567"/>
        <w:rPr>
          <w:rFonts w:eastAsia="Calibri"/>
          <w:szCs w:val="20"/>
          <w:rtl/>
        </w:rPr>
      </w:pPr>
    </w:p>
    <w:p w:rsidR="00DC5B13" w:rsidRPr="00DC5B13" w:rsidP="00C34B23">
      <w:pPr>
        <w:spacing w:line="269" w:lineRule="auto"/>
        <w:jc w:val="center"/>
        <w:rPr>
          <w:rFonts w:eastAsia="Calibri"/>
          <w:rtl/>
        </w:rPr>
      </w:pPr>
      <w:r w:rsidRPr="00DC5B13">
        <w:rPr>
          <w:rFonts w:eastAsia="Calibri"/>
          <w:noProof/>
          <w:rtl/>
          <w:lang w:val="he-IL"/>
        </w:rPr>
        <w:drawing>
          <wp:anchor distT="0" distB="0" distL="114300" distR="114300" simplePos="0" relativeHeight="251674624" behindDoc="0" locked="0" layoutInCell="1" allowOverlap="1">
            <wp:simplePos x="0" y="0"/>
            <wp:positionH relativeFrom="column">
              <wp:posOffset>3810</wp:posOffset>
            </wp:positionH>
            <wp:positionV relativeFrom="paragraph">
              <wp:posOffset>190500</wp:posOffset>
            </wp:positionV>
            <wp:extent cx="5216525" cy="3918585"/>
            <wp:effectExtent l="0" t="0" r="3175" b="5715"/>
            <wp:wrapTopAndBottom/>
            <wp:docPr id="63" name="תמונה 63" descr="תצלום המציג חצר ומעטפת של בניין מגורים ותיק במצב תחזוקתי ירוד ומוזנח. בחזית נראה קיר המבנה עם טיח מתקלף קשות ובטון חשוף, שעליו מותקנת צנרת חיצונית וחלון בעל סורגים חלודים, כאשר בפינה הימנית מוצבים בלוני גז ביתיים. מתחת למבנה ניכרים סדקים עמוקים ופגיעה בתשתית היסודות, והחצר הסובבת מלאה בערמות פסולת, גרוטאות, כסאות פלסטיק מפוזרים ועשבייה יב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6525" cy="391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B13">
        <w:rPr>
          <w:rFonts w:eastAsia="Calibri" w:hint="cs"/>
          <w:rtl/>
        </w:rPr>
        <w:t xml:space="preserve">תמונה 9: </w:t>
      </w:r>
      <w:r w:rsidRPr="00DC5B13">
        <w:rPr>
          <w:rFonts w:eastAsia="Calibri" w:hint="cs"/>
          <w:b/>
          <w:bCs/>
          <w:rtl/>
        </w:rPr>
        <w:t>מבנה וחצר בניין במתחם כצנלסון בלוד</w:t>
      </w:r>
    </w:p>
    <w:p w:rsidR="00DC5B13" w:rsidRPr="00DC5B13" w:rsidP="00C34B23">
      <w:pPr>
        <w:spacing w:line="269" w:lineRule="auto"/>
        <w:rPr>
          <w:rFonts w:eastAsia="Calibri"/>
          <w:sz w:val="16"/>
          <w:szCs w:val="20"/>
          <w:rtl/>
        </w:rPr>
      </w:pPr>
      <w:r w:rsidRPr="00DC5B13">
        <w:rPr>
          <w:rFonts w:eastAsia="Calibri" w:hint="cs"/>
          <w:sz w:val="16"/>
          <w:szCs w:val="20"/>
          <w:rtl/>
        </w:rPr>
        <w:t>צילום: מינהלת התחדשות לוד</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במסגרת תכנית ההתחדשות מתוכננים לקום שלושה</w:t>
      </w:r>
      <w:r w:rsidRPr="00DC5B13">
        <w:rPr>
          <w:rFonts w:eastAsia="Calibri"/>
          <w:rtl/>
        </w:rPr>
        <w:t xml:space="preserve"> בנייני מגורים חדשים</w:t>
      </w:r>
      <w:r w:rsidRPr="00DC5B13">
        <w:rPr>
          <w:rFonts w:eastAsia="Calibri" w:hint="cs"/>
          <w:rtl/>
        </w:rPr>
        <w:t xml:space="preserve"> במקום השניים הקיימים</w:t>
      </w:r>
      <w:r w:rsidRPr="00DC5B13">
        <w:rPr>
          <w:rFonts w:eastAsia="Calibri"/>
        </w:rPr>
        <w:t>.</w:t>
      </w:r>
      <w:r w:rsidRPr="00DC5B13">
        <w:rPr>
          <w:rFonts w:eastAsia="Calibri" w:hint="cs"/>
          <w:rtl/>
        </w:rPr>
        <w:t xml:space="preserve"> </w:t>
      </w:r>
      <w:r w:rsidRPr="00DC5B13">
        <w:rPr>
          <w:rFonts w:ascii="David" w:eastAsia="Calibri" w:hAnsi="David" w:hint="cs"/>
          <w:sz w:val="24"/>
          <w:rtl/>
        </w:rPr>
        <w:t>בסך הכ</w:t>
      </w:r>
      <w:r w:rsidR="00037943">
        <w:rPr>
          <w:rFonts w:ascii="David" w:eastAsia="Calibri" w:hAnsi="David" w:hint="cs"/>
          <w:sz w:val="24"/>
          <w:rtl/>
        </w:rPr>
        <w:t>ו</w:t>
      </w:r>
      <w:r w:rsidRPr="00DC5B13">
        <w:rPr>
          <w:rFonts w:ascii="David" w:eastAsia="Calibri" w:hAnsi="David" w:hint="cs"/>
          <w:sz w:val="24"/>
          <w:rtl/>
        </w:rPr>
        <w:t>ל עתידות להיבנות במתחם 130 יח"ד</w:t>
      </w:r>
      <w:r w:rsidRPr="00DC5B13">
        <w:rPr>
          <w:rFonts w:eastAsia="Calibri"/>
          <w:rtl/>
        </w:rPr>
        <w:t xml:space="preserve"> וחזית מסחרית</w:t>
      </w:r>
      <w:r>
        <w:rPr>
          <w:rFonts w:eastAsia="Calibri"/>
          <w:vertAlign w:val="superscript"/>
          <w:rtl/>
        </w:rPr>
        <w:footnoteReference w:id="151"/>
      </w:r>
      <w:r w:rsidRPr="00DC5B13">
        <w:rPr>
          <w:rFonts w:eastAsia="Calibri" w:hint="cs"/>
          <w:rtl/>
        </w:rPr>
        <w:t>. שרטוט המצב המוצע מוצג בתרשים שלהלן:</w:t>
      </w:r>
    </w:p>
    <w:p w:rsidR="00DC5B13" w:rsidRPr="00DC5B13" w:rsidP="00C34B23">
      <w:pPr>
        <w:bidi w:val="0"/>
        <w:spacing w:line="269" w:lineRule="auto"/>
        <w:rPr>
          <w:rFonts w:eastAsia="Calibri"/>
          <w:rtl/>
        </w:rPr>
      </w:pPr>
      <w:r w:rsidRPr="00DC5B13">
        <w:rPr>
          <w:rFonts w:eastAsia="Calibri"/>
          <w:rtl/>
        </w:rPr>
        <w:br w:type="page"/>
      </w:r>
    </w:p>
    <w:p w:rsidR="003B5771" w:rsidRPr="003B5771" w:rsidP="003B5771">
      <w:pPr>
        <w:spacing w:after="240" w:line="269" w:lineRule="auto"/>
        <w:jc w:val="center"/>
        <w:rPr>
          <w:rFonts w:eastAsia="Calibri"/>
          <w:b/>
          <w:bCs/>
          <w:rtl/>
        </w:rPr>
      </w:pPr>
      <w:r w:rsidRPr="003B5771">
        <w:rPr>
          <w:rFonts w:eastAsia="Calibri"/>
          <w:b/>
          <w:bCs/>
          <w:rtl/>
        </w:rPr>
        <w:t xml:space="preserve">תרשים </w:t>
      </w:r>
      <w:r w:rsidRPr="003B5771">
        <w:rPr>
          <w:rFonts w:eastAsia="Calibri"/>
          <w:b/>
          <w:bCs/>
        </w:rPr>
        <w:t>19</w:t>
      </w:r>
      <w:r w:rsidRPr="003B5771">
        <w:rPr>
          <w:rFonts w:eastAsia="Calibri"/>
          <w:b/>
          <w:bCs/>
          <w:rtl/>
        </w:rPr>
        <w:t>:</w:t>
      </w:r>
      <w:r w:rsidRPr="003B5771">
        <w:rPr>
          <w:rFonts w:eastAsia="Calibri" w:hint="cs"/>
          <w:b/>
          <w:bCs/>
          <w:rtl/>
        </w:rPr>
        <w:t xml:space="preserve"> מתחם כצנלסון - מצב מוצע</w:t>
      </w:r>
    </w:p>
    <w:p w:rsidR="00DC5B13" w:rsidRPr="00DC5B13" w:rsidP="003B5771">
      <w:pPr>
        <w:spacing w:after="120" w:line="269" w:lineRule="auto"/>
        <w:jc w:val="center"/>
        <w:rPr>
          <w:rFonts w:eastAsia="Calibri"/>
          <w:b/>
          <w:bCs/>
          <w:rtl/>
        </w:rPr>
      </w:pPr>
      <w:r w:rsidRPr="00DC5B13">
        <w:rPr>
          <w:rFonts w:ascii="David" w:eastAsia="Calibri" w:hAnsi="David"/>
          <w:noProof/>
          <w:sz w:val="24"/>
        </w:rPr>
        <w:drawing>
          <wp:inline distT="0" distB="0" distL="0" distR="0">
            <wp:extent cx="5220000" cy="3153600"/>
            <wp:effectExtent l="0" t="0" r="0" b="8890"/>
            <wp:docPr id="64" name="תמונה 64" descr="תשריט המציג חלוקת מגרשים וייעודי קרקע. במרכז התרשים בולטים שני מתחמים מוגדרים הצבועים בכתום עם קווקוו אלכסוני ומתוחמים במסגרת כהה, כאשר על גבי התא העליון מופיע הכיתוב &quot;שטח בבעלות רמ&quot;י&quot;. בין שני המתחמים הכתומים מפריד ומקשר שטח מוארך בצורת האות ר',  הצבוע בגוון חום. סביב השטחים הצבועים משורטטים קווי מתאר  המציגים מבנים סמוכים, מדרכות וחלקות גוב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153600"/>
                    </a:xfrm>
                    <a:prstGeom prst="rect">
                      <a:avLst/>
                    </a:prstGeom>
                    <a:noFill/>
                  </pic:spPr>
                </pic:pic>
              </a:graphicData>
            </a:graphic>
          </wp:inline>
        </w:drawing>
      </w:r>
    </w:p>
    <w:p w:rsidR="00DC5B13" w:rsidRPr="00DC5B13" w:rsidP="00BF0666">
      <w:pPr>
        <w:spacing w:before="120" w:line="269" w:lineRule="auto"/>
        <w:rPr>
          <w:rFonts w:eastAsia="Calibri"/>
          <w:szCs w:val="20"/>
          <w:rtl/>
        </w:rPr>
      </w:pPr>
      <w:r w:rsidRPr="00DC5B13">
        <w:rPr>
          <w:rFonts w:eastAsia="Calibri"/>
          <w:szCs w:val="20"/>
          <w:rtl/>
        </w:rPr>
        <w:t>המקור: "מתחם כצנלסון - מצגת הסבר לתושב", מינהלת התחדשות עירונית לוד, 2019.</w:t>
      </w:r>
    </w:p>
    <w:p w:rsidR="00DC5B13" w:rsidRPr="00DC5B13" w:rsidP="00C34B23">
      <w:pPr>
        <w:spacing w:line="269" w:lineRule="auto"/>
        <w:rPr>
          <w:rFonts w:eastAsia="Calibri"/>
          <w:rtl/>
        </w:rPr>
      </w:pPr>
    </w:p>
    <w:p w:rsidR="00DC5B13" w:rsidRPr="00DC5B13" w:rsidP="00C34B23">
      <w:pPr>
        <w:spacing w:line="269" w:lineRule="auto"/>
        <w:rPr>
          <w:rFonts w:eastAsia="Calibri"/>
          <w:rtl/>
        </w:rPr>
      </w:pPr>
      <w:r w:rsidRPr="00DC5B13">
        <w:rPr>
          <w:rFonts w:eastAsia="Calibri" w:hint="cs"/>
          <w:rtl/>
        </w:rPr>
        <w:t>באפריל 2018 אישר הפורום להתחדשות עירונית בלוד</w:t>
      </w:r>
      <w:r>
        <w:rPr>
          <w:rFonts w:eastAsia="Calibri"/>
          <w:vertAlign w:val="superscript"/>
          <w:rtl/>
        </w:rPr>
        <w:footnoteReference w:id="152"/>
      </w:r>
      <w:r w:rsidRPr="00DC5B13">
        <w:rPr>
          <w:rFonts w:eastAsia="Calibri" w:hint="cs"/>
          <w:rtl/>
        </w:rPr>
        <w:t xml:space="preserve"> את קידום ההתחדשות של מתחם כצנלסון</w:t>
      </w:r>
      <w:r>
        <w:rPr>
          <w:rFonts w:eastAsia="Calibri"/>
          <w:vertAlign w:val="superscript"/>
          <w:rtl/>
        </w:rPr>
        <w:footnoteReference w:id="153"/>
      </w:r>
      <w:r w:rsidRPr="00DC5B13">
        <w:rPr>
          <w:rFonts w:eastAsia="Calibri" w:hint="cs"/>
          <w:rtl/>
        </w:rPr>
        <w:t>. בנובמבר 2019</w:t>
      </w:r>
      <w:r w:rsidRPr="00DC5B13">
        <w:rPr>
          <w:rFonts w:eastAsia="Calibri"/>
          <w:rtl/>
        </w:rPr>
        <w:t xml:space="preserve"> המליצה ה</w:t>
      </w:r>
      <w:r w:rsidRPr="00DC5B13">
        <w:rPr>
          <w:rFonts w:eastAsia="Calibri" w:hint="cs"/>
          <w:rtl/>
        </w:rPr>
        <w:t>ו</w:t>
      </w:r>
      <w:r w:rsidRPr="00DC5B13">
        <w:rPr>
          <w:rFonts w:eastAsia="Calibri"/>
          <w:rtl/>
        </w:rPr>
        <w:t>ועדה המקומית על הפקדת הת</w:t>
      </w:r>
      <w:r w:rsidRPr="00DC5B13">
        <w:rPr>
          <w:rFonts w:eastAsia="Calibri" w:hint="cs"/>
          <w:rtl/>
        </w:rPr>
        <w:t>ו</w:t>
      </w:r>
      <w:r w:rsidRPr="00DC5B13">
        <w:rPr>
          <w:rFonts w:eastAsia="Calibri"/>
          <w:rtl/>
        </w:rPr>
        <w:t>כני</w:t>
      </w:r>
      <w:r w:rsidRPr="00DC5B13">
        <w:rPr>
          <w:rFonts w:eastAsia="Calibri" w:hint="cs"/>
          <w:rtl/>
        </w:rPr>
        <w:t xml:space="preserve">ת והיא אושרה להפקדה על ידי הוועדה המחוזית מרכז בדצמבר 2019, כפוף לעמידה בתנאים שקבעה הוועדה.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במרץ 2020, לאחר פניית היזם לרמ"י, התקבלה החלטה ברמ"י שלפיה הקרקע הפנויה, הצמודה לדופן מתחם כצנלסון, תשוריין כחלק משטח התכנון המוצע</w:t>
      </w:r>
      <w:r>
        <w:rPr>
          <w:rFonts w:eastAsia="Calibri"/>
          <w:vertAlign w:val="superscript"/>
          <w:rtl/>
        </w:rPr>
        <w:footnoteReference w:id="154"/>
      </w:r>
      <w:r w:rsidRPr="00DC5B13">
        <w:rPr>
          <w:rFonts w:eastAsia="Calibri" w:hint="cs"/>
          <w:rtl/>
        </w:rPr>
        <w:t xml:space="preserve"> במסגרת פתרון </w:t>
      </w:r>
      <w:r w:rsidRPr="00DC5B13">
        <w:rPr>
          <w:rFonts w:eastAsia="Calibri"/>
          <w:rtl/>
        </w:rPr>
        <w:t>קרקע משלימה.</w:t>
      </w:r>
      <w:r w:rsidRPr="00DC5B13">
        <w:rPr>
          <w:rFonts w:eastAsia="Calibri" w:hint="cs"/>
          <w:rtl/>
        </w:rPr>
        <w:t xml:space="preserve"> עוד נקבע בהחלטה כי ב</w:t>
      </w:r>
      <w:r w:rsidRPr="00DC5B13">
        <w:rPr>
          <w:rFonts w:eastAsia="Calibri"/>
          <w:rtl/>
        </w:rPr>
        <w:t xml:space="preserve">עת ההקצאה </w:t>
      </w:r>
      <w:r w:rsidRPr="00DC5B13">
        <w:rPr>
          <w:rFonts w:eastAsia="Calibri" w:hint="cs"/>
          <w:rtl/>
        </w:rPr>
        <w:t>תוכן</w:t>
      </w:r>
      <w:r w:rsidRPr="00DC5B13">
        <w:rPr>
          <w:rFonts w:eastAsia="Calibri"/>
          <w:rtl/>
        </w:rPr>
        <w:t xml:space="preserve"> חוות דעת שמאית</w:t>
      </w:r>
      <w:r w:rsidRPr="00DC5B13">
        <w:rPr>
          <w:rFonts w:eastAsia="Calibri" w:hint="cs"/>
          <w:rtl/>
        </w:rPr>
        <w:t xml:space="preserve"> מטעם רמ"י</w:t>
      </w:r>
      <w:r w:rsidRPr="00DC5B13">
        <w:rPr>
          <w:rFonts w:eastAsia="Calibri"/>
          <w:rtl/>
        </w:rPr>
        <w:t xml:space="preserve"> שתקבע את התמורה הסופית </w:t>
      </w:r>
      <w:r w:rsidRPr="00DC5B13">
        <w:rPr>
          <w:rFonts w:eastAsia="Calibri" w:hint="cs"/>
          <w:rtl/>
        </w:rPr>
        <w:t xml:space="preserve">לרמ"י </w:t>
      </w:r>
      <w:r w:rsidRPr="00DC5B13">
        <w:rPr>
          <w:rFonts w:eastAsia="Calibri"/>
          <w:rtl/>
        </w:rPr>
        <w:t>לרבות שיעור התשלום והתחשיב של ערך הקרקע</w:t>
      </w:r>
      <w:r>
        <w:rPr>
          <w:rFonts w:eastAsia="Calibri"/>
          <w:vertAlign w:val="superscript"/>
          <w:rtl/>
        </w:rPr>
        <w:footnoteReference w:id="155"/>
      </w:r>
      <w:r w:rsidRPr="00DC5B13">
        <w:rPr>
          <w:rFonts w:eastAsia="Calibri"/>
          <w:rtl/>
        </w:rPr>
        <w:t xml:space="preserve">. </w:t>
      </w:r>
      <w:r w:rsidRPr="00DC5B13">
        <w:rPr>
          <w:rFonts w:eastAsia="Calibri" w:hint="cs"/>
          <w:rtl/>
        </w:rPr>
        <w:t xml:space="preserve">הוועדה המחוזית מרכז אישרה את </w:t>
      </w:r>
      <w:r w:rsidRPr="00DC5B13">
        <w:rPr>
          <w:rFonts w:eastAsia="Calibri"/>
          <w:rtl/>
        </w:rPr>
        <w:t>הת</w:t>
      </w:r>
      <w:r w:rsidRPr="00DC5B13">
        <w:rPr>
          <w:rFonts w:eastAsia="Calibri" w:hint="cs"/>
          <w:rtl/>
        </w:rPr>
        <w:t>ו</w:t>
      </w:r>
      <w:r w:rsidRPr="00DC5B13">
        <w:rPr>
          <w:rFonts w:eastAsia="Calibri"/>
          <w:rtl/>
        </w:rPr>
        <w:t>כנית בנובמבר 2021</w:t>
      </w:r>
      <w:r>
        <w:rPr>
          <w:rFonts w:eastAsia="Calibri"/>
          <w:vertAlign w:val="superscript"/>
          <w:rtl/>
        </w:rPr>
        <w:footnoteReference w:id="156"/>
      </w:r>
      <w:r w:rsidRPr="00DC5B13">
        <w:rPr>
          <w:rFonts w:eastAsia="Calibri" w:hint="cs"/>
          <w:rtl/>
        </w:rPr>
        <w:t>.</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רמ"י מסרה כי טרם עריכת שומת המקרקעין עבור הקרקע המשלימה, בוצע תהליך בחינה של ערך הקרקע. בתהליך היו מעורבים </w:t>
      </w:r>
      <w:r w:rsidRPr="00DC5B13">
        <w:rPr>
          <w:rFonts w:eastAsia="Calibri"/>
          <w:rtl/>
        </w:rPr>
        <w:t xml:space="preserve">הצוות העסקי, </w:t>
      </w:r>
      <w:r w:rsidRPr="00DC5B13">
        <w:rPr>
          <w:rFonts w:eastAsia="Calibri" w:hint="cs"/>
          <w:rtl/>
        </w:rPr>
        <w:t>ה</w:t>
      </w:r>
      <w:r w:rsidRPr="00DC5B13">
        <w:rPr>
          <w:rFonts w:eastAsia="Calibri"/>
          <w:rtl/>
        </w:rPr>
        <w:t xml:space="preserve">מחלקה </w:t>
      </w:r>
      <w:r w:rsidRPr="00DC5B13">
        <w:rPr>
          <w:rFonts w:eastAsia="Calibri" w:hint="cs"/>
          <w:rtl/>
        </w:rPr>
        <w:t>ה</w:t>
      </w:r>
      <w:r w:rsidRPr="00DC5B13">
        <w:rPr>
          <w:rFonts w:eastAsia="Calibri"/>
          <w:rtl/>
        </w:rPr>
        <w:t xml:space="preserve">משפטית, </w:t>
      </w:r>
      <w:r w:rsidRPr="00DC5B13">
        <w:rPr>
          <w:rFonts w:eastAsia="Calibri" w:hint="cs"/>
          <w:rtl/>
        </w:rPr>
        <w:t>ו</w:t>
      </w:r>
      <w:r w:rsidRPr="00DC5B13">
        <w:rPr>
          <w:rFonts w:eastAsia="Calibri"/>
          <w:rtl/>
        </w:rPr>
        <w:t>השמאי</w:t>
      </w:r>
      <w:r w:rsidRPr="00DC5B13">
        <w:rPr>
          <w:rFonts w:eastAsia="Calibri" w:hint="cs"/>
          <w:rtl/>
        </w:rPr>
        <w:t xml:space="preserve"> מטעם רמ"י</w:t>
      </w:r>
      <w:r w:rsidRPr="00DC5B13">
        <w:rPr>
          <w:rFonts w:eastAsia="Calibri"/>
          <w:rtl/>
        </w:rPr>
        <w:t>,</w:t>
      </w:r>
      <w:r w:rsidRPr="00DC5B13">
        <w:rPr>
          <w:rFonts w:eastAsia="Calibri" w:hint="cs"/>
          <w:rtl/>
        </w:rPr>
        <w:t xml:space="preserve"> וכן הרשות להתחדשות. עלה כי תהליך הבחינה החל בנובמבר 2022 והסתיים בהחלטה סופית של הנהלת רמ"י להקצות את הקרקע לטובת קידום התכנית באוגוסט 2023.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באוגוסט 2023 החליטה רמ"י על הקצאת קרקע משלימה צמודת דופן במתחם כצנלסון בלוד. בתקציר החלטת הוועדה צוין כי על פי דוח השמאות מטעמה שווי הקרקע המשלימה עומד על 41 מיליוני ש"ח (ללא פיתוח ומע"מ), והסכום הנדרש לתשלום לרמ"י על ידי היזם עבור העסקה בסך של 18.4 מיליוני ש"ח</w:t>
      </w:r>
      <w:r>
        <w:rPr>
          <w:rFonts w:eastAsia="Calibri"/>
          <w:vertAlign w:val="superscript"/>
          <w:rtl/>
        </w:rPr>
        <w:footnoteReference w:id="157"/>
      </w:r>
      <w:r w:rsidRPr="00DC5B13">
        <w:rPr>
          <w:rFonts w:eastAsia="Calibri" w:hint="cs"/>
          <w:rtl/>
        </w:rPr>
        <w:t>.</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בדצמבר 2023 התקבלה חוות דעת שמאית בהזמנת היזם - וזאת לצורך בחינה נוספת של ערך הקרקע המשלימה בה השיג היזם על השומה של רמ"י לקביעת ערך הקרקע המשלימה. היזם טען כי בכדי לקדם את הפרויקט נדרש מימון בנקאי, אך לא ניתן לקבלו עד להשלמת הליך הבירור מול רמ"י לגבי גובה התשלום בגין הקרקע המשלימה האמורה. בשומה שבוצעה במסגרת חוות הדעת שהגיש היזם נאמד שווי הקרקע המשלימה בכ-16 מיליוני ש"ח (ללא פיתוח ומע"מ) וצוין כי המחיר הראוי לתשלום עבורה תחת הנחה של סף רווחיות מרבי של 17% עומד על כ-2.6 מיליוני ש"ח.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השגה על שווי המקרקעין והסכום הנדרש לתשלום שקבעה רמ"י, הוגשה לשמאי הממשלתי במרץ 2025 - מעל שנה לאחר קבלת חוות הדעת השמאית מטעם היזם. השמאי הממשלתי הכריע בספטמבר 2025 כי שווי מגרש ההשלמה הוא בסך של </w:t>
      </w:r>
      <w:r w:rsidRPr="00DC5B13">
        <w:rPr>
          <w:rFonts w:eastAsia="Calibri"/>
          <w:rtl/>
        </w:rPr>
        <w:t>24</w:t>
      </w:r>
      <w:r w:rsidRPr="00DC5B13">
        <w:rPr>
          <w:rFonts w:eastAsia="Calibri" w:hint="cs"/>
          <w:rtl/>
        </w:rPr>
        <w:t xml:space="preserve"> מיליוני ש"ח</w:t>
      </w:r>
      <w:r>
        <w:rPr>
          <w:rFonts w:eastAsia="Calibri"/>
          <w:vertAlign w:val="superscript"/>
          <w:rtl/>
        </w:rPr>
        <w:footnoteReference w:id="158"/>
      </w:r>
      <w:r w:rsidRPr="00DC5B13">
        <w:rPr>
          <w:rFonts w:eastAsia="Calibri" w:hint="cs"/>
          <w:rtl/>
        </w:rPr>
        <w:t xml:space="preserve">. </w:t>
      </w:r>
      <w:r w:rsidRPr="00DC5B13">
        <w:rPr>
          <w:rFonts w:eastAsia="Calibri" w:hint="eastAsia"/>
          <w:rtl/>
        </w:rPr>
        <w:t>נכון</w:t>
      </w:r>
      <w:r w:rsidRPr="00DC5B13">
        <w:rPr>
          <w:rFonts w:eastAsia="Calibri"/>
          <w:rtl/>
        </w:rPr>
        <w:t xml:space="preserve"> למועד </w:t>
      </w:r>
      <w:r w:rsidRPr="00DC5B13">
        <w:rPr>
          <w:rFonts w:eastAsia="Calibri" w:hint="eastAsia"/>
          <w:rtl/>
        </w:rPr>
        <w:t>סיום</w:t>
      </w:r>
      <w:r w:rsidRPr="00DC5B13">
        <w:rPr>
          <w:rFonts w:eastAsia="Calibri"/>
          <w:rtl/>
        </w:rPr>
        <w:t xml:space="preserve"> </w:t>
      </w:r>
      <w:r w:rsidRPr="00DC5B13">
        <w:rPr>
          <w:rFonts w:eastAsia="Calibri" w:hint="eastAsia"/>
          <w:rtl/>
        </w:rPr>
        <w:t>הביקורת</w:t>
      </w:r>
      <w:r w:rsidRPr="00DC5B13">
        <w:rPr>
          <w:rFonts w:eastAsia="Calibri"/>
          <w:rtl/>
        </w:rPr>
        <w:t xml:space="preserve">, רמ"י והיזם </w:t>
      </w:r>
      <w:r w:rsidRPr="00DC5B13">
        <w:rPr>
          <w:rFonts w:eastAsia="Calibri" w:hint="cs"/>
          <w:rtl/>
        </w:rPr>
        <w:t>עדיין נמצאים ב</w:t>
      </w:r>
      <w:r w:rsidRPr="00DC5B13">
        <w:rPr>
          <w:rFonts w:eastAsia="Calibri" w:hint="eastAsia"/>
          <w:rtl/>
        </w:rPr>
        <w:t>ד</w:t>
      </w:r>
      <w:r w:rsidRPr="00DC5B13">
        <w:rPr>
          <w:rFonts w:eastAsia="Calibri" w:hint="cs"/>
          <w:rtl/>
        </w:rPr>
        <w:t>יו</w:t>
      </w:r>
      <w:r w:rsidRPr="00DC5B13">
        <w:rPr>
          <w:rFonts w:eastAsia="Calibri" w:hint="eastAsia"/>
          <w:rtl/>
        </w:rPr>
        <w:t>נים</w:t>
      </w:r>
      <w:r w:rsidRPr="00DC5B13">
        <w:rPr>
          <w:rFonts w:eastAsia="Calibri"/>
          <w:rtl/>
        </w:rPr>
        <w:t xml:space="preserve"> </w:t>
      </w:r>
      <w:r w:rsidRPr="00DC5B13">
        <w:rPr>
          <w:rFonts w:eastAsia="Calibri" w:hint="eastAsia"/>
          <w:rtl/>
        </w:rPr>
        <w:t>ב</w:t>
      </w:r>
      <w:r w:rsidRPr="00DC5B13">
        <w:rPr>
          <w:rFonts w:eastAsia="Calibri" w:hint="cs"/>
          <w:rtl/>
        </w:rPr>
        <w:t>נוגע ל</w:t>
      </w:r>
      <w:r w:rsidRPr="00DC5B13">
        <w:rPr>
          <w:rFonts w:eastAsia="Calibri" w:hint="eastAsia"/>
          <w:rtl/>
        </w:rPr>
        <w:t>סכום</w:t>
      </w:r>
      <w:r w:rsidRPr="00DC5B13">
        <w:rPr>
          <w:rFonts w:eastAsia="Calibri"/>
          <w:rtl/>
        </w:rPr>
        <w:t xml:space="preserve"> </w:t>
      </w:r>
      <w:r w:rsidRPr="00DC5B13">
        <w:rPr>
          <w:rFonts w:eastAsia="Calibri" w:hint="eastAsia"/>
          <w:rtl/>
        </w:rPr>
        <w:t>ה</w:t>
      </w:r>
      <w:r w:rsidRPr="00DC5B13">
        <w:rPr>
          <w:rFonts w:eastAsia="Calibri"/>
          <w:rtl/>
        </w:rPr>
        <w:t>נדרש לתשלום עבור העסקה.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בתרשים שלהלן מפורט ציר הזמן של תהליכי התכנון והשמאות במיזם:</w:t>
      </w:r>
    </w:p>
    <w:p w:rsidR="00DC5B13" w:rsidRPr="00DC5B13" w:rsidP="00C34B23">
      <w:pPr>
        <w:spacing w:line="269" w:lineRule="auto"/>
        <w:rPr>
          <w:rFonts w:eastAsia="Calibri"/>
          <w:rtl/>
        </w:rPr>
      </w:pPr>
    </w:p>
    <w:p w:rsidR="00DC5B13" w:rsidRPr="00DC5B13" w:rsidP="003B5771">
      <w:pPr>
        <w:spacing w:after="120" w:line="269" w:lineRule="auto"/>
        <w:jc w:val="center"/>
        <w:rPr>
          <w:rFonts w:eastAsia="Calibri"/>
          <w:rtl/>
        </w:rPr>
      </w:pPr>
      <w:r w:rsidRPr="00DC5B13">
        <w:rPr>
          <w:rFonts w:eastAsia="Calibri" w:hint="eastAsia"/>
          <w:rtl/>
        </w:rPr>
        <w:t>תרשים</w:t>
      </w:r>
      <w:r w:rsidRPr="00DC5B13">
        <w:rPr>
          <w:rFonts w:eastAsia="Calibri"/>
          <w:rtl/>
        </w:rPr>
        <w:t xml:space="preserve"> </w:t>
      </w:r>
      <w:r w:rsidRPr="00DC5B13">
        <w:rPr>
          <w:rFonts w:eastAsia="Calibri" w:hint="cs"/>
          <w:rtl/>
        </w:rPr>
        <w:t>20:</w:t>
      </w:r>
      <w:r w:rsidRPr="00DC5B13">
        <w:rPr>
          <w:rFonts w:eastAsia="Calibri"/>
          <w:rtl/>
        </w:rPr>
        <w:t xml:space="preserve"> </w:t>
      </w:r>
      <w:r w:rsidRPr="00DC5B13">
        <w:rPr>
          <w:rFonts w:eastAsia="Calibri" w:hint="eastAsia"/>
          <w:b/>
          <w:bCs/>
          <w:rtl/>
        </w:rPr>
        <w:t>ציר</w:t>
      </w:r>
      <w:r w:rsidRPr="00DC5B13">
        <w:rPr>
          <w:rFonts w:eastAsia="Calibri"/>
          <w:b/>
          <w:bCs/>
          <w:rtl/>
        </w:rPr>
        <w:t xml:space="preserve"> </w:t>
      </w:r>
      <w:r w:rsidRPr="00DC5B13">
        <w:rPr>
          <w:rFonts w:eastAsia="Calibri" w:hint="cs"/>
          <w:b/>
          <w:bCs/>
          <w:rtl/>
        </w:rPr>
        <w:t>ה</w:t>
      </w:r>
      <w:r w:rsidRPr="00DC5B13">
        <w:rPr>
          <w:rFonts w:eastAsia="Calibri" w:hint="eastAsia"/>
          <w:b/>
          <w:bCs/>
          <w:rtl/>
        </w:rPr>
        <w:t>זמן</w:t>
      </w:r>
      <w:r w:rsidRPr="00DC5B13">
        <w:rPr>
          <w:rFonts w:eastAsia="Calibri"/>
          <w:b/>
          <w:bCs/>
          <w:rtl/>
        </w:rPr>
        <w:t xml:space="preserve"> </w:t>
      </w:r>
      <w:r w:rsidRPr="00DC5B13">
        <w:rPr>
          <w:rFonts w:eastAsia="Calibri" w:hint="eastAsia"/>
          <w:b/>
          <w:bCs/>
          <w:rtl/>
        </w:rPr>
        <w:t>של</w:t>
      </w:r>
      <w:r w:rsidRPr="00DC5B13">
        <w:rPr>
          <w:rFonts w:eastAsia="Calibri"/>
          <w:b/>
          <w:bCs/>
          <w:rtl/>
        </w:rPr>
        <w:t xml:space="preserve"> </w:t>
      </w:r>
      <w:r w:rsidRPr="00DC5B13">
        <w:rPr>
          <w:rFonts w:eastAsia="Calibri" w:hint="eastAsia"/>
          <w:b/>
          <w:bCs/>
          <w:rtl/>
        </w:rPr>
        <w:t>תהליכי</w:t>
      </w:r>
      <w:r w:rsidRPr="00DC5B13">
        <w:rPr>
          <w:rFonts w:eastAsia="Calibri"/>
          <w:b/>
          <w:bCs/>
          <w:rtl/>
        </w:rPr>
        <w:t xml:space="preserve"> </w:t>
      </w:r>
      <w:r w:rsidRPr="00DC5B13">
        <w:rPr>
          <w:rFonts w:eastAsia="Calibri" w:hint="eastAsia"/>
          <w:b/>
          <w:bCs/>
          <w:rtl/>
        </w:rPr>
        <w:t>התכנון</w:t>
      </w:r>
      <w:r w:rsidRPr="00DC5B13">
        <w:rPr>
          <w:rFonts w:eastAsia="Calibri"/>
          <w:b/>
          <w:bCs/>
          <w:rtl/>
        </w:rPr>
        <w:t xml:space="preserve"> </w:t>
      </w:r>
      <w:r w:rsidRPr="00DC5B13">
        <w:rPr>
          <w:rFonts w:eastAsia="Calibri" w:hint="eastAsia"/>
          <w:b/>
          <w:bCs/>
          <w:rtl/>
        </w:rPr>
        <w:t>והשמאות</w:t>
      </w:r>
      <w:r w:rsidRPr="00DC5B13">
        <w:rPr>
          <w:rFonts w:eastAsia="Calibri"/>
          <w:b/>
          <w:bCs/>
          <w:rtl/>
        </w:rPr>
        <w:t xml:space="preserve"> </w:t>
      </w:r>
      <w:r w:rsidRPr="00DC5B13">
        <w:rPr>
          <w:rFonts w:eastAsia="Calibri" w:hint="cs"/>
          <w:b/>
          <w:bCs/>
          <w:rtl/>
        </w:rPr>
        <w:t>ב</w:t>
      </w:r>
      <w:r w:rsidRPr="00DC5B13">
        <w:rPr>
          <w:rFonts w:eastAsia="Calibri" w:hint="eastAsia"/>
          <w:b/>
          <w:bCs/>
          <w:rtl/>
        </w:rPr>
        <w:t>מתחם</w:t>
      </w:r>
      <w:r w:rsidRPr="00DC5B13">
        <w:rPr>
          <w:rFonts w:eastAsia="Calibri"/>
          <w:b/>
          <w:bCs/>
          <w:rtl/>
        </w:rPr>
        <w:t xml:space="preserve"> </w:t>
      </w:r>
      <w:r w:rsidRPr="00DC5B13">
        <w:rPr>
          <w:rFonts w:eastAsia="Calibri" w:hint="eastAsia"/>
          <w:b/>
          <w:bCs/>
          <w:rtl/>
        </w:rPr>
        <w:t>כצנלסון</w:t>
      </w:r>
      <w:r w:rsidRPr="00DC5B13">
        <w:rPr>
          <w:rFonts w:eastAsia="Calibri"/>
          <w:b/>
          <w:bCs/>
          <w:rtl/>
        </w:rPr>
        <w:t xml:space="preserve"> </w:t>
      </w:r>
      <w:r w:rsidRPr="00DC5B13">
        <w:rPr>
          <w:rFonts w:eastAsia="Calibri" w:hint="eastAsia"/>
          <w:b/>
          <w:bCs/>
          <w:rtl/>
        </w:rPr>
        <w:t>בלוד</w:t>
      </w:r>
    </w:p>
    <w:p w:rsidR="00DC5B13" w:rsidRPr="00DC5B13" w:rsidP="00C34B23">
      <w:pPr>
        <w:spacing w:line="269" w:lineRule="auto"/>
        <w:rPr>
          <w:rFonts w:eastAsia="Calibri"/>
          <w:sz w:val="16"/>
          <w:szCs w:val="20"/>
          <w:rtl/>
        </w:rPr>
      </w:pPr>
      <w:r w:rsidRPr="00DC5B13">
        <w:rPr>
          <w:rFonts w:eastAsia="Calibri" w:hint="cs"/>
          <w:noProof/>
          <w:rtl/>
          <w:lang w:val="he-IL"/>
        </w:rPr>
        <mc:AlternateContent>
          <mc:Choice Requires="wpg">
            <w:drawing>
              <wp:inline distT="0" distB="0" distL="0" distR="0">
                <wp:extent cx="5220335" cy="3348487"/>
                <wp:effectExtent l="0" t="0" r="0" b="0"/>
                <wp:docPr id="2" name="קבוצה 2" descr="תרשים ציר זמן של השנים 2018-2025, כמפורט בפסקאות שלעיל."/>
                <wp:cNvGraphicFramePr/>
                <a:graphic xmlns:a="http://schemas.openxmlformats.org/drawingml/2006/main">
                  <a:graphicData uri="http://schemas.microsoft.com/office/word/2010/wordprocessingGroup">
                    <wpg:wgp xmlns:wpg="http://schemas.microsoft.com/office/word/2010/wordprocessingGroup">
                      <wpg:cNvGrpSpPr/>
                      <wpg:grpSpPr>
                        <a:xfrm>
                          <a:off x="0" y="0"/>
                          <a:ext cx="5220335" cy="3348487"/>
                          <a:chOff x="0" y="0"/>
                          <a:chExt cx="5376545" cy="3448685"/>
                        </a:xfrm>
                      </wpg:grpSpPr>
                      <pic:pic xmlns:pic="http://schemas.openxmlformats.org/drawingml/2006/picture">
                        <pic:nvPicPr>
                          <pic:cNvPr id="3" name="תמונה 3"/>
                          <pic:cNvPicPr>
                            <a:picLocks noChangeAspect="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71252" y="0"/>
                            <a:ext cx="5219700" cy="3448685"/>
                          </a:xfrm>
                          <a:prstGeom prst="rect">
                            <a:avLst/>
                          </a:prstGeom>
                          <a:noFill/>
                        </pic:spPr>
                      </pic:pic>
                      <pic:pic xmlns:pic="http://schemas.openxmlformats.org/drawingml/2006/picture">
                        <pic:nvPicPr>
                          <pic:cNvPr id="16" name="תמונה 16"/>
                          <pic:cNvPicPr>
                            <a:picLocks noChangeAspect="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558140"/>
                            <a:ext cx="5376545" cy="2368550"/>
                          </a:xfrm>
                          <a:prstGeom prst="rect">
                            <a:avLst/>
                          </a:prstGeom>
                          <a:noFill/>
                          <a:ln>
                            <a:noFill/>
                          </a:ln>
                        </pic:spPr>
                      </pic:pic>
                    </wpg:wgp>
                  </a:graphicData>
                </a:graphic>
              </wp:inline>
            </w:drawing>
          </mc:Choice>
          <mc:Fallback>
            <w:pict>
              <v:group id="קבוצה 2" o:spid="_x0000_i1025" alt="תרשים ציר זמן של השנים 2018-2025, כמפורט בפסקאות שלעיל." style="width:411.05pt;height:263.65pt;mso-position-horizontal-relative:char;mso-position-vertical-relative:line" coordsize="53765,3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26" type="#_x0000_t75" style="width:52197;height:34486;left:712;mso-wrap-style:square;position:absolute;visibility:visible">
                  <v:imagedata r:id="rId57" o:title=""/>
                </v:shape>
                <v:shape id="תמונה 16" o:spid="_x0000_s1027" type="#_x0000_t75" style="width:53765;height:23685;mso-wrap-style:square;position:absolute;top:5581;visibility:visible">
                  <v:imagedata r:id="rId58" o:title=""/>
                </v:shape>
                <w10:wrap type="none"/>
                <w10:anchorlock/>
              </v:group>
            </w:pict>
          </mc:Fallback>
        </mc:AlternateContent>
      </w:r>
      <w:r w:rsidRPr="00DC5B13">
        <w:rPr>
          <w:rFonts w:eastAsia="Calibri" w:hint="eastAsia"/>
          <w:sz w:val="22"/>
          <w:szCs w:val="22"/>
          <w:rtl/>
        </w:rPr>
        <w:t>לפי</w:t>
      </w:r>
      <w:r w:rsidRPr="00DC5B13">
        <w:rPr>
          <w:rFonts w:eastAsia="Calibri"/>
          <w:sz w:val="22"/>
          <w:szCs w:val="22"/>
          <w:rtl/>
        </w:rPr>
        <w:t xml:space="preserve"> נתונים </w:t>
      </w:r>
      <w:r w:rsidRPr="00DC5B13">
        <w:rPr>
          <w:rFonts w:eastAsia="Calibri" w:hint="cs"/>
          <w:sz w:val="22"/>
          <w:szCs w:val="22"/>
          <w:rtl/>
        </w:rPr>
        <w:t>ב</w:t>
      </w:r>
      <w:r w:rsidRPr="00DC5B13">
        <w:rPr>
          <w:rFonts w:eastAsia="Calibri" w:hint="eastAsia"/>
          <w:sz w:val="22"/>
          <w:szCs w:val="22"/>
          <w:rtl/>
        </w:rPr>
        <w:t>אתר</w:t>
      </w:r>
      <w:r w:rsidRPr="00DC5B13">
        <w:rPr>
          <w:rFonts w:eastAsia="Calibri" w:hint="cs"/>
          <w:sz w:val="22"/>
          <w:szCs w:val="22"/>
          <w:rtl/>
        </w:rPr>
        <w:t>י</w:t>
      </w:r>
      <w:r w:rsidRPr="00DC5B13">
        <w:rPr>
          <w:rFonts w:eastAsia="Calibri"/>
          <w:sz w:val="22"/>
          <w:szCs w:val="22"/>
          <w:rtl/>
        </w:rPr>
        <w:t xml:space="preserve"> המרשתת של מ</w:t>
      </w:r>
      <w:r w:rsidRPr="00DC5B13">
        <w:rPr>
          <w:rFonts w:eastAsia="Calibri" w:hint="cs"/>
          <w:sz w:val="22"/>
          <w:szCs w:val="22"/>
          <w:rtl/>
        </w:rPr>
        <w:t>י</w:t>
      </w:r>
      <w:r w:rsidRPr="00DC5B13">
        <w:rPr>
          <w:rFonts w:eastAsia="Calibri" w:hint="eastAsia"/>
          <w:sz w:val="22"/>
          <w:szCs w:val="22"/>
          <w:rtl/>
        </w:rPr>
        <w:t>נהל</w:t>
      </w:r>
      <w:r w:rsidRPr="00DC5B13">
        <w:rPr>
          <w:rFonts w:eastAsia="Calibri"/>
          <w:sz w:val="22"/>
          <w:szCs w:val="22"/>
          <w:rtl/>
        </w:rPr>
        <w:t xml:space="preserve"> </w:t>
      </w:r>
      <w:r w:rsidRPr="00DC5B13">
        <w:rPr>
          <w:rFonts w:eastAsia="Calibri" w:hint="eastAsia"/>
          <w:sz w:val="22"/>
          <w:szCs w:val="22"/>
          <w:rtl/>
        </w:rPr>
        <w:t>התכנון</w:t>
      </w:r>
      <w:r w:rsidRPr="00DC5B13">
        <w:rPr>
          <w:rFonts w:eastAsia="Calibri"/>
          <w:sz w:val="22"/>
          <w:szCs w:val="22"/>
          <w:rtl/>
        </w:rPr>
        <w:t xml:space="preserve"> </w:t>
      </w:r>
      <w:r w:rsidRPr="00DC5B13">
        <w:rPr>
          <w:rFonts w:eastAsia="Calibri" w:hint="eastAsia"/>
          <w:sz w:val="22"/>
          <w:szCs w:val="22"/>
          <w:rtl/>
        </w:rPr>
        <w:t>ו</w:t>
      </w:r>
      <w:r w:rsidRPr="00DC5B13">
        <w:rPr>
          <w:rFonts w:eastAsia="Calibri" w:hint="cs"/>
          <w:sz w:val="22"/>
          <w:szCs w:val="22"/>
          <w:rtl/>
        </w:rPr>
        <w:t xml:space="preserve">של </w:t>
      </w:r>
      <w:r w:rsidRPr="00DC5B13">
        <w:rPr>
          <w:rFonts w:eastAsia="Calibri" w:hint="eastAsia"/>
          <w:sz w:val="22"/>
          <w:szCs w:val="22"/>
          <w:rtl/>
        </w:rPr>
        <w:t>רמ</w:t>
      </w:r>
      <w:r w:rsidRPr="00DC5B13">
        <w:rPr>
          <w:rFonts w:eastAsia="Calibri"/>
          <w:sz w:val="22"/>
          <w:szCs w:val="22"/>
          <w:rtl/>
        </w:rPr>
        <w:t>"י</w:t>
      </w:r>
      <w:r w:rsidRPr="00DC5B13">
        <w:rPr>
          <w:rFonts w:eastAsia="Calibri" w:hint="cs"/>
          <w:sz w:val="22"/>
          <w:szCs w:val="22"/>
          <w:rtl/>
        </w:rPr>
        <w:t>,</w:t>
      </w:r>
      <w:r w:rsidRPr="00DC5B13">
        <w:rPr>
          <w:rFonts w:eastAsia="Calibri"/>
          <w:sz w:val="22"/>
          <w:szCs w:val="22"/>
          <w:rtl/>
        </w:rPr>
        <w:t xml:space="preserve"> בעיבוד משרד מבקר המדינה.</w:t>
      </w:r>
    </w:p>
    <w:p w:rsidR="00DC5B13" w:rsidRPr="00DC5B13" w:rsidP="00C34B23">
      <w:pPr>
        <w:spacing w:line="269" w:lineRule="auto"/>
        <w:ind w:left="-567"/>
        <w:rPr>
          <w:rFonts w:eastAsia="Calibri"/>
          <w:szCs w:val="20"/>
          <w:rtl/>
        </w:rPr>
      </w:pPr>
      <w:bookmarkStart w:id="42" w:name="_Hlk218085772"/>
    </w:p>
    <w:p w:rsidR="00DC5B13" w:rsidRPr="00DC5B13" w:rsidP="00C34B23">
      <w:pPr>
        <w:spacing w:line="269" w:lineRule="auto"/>
        <w:rPr>
          <w:rFonts w:eastAsia="Calibri"/>
          <w:b/>
          <w:bCs/>
          <w:rtl/>
        </w:rPr>
      </w:pPr>
      <w:r w:rsidRPr="00DC5B13">
        <w:rPr>
          <w:rFonts w:eastAsia="Calibri" w:hint="cs"/>
          <w:b/>
          <w:bCs/>
          <w:rtl/>
        </w:rPr>
        <w:t xml:space="preserve">בדיקת משרד מבקר המדינה מצביעה על פרק הזמן הארוך שחלף - כארבע שנים - בין אישור התוכנית של מתחם כצנלסון בלוד על ידי הוועדה המחוזית מרכז בנובמבר 2021, ובין פרסום השומה הסופית של הקרקע המשלימה במתחם, על ידי השמאי הממשלתי בספטמבר 2025. יצוין כי במהלך תקופה זו חלף פרק זמן של כשנה וארבעה חודשים בין המועד בו הוגשה ההשגה על השמאות של רמ"י לגבי שווי הקרקע המשלימה ועד לתחילת הדיון בה אצל השמאי הממשלתי. </w:t>
      </w:r>
    </w:p>
    <w:p w:rsidR="00DC5B13" w:rsidRPr="00DC5B13" w:rsidP="00C34B23">
      <w:pPr>
        <w:spacing w:line="269" w:lineRule="auto"/>
        <w:rPr>
          <w:rFonts w:eastAsia="Calibri"/>
          <w:b/>
          <w:bCs/>
          <w:rtl/>
        </w:rPr>
      </w:pPr>
      <w:r w:rsidRPr="00DC5B13">
        <w:rPr>
          <w:rFonts w:eastAsia="Calibri" w:hint="cs"/>
          <w:b/>
          <w:bCs/>
          <w:rtl/>
        </w:rPr>
        <w:t>במסגרת הליכי השמאות השונים רמ"י קבעה כי שווי הקרקע המשלימה הוא 41 מיליוני ש"ח, ואילו לפי עמדת היזם, שווי הקרקע הוא כ-16 מיליוני ש"ח. במסגרת השגה על השמאות שערכה רמ"י, קבע השמאי הממשלתי כי שווי הקרקע המשלימה הוא כ-24 מיליוני ש"ח. עקב התמשכות הליכי השמאות האמורים טרם הונפקו היתרי בנייה מכוחה, זאת אף שעברו יותר מארבע שנים מיום אישור התוכנית במתחם כצנלסון בלוד לבין מועד סיום הביקורת.</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מומלץ כי רשות מקרקעי ישראל ואגף שומת המקרקעין במשרד המשפטים יקבעו דרכים לייעול הליכי השמאות, בין היתר את תהליכי ההשגה במסגרת תוכניות התחדשות עירונית כדי שאלה לא יעכבו את יישום התוכניות שאושרו.</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מנהל אגף שומת המקרקעין במשרד המשפטים (להלן - השמאי הממשלתי) מסר בתשובתו למשרד מבקר המדינה ממרץ 2026 כי עסקאות בין רמ"י ובין יזמים שבהן מעורב מגרש השלמה כמעט שלא התבצעו, וכי ההשגה על שומת רמ"י במקרה שתואר לעיל הייתה תקדימית וחייבה בדיקה מקצועית של הסוגיות השמאיות שעלו בה. במהלך בדיקת ההשגה שבוצעה על ידי השמאי הממשלתי התעוררו מחלוקות בין רמ"י ובין השמאי הממשלתי בשאלת סמכותו של השמאי הממשלתי לדון ולהכריע בהשגה. המחלוקת הגיעה לפתחה של המשנה ליועץ המשפטי לממשלה, ובעקבות התערבותה גובש בינואר 2025 מסמך עקרונות ובו מתווה שאפשר את המשך טיפול השמאי הממשלתי בהשגה. עוד נקבע במסמך העקרונות כי תינתן קדימות להליכי השגה במיזמי התחדשות עירונית, כך שמשך הליך ההשגה לא יעלה על 90 ימים בכל ערכאת השגה</w:t>
      </w:r>
      <w:r>
        <w:rPr>
          <w:rFonts w:eastAsia="Calibri"/>
          <w:vertAlign w:val="superscript"/>
          <w:rtl/>
        </w:rPr>
        <w:footnoteReference w:id="159"/>
      </w:r>
      <w:r w:rsidRPr="00DC5B13">
        <w:rPr>
          <w:rFonts w:eastAsia="Calibri" w:hint="cs"/>
          <w:rtl/>
        </w:rPr>
        <w:t xml:space="preserve">. הטיפול בהשגה בפועל על ידי השמאי הממשלתי חודש במרץ 2025, והכרעה סופית בעניין ניתנה בספטמבר 2025, זאת לאחר ששני הצדדים הגישו בקשות לתיקון טעויות הנוגעות לרכיבי אגרות והיטלים.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עוד ציין השמאי הממשלתי בתשובתו כי בעקבות שנתיים שבהן פעל לייעול הליכי השגה ולקיצור זמנים, אושרה על ידי מועצת מקרקעי ישראל בדצמבר 2025 רפורמה, ובמסגרתה נקבעו, בין השאר, מבנה מדורג לניתוב השגות בהתאם להיקף החיוב הכספי ולמורכבות ההשגות </w:t>
      </w:r>
      <w:r w:rsidR="005941B0">
        <w:rPr>
          <w:rFonts w:eastAsia="Calibri" w:hint="cs"/>
          <w:rtl/>
        </w:rPr>
        <w:t>-</w:t>
      </w:r>
      <w:r w:rsidRPr="00DC5B13">
        <w:rPr>
          <w:rFonts w:eastAsia="Calibri" w:hint="cs"/>
          <w:rtl/>
        </w:rPr>
        <w:t xml:space="preserve"> כך שחלקן יוכרע בהליך אחד; ניתוב ישיר של תיקים לוועדות בהרכבים שונים המתאימים לדיון בהם; הקמה והסדרה של הרכבי ועדות ההשגות המחוזיות ושל הוועדה העליונה; וקביעת לוחות זמנים מחייבים לכל שלב בטיפול בהשגה.</w:t>
      </w:r>
    </w:p>
    <w:p w:rsidR="00DC5B13" w:rsidRPr="00DC5B13" w:rsidP="00C34B23">
      <w:pPr>
        <w:spacing w:line="269" w:lineRule="auto"/>
        <w:ind w:left="-567"/>
        <w:rPr>
          <w:rFonts w:eastAsia="Calibri"/>
          <w:szCs w:val="20"/>
          <w:rtl/>
        </w:rPr>
      </w:pPr>
    </w:p>
    <w:p w:rsidR="00DC5B13" w:rsidP="00C34B23">
      <w:pPr>
        <w:spacing w:line="269" w:lineRule="auto"/>
        <w:rPr>
          <w:rFonts w:eastAsia="Calibri"/>
          <w:rtl/>
        </w:rPr>
      </w:pPr>
      <w:r w:rsidRPr="00DC5B13">
        <w:rPr>
          <w:rFonts w:eastAsia="Calibri" w:hint="cs"/>
          <w:rtl/>
        </w:rPr>
        <w:t>רמ"י מסרה בתשובתה כי היא סבורה שפערים בין הערכות שווי הם תופעה מוכרת במיזמים מסוג זה. לדבריה פערים הנובעים מהבדלים בהנחות עבודה, בעיתוי הבדיקות השמאיות ומשינויים בתנאי השוק, אינם מעידים כשלעצמם על כשל ניהולי. עם זאת רמ"י מכירה בצורך בייעול ההליכים ופעלה בהתאם לכך. על כן התקבלה החלטה 5748, שנועדה להסדיר באופן רוחבי הליכי שריון והקצאה של קרקעות משלימות, לחדד את תכולת שלבי הבדיקה השמאית ובכך לתרום לקיצור לוחות הזמנים. כמו כן טענה רמ"י כי היא הטמיעה מנגנונים לשיפור תהליכי העבודה ובהם נהלים להעברת מחלוקות להכרעה מקצועית בשלבים מוקדמים יותר של תהליך הקצאת הקרקע המשלימה, קביעת סדרי עדיפות לקידום מיזמים וחיזוק הבקרה על משכי הטיפול בהשגות המוגשות לה.</w:t>
      </w:r>
    </w:p>
    <w:p w:rsidR="00037943" w:rsidRPr="00DC5B13" w:rsidP="00C34B23">
      <w:pPr>
        <w:spacing w:line="269" w:lineRule="auto"/>
        <w:rPr>
          <w:rFonts w:eastAsia="Calibri"/>
          <w:rtl/>
        </w:rPr>
      </w:pPr>
    </w:p>
    <w:bookmarkEnd w:id="42"/>
    <w:p w:rsidR="00DC5B13" w:rsidRPr="00DC5B13" w:rsidP="00C34B23">
      <w:pPr>
        <w:keepNext/>
        <w:keepLines/>
        <w:spacing w:line="269" w:lineRule="auto"/>
        <w:outlineLvl w:val="2"/>
        <w:rPr>
          <w:rFonts w:eastAsia="Times New Roman"/>
          <w:bCs/>
          <w:szCs w:val="28"/>
          <w:u w:val="single"/>
          <w:rtl/>
        </w:rPr>
      </w:pPr>
      <w:r w:rsidRPr="00DC5B13">
        <w:rPr>
          <w:rFonts w:eastAsia="Times New Roman" w:hint="cs"/>
          <w:bCs/>
          <w:szCs w:val="28"/>
          <w:u w:val="single"/>
          <w:rtl/>
        </w:rPr>
        <w:t>קריית ים:</w:t>
      </w:r>
      <w:r w:rsidRPr="00DC5B13">
        <w:rPr>
          <w:rFonts w:eastAsia="Times New Roman" w:hint="cs"/>
          <w:bCs/>
          <w:szCs w:val="28"/>
          <w:u w:val="single"/>
        </w:rPr>
        <w:t xml:space="preserve"> </w:t>
      </w:r>
      <w:r w:rsidRPr="00DC5B13">
        <w:rPr>
          <w:rFonts w:eastAsia="Times New Roman" w:hint="cs"/>
          <w:bCs/>
          <w:szCs w:val="28"/>
          <w:u w:val="single"/>
          <w:rtl/>
        </w:rPr>
        <w:t>מתחם יוספטל - ודאות כלכלית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בשנת 2018 החלה עיריית קריית ים לקדם עם רמ"י תוכנית פינוי-בינוי בשכונת יוספטל בעיר </w:t>
      </w:r>
      <w:r w:rsidRPr="00DC5B13">
        <w:rPr>
          <w:rFonts w:eastAsia="Calibri"/>
          <w:rtl/>
        </w:rPr>
        <w:t>הנמצאת בקו הראשון לים, סמוך לרצועת החוף הטבעית של קרי</w:t>
      </w:r>
      <w:r w:rsidRPr="00DC5B13">
        <w:rPr>
          <w:rFonts w:eastAsia="Calibri" w:hint="cs"/>
          <w:rtl/>
        </w:rPr>
        <w:t>י</w:t>
      </w:r>
      <w:r w:rsidRPr="00DC5B13">
        <w:rPr>
          <w:rFonts w:eastAsia="Calibri"/>
          <w:rtl/>
        </w:rPr>
        <w:t>ת ים, וממערב לרחובות יוספטל ופנחס ספיר.</w:t>
      </w:r>
      <w:r w:rsidRPr="00DC5B13">
        <w:rPr>
          <w:rFonts w:eastAsia="Calibri" w:hint="cs"/>
          <w:rtl/>
        </w:rPr>
        <w:t xml:space="preserve"> התוכנית להתחדשות עירונית כוללת </w:t>
      </w:r>
      <w:r w:rsidRPr="00DC5B13">
        <w:rPr>
          <w:rFonts w:eastAsia="Calibri"/>
          <w:rtl/>
        </w:rPr>
        <w:t>פינוי של 452 יחידות דיור קיימות ב</w:t>
      </w:r>
      <w:r w:rsidRPr="00DC5B13">
        <w:rPr>
          <w:rFonts w:eastAsia="Calibri" w:hint="cs"/>
          <w:rtl/>
        </w:rPr>
        <w:t xml:space="preserve">-14 </w:t>
      </w:r>
      <w:r w:rsidRPr="00DC5B13">
        <w:rPr>
          <w:rFonts w:eastAsia="Calibri"/>
          <w:rtl/>
        </w:rPr>
        <w:t>שיכונים ישנים ובנ</w:t>
      </w:r>
      <w:r w:rsidRPr="00DC5B13">
        <w:rPr>
          <w:rFonts w:eastAsia="Calibri" w:hint="cs"/>
          <w:rtl/>
        </w:rPr>
        <w:t>י</w:t>
      </w:r>
      <w:r w:rsidRPr="00DC5B13">
        <w:rPr>
          <w:rFonts w:eastAsia="Calibri"/>
          <w:rtl/>
        </w:rPr>
        <w:t>יה של 1,876 יחידות דיור חדשות, שטחי תעסוקה ומבני ציבור, דיור מיוחד, שטחים פתוחים</w:t>
      </w:r>
      <w:r w:rsidRPr="00DC5B13">
        <w:rPr>
          <w:rFonts w:eastAsia="Calibri" w:hint="cs"/>
          <w:rtl/>
        </w:rPr>
        <w:t>,</w:t>
      </w:r>
      <w:r w:rsidRPr="00DC5B13">
        <w:rPr>
          <w:rFonts w:eastAsia="Calibri"/>
          <w:rtl/>
        </w:rPr>
        <w:t xml:space="preserve"> מבני</w:t>
      </w:r>
      <w:r w:rsidRPr="00DC5B13">
        <w:rPr>
          <w:rFonts w:eastAsia="Calibri" w:hint="cs"/>
          <w:rtl/>
        </w:rPr>
        <w:t xml:space="preserve"> ציבור</w:t>
      </w:r>
      <w:r w:rsidRPr="00DC5B13">
        <w:rPr>
          <w:rFonts w:eastAsia="Calibri"/>
          <w:rtl/>
        </w:rPr>
        <w:t xml:space="preserve"> ומוסדות ציבור</w:t>
      </w:r>
      <w:r w:rsidRPr="00DC5B13">
        <w:rPr>
          <w:rFonts w:eastAsia="Calibri" w:hint="cs"/>
          <w:rtl/>
        </w:rPr>
        <w:t xml:space="preserve"> בשטח של כ-115 דונם</w:t>
      </w:r>
      <w:r>
        <w:rPr>
          <w:rFonts w:eastAsia="Calibri"/>
          <w:vertAlign w:val="superscript"/>
          <w:rtl/>
        </w:rPr>
        <w:footnoteReference w:id="160"/>
      </w:r>
      <w:r w:rsidRPr="00DC5B13">
        <w:rPr>
          <w:rFonts w:eastAsia="Calibri"/>
          <w:rtl/>
        </w:rPr>
        <w:t>.</w:t>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בטיוטות השמאות מאוקטובר 2019 ומנובמבר 2020, שנערכו לבקשת צוות התכנון של המיזם נדרש השמאי לבדוק את הכדאיות הכלכלית של המיזם. בטיוטות צוין כי "</w:t>
      </w:r>
      <w:r w:rsidRPr="00DC5B13">
        <w:rPr>
          <w:rFonts w:eastAsia="Calibri"/>
          <w:rtl/>
        </w:rPr>
        <w:t xml:space="preserve">בתחום התכנית קיימים חלקי חלקות </w:t>
      </w:r>
      <w:r w:rsidRPr="00DC5B13">
        <w:rPr>
          <w:rFonts w:eastAsia="Calibri" w:hint="cs"/>
          <w:rtl/>
        </w:rPr>
        <w:t>(</w:t>
      </w:r>
      <w:r w:rsidRPr="00DC5B13">
        <w:rPr>
          <w:rFonts w:eastAsia="Calibri"/>
          <w:rtl/>
        </w:rPr>
        <w:t>עליהן לא קיימים מבני מגורים</w:t>
      </w:r>
      <w:r w:rsidRPr="00DC5B13">
        <w:rPr>
          <w:rFonts w:eastAsia="Calibri" w:hint="cs"/>
          <w:rtl/>
        </w:rPr>
        <w:t>)</w:t>
      </w:r>
      <w:r w:rsidRPr="00DC5B13">
        <w:rPr>
          <w:rFonts w:eastAsia="Calibri"/>
          <w:rtl/>
        </w:rPr>
        <w:t xml:space="preserve"> בייעוד מגורים/מלונאות</w:t>
      </w:r>
      <w:r w:rsidRPr="00DC5B13">
        <w:rPr>
          <w:rFonts w:eastAsia="Calibri" w:hint="cs"/>
          <w:rtl/>
        </w:rPr>
        <w:t xml:space="preserve"> </w:t>
      </w:r>
      <w:r w:rsidRPr="00DC5B13">
        <w:rPr>
          <w:rFonts w:eastAsia="Calibri"/>
          <w:rtl/>
        </w:rPr>
        <w:t>ובבעלות קק"ל/מדינת ישראל. הנחת העבודה עליה נתבקשתי להתבסס בשלב זה, כי חלקי חלקות</w:t>
      </w:r>
      <w:r w:rsidRPr="00DC5B13">
        <w:rPr>
          <w:rFonts w:eastAsia="Calibri" w:hint="cs"/>
          <w:rtl/>
        </w:rPr>
        <w:t xml:space="preserve"> </w:t>
      </w:r>
      <w:r w:rsidRPr="00DC5B13">
        <w:rPr>
          <w:rFonts w:eastAsia="Calibri"/>
          <w:rtl/>
        </w:rPr>
        <w:t>אלו ייגרעו מתחום התכנית ו/או רמ"י לא תדרוש תמורה בגינן</w:t>
      </w:r>
      <w:r w:rsidRPr="00DC5B13">
        <w:rPr>
          <w:rFonts w:eastAsia="Calibri" w:hint="cs"/>
          <w:rtl/>
        </w:rPr>
        <w:t>"</w:t>
      </w:r>
      <w:r w:rsidRPr="00DC5B13">
        <w:rPr>
          <w:rFonts w:eastAsia="Calibri"/>
          <w:rtl/>
        </w:rPr>
        <w:t>.</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בטיוטת השמאות ממרץ 2023 צוין </w:t>
      </w:r>
      <w:r w:rsidRPr="00DC5B13">
        <w:rPr>
          <w:rFonts w:eastAsia="Calibri"/>
          <w:rtl/>
        </w:rPr>
        <w:t xml:space="preserve">כי בתחום </w:t>
      </w:r>
      <w:r w:rsidRPr="00DC5B13">
        <w:rPr>
          <w:rFonts w:eastAsia="Calibri" w:hint="cs"/>
          <w:rtl/>
        </w:rPr>
        <w:t>של גבולות התוכנית מגרש בבעלות ציבורית (להלן - מגרש 41) במתחם 2, ו</w:t>
      </w:r>
      <w:r w:rsidRPr="00DC5B13">
        <w:rPr>
          <w:rFonts w:eastAsia="Calibri"/>
          <w:rtl/>
        </w:rPr>
        <w:t xml:space="preserve">סוכם </w:t>
      </w:r>
      <w:r w:rsidRPr="00DC5B13">
        <w:rPr>
          <w:rFonts w:eastAsia="Calibri" w:hint="cs"/>
          <w:rtl/>
        </w:rPr>
        <w:t xml:space="preserve">שמגרש זה </w:t>
      </w:r>
      <w:r w:rsidRPr="00DC5B13">
        <w:rPr>
          <w:rFonts w:eastAsia="Calibri"/>
          <w:rtl/>
        </w:rPr>
        <w:t xml:space="preserve">וזכויות </w:t>
      </w:r>
      <w:r w:rsidRPr="00DC5B13">
        <w:rPr>
          <w:rFonts w:eastAsia="Calibri" w:hint="cs"/>
          <w:rtl/>
        </w:rPr>
        <w:t>ה</w:t>
      </w:r>
      <w:r w:rsidRPr="00DC5B13">
        <w:rPr>
          <w:rFonts w:eastAsia="Calibri"/>
          <w:rtl/>
        </w:rPr>
        <w:t>בני</w:t>
      </w:r>
      <w:r w:rsidRPr="00DC5B13">
        <w:rPr>
          <w:rFonts w:eastAsia="Calibri" w:hint="cs"/>
          <w:rtl/>
        </w:rPr>
        <w:t>י</w:t>
      </w:r>
      <w:r w:rsidRPr="00DC5B13">
        <w:rPr>
          <w:rFonts w:eastAsia="Calibri"/>
          <w:rtl/>
        </w:rPr>
        <w:t xml:space="preserve">ה </w:t>
      </w:r>
      <w:r w:rsidRPr="00DC5B13">
        <w:rPr>
          <w:rFonts w:eastAsia="Calibri" w:hint="cs"/>
          <w:rtl/>
        </w:rPr>
        <w:t>בו אינם נכללים ב</w:t>
      </w:r>
      <w:r w:rsidRPr="00DC5B13">
        <w:rPr>
          <w:rFonts w:eastAsia="Calibri"/>
          <w:rtl/>
        </w:rPr>
        <w:t xml:space="preserve">בדיקה הכלכלית. </w:t>
      </w:r>
      <w:r w:rsidRPr="00DC5B13">
        <w:rPr>
          <w:rFonts w:eastAsia="Calibri" w:hint="cs"/>
          <w:rtl/>
        </w:rPr>
        <w:t>בטיוטת השמאות מ-2023 עלה כי בסיכום ממצאי הבדיקה הכלכלית לכלל התוכנית כמקשה אחת, שיעור הרווח, לא כולל מענק, הוא 15.6%</w:t>
      </w:r>
      <w:r>
        <w:rPr>
          <w:rFonts w:eastAsia="Calibri"/>
          <w:vertAlign w:val="superscript"/>
          <w:rtl/>
        </w:rPr>
        <w:footnoteReference w:id="161"/>
      </w:r>
      <w:r w:rsidRPr="00DC5B13">
        <w:rPr>
          <w:rFonts w:eastAsia="Calibri" w:hint="cs"/>
          <w:rtl/>
        </w:rPr>
        <w:t>. עוד צוין כי ממצאי הבדיקה הכלכלית לפי מתחמים העלו, כי נוכח ההחלטה לגרוע את מגרש 41 ירד שיעור הרווח במתחם 2 ל-12.2%, מתחת לרף הרווח המזערי המקובל</w:t>
      </w:r>
      <w:r>
        <w:rPr>
          <w:rFonts w:eastAsia="Calibri"/>
          <w:vertAlign w:val="superscript"/>
          <w:rtl/>
        </w:rPr>
        <w:footnoteReference w:id="162"/>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במאי 2023 הוגשה תוכנית התחדשות עירונית למתחם, והיא אושרה בדצמבר 2023 על ידי הוועדה הארצית למתחמים מועדפים לדיור ולפיתוח מוטה תחבורה ציבורית (להלן - הוותמ"ל)</w:t>
      </w:r>
      <w:r>
        <w:rPr>
          <w:rFonts w:eastAsia="Calibri"/>
          <w:vertAlign w:val="superscript"/>
          <w:rtl/>
        </w:rPr>
        <w:footnoteReference w:id="163"/>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לאחר אישור התוכנית בדצמבר 2023 כאמור הגישו החברה היזמית ובעלי דירות במיזם עתירה מינהלית לבית המשפט לעניינים מינהליים</w:t>
      </w:r>
      <w:r w:rsidRPr="00DC5B13">
        <w:rPr>
          <w:rFonts w:eastAsia="Calibri" w:hint="cs"/>
        </w:rPr>
        <w:t xml:space="preserve"> </w:t>
      </w:r>
      <w:r w:rsidRPr="00DC5B13">
        <w:rPr>
          <w:rFonts w:eastAsia="Calibri" w:hint="cs"/>
          <w:rtl/>
        </w:rPr>
        <w:t xml:space="preserve">נגד החלטת הוותמ"ל, וזאת לאחר שהוותמ"ל דחתה את התנגדותם. </w:t>
      </w:r>
      <w:r w:rsidRPr="00DC5B13">
        <w:rPr>
          <w:rFonts w:eastAsia="Calibri"/>
          <w:rtl/>
        </w:rPr>
        <w:t xml:space="preserve">העותרים ביקשו להחזיר את הדיון לוועדת המשנה להתנגדויות </w:t>
      </w:r>
      <w:r w:rsidRPr="00DC5B13">
        <w:rPr>
          <w:rFonts w:eastAsia="Calibri" w:hint="cs"/>
          <w:rtl/>
        </w:rPr>
        <w:t xml:space="preserve">ולהורות </w:t>
      </w:r>
      <w:r w:rsidRPr="00DC5B13">
        <w:rPr>
          <w:rFonts w:eastAsia="Calibri"/>
          <w:rtl/>
        </w:rPr>
        <w:t xml:space="preserve">למנות מומחה בלתי תלוי בתחום הבנייה </w:t>
      </w:r>
      <w:r w:rsidRPr="00DC5B13">
        <w:rPr>
          <w:rFonts w:eastAsia="Calibri" w:hint="cs"/>
          <w:rtl/>
        </w:rPr>
        <w:t xml:space="preserve">כדי </w:t>
      </w:r>
      <w:r w:rsidRPr="00DC5B13">
        <w:rPr>
          <w:rFonts w:eastAsia="Calibri"/>
          <w:rtl/>
        </w:rPr>
        <w:t>לבחון את עלויות הבנייה הצפויות</w:t>
      </w:r>
      <w:r w:rsidRPr="00DC5B13">
        <w:rPr>
          <w:rFonts w:eastAsia="Calibri" w:hint="cs"/>
          <w:rtl/>
        </w:rPr>
        <w:t>. הם ביקשו</w:t>
      </w:r>
      <w:r w:rsidRPr="00DC5B13">
        <w:rPr>
          <w:rFonts w:eastAsia="Calibri"/>
          <w:rtl/>
        </w:rPr>
        <w:t xml:space="preserve"> </w:t>
      </w:r>
      <w:r w:rsidRPr="00DC5B13">
        <w:rPr>
          <w:rFonts w:eastAsia="Calibri" w:hint="cs"/>
          <w:rtl/>
        </w:rPr>
        <w:t xml:space="preserve">גם </w:t>
      </w:r>
      <w:r w:rsidRPr="00DC5B13">
        <w:rPr>
          <w:rFonts w:eastAsia="Calibri"/>
          <w:rtl/>
        </w:rPr>
        <w:t>לעדכן את מסמכי התוכנית</w:t>
      </w:r>
      <w:r w:rsidRPr="00DC5B13">
        <w:rPr>
          <w:rFonts w:eastAsia="Calibri" w:hint="cs"/>
          <w:rtl/>
        </w:rPr>
        <w:t>,</w:t>
      </w:r>
      <w:r w:rsidRPr="00DC5B13">
        <w:rPr>
          <w:rFonts w:eastAsia="Calibri"/>
          <w:rtl/>
        </w:rPr>
        <w:t xml:space="preserve"> </w:t>
      </w:r>
      <w:r w:rsidRPr="00DC5B13">
        <w:rPr>
          <w:rFonts w:eastAsia="Calibri" w:hint="cs"/>
          <w:rtl/>
        </w:rPr>
        <w:t xml:space="preserve">ובפרט את המסמכים </w:t>
      </w:r>
      <w:r w:rsidRPr="00DC5B13">
        <w:rPr>
          <w:rFonts w:eastAsia="Calibri"/>
          <w:rtl/>
        </w:rPr>
        <w:t>הכלכליים והשמאיים</w:t>
      </w:r>
      <w:r w:rsidRPr="00DC5B13">
        <w:rPr>
          <w:rFonts w:eastAsia="Calibri" w:hint="cs"/>
          <w:rtl/>
        </w:rPr>
        <w:t>,</w:t>
      </w:r>
      <w:r w:rsidRPr="00DC5B13">
        <w:rPr>
          <w:rFonts w:eastAsia="Calibri"/>
          <w:rtl/>
        </w:rPr>
        <w:t xml:space="preserve"> בהתחשב בתנאים הכלכליים העדכניים בישראל, כולל השפעת</w:t>
      </w:r>
      <w:r w:rsidRPr="00DC5B13">
        <w:rPr>
          <w:rFonts w:eastAsia="Calibri" w:hint="cs"/>
          <w:rtl/>
        </w:rPr>
        <w:t>ה של</w:t>
      </w:r>
      <w:r w:rsidRPr="00DC5B13">
        <w:rPr>
          <w:rFonts w:eastAsia="Calibri"/>
          <w:rtl/>
        </w:rPr>
        <w:t xml:space="preserve"> מלחמת חרבות ברזל</w:t>
      </w:r>
      <w:r w:rsidRPr="00DC5B13">
        <w:rPr>
          <w:rFonts w:eastAsia="Calibri" w:hint="cs"/>
          <w:rtl/>
        </w:rPr>
        <w:t>, ולהביא בחשבון את העלויות העודפות בשל מי תהום גבוהים במיוחד,</w:t>
      </w:r>
      <w:r w:rsidRPr="00DC5B13">
        <w:rPr>
          <w:rFonts w:eastAsia="Calibri"/>
          <w:rtl/>
        </w:rPr>
        <w:t xml:space="preserve"> העלולות לפגוע בהיתכנות הכלכלית של התוכנית.</w:t>
      </w:r>
      <w:r w:rsidRPr="00DC5B13">
        <w:rPr>
          <w:rFonts w:eastAsia="Calibri" w:hint="cs"/>
          <w:rtl/>
        </w:rPr>
        <w:t xml:space="preserve"> כמו כן ביקשו העותרים </w:t>
      </w:r>
      <w:r w:rsidRPr="00DC5B13">
        <w:rPr>
          <w:rFonts w:eastAsia="Calibri"/>
          <w:rtl/>
        </w:rPr>
        <w:t>לערוך מחדש את המסמכים הנוגעים לאיחוד וחלוקה של מתחם 2 ולקבוע פתרון משפטי וכלכלי שיבטיח ודאות גבוהה של כדאיות כלכלית.</w:t>
      </w:r>
    </w:p>
    <w:p w:rsidR="00DC5B13" w:rsidRPr="00DC5B13" w:rsidP="00C34B23">
      <w:pPr>
        <w:spacing w:line="269" w:lineRule="auto"/>
        <w:rPr>
          <w:rFonts w:eastAsia="Calibri"/>
          <w:szCs w:val="20"/>
          <w:rtl/>
        </w:rPr>
      </w:pPr>
      <w:bookmarkStart w:id="43" w:name="_Hlk230600994"/>
    </w:p>
    <w:p w:rsidR="00DC5B13" w:rsidRPr="00DC5B13" w:rsidP="00C34B23">
      <w:pPr>
        <w:spacing w:line="269" w:lineRule="auto"/>
        <w:rPr>
          <w:rFonts w:eastAsia="Calibri"/>
          <w:rtl/>
        </w:rPr>
      </w:pPr>
      <w:r w:rsidRPr="00DC5B13">
        <w:rPr>
          <w:rFonts w:eastAsia="Calibri" w:hint="cs"/>
          <w:rtl/>
        </w:rPr>
        <w:t xml:space="preserve">בית המשפט </w:t>
      </w:r>
      <w:bookmarkEnd w:id="43"/>
      <w:r w:rsidRPr="00DC5B13">
        <w:rPr>
          <w:rFonts w:eastAsia="Calibri" w:hint="cs"/>
          <w:rtl/>
        </w:rPr>
        <w:t xml:space="preserve">קבע כי </w:t>
      </w:r>
      <w:r w:rsidRPr="00DC5B13">
        <w:rPr>
          <w:rFonts w:eastAsia="Calibri"/>
          <w:rtl/>
        </w:rPr>
        <w:t>השיקול הכלכלי כפוף לשיקולי התכנון</w:t>
      </w:r>
      <w:r w:rsidRPr="00DC5B13">
        <w:rPr>
          <w:rFonts w:eastAsia="Calibri" w:hint="cs"/>
          <w:rtl/>
        </w:rPr>
        <w:t xml:space="preserve">, שכן </w:t>
      </w:r>
      <w:r w:rsidRPr="00DC5B13">
        <w:rPr>
          <w:rFonts w:eastAsia="Calibri"/>
          <w:rtl/>
        </w:rPr>
        <w:t xml:space="preserve">התוכנית </w:t>
      </w:r>
      <w:r w:rsidRPr="00DC5B13">
        <w:rPr>
          <w:rFonts w:eastAsia="Calibri" w:hint="cs"/>
          <w:rtl/>
        </w:rPr>
        <w:t xml:space="preserve">לא נועדה ליצור </w:t>
      </w:r>
      <w:r w:rsidRPr="00DC5B13">
        <w:rPr>
          <w:rFonts w:eastAsia="Calibri"/>
          <w:rtl/>
        </w:rPr>
        <w:t xml:space="preserve">רווח ליזם או לדיירים אלא </w:t>
      </w:r>
      <w:r w:rsidRPr="00DC5B13">
        <w:rPr>
          <w:rFonts w:eastAsia="Calibri" w:hint="cs"/>
          <w:rtl/>
        </w:rPr>
        <w:t xml:space="preserve">לספק פתרון </w:t>
      </w:r>
      <w:r w:rsidRPr="00DC5B13">
        <w:rPr>
          <w:rFonts w:eastAsia="Calibri"/>
          <w:rtl/>
        </w:rPr>
        <w:t>תכנוני</w:t>
      </w:r>
      <w:r w:rsidRPr="00DC5B13">
        <w:rPr>
          <w:rFonts w:eastAsia="Calibri" w:hint="cs"/>
          <w:rtl/>
        </w:rPr>
        <w:t>, במקרה זה ל</w:t>
      </w:r>
      <w:r w:rsidRPr="00DC5B13">
        <w:rPr>
          <w:rFonts w:eastAsia="Calibri"/>
          <w:rtl/>
        </w:rPr>
        <w:t>הזדקנות הבניינים</w:t>
      </w:r>
      <w:r w:rsidRPr="00DC5B13">
        <w:rPr>
          <w:rFonts w:eastAsia="Calibri" w:hint="cs"/>
          <w:rtl/>
        </w:rPr>
        <w:t xml:space="preserve"> ולאי-התאמתם</w:t>
      </w:r>
      <w:r w:rsidRPr="00DC5B13">
        <w:rPr>
          <w:rFonts w:eastAsia="Calibri"/>
          <w:rtl/>
        </w:rPr>
        <w:t xml:space="preserve"> לדרישות התכנו</w:t>
      </w:r>
      <w:r w:rsidRPr="00DC5B13">
        <w:rPr>
          <w:rFonts w:eastAsia="Calibri" w:hint="cs"/>
          <w:rtl/>
        </w:rPr>
        <w:t>ן</w:t>
      </w:r>
      <w:r w:rsidRPr="00DC5B13">
        <w:rPr>
          <w:rFonts w:eastAsia="Calibri"/>
          <w:rtl/>
        </w:rPr>
        <w:t xml:space="preserve"> ו</w:t>
      </w:r>
      <w:r w:rsidRPr="00DC5B13">
        <w:rPr>
          <w:rFonts w:eastAsia="Calibri" w:hint="cs"/>
          <w:rtl/>
        </w:rPr>
        <w:t xml:space="preserve">לדרישות </w:t>
      </w:r>
      <w:r w:rsidRPr="00DC5B13">
        <w:rPr>
          <w:rFonts w:eastAsia="Calibri"/>
          <w:rtl/>
        </w:rPr>
        <w:t>הבטיחות הקיימות</w:t>
      </w:r>
      <w:r w:rsidRPr="00DC5B13">
        <w:rPr>
          <w:rFonts w:eastAsia="Calibri" w:hint="cs"/>
          <w:rtl/>
        </w:rPr>
        <w:t>, וכי אומנם התוכנית לא תמומש</w:t>
      </w:r>
      <w:r w:rsidRPr="00DC5B13">
        <w:rPr>
          <w:rFonts w:eastAsia="Calibri"/>
          <w:rtl/>
        </w:rPr>
        <w:t xml:space="preserve"> אם היא </w:t>
      </w:r>
      <w:r w:rsidRPr="00DC5B13">
        <w:rPr>
          <w:rFonts w:eastAsia="Calibri" w:hint="cs"/>
          <w:rtl/>
        </w:rPr>
        <w:t xml:space="preserve">לא </w:t>
      </w:r>
      <w:r w:rsidRPr="00DC5B13">
        <w:rPr>
          <w:rFonts w:eastAsia="Calibri"/>
          <w:rtl/>
        </w:rPr>
        <w:t>מייצרת רווח שיאפשר את מימושה, אבל התכנון אינו כפוף לכדאיות הכלכלית אלא צריך להתחשב בכדאיות הכלכלית.</w:t>
      </w:r>
      <w:r w:rsidRPr="00DC5B13">
        <w:rPr>
          <w:rFonts w:eastAsia="Calibri" w:hint="cs"/>
          <w:rtl/>
        </w:rPr>
        <w:t xml:space="preserve"> עם זאת בית המשפט קיבל חלק מן העתירה, וקבע כי ביצועה של התוכנית כולה יעוכב </w:t>
      </w:r>
      <w:r w:rsidRPr="00DC5B13">
        <w:rPr>
          <w:rFonts w:eastAsia="Calibri"/>
          <w:rtl/>
        </w:rPr>
        <w:t>ו</w:t>
      </w:r>
      <w:r w:rsidRPr="00DC5B13">
        <w:rPr>
          <w:rFonts w:eastAsia="Calibri" w:hint="cs"/>
          <w:rtl/>
        </w:rPr>
        <w:t xml:space="preserve">כי </w:t>
      </w:r>
      <w:r w:rsidRPr="00DC5B13">
        <w:rPr>
          <w:rFonts w:eastAsia="Calibri"/>
          <w:rtl/>
        </w:rPr>
        <w:t xml:space="preserve">הדיון יוחזר </w:t>
      </w:r>
      <w:r w:rsidRPr="00DC5B13">
        <w:rPr>
          <w:rFonts w:eastAsia="Calibri" w:hint="cs"/>
          <w:rtl/>
        </w:rPr>
        <w:t>לוותמ"ל</w:t>
      </w:r>
      <w:r w:rsidRPr="00DC5B13">
        <w:rPr>
          <w:rFonts w:eastAsia="Calibri"/>
          <w:rtl/>
        </w:rPr>
        <w:t xml:space="preserve"> לבחינה מחודשת של אישור התוכנית לגבי מתחם 2 </w:t>
      </w:r>
      <w:r w:rsidRPr="00DC5B13">
        <w:rPr>
          <w:rFonts w:eastAsia="Calibri" w:hint="cs"/>
          <w:rtl/>
        </w:rPr>
        <w:t>לאחר</w:t>
      </w:r>
      <w:r w:rsidRPr="00DC5B13">
        <w:rPr>
          <w:rFonts w:eastAsia="Calibri"/>
          <w:rtl/>
        </w:rPr>
        <w:t xml:space="preserve"> הסדרה מפורטת ומוסכמת בין רמ"י, בעלי הזכויות וה</w:t>
      </w:r>
      <w:r w:rsidRPr="00DC5B13">
        <w:rPr>
          <w:rFonts w:eastAsia="Calibri" w:hint="cs"/>
          <w:rtl/>
        </w:rPr>
        <w:t>חברה היזמית</w:t>
      </w:r>
      <w:r w:rsidRPr="00DC5B13">
        <w:rPr>
          <w:rFonts w:eastAsia="Calibri"/>
          <w:rtl/>
        </w:rPr>
        <w:t xml:space="preserve"> של הכדאיות הכלכלית </w:t>
      </w:r>
      <w:r w:rsidRPr="00DC5B13">
        <w:rPr>
          <w:rFonts w:eastAsia="Calibri" w:hint="cs"/>
          <w:rtl/>
        </w:rPr>
        <w:t>של התכנית</w:t>
      </w:r>
      <w:r w:rsidRPr="00DC5B13">
        <w:rPr>
          <w:rFonts w:eastAsia="Calibri"/>
          <w:rtl/>
        </w:rPr>
        <w:t xml:space="preserve">. לאחר אישור </w:t>
      </w:r>
      <w:r w:rsidRPr="00DC5B13">
        <w:rPr>
          <w:rFonts w:eastAsia="Calibri" w:hint="cs"/>
          <w:rtl/>
        </w:rPr>
        <w:t>התוכנית</w:t>
      </w:r>
      <w:r w:rsidRPr="00DC5B13">
        <w:rPr>
          <w:rFonts w:eastAsia="Calibri"/>
          <w:rtl/>
        </w:rPr>
        <w:t xml:space="preserve"> של מתחם 2 יוסר עיכוב </w:t>
      </w:r>
      <w:r w:rsidRPr="00DC5B13">
        <w:rPr>
          <w:rFonts w:eastAsia="Calibri" w:hint="cs"/>
          <w:rtl/>
        </w:rPr>
        <w:t>ביצועה של התוכנית כאמור</w:t>
      </w:r>
      <w:r w:rsidRPr="00DC5B13">
        <w:rPr>
          <w:rFonts w:eastAsia="Calibri"/>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הן המדינה והן החברה היזמית ערערו על ההחלטה. בכתב הערעור מטעם המדינה</w:t>
      </w:r>
      <w:r w:rsidRPr="00DC5B13">
        <w:rPr>
          <w:rFonts w:eastAsia="Calibri"/>
          <w:rtl/>
        </w:rPr>
        <w:t xml:space="preserve"> </w:t>
      </w:r>
      <w:r w:rsidRPr="00DC5B13">
        <w:rPr>
          <w:rFonts w:eastAsia="Calibri" w:hint="cs"/>
          <w:rtl/>
        </w:rPr>
        <w:t>היא</w:t>
      </w:r>
      <w:r w:rsidRPr="00DC5B13">
        <w:rPr>
          <w:rFonts w:eastAsia="Calibri"/>
          <w:rtl/>
        </w:rPr>
        <w:t xml:space="preserve"> </w:t>
      </w:r>
      <w:r w:rsidRPr="00DC5B13">
        <w:rPr>
          <w:rFonts w:eastAsia="Calibri" w:hint="cs"/>
          <w:rtl/>
        </w:rPr>
        <w:t>ה</w:t>
      </w:r>
      <w:r w:rsidRPr="00DC5B13">
        <w:rPr>
          <w:rFonts w:eastAsia="Calibri"/>
          <w:rtl/>
        </w:rPr>
        <w:t>דגישה כי כדאיות כלכלית אינה תנאי לאישור תוכניות</w:t>
      </w:r>
      <w:r w:rsidRPr="00DC5B13">
        <w:rPr>
          <w:rFonts w:eastAsia="Calibri" w:hint="cs"/>
          <w:rtl/>
        </w:rPr>
        <w:t xml:space="preserve"> והדבר תקף גם ביחס לתוכנית האמורה</w:t>
      </w:r>
      <w:r w:rsidRPr="00DC5B13">
        <w:rPr>
          <w:rFonts w:eastAsia="Calibri"/>
          <w:rtl/>
        </w:rPr>
        <w:t xml:space="preserve">. בקשר לתוכנית הנדונה </w:t>
      </w:r>
      <w:r w:rsidRPr="00DC5B13">
        <w:rPr>
          <w:rFonts w:eastAsia="Calibri" w:hint="cs"/>
          <w:rtl/>
        </w:rPr>
        <w:t>קבעה הוותמ"ל</w:t>
      </w:r>
      <w:r w:rsidRPr="00DC5B13">
        <w:rPr>
          <w:rFonts w:eastAsia="Calibri"/>
          <w:rtl/>
        </w:rPr>
        <w:t xml:space="preserve"> כי ישימותה הכלכלית של התוכנית אינה תלויה רק במתחם 2</w:t>
      </w:r>
      <w:r w:rsidRPr="00DC5B13">
        <w:rPr>
          <w:rFonts w:eastAsia="Calibri" w:hint="cs"/>
          <w:rtl/>
        </w:rPr>
        <w:t xml:space="preserve">, והיא ישימה מבחינה כלכלית וצפויה להתממש במלואה. עוד צוין כי </w:t>
      </w:r>
      <w:r w:rsidRPr="00DC5B13">
        <w:rPr>
          <w:rFonts w:eastAsia="Calibri"/>
          <w:rtl/>
        </w:rPr>
        <w:t>החלוקה ל</w:t>
      </w:r>
      <w:r w:rsidRPr="00DC5B13">
        <w:rPr>
          <w:rFonts w:eastAsia="Calibri" w:hint="cs"/>
          <w:rtl/>
        </w:rPr>
        <w:t>כמה</w:t>
      </w:r>
      <w:r w:rsidRPr="00DC5B13">
        <w:rPr>
          <w:rFonts w:eastAsia="Calibri"/>
          <w:rtl/>
        </w:rPr>
        <w:t xml:space="preserve"> מתחמי איחוד וחלוקה מאפשרת לא רק </w:t>
      </w:r>
      <w:r w:rsidRPr="00DC5B13">
        <w:rPr>
          <w:rFonts w:eastAsia="Calibri" w:hint="cs"/>
          <w:rtl/>
        </w:rPr>
        <w:t xml:space="preserve">ביצוע של התוכנית בשלבים, </w:t>
      </w:r>
      <w:r w:rsidRPr="00DC5B13">
        <w:rPr>
          <w:rFonts w:eastAsia="Calibri"/>
          <w:rtl/>
        </w:rPr>
        <w:t xml:space="preserve">אלא שיישום התוכנית במתחמים בעלי </w:t>
      </w:r>
      <w:r w:rsidRPr="00DC5B13">
        <w:rPr>
          <w:rFonts w:eastAsia="Calibri"/>
          <w:rtl/>
        </w:rPr>
        <w:t>הכדאיות הכלכלית הגבוהה עשוי להביא ל</w:t>
      </w:r>
      <w:r w:rsidRPr="00DC5B13">
        <w:rPr>
          <w:rFonts w:eastAsia="Calibri" w:hint="cs"/>
          <w:rtl/>
        </w:rPr>
        <w:t xml:space="preserve">ידי </w:t>
      </w:r>
      <w:r w:rsidRPr="00DC5B13">
        <w:rPr>
          <w:rFonts w:eastAsia="Calibri"/>
          <w:rtl/>
        </w:rPr>
        <w:t>עליי</w:t>
      </w:r>
      <w:r w:rsidRPr="00DC5B13">
        <w:rPr>
          <w:rFonts w:eastAsia="Calibri" w:hint="cs"/>
          <w:rtl/>
        </w:rPr>
        <w:t xml:space="preserve">ה של </w:t>
      </w:r>
      <w:r w:rsidRPr="00DC5B13">
        <w:rPr>
          <w:rFonts w:eastAsia="Calibri"/>
          <w:rtl/>
        </w:rPr>
        <w:t>ערך הקרקע במתחם 2, ו</w:t>
      </w:r>
      <w:r w:rsidRPr="00DC5B13">
        <w:rPr>
          <w:rFonts w:eastAsia="Calibri" w:hint="cs"/>
          <w:rtl/>
        </w:rPr>
        <w:t xml:space="preserve">מכאן </w:t>
      </w:r>
      <w:r w:rsidRPr="00DC5B13">
        <w:rPr>
          <w:rFonts w:eastAsia="Calibri"/>
          <w:rtl/>
        </w:rPr>
        <w:t>לשיפור הכדאיות הכלכלית בו</w:t>
      </w:r>
      <w:r>
        <w:rPr>
          <w:rFonts w:eastAsia="Calibri"/>
          <w:vertAlign w:val="superscript"/>
          <w:rtl/>
        </w:rPr>
        <w:footnoteReference w:id="164"/>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בדצמבר 2024</w:t>
      </w:r>
      <w:r w:rsidRPr="00DC5B13">
        <w:rPr>
          <w:rFonts w:eastAsia="Calibri"/>
          <w:rtl/>
        </w:rPr>
        <w:t xml:space="preserve"> </w:t>
      </w:r>
      <w:r w:rsidRPr="00DC5B13">
        <w:rPr>
          <w:rFonts w:eastAsia="Calibri" w:hint="cs"/>
          <w:rtl/>
        </w:rPr>
        <w:t xml:space="preserve">נתן </w:t>
      </w:r>
      <w:r w:rsidRPr="00DC5B13">
        <w:rPr>
          <w:rFonts w:eastAsia="Calibri"/>
          <w:rtl/>
        </w:rPr>
        <w:t>בית המשפט העליון</w:t>
      </w:r>
      <w:r w:rsidRPr="00DC5B13">
        <w:rPr>
          <w:rFonts w:eastAsia="Calibri" w:hint="cs"/>
          <w:rtl/>
        </w:rPr>
        <w:t xml:space="preserve"> תוקף של פסק דין להסכמה שהושגה בין הצדדים, ולפיה ערעור המדינה התקבל והערעור של החברה היזמית נדחה כך ש</w:t>
      </w:r>
      <w:r w:rsidRPr="00DC5B13">
        <w:rPr>
          <w:rFonts w:eastAsia="Calibri"/>
          <w:rtl/>
        </w:rPr>
        <w:t>כלל החלטות התכנו</w:t>
      </w:r>
      <w:r w:rsidRPr="00DC5B13">
        <w:rPr>
          <w:rFonts w:eastAsia="Calibri" w:hint="cs"/>
          <w:rtl/>
        </w:rPr>
        <w:t xml:space="preserve">ן נותרו בעינן. עוד הוא קבע כי </w:t>
      </w:r>
      <w:r w:rsidRPr="00DC5B13">
        <w:rPr>
          <w:rFonts w:eastAsia="Calibri"/>
          <w:rtl/>
        </w:rPr>
        <w:t xml:space="preserve">הפן הכלכלי של המיזם יוסיף להיבחן </w:t>
      </w:r>
      <w:r w:rsidRPr="00DC5B13">
        <w:rPr>
          <w:rFonts w:eastAsia="Calibri" w:hint="cs"/>
          <w:rtl/>
        </w:rPr>
        <w:t>בשלב הרישוי</w:t>
      </w:r>
      <w:r w:rsidRPr="00DC5B13">
        <w:rPr>
          <w:rFonts w:eastAsia="Calibri"/>
          <w:rtl/>
        </w:rPr>
        <w:t>, בהתאם לפנייה</w:t>
      </w:r>
      <w:r w:rsidRPr="00DC5B13">
        <w:rPr>
          <w:rFonts w:eastAsia="Calibri" w:hint="cs"/>
          <w:rtl/>
        </w:rPr>
        <w:t xml:space="preserve"> </w:t>
      </w:r>
      <w:r w:rsidRPr="00DC5B13">
        <w:rPr>
          <w:rFonts w:eastAsia="Calibri"/>
          <w:rtl/>
        </w:rPr>
        <w:t xml:space="preserve">מתאימה ולהוראות הדין.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ביולי 2025 הגישה החברה היזמית </w:t>
      </w:r>
      <w:r w:rsidRPr="00DC5B13">
        <w:rPr>
          <w:rFonts w:eastAsia="Calibri"/>
          <w:rtl/>
        </w:rPr>
        <w:t xml:space="preserve">בקשה להקצאת קרקע בפטור ממכרז </w:t>
      </w:r>
      <w:r w:rsidRPr="00DC5B13">
        <w:rPr>
          <w:rFonts w:eastAsia="Calibri" w:hint="cs"/>
          <w:rtl/>
        </w:rPr>
        <w:t xml:space="preserve">במסגרת מיזם </w:t>
      </w:r>
      <w:r w:rsidRPr="00DC5B13">
        <w:rPr>
          <w:rFonts w:eastAsia="Calibri"/>
          <w:rtl/>
        </w:rPr>
        <w:t>התחדשות עירונית</w:t>
      </w:r>
      <w:r w:rsidRPr="00DC5B13">
        <w:rPr>
          <w:rFonts w:eastAsia="Calibri" w:hint="cs"/>
          <w:rtl/>
        </w:rPr>
        <w:t xml:space="preserve"> כדי להגביר את הכדאיות הכלכלית של מתחם 2. רמ"י ענתה על הבקשה</w:t>
      </w:r>
      <w:r w:rsidRPr="00DC5B13">
        <w:rPr>
          <w:rFonts w:eastAsia="Calibri"/>
          <w:rtl/>
        </w:rPr>
        <w:t xml:space="preserve"> </w:t>
      </w:r>
      <w:r w:rsidRPr="00DC5B13">
        <w:rPr>
          <w:rFonts w:eastAsia="Calibri" w:hint="cs"/>
          <w:rtl/>
        </w:rPr>
        <w:t xml:space="preserve">האמורה </w:t>
      </w:r>
      <w:r w:rsidRPr="00DC5B13">
        <w:rPr>
          <w:rFonts w:eastAsia="Calibri"/>
          <w:rtl/>
        </w:rPr>
        <w:t xml:space="preserve">כי </w:t>
      </w:r>
      <w:r w:rsidRPr="00DC5B13">
        <w:rPr>
          <w:rFonts w:eastAsia="Calibri" w:hint="cs"/>
          <w:rtl/>
        </w:rPr>
        <w:t>על פי</w:t>
      </w:r>
      <w:r w:rsidRPr="00DC5B13">
        <w:rPr>
          <w:rFonts w:eastAsia="Calibri"/>
          <w:rtl/>
        </w:rPr>
        <w:t xml:space="preserve"> חוו</w:t>
      </w:r>
      <w:r w:rsidRPr="00DC5B13">
        <w:rPr>
          <w:rFonts w:eastAsia="Calibri" w:hint="cs"/>
          <w:rtl/>
        </w:rPr>
        <w:t>ת הדעת</w:t>
      </w:r>
      <w:r w:rsidRPr="00DC5B13">
        <w:rPr>
          <w:rFonts w:eastAsia="Calibri"/>
          <w:rtl/>
        </w:rPr>
        <w:t xml:space="preserve"> </w:t>
      </w:r>
      <w:r w:rsidRPr="00DC5B13">
        <w:rPr>
          <w:rFonts w:eastAsia="Calibri" w:hint="cs"/>
          <w:rtl/>
        </w:rPr>
        <w:t>ה</w:t>
      </w:r>
      <w:r w:rsidRPr="00DC5B13">
        <w:rPr>
          <w:rFonts w:eastAsia="Calibri"/>
          <w:rtl/>
        </w:rPr>
        <w:t>תכנונית</w:t>
      </w:r>
      <w:r w:rsidRPr="00DC5B13">
        <w:rPr>
          <w:rFonts w:eastAsia="Calibri" w:hint="cs"/>
          <w:rtl/>
        </w:rPr>
        <w:t>,</w:t>
      </w:r>
      <w:r w:rsidRPr="00DC5B13">
        <w:rPr>
          <w:rFonts w:eastAsia="Calibri"/>
          <w:rtl/>
        </w:rPr>
        <w:t xml:space="preserve"> </w:t>
      </w:r>
      <w:r w:rsidRPr="00DC5B13">
        <w:rPr>
          <w:rFonts w:eastAsia="Calibri" w:hint="cs"/>
          <w:rtl/>
        </w:rPr>
        <w:t>ה</w:t>
      </w:r>
      <w:r w:rsidRPr="00DC5B13">
        <w:rPr>
          <w:rFonts w:eastAsia="Calibri"/>
          <w:rtl/>
        </w:rPr>
        <w:t>מגרש</w:t>
      </w:r>
      <w:r w:rsidRPr="00DC5B13">
        <w:rPr>
          <w:rFonts w:eastAsia="Calibri" w:hint="cs"/>
          <w:rtl/>
        </w:rPr>
        <w:t xml:space="preserve"> המבוקש הוא</w:t>
      </w:r>
      <w:r w:rsidRPr="00DC5B13">
        <w:rPr>
          <w:rFonts w:eastAsia="Calibri"/>
          <w:rtl/>
        </w:rPr>
        <w:t xml:space="preserve"> מגרש עצמאי אשר ניתן לשווק</w:t>
      </w:r>
      <w:r w:rsidRPr="00DC5B13">
        <w:rPr>
          <w:rFonts w:eastAsia="Calibri" w:hint="cs"/>
          <w:rtl/>
        </w:rPr>
        <w:t>ו ולכן לא ניתן להיענות לבקשת החברה</w:t>
      </w:r>
      <w:r w:rsidRPr="00DC5B13">
        <w:rPr>
          <w:rFonts w:eastAsia="Calibri"/>
          <w:rtl/>
        </w:rPr>
        <w:t xml:space="preserve"> לה</w:t>
      </w:r>
      <w:r w:rsidRPr="00DC5B13">
        <w:rPr>
          <w:rFonts w:eastAsia="Calibri" w:hint="cs"/>
          <w:rtl/>
        </w:rPr>
        <w:t>ק</w:t>
      </w:r>
      <w:r w:rsidRPr="00DC5B13">
        <w:rPr>
          <w:rFonts w:eastAsia="Calibri"/>
          <w:rtl/>
        </w:rPr>
        <w:t xml:space="preserve">צאת המגרש בפטור ממכרז. </w:t>
      </w:r>
      <w:r w:rsidRPr="00DC5B13">
        <w:rPr>
          <w:rFonts w:eastAsia="Calibri" w:hint="cs"/>
          <w:rtl/>
        </w:rPr>
        <w:t xml:space="preserve">רמ"י מסרה לצוות הביקורת כי </w:t>
      </w:r>
      <w:r w:rsidRPr="00DC5B13">
        <w:rPr>
          <w:rFonts w:eastAsia="Calibri"/>
          <w:rtl/>
        </w:rPr>
        <w:t xml:space="preserve">הבקשה נמצאת </w:t>
      </w:r>
      <w:r w:rsidRPr="00DC5B13">
        <w:rPr>
          <w:rFonts w:eastAsia="Calibri" w:hint="cs"/>
          <w:rtl/>
        </w:rPr>
        <w:t>בסיומה של</w:t>
      </w:r>
      <w:r w:rsidRPr="00DC5B13">
        <w:rPr>
          <w:rFonts w:eastAsia="Calibri"/>
          <w:rtl/>
        </w:rPr>
        <w:t xml:space="preserve"> הבדיקה הכלכלית של השמאי.</w:t>
      </w:r>
      <w:r w:rsidRPr="00DC5B13">
        <w:rPr>
          <w:rFonts w:eastAsia="Calibri" w:hint="cs"/>
          <w:rtl/>
        </w:rPr>
        <w:t xml:space="preserve"> מינהלת עיריית קריית ים מסרה לצוות הביקורת כי טרם הוצאו היתרי בנייה למתחם, וכי להערכתה הצפי להוצאת היתר חלקי הוא ברבעונים השני והשלישי בשנת 2026.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מימושו של מיזם פינוי-בינוי תלוי בעיקרו בכדאיות הכלכלית לגורמים המעורבים בתהליך לרבות היזמים ובעלי הדירות, ולפיכך חשוב להבטיח ככל הניתן ודאות לגבי הכדאיות הכלכלית של התהליך כדי לקדמו ולקצר את לוחות הזמנים למימוש המיזם.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מתיאור מהלך האירועים במיזם יוספטל בקריית ים, ובהם התנעת הפרויקט בשנת 2018; הביצוע של בדיקות כדאיות כלכלית למתחם בשנים 2019 - 2023; הגשת התוכנית להתחדשות עירונית לוותמ"ל בשנת 2023 ואישורה באותה השנה; הגשת התנגדויות ועתירות נגד התוכנית בשנים 2023 - 2024; ובדיקת רמ"י של בקשה להקצאת קרקע בפטור ממכרז במיזם בשנת 2025 (שטרם הסתיימה למועד סיום הביקורת), עלה כי בדצמבר 2025, כשנתיים לאחר אישור התוכנית בוותמ"ל, מימוש תוכנית תמ"ל 2039 "מתחם יוספטל בקריית ים" מתעכב ועדיין לא הונפקו היתרי בנייה למיזם.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קריית ים</w:t>
      </w:r>
      <w:r w:rsidRPr="00DC5B13">
        <w:rPr>
          <w:rFonts w:eastAsia="Calibri" w:hint="cs"/>
          <w:rtl/>
        </w:rPr>
        <w:t xml:space="preserve"> מסרה בתשובתה למשרד מבקר המדינה כי תיאור המקרה של מתחם יוספטל מציג מורכבויות של תהליך ההתחדשות העירונית, הנובעות, בין היתר, מהתיאום בין גורמים המעורבים בתהליך ההתחדשות. לטענת העירייה, שינוי שיוך מגרש 41 תרם לחוסר הוודאות לגבי סיכויי המימוש של המתחם בכללותו.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מינהל התכנון מסר בתשובתו למשרד מבקר המדינה </w:t>
      </w:r>
      <w:r w:rsidRPr="00DC5B13">
        <w:rPr>
          <w:rFonts w:eastAsia="Calibri"/>
          <w:rtl/>
        </w:rPr>
        <w:t>כי</w:t>
      </w:r>
      <w:r w:rsidRPr="00DC5B13">
        <w:rPr>
          <w:rFonts w:eastAsia="Calibri" w:hint="cs"/>
          <w:rtl/>
        </w:rPr>
        <w:t xml:space="preserve"> העיכוב במימוש המתחם נבע מהליכים שאינם תלויים בו.</w:t>
      </w:r>
      <w:r w:rsidRPr="00DC5B13">
        <w:rPr>
          <w:rFonts w:eastAsia="Calibri"/>
          <w:rtl/>
        </w:rPr>
        <w:t xml:space="preserve">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רמ"י מסרה בתשובתה כי הבקשה לקרקע משלימה הוגשה לטיפולה ברבעון האחרון של שנת 2025, וזאת בד בבד עם ביצוע שינויים בתוכנית על ידי היזם. רמ"י מסרה עוד שהתוכנית נידונה בבג"ץ, וכי בנסיבות אלה היה צורך בבדיקה מחודשת בהתאם לנתונים המעודכנים.</w:t>
      </w:r>
    </w:p>
    <w:p w:rsidR="00DC5B13" w:rsidRPr="00DC5B13" w:rsidP="00C34B23">
      <w:pPr>
        <w:spacing w:line="269" w:lineRule="auto"/>
        <w:rPr>
          <w:rFonts w:eastAsia="Calibri"/>
          <w:szCs w:val="20"/>
          <w:rtl/>
        </w:rPr>
      </w:pPr>
      <w:bookmarkStart w:id="44" w:name="_Hlk230621239"/>
    </w:p>
    <w:p w:rsidR="00DC5B13" w:rsidP="00C34B23">
      <w:pPr>
        <w:spacing w:line="269" w:lineRule="auto"/>
        <w:rPr>
          <w:rFonts w:eastAsia="Calibri"/>
          <w:color w:val="000000"/>
          <w:rtl/>
        </w:rPr>
      </w:pPr>
      <w:r w:rsidRPr="00DC5B13">
        <w:rPr>
          <w:rFonts w:eastAsia="Calibri" w:hint="cs"/>
          <w:b/>
          <w:bCs/>
          <w:color w:val="000000"/>
          <w:rtl/>
        </w:rPr>
        <w:t xml:space="preserve">משרד מבקר המדינה </w:t>
      </w:r>
      <w:r w:rsidRPr="00DC5B13">
        <w:rPr>
          <w:rFonts w:eastAsia="Calibri" w:hint="eastAsia"/>
          <w:b/>
          <w:bCs/>
          <w:color w:val="000000"/>
          <w:rtl/>
        </w:rPr>
        <w:t>ממליץ</w:t>
      </w:r>
      <w:r w:rsidRPr="00DC5B13">
        <w:rPr>
          <w:rFonts w:eastAsia="Calibri" w:hint="cs"/>
          <w:b/>
          <w:bCs/>
          <w:color w:val="000000"/>
          <w:rtl/>
        </w:rPr>
        <w:t xml:space="preserve"> לגורמים המעורבים בקידום מיזמי התחדשות עירונית ובתכנונם, ובהם מינהל התכנון, הרשות הממשלתית להתחדשות עירונית ורשות מקרקעי ישראל, ליצור ודאות ככל שניתן לגבי הכדאיות הכלכלית של מימוש תוכנית התחדשות עירונית מוקדם ככל האפשר וכן לגבי מנגנונים שייתנו מענה בשלב הרישוי למצבים שבהם בפועל המימוש חסר כדאיות כלכלית כדי לקדם את תהליכי ההתחדשות העירונית ביעילות ככל האפשר ולהביא לידי מימוש המיזמים בזמן קצר ככל הניתן.</w:t>
      </w:r>
    </w:p>
    <w:p w:rsidR="00037943" w:rsidRPr="00DC5B13" w:rsidP="000D1E6D">
      <w:pPr>
        <w:bidi w:val="0"/>
        <w:spacing w:after="200" w:line="276" w:lineRule="auto"/>
        <w:rPr>
          <w:rFonts w:eastAsia="Calibri"/>
          <w:color w:val="000000"/>
          <w:rtl/>
        </w:rPr>
      </w:pPr>
      <w:r>
        <w:rPr>
          <w:rFonts w:eastAsia="Calibri"/>
          <w:color w:val="000000"/>
          <w:rtl/>
        </w:rPr>
        <w:br w:type="page"/>
      </w:r>
    </w:p>
    <w:bookmarkEnd w:id="44"/>
    <w:p w:rsidR="00DC5B13" w:rsidRPr="00DC5B13" w:rsidP="00C34B23">
      <w:pPr>
        <w:keepNext/>
        <w:keepLines/>
        <w:spacing w:line="269" w:lineRule="auto"/>
        <w:outlineLvl w:val="2"/>
        <w:rPr>
          <w:rFonts w:eastAsia="Times New Roman"/>
          <w:bCs/>
          <w:szCs w:val="28"/>
          <w:u w:val="single"/>
          <w:rtl/>
        </w:rPr>
      </w:pPr>
      <w:r w:rsidRPr="00DC5B13">
        <w:rPr>
          <w:rFonts w:eastAsia="Times New Roman" w:hint="cs"/>
          <w:bCs/>
          <w:szCs w:val="28"/>
          <w:u w:val="single"/>
          <w:rtl/>
        </w:rPr>
        <w:t>קריית שמונה: מתחם יעקב מלול - התחדשות עירונית בפריפריה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ביולי 2021 הוגשה לוועדה המחוזית לתכנון ולבנייה מחוז הצפון תוכנית התחדשות עירונית למתחם יעקב מלול בקריית שמונה</w:t>
      </w:r>
      <w:r>
        <w:rPr>
          <w:rFonts w:eastAsia="Calibri"/>
          <w:vertAlign w:val="superscript"/>
          <w:rtl/>
        </w:rPr>
        <w:footnoteReference w:id="165"/>
      </w:r>
      <w:r w:rsidRPr="00DC5B13">
        <w:rPr>
          <w:rFonts w:eastAsia="Calibri" w:hint="cs"/>
          <w:rtl/>
        </w:rPr>
        <w:t>. בדברי ההסבר לתוכנית צוין כי ה</w:t>
      </w:r>
      <w:r w:rsidRPr="00DC5B13">
        <w:rPr>
          <w:rFonts w:eastAsia="Calibri"/>
          <w:rtl/>
        </w:rPr>
        <w:t xml:space="preserve">תוכנית </w:t>
      </w:r>
      <w:r w:rsidRPr="00DC5B13">
        <w:rPr>
          <w:rFonts w:eastAsia="Calibri" w:hint="cs"/>
          <w:rtl/>
        </w:rPr>
        <w:t>הוכנה</w:t>
      </w:r>
      <w:r w:rsidRPr="00DC5B13">
        <w:rPr>
          <w:rFonts w:eastAsia="Calibri"/>
          <w:rtl/>
        </w:rPr>
        <w:t xml:space="preserve"> </w:t>
      </w:r>
      <w:r w:rsidRPr="00DC5B13">
        <w:rPr>
          <w:rFonts w:eastAsia="Calibri" w:hint="cs"/>
          <w:rtl/>
        </w:rPr>
        <w:t>ב</w:t>
      </w:r>
      <w:r w:rsidRPr="00DC5B13">
        <w:rPr>
          <w:rFonts w:eastAsia="Calibri"/>
          <w:rtl/>
        </w:rPr>
        <w:t>יוזמה משותפת של הרשות הממשלתית להתחדשות עירונית ו</w:t>
      </w:r>
      <w:r w:rsidRPr="00DC5B13">
        <w:rPr>
          <w:rFonts w:eastAsia="Calibri" w:hint="cs"/>
          <w:rtl/>
        </w:rPr>
        <w:t xml:space="preserve">של </w:t>
      </w:r>
      <w:r w:rsidRPr="00DC5B13">
        <w:rPr>
          <w:rFonts w:eastAsia="Calibri"/>
          <w:rtl/>
        </w:rPr>
        <w:t xml:space="preserve">עיריית קריית שמונה, </w:t>
      </w:r>
      <w:r w:rsidRPr="00DC5B13">
        <w:rPr>
          <w:rFonts w:eastAsia="Calibri" w:hint="cs"/>
          <w:rtl/>
        </w:rPr>
        <w:t>וכי היא אמורה לשמש מיזם גישוש (</w:t>
      </w:r>
      <w:r w:rsidRPr="00DC5B13">
        <w:rPr>
          <w:rFonts w:eastAsia="Calibri"/>
          <w:rtl/>
        </w:rPr>
        <w:t>פיילוט</w:t>
      </w:r>
      <w:r w:rsidRPr="00DC5B13">
        <w:rPr>
          <w:rFonts w:eastAsia="Calibri" w:hint="cs"/>
          <w:rtl/>
        </w:rPr>
        <w:t>)</w:t>
      </w:r>
      <w:r w:rsidRPr="00DC5B13">
        <w:rPr>
          <w:rFonts w:eastAsia="Calibri"/>
          <w:rtl/>
        </w:rPr>
        <w:t xml:space="preserve"> להתחדשות עירונית בפריפריה. התוכנית מבוססת על הצורך הדחוף בעיר להתחדשות עקב מבנים ישנים שנבנו בשנות ה</w:t>
      </w:r>
      <w:r w:rsidRPr="00DC5B13">
        <w:rPr>
          <w:rFonts w:eastAsia="Calibri" w:hint="cs"/>
          <w:rtl/>
        </w:rPr>
        <w:t xml:space="preserve">שישים והשבעים של המאה העשרים, </w:t>
      </w:r>
      <w:r w:rsidRPr="00DC5B13">
        <w:rPr>
          <w:rFonts w:eastAsia="Calibri"/>
          <w:rtl/>
        </w:rPr>
        <w:t xml:space="preserve">שאינם </w:t>
      </w:r>
      <w:r w:rsidRPr="00DC5B13">
        <w:rPr>
          <w:rFonts w:eastAsia="Calibri" w:hint="cs"/>
          <w:rtl/>
        </w:rPr>
        <w:t xml:space="preserve">מחוזקים מפני רעידות אדמה ואינם ממוגנים, </w:t>
      </w:r>
      <w:r w:rsidRPr="00DC5B13">
        <w:rPr>
          <w:rFonts w:eastAsia="Calibri"/>
          <w:rtl/>
        </w:rPr>
        <w:t>ו</w:t>
      </w:r>
      <w:r w:rsidRPr="00DC5B13">
        <w:rPr>
          <w:rFonts w:eastAsia="Calibri" w:hint="cs"/>
          <w:rtl/>
        </w:rPr>
        <w:t xml:space="preserve">אף אינם </w:t>
      </w:r>
      <w:r w:rsidRPr="00DC5B13">
        <w:rPr>
          <w:rFonts w:eastAsia="Calibri"/>
          <w:rtl/>
        </w:rPr>
        <w:t xml:space="preserve">מספקים פתרון מגורים אטרקטיבי לדור ההמשך. </w:t>
      </w:r>
      <w:r w:rsidRPr="00DC5B13">
        <w:rPr>
          <w:rFonts w:eastAsia="Calibri" w:hint="cs"/>
          <w:rtl/>
        </w:rPr>
        <w:t xml:space="preserve">שטח </w:t>
      </w:r>
      <w:r w:rsidRPr="00DC5B13">
        <w:rPr>
          <w:rFonts w:eastAsia="Calibri"/>
          <w:rtl/>
        </w:rPr>
        <w:t>התוכנית ממוק</w:t>
      </w:r>
      <w:r w:rsidRPr="00DC5B13">
        <w:rPr>
          <w:rFonts w:eastAsia="Calibri" w:hint="cs"/>
          <w:rtl/>
        </w:rPr>
        <w:t>ם</w:t>
      </w:r>
      <w:r w:rsidRPr="00DC5B13">
        <w:rPr>
          <w:rFonts w:eastAsia="Calibri"/>
          <w:rtl/>
        </w:rPr>
        <w:t xml:space="preserve"> בצפון העיר, סמוך לצומת המצודות, </w:t>
      </w:r>
      <w:r w:rsidRPr="00DC5B13">
        <w:rPr>
          <w:rFonts w:eastAsia="Calibri" w:hint="cs"/>
          <w:rtl/>
        </w:rPr>
        <w:t>ל</w:t>
      </w:r>
      <w:r w:rsidRPr="00DC5B13">
        <w:rPr>
          <w:rFonts w:eastAsia="Calibri"/>
          <w:rtl/>
        </w:rPr>
        <w:t>קניון נחמיה ו</w:t>
      </w:r>
      <w:r w:rsidRPr="00DC5B13">
        <w:rPr>
          <w:rFonts w:eastAsia="Calibri" w:hint="cs"/>
          <w:rtl/>
        </w:rPr>
        <w:t>ל</w:t>
      </w:r>
      <w:r w:rsidRPr="00DC5B13">
        <w:rPr>
          <w:rFonts w:eastAsia="Calibri"/>
          <w:rtl/>
        </w:rPr>
        <w:t>מעונות הסטודנטים של מכללת תל חי.</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הנחת המוצא לקידום התוכנית היא, שיש צורך בסבסוד </w:t>
      </w:r>
      <w:r w:rsidRPr="00DC5B13">
        <w:rPr>
          <w:rFonts w:eastAsia="Calibri"/>
          <w:rtl/>
        </w:rPr>
        <w:t xml:space="preserve">ממשלתי בשל </w:t>
      </w:r>
      <w:r w:rsidRPr="00DC5B13">
        <w:rPr>
          <w:rFonts w:eastAsia="Calibri" w:hint="cs"/>
          <w:rtl/>
        </w:rPr>
        <w:t xml:space="preserve">היעדר </w:t>
      </w:r>
      <w:r w:rsidRPr="00DC5B13">
        <w:rPr>
          <w:rFonts w:eastAsia="Calibri"/>
          <w:rtl/>
        </w:rPr>
        <w:t xml:space="preserve">היתכנות כלכלית. </w:t>
      </w:r>
      <w:r w:rsidRPr="00DC5B13">
        <w:rPr>
          <w:rFonts w:eastAsia="Calibri" w:hint="cs"/>
          <w:rtl/>
        </w:rPr>
        <w:t xml:space="preserve">באמצעות </w:t>
      </w:r>
      <w:r w:rsidRPr="00DC5B13">
        <w:rPr>
          <w:rFonts w:eastAsia="Calibri"/>
          <w:rtl/>
        </w:rPr>
        <w:t xml:space="preserve">התכנון </w:t>
      </w:r>
      <w:r w:rsidRPr="00DC5B13">
        <w:rPr>
          <w:rFonts w:eastAsia="Calibri" w:hint="cs"/>
          <w:rtl/>
        </w:rPr>
        <w:t xml:space="preserve">יוזמי התוכנית רוצים </w:t>
      </w:r>
      <w:r w:rsidRPr="00DC5B13">
        <w:rPr>
          <w:rFonts w:eastAsia="Calibri"/>
          <w:rtl/>
        </w:rPr>
        <w:t xml:space="preserve">ליצור מרחב חיים איכותי וקהילתי </w:t>
      </w:r>
      <w:r w:rsidRPr="00DC5B13">
        <w:rPr>
          <w:rFonts w:eastAsia="Calibri" w:hint="cs"/>
          <w:rtl/>
        </w:rPr>
        <w:t>ב</w:t>
      </w:r>
      <w:r w:rsidRPr="00DC5B13">
        <w:rPr>
          <w:rFonts w:eastAsia="Calibri"/>
          <w:rtl/>
        </w:rPr>
        <w:t xml:space="preserve">שילוב של מגורים, </w:t>
      </w:r>
      <w:r w:rsidRPr="00DC5B13">
        <w:rPr>
          <w:rFonts w:eastAsia="Calibri" w:hint="cs"/>
          <w:rtl/>
        </w:rPr>
        <w:t>של שטחים ל</w:t>
      </w:r>
      <w:r w:rsidRPr="00DC5B13">
        <w:rPr>
          <w:rFonts w:eastAsia="Calibri"/>
          <w:rtl/>
        </w:rPr>
        <w:t>שימוש קהילתי ו</w:t>
      </w:r>
      <w:r w:rsidRPr="00DC5B13">
        <w:rPr>
          <w:rFonts w:eastAsia="Calibri" w:hint="cs"/>
          <w:rtl/>
        </w:rPr>
        <w:t xml:space="preserve">של </w:t>
      </w:r>
      <w:r w:rsidRPr="00DC5B13">
        <w:rPr>
          <w:rFonts w:eastAsia="Calibri"/>
          <w:rtl/>
        </w:rPr>
        <w:t>שטחים ציבוריים פתוחים. תחום התוכנית משתרע על פני 41 דונם</w:t>
      </w:r>
      <w:r w:rsidRPr="00DC5B13">
        <w:rPr>
          <w:rFonts w:eastAsia="Calibri" w:hint="cs"/>
          <w:rtl/>
        </w:rPr>
        <w:t>; כיום יש בו 60 יח"ד ובמקומן</w:t>
      </w:r>
      <w:r w:rsidRPr="00DC5B13">
        <w:rPr>
          <w:rFonts w:eastAsia="Calibri"/>
          <w:rtl/>
        </w:rPr>
        <w:t xml:space="preserve"> ייבנו 216 יח</w:t>
      </w:r>
      <w:r w:rsidRPr="00DC5B13">
        <w:rPr>
          <w:rFonts w:eastAsia="Calibri" w:hint="cs"/>
          <w:rtl/>
        </w:rPr>
        <w:t>"ד</w:t>
      </w:r>
      <w:r w:rsidRPr="00DC5B13">
        <w:rPr>
          <w:rFonts w:eastAsia="Calibri"/>
          <w:rtl/>
        </w:rPr>
        <w:t xml:space="preserve"> </w:t>
      </w:r>
      <w:r w:rsidRPr="00DC5B13">
        <w:rPr>
          <w:rFonts w:eastAsia="Calibri" w:hint="cs"/>
          <w:rtl/>
        </w:rPr>
        <w:t>ה</w:t>
      </w:r>
      <w:r w:rsidRPr="00DC5B13">
        <w:rPr>
          <w:rFonts w:eastAsia="Calibri"/>
          <w:rtl/>
        </w:rPr>
        <w:t>משולבות בשטחים קהילתיים, לתעסוקה ולמסחר בקומות הקרקע</w:t>
      </w:r>
      <w:r w:rsidRPr="00DC5B13">
        <w:rPr>
          <w:rFonts w:eastAsia="Calibri" w:hint="cs"/>
          <w:rtl/>
        </w:rPr>
        <w:t xml:space="preserve"> וה</w:t>
      </w:r>
      <w:r w:rsidRPr="00DC5B13">
        <w:rPr>
          <w:rFonts w:eastAsia="Calibri"/>
          <w:rtl/>
        </w:rPr>
        <w:t>מרתף</w:t>
      </w:r>
      <w:r>
        <w:rPr>
          <w:rFonts w:eastAsia="Calibri"/>
          <w:vertAlign w:val="superscript"/>
          <w:rtl/>
        </w:rPr>
        <w:footnoteReference w:id="166"/>
      </w:r>
      <w:r w:rsidRPr="00DC5B13">
        <w:rPr>
          <w:rFonts w:eastAsia="Calibri"/>
          <w:rtl/>
        </w:rPr>
        <w:t xml:space="preserve">. </w:t>
      </w:r>
      <w:r w:rsidRPr="00DC5B13">
        <w:rPr>
          <w:rFonts w:eastAsia="Calibri" w:hint="cs"/>
          <w:rtl/>
        </w:rPr>
        <w:t>התוכנית אושרה על ידי הוועדה בדצמבר 2022.</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החלטת הממשלה מדצמבר 2021 בנושא קידום התחדשות עירונית בפריפריה</w:t>
      </w:r>
      <w:r>
        <w:rPr>
          <w:rFonts w:eastAsia="Calibri"/>
          <w:vertAlign w:val="superscript"/>
          <w:rtl/>
        </w:rPr>
        <w:footnoteReference w:id="167"/>
      </w:r>
      <w:r w:rsidRPr="00DC5B13">
        <w:rPr>
          <w:rFonts w:eastAsia="Calibri" w:hint="cs"/>
          <w:rtl/>
        </w:rPr>
        <w:t xml:space="preserve"> עוסקת בצורך בקידום התחדשות עירונית ביישובים שבהם אין כדאיות כלכלית לביצוע של מיזמים מסוג זה בהסתמך על כוחות השוק בלבד. נוכח גילם של המבנים ומצבם הפיזי, הסיכון לרעידות אדמה וסיכוני ביטחון אחרים, החליטה הממשלה בין היתר לקדם מיזם גישוש להנעת מיזמי פינוי-בינוי בבנייה רוויה ביישובי הפריפריה שאין בהם כדאיות כלכלית באמצעות מתן מענקים, אשר יאפשרו לממש את המיזמים האמורים.</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בהחלטה נקבע כי </w:t>
      </w:r>
      <w:r w:rsidRPr="00DC5B13">
        <w:rPr>
          <w:rFonts w:eastAsia="Calibri"/>
          <w:rtl/>
        </w:rPr>
        <w:t>לצורך מימון המענקים</w:t>
      </w:r>
      <w:r w:rsidRPr="00DC5B13">
        <w:rPr>
          <w:rFonts w:eastAsia="Calibri" w:hint="cs"/>
          <w:rtl/>
        </w:rPr>
        <w:t xml:space="preserve"> יעביר</w:t>
      </w:r>
      <w:r w:rsidRPr="00DC5B13">
        <w:rPr>
          <w:rFonts w:eastAsia="Calibri"/>
          <w:rtl/>
        </w:rPr>
        <w:t xml:space="preserve"> משרד האוצר בשנת 2022</w:t>
      </w:r>
      <w:r w:rsidRPr="00DC5B13">
        <w:rPr>
          <w:rFonts w:eastAsia="Calibri" w:hint="cs"/>
          <w:rtl/>
        </w:rPr>
        <w:t xml:space="preserve"> סכום של</w:t>
      </w:r>
      <w:r w:rsidRPr="00DC5B13">
        <w:rPr>
          <w:rFonts w:eastAsia="Calibri"/>
          <w:rtl/>
        </w:rPr>
        <w:t xml:space="preserve"> 70 מיליון ש"ח</w:t>
      </w:r>
      <w:r w:rsidRPr="00DC5B13">
        <w:rPr>
          <w:rFonts w:eastAsia="Calibri" w:hint="cs"/>
          <w:rtl/>
        </w:rPr>
        <w:t xml:space="preserve"> לרשות להתחדשות, והיא תקצה 40 מיליון ש"ח נוספים מתקציב המיזמים שלה לשנת 2022</w:t>
      </w:r>
      <w:r w:rsidRPr="00DC5B13">
        <w:rPr>
          <w:rFonts w:eastAsia="Calibri"/>
          <w:rtl/>
        </w:rPr>
        <w:t xml:space="preserve">. </w:t>
      </w:r>
      <w:r w:rsidRPr="00DC5B13">
        <w:rPr>
          <w:rFonts w:eastAsia="Calibri" w:hint="cs"/>
          <w:rtl/>
        </w:rPr>
        <w:t>משרד הביטחון יבחן את האפשרות להשתתפותו במענקים משנת</w:t>
      </w:r>
      <w:r w:rsidRPr="00DC5B13">
        <w:rPr>
          <w:rFonts w:eastAsia="Calibri"/>
          <w:rtl/>
        </w:rPr>
        <w:t xml:space="preserve"> 2023 ואילך</w:t>
      </w:r>
      <w:r w:rsidRPr="00DC5B13">
        <w:rPr>
          <w:rFonts w:eastAsia="Calibri" w:hint="cs"/>
          <w:rtl/>
        </w:rPr>
        <w:t xml:space="preserve">, </w:t>
      </w:r>
      <w:r w:rsidRPr="00DC5B13">
        <w:rPr>
          <w:rFonts w:eastAsia="Calibri"/>
          <w:rtl/>
        </w:rPr>
        <w:t>וזאת בהתאם ל</w:t>
      </w:r>
      <w:r w:rsidRPr="00DC5B13">
        <w:rPr>
          <w:rFonts w:eastAsia="Calibri" w:hint="cs"/>
          <w:rtl/>
        </w:rPr>
        <w:t>סדרי העדיפויות ב</w:t>
      </w:r>
      <w:r w:rsidRPr="00DC5B13">
        <w:rPr>
          <w:rFonts w:eastAsia="Calibri"/>
          <w:rtl/>
        </w:rPr>
        <w:t>תוכנית העבודה של פיקוד העורף ו</w:t>
      </w:r>
      <w:r w:rsidRPr="00DC5B13">
        <w:rPr>
          <w:rFonts w:eastAsia="Calibri" w:hint="cs"/>
          <w:rtl/>
        </w:rPr>
        <w:t xml:space="preserve">של משרד </w:t>
      </w:r>
      <w:r w:rsidRPr="00DC5B13">
        <w:rPr>
          <w:rFonts w:eastAsia="Calibri"/>
          <w:rtl/>
        </w:rPr>
        <w:t>הביטחון.</w:t>
      </w:r>
    </w:p>
    <w:p w:rsidR="00DC5B13" w:rsidRPr="00DC5B13" w:rsidP="00C34B23">
      <w:pPr>
        <w:spacing w:line="269" w:lineRule="auto"/>
        <w:rPr>
          <w:rFonts w:eastAsia="Calibri"/>
          <w:szCs w:val="20"/>
          <w:rtl/>
        </w:rPr>
      </w:pPr>
    </w:p>
    <w:p w:rsidR="00DC5B13" w:rsidRPr="00DC5B13" w:rsidP="00C34B23">
      <w:pPr>
        <w:spacing w:line="269" w:lineRule="auto"/>
        <w:rPr>
          <w:rFonts w:eastAsia="Calibri"/>
        </w:rPr>
      </w:pPr>
      <w:r w:rsidRPr="00DC5B13">
        <w:rPr>
          <w:rFonts w:eastAsia="Calibri" w:hint="cs"/>
          <w:rtl/>
        </w:rPr>
        <w:t>בעקבות החלטת הממשלה פרסמה הרשות להתחדשות במאי 2022 קול קורא</w:t>
      </w:r>
      <w:r>
        <w:rPr>
          <w:rFonts w:eastAsia="Calibri"/>
          <w:vertAlign w:val="superscript"/>
          <w:rtl/>
        </w:rPr>
        <w:footnoteReference w:id="168"/>
      </w:r>
      <w:r w:rsidRPr="00DC5B13">
        <w:rPr>
          <w:rFonts w:eastAsia="Calibri" w:hint="cs"/>
          <w:rtl/>
        </w:rPr>
        <w:t xml:space="preserve"> לעיריות או למועצות המקומיות בנגב ובגליל, העומדות בתנאי הסף</w:t>
      </w:r>
      <w:r>
        <w:rPr>
          <w:rFonts w:eastAsia="Calibri"/>
          <w:vertAlign w:val="superscript"/>
          <w:rtl/>
        </w:rPr>
        <w:footnoteReference w:id="169"/>
      </w:r>
      <w:r w:rsidRPr="00DC5B13">
        <w:rPr>
          <w:rFonts w:eastAsia="Calibri" w:hint="cs"/>
          <w:rtl/>
        </w:rPr>
        <w:t xml:space="preserve"> המפורטים בקול הקורא, והזמינה אותן להציע מתחם אחד בתחומן שיזכה להכנת תוכנית פינוי-בינוי ולמימון שיבטיח את הכדאיות הכלכלית הנדרשת למימושו.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לקריית שמונה, השוכנת לאורך השבר הסורי-אפריקאי, נשקפת סכנה ברמה גבוהה להתרחשות רעידת אדמה רבת-עוצמה בתחום שיפוטה</w:t>
      </w:r>
      <w:r>
        <w:rPr>
          <w:rFonts w:eastAsia="Calibri"/>
          <w:vertAlign w:val="superscript"/>
          <w:rtl/>
        </w:rPr>
        <w:footnoteReference w:id="170"/>
      </w:r>
      <w:r w:rsidRPr="00DC5B13">
        <w:rPr>
          <w:rFonts w:eastAsia="Calibri" w:hint="cs"/>
          <w:rtl/>
        </w:rPr>
        <w:t xml:space="preserve">. יתר על כן, בשל מקומה היא חשופה לסיכונים ביטחוניים המצריכים מיגון עבור תושביה. לפיכך ביולי 2022 הגישה עיריית קריית שמונה בקשה לקבלת מימון לביצוע התחדשות עירונית במיזם ברחובות יעקב מלול והלבנון. בספטמבר 2022 הודיעה ועדת המכרזים ברשות להתחדשות לעירייה כי </w:t>
      </w:r>
      <w:r w:rsidRPr="00DC5B13">
        <w:rPr>
          <w:rFonts w:eastAsia="Calibri"/>
          <w:rtl/>
        </w:rPr>
        <w:t xml:space="preserve">סכום המימון </w:t>
      </w:r>
      <w:r w:rsidRPr="00DC5B13">
        <w:rPr>
          <w:rFonts w:eastAsia="Calibri" w:hint="cs"/>
          <w:rtl/>
        </w:rPr>
        <w:t xml:space="preserve">הראשוני </w:t>
      </w:r>
      <w:r w:rsidRPr="00DC5B13">
        <w:rPr>
          <w:rFonts w:eastAsia="Calibri"/>
          <w:rtl/>
        </w:rPr>
        <w:t>המרבי הנדרש למימוש מיזם פינוי</w:t>
      </w:r>
      <w:r w:rsidRPr="00DC5B13">
        <w:rPr>
          <w:rFonts w:eastAsia="Calibri" w:hint="cs"/>
          <w:rtl/>
        </w:rPr>
        <w:t>-</w:t>
      </w:r>
      <w:r w:rsidRPr="00DC5B13">
        <w:rPr>
          <w:rFonts w:eastAsia="Calibri"/>
          <w:rtl/>
        </w:rPr>
        <w:t>הבינוי במתחם</w:t>
      </w:r>
      <w:r w:rsidRPr="00DC5B13">
        <w:rPr>
          <w:rFonts w:eastAsia="Calibri" w:hint="cs"/>
          <w:rtl/>
        </w:rPr>
        <w:t xml:space="preserve"> </w:t>
      </w:r>
      <w:r w:rsidRPr="00DC5B13">
        <w:rPr>
          <w:rFonts w:eastAsia="Calibri"/>
          <w:rtl/>
        </w:rPr>
        <w:t xml:space="preserve">עומד על 22.8 מיליון </w:t>
      </w:r>
      <w:r w:rsidRPr="00DC5B13">
        <w:rPr>
          <w:rFonts w:eastAsia="Calibri" w:hint="cs"/>
          <w:rtl/>
        </w:rPr>
        <w:t>ש"ח,</w:t>
      </w:r>
      <w:r w:rsidRPr="00DC5B13">
        <w:rPr>
          <w:rFonts w:eastAsia="Calibri"/>
          <w:rtl/>
        </w:rPr>
        <w:t xml:space="preserve"> וזאת לאחר הפחתת סכום המימון</w:t>
      </w:r>
      <w:r w:rsidRPr="00DC5B13">
        <w:rPr>
          <w:rFonts w:eastAsia="Calibri" w:hint="cs"/>
          <w:rtl/>
        </w:rPr>
        <w:t xml:space="preserve"> </w:t>
      </w:r>
      <w:r w:rsidRPr="00DC5B13">
        <w:rPr>
          <w:rFonts w:eastAsia="Calibri"/>
          <w:rtl/>
        </w:rPr>
        <w:t>הצפוי להתקבל ממשרד הביטחון</w:t>
      </w:r>
      <w:r w:rsidRPr="00DC5B13">
        <w:rPr>
          <w:rFonts w:eastAsia="Calibri" w:hint="cs"/>
          <w:rtl/>
        </w:rPr>
        <w:t xml:space="preserve">. באוקטובר 2022 הודיעה ועדת המכרזים לעיריית קריית שמונה כי מתחם יעקב מלול נבחר </w:t>
      </w:r>
      <w:r w:rsidRPr="00DC5B13">
        <w:rPr>
          <w:rFonts w:eastAsia="Calibri"/>
          <w:rtl/>
        </w:rPr>
        <w:t>לקידום</w:t>
      </w:r>
      <w:r w:rsidRPr="00DC5B13">
        <w:rPr>
          <w:rFonts w:eastAsia="Calibri" w:hint="cs"/>
          <w:rtl/>
        </w:rPr>
        <w:t xml:space="preserve"> </w:t>
      </w:r>
      <w:r w:rsidRPr="00DC5B13">
        <w:rPr>
          <w:rFonts w:eastAsia="Calibri"/>
          <w:rtl/>
        </w:rPr>
        <w:t>התחדשות עירונית במסגרת הקול הקורא.</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במאי 2023 הוגשה </w:t>
      </w:r>
      <w:r w:rsidRPr="00DC5B13">
        <w:rPr>
          <w:rFonts w:eastAsia="Calibri"/>
          <w:rtl/>
        </w:rPr>
        <w:t>תוכנית איחוד וחלוקה</w:t>
      </w:r>
      <w:r>
        <w:rPr>
          <w:rFonts w:eastAsia="Calibri"/>
          <w:vertAlign w:val="superscript"/>
          <w:rtl/>
        </w:rPr>
        <w:footnoteReference w:id="171"/>
      </w:r>
      <w:r w:rsidRPr="00DC5B13">
        <w:rPr>
          <w:rFonts w:eastAsia="Calibri"/>
          <w:rtl/>
        </w:rPr>
        <w:t xml:space="preserve"> לתוכנית </w:t>
      </w:r>
      <w:r w:rsidRPr="00DC5B13">
        <w:rPr>
          <w:rFonts w:eastAsia="Calibri" w:hint="cs"/>
          <w:rtl/>
        </w:rPr>
        <w:t>ה</w:t>
      </w:r>
      <w:r w:rsidRPr="00DC5B13">
        <w:rPr>
          <w:rFonts w:eastAsia="Calibri"/>
          <w:rtl/>
        </w:rPr>
        <w:t xml:space="preserve">התחדשות </w:t>
      </w:r>
      <w:r w:rsidRPr="00DC5B13">
        <w:rPr>
          <w:rFonts w:eastAsia="Calibri" w:hint="cs"/>
          <w:rtl/>
        </w:rPr>
        <w:t>ה</w:t>
      </w:r>
      <w:r w:rsidRPr="00DC5B13">
        <w:rPr>
          <w:rFonts w:eastAsia="Calibri"/>
          <w:rtl/>
        </w:rPr>
        <w:t xml:space="preserve">עירונית </w:t>
      </w:r>
      <w:r w:rsidRPr="00DC5B13">
        <w:rPr>
          <w:rFonts w:eastAsia="Calibri" w:hint="cs"/>
          <w:rtl/>
        </w:rPr>
        <w:t>ב</w:t>
      </w:r>
      <w:r w:rsidRPr="00DC5B13">
        <w:rPr>
          <w:rFonts w:eastAsia="Calibri"/>
          <w:rtl/>
        </w:rPr>
        <w:t>מתחם יעקב מלול בקר</w:t>
      </w:r>
      <w:r w:rsidRPr="00DC5B13">
        <w:rPr>
          <w:rFonts w:eastAsia="Calibri" w:hint="cs"/>
          <w:rtl/>
        </w:rPr>
        <w:t>י</w:t>
      </w:r>
      <w:r w:rsidRPr="00DC5B13">
        <w:rPr>
          <w:rFonts w:eastAsia="Calibri"/>
          <w:rtl/>
        </w:rPr>
        <w:t>ית שמונה</w:t>
      </w:r>
      <w:r w:rsidRPr="00DC5B13">
        <w:rPr>
          <w:rFonts w:eastAsia="Calibri" w:hint="cs"/>
          <w:rtl/>
        </w:rPr>
        <w:t xml:space="preserve"> (להלן - תוכנית איחוד וחלוקה יעקב מלול)</w:t>
      </w:r>
      <w:r>
        <w:rPr>
          <w:rFonts w:eastAsia="Calibri"/>
          <w:vertAlign w:val="superscript"/>
          <w:rtl/>
        </w:rPr>
        <w:footnoteReference w:id="172"/>
      </w:r>
      <w:r w:rsidRPr="00DC5B13">
        <w:rPr>
          <w:rFonts w:eastAsia="Calibri" w:hint="cs"/>
          <w:rtl/>
        </w:rPr>
        <w:t>. ב-22.8.24 התקיים דיון ברמ"י על התוכנית, ובפרוטוקול הדיון צוין כי ב-15.10.24 התקיימה ישיבה שבה השתתפו עורכי התוכנית, נציגי הרשות להתחדשות ונציגי העירייה. עוד צוין כי נציג הרשות להתחדשות טען כי אם תתעקש רמ"י לשנות את אופן הביצוע של האיחוד והחלוקה, התוכנית לא תמומש מפני שכדאיותה הכלכלית תפחת.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בדצמבר 2024 הודיעה רמ"י לרשות להתחדשות ולעיריית קריית שמונה כי היא מתנגדת לתוכנית במתכונתה הנוכחית, שכן</w:t>
      </w:r>
      <w:r w:rsidRPr="00DC5B13">
        <w:rPr>
          <w:rFonts w:eastAsia="Calibri"/>
          <w:rtl/>
        </w:rPr>
        <w:t xml:space="preserve"> </w:t>
      </w:r>
      <w:r w:rsidRPr="00DC5B13">
        <w:rPr>
          <w:rFonts w:eastAsia="Calibri" w:hint="cs"/>
          <w:rtl/>
        </w:rPr>
        <w:t>לטענתה ה</w:t>
      </w:r>
      <w:r w:rsidRPr="00DC5B13">
        <w:rPr>
          <w:rFonts w:eastAsia="Calibri"/>
          <w:rtl/>
        </w:rPr>
        <w:t>ת</w:t>
      </w:r>
      <w:r w:rsidRPr="00DC5B13">
        <w:rPr>
          <w:rFonts w:eastAsia="Calibri" w:hint="cs"/>
          <w:rtl/>
        </w:rPr>
        <w:t>ו</w:t>
      </w:r>
      <w:r w:rsidRPr="00DC5B13">
        <w:rPr>
          <w:rFonts w:eastAsia="Calibri"/>
          <w:rtl/>
        </w:rPr>
        <w:t>כנית כוללת מתחם איחוד וחלוקה שלא בהתאם לכללים הקבועים בתקן 21</w:t>
      </w:r>
      <w:r>
        <w:rPr>
          <w:rFonts w:eastAsia="Calibri"/>
          <w:vertAlign w:val="superscript"/>
          <w:rtl/>
        </w:rPr>
        <w:footnoteReference w:id="173"/>
      </w:r>
      <w:r w:rsidRPr="00DC5B13">
        <w:rPr>
          <w:rFonts w:eastAsia="Calibri"/>
          <w:rtl/>
        </w:rPr>
        <w:t xml:space="preserve"> ובפסיקה</w:t>
      </w:r>
      <w:r w:rsidRPr="00DC5B13">
        <w:rPr>
          <w:rFonts w:eastAsia="Calibri" w:hint="cs"/>
          <w:rtl/>
        </w:rPr>
        <w:t>,</w:t>
      </w:r>
      <w:r w:rsidRPr="00DC5B13">
        <w:rPr>
          <w:rFonts w:eastAsia="Calibri"/>
          <w:rtl/>
        </w:rPr>
        <w:t xml:space="preserve"> והי</w:t>
      </w:r>
      <w:r w:rsidRPr="00DC5B13">
        <w:rPr>
          <w:rFonts w:eastAsia="Calibri" w:hint="cs"/>
          <w:rtl/>
        </w:rPr>
        <w:t xml:space="preserve">א </w:t>
      </w:r>
      <w:r w:rsidRPr="00DC5B13">
        <w:rPr>
          <w:rFonts w:eastAsia="Calibri"/>
          <w:rtl/>
        </w:rPr>
        <w:t>פוגעת בזכויות המדינה.</w:t>
      </w:r>
      <w:r w:rsidRPr="00DC5B13">
        <w:rPr>
          <w:rFonts w:eastAsia="Calibri" w:hint="cs"/>
          <w:rtl/>
        </w:rPr>
        <w:t xml:space="preserve"> </w:t>
      </w:r>
      <w:r w:rsidRPr="00DC5B13">
        <w:rPr>
          <w:rFonts w:eastAsia="Calibri"/>
          <w:rtl/>
        </w:rPr>
        <w:t xml:space="preserve">עמדת </w:t>
      </w:r>
      <w:r w:rsidRPr="00DC5B13">
        <w:rPr>
          <w:rFonts w:eastAsia="Calibri" w:hint="cs"/>
          <w:rtl/>
        </w:rPr>
        <w:t>רמ"י</w:t>
      </w:r>
      <w:r w:rsidRPr="00DC5B13">
        <w:rPr>
          <w:rFonts w:eastAsia="Calibri"/>
          <w:rtl/>
        </w:rPr>
        <w:t xml:space="preserve"> </w:t>
      </w:r>
      <w:r w:rsidRPr="00DC5B13">
        <w:rPr>
          <w:rFonts w:eastAsia="Calibri" w:hint="cs"/>
          <w:rtl/>
        </w:rPr>
        <w:t>הייתה</w:t>
      </w:r>
      <w:r w:rsidRPr="00DC5B13">
        <w:rPr>
          <w:rFonts w:eastAsia="Calibri"/>
          <w:rtl/>
        </w:rPr>
        <w:t xml:space="preserve"> כי יש לתקן את התוכנית כך שהרצועה הדרומית של התוכנית</w:t>
      </w:r>
      <w:r w:rsidRPr="00DC5B13">
        <w:rPr>
          <w:rFonts w:eastAsia="Calibri" w:hint="cs"/>
          <w:rtl/>
        </w:rPr>
        <w:t xml:space="preserve"> </w:t>
      </w:r>
      <w:r w:rsidRPr="00DC5B13">
        <w:rPr>
          <w:rFonts w:eastAsia="Calibri"/>
          <w:rtl/>
        </w:rPr>
        <w:t>ת</w:t>
      </w:r>
      <w:r w:rsidRPr="00DC5B13">
        <w:rPr>
          <w:rFonts w:eastAsia="Calibri" w:hint="cs"/>
          <w:rtl/>
        </w:rPr>
        <w:t>ו</w:t>
      </w:r>
      <w:r w:rsidRPr="00DC5B13">
        <w:rPr>
          <w:rFonts w:eastAsia="Calibri"/>
          <w:rtl/>
        </w:rPr>
        <w:t>כנס למתחם איחוד וחלוקה נפרד, ואילו השטח הצפוני הציבורי יוגדר כמתחם נפרד ללא איחוד וחלוקה.</w:t>
      </w:r>
      <w:r w:rsidRPr="00DC5B13">
        <w:rPr>
          <w:rFonts w:eastAsia="Calibri" w:hint="cs"/>
          <w:rtl/>
        </w:rPr>
        <w:t xml:space="preserve"> </w:t>
      </w:r>
      <w:r w:rsidRPr="00DC5B13">
        <w:rPr>
          <w:rFonts w:eastAsia="Calibri"/>
          <w:rtl/>
        </w:rPr>
        <w:t>באופן הזה</w:t>
      </w:r>
      <w:r w:rsidRPr="00DC5B13">
        <w:rPr>
          <w:rFonts w:eastAsia="Calibri" w:hint="cs"/>
          <w:rtl/>
        </w:rPr>
        <w:t>,</w:t>
      </w:r>
      <w:r w:rsidRPr="00DC5B13">
        <w:rPr>
          <w:rFonts w:eastAsia="Calibri"/>
          <w:rtl/>
        </w:rPr>
        <w:t xml:space="preserve"> השטח ששינה את ייעודו מציבורי לסחיר ישוב לבעליו המקוריים</w:t>
      </w:r>
      <w:r w:rsidRPr="00DC5B13">
        <w:rPr>
          <w:rFonts w:eastAsia="Calibri" w:hint="cs"/>
          <w:rtl/>
        </w:rPr>
        <w:t xml:space="preserve"> (רמ"י)</w:t>
      </w:r>
      <w:r w:rsidRPr="00DC5B13">
        <w:rPr>
          <w:rFonts w:eastAsia="Calibri"/>
          <w:rtl/>
        </w:rPr>
        <w:t>.</w:t>
      </w:r>
      <w:r w:rsidRPr="00DC5B13">
        <w:rPr>
          <w:rFonts w:eastAsia="Calibri" w:hint="cs"/>
          <w:rtl/>
        </w:rPr>
        <w:t xml:space="preserve">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לצוות הביקורת נמסר כי </w:t>
      </w:r>
      <w:r w:rsidRPr="00DC5B13">
        <w:rPr>
          <w:rFonts w:eastAsia="Calibri"/>
          <w:rtl/>
        </w:rPr>
        <w:t>במהלך שנת 2025</w:t>
      </w:r>
      <w:r w:rsidRPr="00DC5B13">
        <w:rPr>
          <w:rFonts w:eastAsia="Calibri" w:hint="cs"/>
          <w:rtl/>
        </w:rPr>
        <w:t xml:space="preserve"> הסכימו</w:t>
      </w:r>
      <w:r w:rsidRPr="00DC5B13">
        <w:rPr>
          <w:rFonts w:eastAsia="Calibri"/>
          <w:rtl/>
        </w:rPr>
        <w:t xml:space="preserve"> הרשות להתחדשות </w:t>
      </w:r>
      <w:r w:rsidRPr="00DC5B13">
        <w:rPr>
          <w:rFonts w:eastAsia="Calibri" w:hint="cs"/>
          <w:rtl/>
        </w:rPr>
        <w:t>ו</w:t>
      </w:r>
      <w:r w:rsidRPr="00DC5B13">
        <w:rPr>
          <w:rFonts w:eastAsia="Calibri"/>
          <w:rtl/>
        </w:rPr>
        <w:t xml:space="preserve">רמ"י </w:t>
      </w:r>
      <w:r w:rsidRPr="00DC5B13">
        <w:rPr>
          <w:rFonts w:eastAsia="Calibri" w:hint="cs"/>
          <w:rtl/>
        </w:rPr>
        <w:t xml:space="preserve">על מתווה לאיחוד וחלוקה, כי </w:t>
      </w:r>
      <w:r w:rsidRPr="00DC5B13">
        <w:rPr>
          <w:rFonts w:eastAsia="Calibri"/>
          <w:rtl/>
        </w:rPr>
        <w:t xml:space="preserve">מסמכי </w:t>
      </w:r>
      <w:r w:rsidRPr="00DC5B13">
        <w:rPr>
          <w:rFonts w:eastAsia="Calibri" w:hint="cs"/>
          <w:rtl/>
        </w:rPr>
        <w:t xml:space="preserve">התוכנית </w:t>
      </w:r>
      <w:r w:rsidRPr="00DC5B13">
        <w:rPr>
          <w:rFonts w:eastAsia="Calibri"/>
          <w:rtl/>
        </w:rPr>
        <w:t>נערכו בהתאם</w:t>
      </w:r>
      <w:r w:rsidRPr="00DC5B13">
        <w:rPr>
          <w:rFonts w:eastAsia="Calibri" w:hint="cs"/>
          <w:rtl/>
        </w:rPr>
        <w:t xml:space="preserve"> וכי הם יועברו לאישורה של הנהלת רמ"י.</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מתיאור האירועים במתחם יעקב מלול בקריית שמונה, ובהם הגשת תוכנית להתחדשות עירונית במתחם יעקב מלול בקריית שמונה בשנת 2021 ואישורה בדצמבר 2022; הגשת תוכנית לאיחוד וחלוקה של חלק מהמתחם בשנת 2023 שטרם אושרה; עלה כי על אף חלוף הזמן משנת 2021 ועד מועד סיום הביקורת - אוקטובר 2025, לא ניתן להתחיל בביצועה של תוכנית יעקב מלול, משום שתוכנית האיחוד והחלוקה למתחם עדיין מצויה בהליכים תכנוניים, עקב מחלוקת עם רמ"י שטרם יושבה.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משרד מבקר המדינה ממליץ לרשות להתחדשות, לרמ"י ולעיריית קריית שמונה ליישב את המחלוקות בנוגע לתוכנית איחוד וחלוקה במתחם יעקב מלול, כדי שניתן יהיה להנפיק היתרים מכוחה ולהתחיל בביצוע התחדשות עירונית במתחם.</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rtl/>
        </w:rPr>
        <w:t xml:space="preserve">עיריית </w:t>
      </w:r>
      <w:r w:rsidRPr="00DC5B13">
        <w:rPr>
          <w:rFonts w:eastAsia="Calibri" w:hint="cs"/>
          <w:b/>
          <w:bCs/>
          <w:rtl/>
        </w:rPr>
        <w:t>קריית שמונה</w:t>
      </w:r>
      <w:r w:rsidRPr="00DC5B13">
        <w:rPr>
          <w:rFonts w:eastAsia="Calibri" w:hint="cs"/>
          <w:rtl/>
        </w:rPr>
        <w:t xml:space="preserve"> מסרה כי אופן שיווק הקרקע ליזמים וקביעת מחירה על ידי רמ"י יקבעו אם המיזם ימומש, וזאת מאחר שגובה הסבסוד שניתן למיזם לבדו אינו מספיק להבטחת כדאיות כלכלית בהתאם לתוכניות שאושרו. לפי עמדת העירייה יש ליצור נוהל הקצאה ייחודי לערים שבהן אין כדאיות כלכלית לביצוע מיזמי התחדשות עירונית.</w:t>
      </w:r>
    </w:p>
    <w:p w:rsidR="00DC5B13" w:rsidRPr="00DC5B13" w:rsidP="00C34B23">
      <w:pPr>
        <w:spacing w:line="269" w:lineRule="auto"/>
        <w:rPr>
          <w:rFonts w:eastAsia="Calibri"/>
          <w:b/>
          <w:bCs/>
          <w:rtl/>
        </w:rPr>
      </w:pPr>
    </w:p>
    <w:p w:rsidR="00DC5B13" w:rsidRPr="00DC5B13" w:rsidP="00C34B23">
      <w:pPr>
        <w:spacing w:line="269" w:lineRule="auto"/>
        <w:rPr>
          <w:rFonts w:eastAsia="Calibri"/>
          <w:rtl/>
        </w:rPr>
      </w:pPr>
      <w:r w:rsidRPr="00DC5B13">
        <w:rPr>
          <w:rFonts w:eastAsia="Calibri" w:hint="cs"/>
          <w:rtl/>
        </w:rPr>
        <w:t>רמ"י מסרה בתשובתה כי מדובר במיזם המתאפיין במורכבות כלכלית גבוהה ובתלות רבה בקרקע משלימה. כמו כן מסרה רמ"י כי לדעתה המחלוקות שהתעוררו הן בעלות אופי מקצועי-כלכלי, וכי הושגו הבנות שהובילו לגיבוש מתווה פעולה מוסכם. עוד צוין בתשובה כי מרחב צפון של רמ"י פועל בהתאם למתווה כדי להביא לאישורה של הנהלת רמ"י את ההחלטה לשריון הקרקע המשלימה הדרושה במיזם.</w:t>
      </w:r>
    </w:p>
    <w:p w:rsidR="00DC5B13" w:rsidRPr="00DC5B13" w:rsidP="00C34B23">
      <w:pPr>
        <w:spacing w:line="269" w:lineRule="auto"/>
        <w:rPr>
          <w:rFonts w:eastAsia="Calibri"/>
          <w:szCs w:val="20"/>
          <w:rtl/>
        </w:rPr>
      </w:pPr>
    </w:p>
    <w:p w:rsidR="00DC5B13" w:rsidP="00C34B23">
      <w:pPr>
        <w:spacing w:line="269" w:lineRule="auto"/>
        <w:rPr>
          <w:rFonts w:eastAsia="Calibri"/>
          <w:rtl/>
        </w:rPr>
      </w:pPr>
      <w:r w:rsidRPr="00DC5B13">
        <w:rPr>
          <w:rFonts w:eastAsia="Calibri" w:hint="cs"/>
          <w:rtl/>
        </w:rPr>
        <w:t>בספטמבר 2022 פורסם דוח המלצות הוועדה הבין-משרדית</w:t>
      </w:r>
      <w:r>
        <w:rPr>
          <w:rFonts w:eastAsia="Calibri"/>
          <w:vertAlign w:val="superscript"/>
          <w:rtl/>
        </w:rPr>
        <w:footnoteReference w:id="174"/>
      </w:r>
      <w:r w:rsidRPr="00DC5B13">
        <w:rPr>
          <w:rFonts w:eastAsia="Calibri" w:hint="cs"/>
          <w:rtl/>
        </w:rPr>
        <w:t xml:space="preserve"> לעידוד התחדשות עירונית בפריפריה</w:t>
      </w:r>
      <w:r>
        <w:rPr>
          <w:rFonts w:eastAsia="Calibri"/>
          <w:vertAlign w:val="superscript"/>
          <w:rtl/>
        </w:rPr>
        <w:footnoteReference w:id="175"/>
      </w:r>
      <w:r w:rsidRPr="00DC5B13">
        <w:rPr>
          <w:rFonts w:eastAsia="Calibri" w:hint="cs"/>
          <w:rtl/>
        </w:rPr>
        <w:t xml:space="preserve">. בדוח צוין כי </w:t>
      </w:r>
      <w:r w:rsidRPr="00DC5B13">
        <w:rPr>
          <w:rFonts w:eastAsia="Calibri"/>
          <w:rtl/>
        </w:rPr>
        <w:t>הרצון לקדם פעילות של התחדשות עירונית בערי הפריפריה</w:t>
      </w:r>
      <w:r w:rsidRPr="00DC5B13">
        <w:rPr>
          <w:rFonts w:eastAsia="Calibri" w:hint="cs"/>
          <w:rtl/>
        </w:rPr>
        <w:t xml:space="preserve"> -</w:t>
      </w:r>
      <w:r w:rsidRPr="00DC5B13">
        <w:rPr>
          <w:rFonts w:eastAsia="Calibri"/>
          <w:rtl/>
        </w:rPr>
        <w:t xml:space="preserve"> אשר אין חולק על הצורך</w:t>
      </w:r>
      <w:r w:rsidRPr="00DC5B13">
        <w:rPr>
          <w:rFonts w:eastAsia="Calibri" w:hint="cs"/>
          <w:rtl/>
        </w:rPr>
        <w:t xml:space="preserve"> </w:t>
      </w:r>
      <w:r w:rsidRPr="00DC5B13">
        <w:rPr>
          <w:rFonts w:eastAsia="Calibri"/>
          <w:rtl/>
        </w:rPr>
        <w:t>הלאומי בה ועל חשיבותה העליונה</w:t>
      </w:r>
      <w:r w:rsidRPr="00DC5B13">
        <w:rPr>
          <w:rFonts w:eastAsia="Calibri" w:hint="cs"/>
          <w:rtl/>
        </w:rPr>
        <w:t xml:space="preserve"> -</w:t>
      </w:r>
      <w:r w:rsidRPr="00DC5B13">
        <w:rPr>
          <w:rFonts w:eastAsia="Calibri"/>
          <w:rtl/>
        </w:rPr>
        <w:t xml:space="preserve"> נתקל בקושי מהותי בשל העובדה הבסיסית </w:t>
      </w:r>
      <w:r w:rsidRPr="00DC5B13">
        <w:rPr>
          <w:rFonts w:eastAsia="Calibri"/>
          <w:rtl/>
        </w:rPr>
        <w:t>שככלל תהליכי</w:t>
      </w:r>
      <w:r w:rsidRPr="00DC5B13">
        <w:rPr>
          <w:rFonts w:eastAsia="Calibri" w:hint="cs"/>
          <w:rtl/>
        </w:rPr>
        <w:t xml:space="preserve"> </w:t>
      </w:r>
      <w:r w:rsidRPr="00DC5B13">
        <w:rPr>
          <w:rFonts w:eastAsia="Calibri"/>
          <w:rtl/>
        </w:rPr>
        <w:t xml:space="preserve">התחדשות עירונית בפריפריה אינם כדאיים </w:t>
      </w:r>
      <w:r w:rsidRPr="00DC5B13">
        <w:rPr>
          <w:rFonts w:eastAsia="Calibri" w:hint="cs"/>
          <w:rtl/>
        </w:rPr>
        <w:t xml:space="preserve">מבחינה </w:t>
      </w:r>
      <w:r w:rsidRPr="00DC5B13">
        <w:rPr>
          <w:rFonts w:eastAsia="Calibri"/>
          <w:rtl/>
        </w:rPr>
        <w:t xml:space="preserve">כלכלית. כך </w:t>
      </w:r>
      <w:r w:rsidRPr="00DC5B13">
        <w:rPr>
          <w:rFonts w:eastAsia="Calibri" w:hint="cs"/>
          <w:rtl/>
        </w:rPr>
        <w:t>הוא בעיקר</w:t>
      </w:r>
      <w:r w:rsidRPr="00DC5B13">
        <w:rPr>
          <w:rFonts w:eastAsia="Calibri"/>
          <w:rtl/>
        </w:rPr>
        <w:t xml:space="preserve"> בערי הפריפריה, </w:t>
      </w:r>
      <w:r w:rsidRPr="00DC5B13">
        <w:rPr>
          <w:rFonts w:eastAsia="Calibri" w:hint="cs"/>
          <w:rtl/>
        </w:rPr>
        <w:t>"</w:t>
      </w:r>
      <w:r w:rsidRPr="00DC5B13">
        <w:rPr>
          <w:rFonts w:eastAsia="Calibri"/>
          <w:rtl/>
        </w:rPr>
        <w:t>שיש בהן צורך ממשי וחיוני בחידוש השכונות הוותיקות ובחיזוק</w:t>
      </w:r>
      <w:r w:rsidRPr="00DC5B13">
        <w:rPr>
          <w:rFonts w:eastAsia="Calibri" w:hint="cs"/>
          <w:rtl/>
        </w:rPr>
        <w:t xml:space="preserve"> </w:t>
      </w:r>
      <w:r w:rsidRPr="00DC5B13">
        <w:rPr>
          <w:rFonts w:eastAsia="Calibri"/>
          <w:rtl/>
        </w:rPr>
        <w:t>ובמיגון של המבנים, תהליכי התחדשות עירונית אינם מתקיימים, וניתן להניח כי כוחות</w:t>
      </w:r>
      <w:r w:rsidRPr="00DC5B13">
        <w:rPr>
          <w:rFonts w:eastAsia="Calibri" w:hint="cs"/>
          <w:rtl/>
        </w:rPr>
        <w:t xml:space="preserve"> </w:t>
      </w:r>
      <w:r w:rsidRPr="00DC5B13">
        <w:rPr>
          <w:rFonts w:eastAsia="Calibri"/>
          <w:rtl/>
        </w:rPr>
        <w:t xml:space="preserve">השוק לא יחלו בקידומם בטווח הזמן הנראה לעין ללא שינוי מהותי של </w:t>
      </w:r>
      <w:r w:rsidRPr="00DC5B13">
        <w:rPr>
          <w:rFonts w:eastAsia="Calibri" w:hint="cs"/>
          <w:rtl/>
        </w:rPr>
        <w:t>'</w:t>
      </w:r>
      <w:r w:rsidRPr="00DC5B13">
        <w:rPr>
          <w:rFonts w:eastAsia="Calibri"/>
          <w:rtl/>
        </w:rPr>
        <w:t>כללי המשחק</w:t>
      </w:r>
      <w:r w:rsidRPr="00DC5B13">
        <w:rPr>
          <w:rFonts w:eastAsia="Calibri" w:hint="cs"/>
          <w:rtl/>
        </w:rPr>
        <w:t xml:space="preserve">' </w:t>
      </w:r>
      <w:r w:rsidRPr="00DC5B13">
        <w:rPr>
          <w:rFonts w:eastAsia="Calibri"/>
          <w:rtl/>
        </w:rPr>
        <w:t>הקיימים כיום בשוק זה</w:t>
      </w:r>
      <w:r w:rsidRPr="00DC5B13">
        <w:rPr>
          <w:rFonts w:eastAsia="Calibri" w:hint="cs"/>
          <w:rtl/>
        </w:rPr>
        <w:t>"</w:t>
      </w:r>
      <w:r w:rsidRPr="00DC5B13">
        <w:rPr>
          <w:rFonts w:eastAsia="Calibri"/>
          <w:rtl/>
        </w:rPr>
        <w:t>.</w:t>
      </w:r>
      <w:r w:rsidRPr="00DC5B13">
        <w:rPr>
          <w:rFonts w:eastAsia="Calibri" w:hint="cs"/>
          <w:rtl/>
        </w:rPr>
        <w:t xml:space="preserve"> עיקרי ההמלצות של הוועדה מתוארים בתרשים שלהלן.</w:t>
      </w:r>
    </w:p>
    <w:p w:rsidR="003B5771" w:rsidP="00C34B23">
      <w:pPr>
        <w:spacing w:line="269" w:lineRule="auto"/>
        <w:rPr>
          <w:rFonts w:eastAsia="Calibri"/>
          <w:rtl/>
        </w:rPr>
      </w:pPr>
    </w:p>
    <w:p w:rsidR="003B5771" w:rsidRPr="003B5771" w:rsidP="003B5771">
      <w:pPr>
        <w:spacing w:line="269" w:lineRule="auto"/>
        <w:rPr>
          <w:rFonts w:eastAsia="Calibri"/>
          <w:b/>
          <w:bCs/>
          <w:rtl/>
        </w:rPr>
      </w:pPr>
      <w:r w:rsidRPr="003B5771">
        <w:rPr>
          <w:rFonts w:eastAsia="Calibri" w:hint="eastAsia"/>
          <w:rtl/>
        </w:rPr>
        <w:t>תרשים</w:t>
      </w:r>
      <w:r w:rsidRPr="003B5771">
        <w:rPr>
          <w:rFonts w:eastAsia="Calibri"/>
          <w:rtl/>
        </w:rPr>
        <w:t xml:space="preserve"> </w:t>
      </w:r>
      <w:r w:rsidRPr="003B5771">
        <w:rPr>
          <w:rFonts w:eastAsia="Calibri"/>
        </w:rPr>
        <w:t>21</w:t>
      </w:r>
      <w:r w:rsidRPr="003B5771">
        <w:rPr>
          <w:rFonts w:eastAsia="Calibri"/>
          <w:rtl/>
        </w:rPr>
        <w:t>:</w:t>
      </w:r>
      <w:r w:rsidRPr="003B5771">
        <w:rPr>
          <w:rFonts w:eastAsia="Calibri"/>
          <w:b/>
          <w:bCs/>
          <w:rtl/>
        </w:rPr>
        <w:t xml:space="preserve"> </w:t>
      </w:r>
      <w:r w:rsidRPr="003B5771">
        <w:rPr>
          <w:rFonts w:eastAsia="Calibri" w:hint="eastAsia"/>
          <w:b/>
          <w:bCs/>
          <w:rtl/>
        </w:rPr>
        <w:t>עיקרי</w:t>
      </w:r>
      <w:r w:rsidRPr="003B5771">
        <w:rPr>
          <w:rFonts w:eastAsia="Calibri" w:hint="cs"/>
          <w:b/>
          <w:bCs/>
          <w:rtl/>
        </w:rPr>
        <w:t xml:space="preserve"> ההמלצות של הוועדה הבין-משרדית לעידוד התחדשות עירונית בפריפריה</w:t>
      </w:r>
      <w:r>
        <w:rPr>
          <w:rFonts w:eastAsia="Calibri"/>
          <w:b/>
          <w:bCs/>
          <w:vertAlign w:val="superscript"/>
          <w:rtl/>
        </w:rPr>
        <w:footnoteReference w:id="176"/>
      </w:r>
    </w:p>
    <w:p w:rsidR="00037943" w:rsidRPr="00DC5B13" w:rsidP="00C34B23">
      <w:pPr>
        <w:spacing w:line="269" w:lineRule="auto"/>
        <w:rPr>
          <w:rFonts w:eastAsia="Calibri"/>
          <w:rtl/>
        </w:rPr>
      </w:pPr>
    </w:p>
    <w:p w:rsidR="00DC5B13" w:rsidRPr="00DC5B13" w:rsidP="003B5771">
      <w:pPr>
        <w:keepNext/>
        <w:keepLines/>
        <w:spacing w:after="240" w:line="269" w:lineRule="auto"/>
        <w:jc w:val="center"/>
        <w:rPr>
          <w:rFonts w:eastAsia="Calibri"/>
          <w:b/>
          <w:bCs/>
          <w:sz w:val="22"/>
          <w:rtl/>
        </w:rPr>
      </w:pPr>
      <w:r w:rsidRPr="00DC5B13">
        <w:rPr>
          <w:rFonts w:eastAsia="Calibri"/>
          <w:noProof/>
          <w:sz w:val="22"/>
          <w:rtl/>
          <w:lang w:val="he-IL"/>
        </w:rPr>
        <w:drawing>
          <wp:inline distT="0" distB="0" distL="0" distR="0">
            <wp:extent cx="5220000" cy="3142800"/>
            <wp:effectExtent l="0" t="0" r="0" b="635"/>
            <wp:docPr id="39" name="תמונה 39" descr="תוכן 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142800"/>
                    </a:xfrm>
                    <a:prstGeom prst="rect">
                      <a:avLst/>
                    </a:prstGeom>
                    <a:noFill/>
                  </pic:spPr>
                </pic:pic>
              </a:graphicData>
            </a:graphic>
          </wp:inline>
        </w:drawing>
      </w:r>
    </w:p>
    <w:p w:rsidR="00DC5B13" w:rsidRPr="00DC5B13" w:rsidP="00C34B23">
      <w:pPr>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פי דוח המלצות הוועדה הבין-משרדית לעידוד התחדשות עירונית בפריפריה, </w:t>
      </w:r>
      <w:r w:rsidRPr="00DC5B13">
        <w:rPr>
          <w:rFonts w:eastAsia="Calibri" w:hint="eastAsia"/>
          <w:szCs w:val="20"/>
          <w:rtl/>
        </w:rPr>
        <w:t>בעיבוד</w:t>
      </w:r>
      <w:r w:rsidRPr="00DC5B13">
        <w:rPr>
          <w:rFonts w:eastAsia="Calibri"/>
          <w:szCs w:val="20"/>
          <w:rtl/>
        </w:rPr>
        <w:t xml:space="preserve"> </w:t>
      </w:r>
      <w:r w:rsidRPr="00DC5B13">
        <w:rPr>
          <w:rFonts w:eastAsia="Calibri" w:hint="eastAsia"/>
          <w:szCs w:val="20"/>
          <w:rtl/>
        </w:rPr>
        <w:t>משרד</w:t>
      </w:r>
      <w:r w:rsidRPr="00DC5B13">
        <w:rPr>
          <w:rFonts w:eastAsia="Calibri"/>
          <w:szCs w:val="20"/>
          <w:rtl/>
        </w:rPr>
        <w:t xml:space="preserve"> </w:t>
      </w:r>
      <w:r w:rsidRPr="00DC5B13">
        <w:rPr>
          <w:rFonts w:eastAsia="Calibri" w:hint="eastAsia"/>
          <w:szCs w:val="20"/>
          <w:rtl/>
        </w:rPr>
        <w:t>מבקר</w:t>
      </w:r>
      <w:r w:rsidRPr="00DC5B13">
        <w:rPr>
          <w:rFonts w:eastAsia="Calibri"/>
          <w:szCs w:val="20"/>
          <w:rtl/>
        </w:rPr>
        <w:t xml:space="preserve"> </w:t>
      </w:r>
      <w:r w:rsidRPr="00DC5B13">
        <w:rPr>
          <w:rFonts w:eastAsia="Calibri" w:hint="eastAsia"/>
          <w:szCs w:val="20"/>
          <w:rtl/>
        </w:rPr>
        <w:t>המדינה</w:t>
      </w:r>
      <w:r w:rsidRPr="00DC5B13">
        <w:rPr>
          <w:rFonts w:eastAsia="Calibri"/>
          <w:szCs w:val="20"/>
          <w:rtl/>
        </w:rPr>
        <w:t>.</w:t>
      </w:r>
    </w:p>
    <w:p w:rsidR="00DC5B13" w:rsidRPr="00DC5B13" w:rsidP="00C34B23">
      <w:pPr>
        <w:spacing w:line="269" w:lineRule="auto"/>
        <w:rPr>
          <w:rFonts w:eastAsia="Calibri"/>
          <w:szCs w:val="20"/>
          <w:rtl/>
        </w:rPr>
      </w:pPr>
      <w:bookmarkStart w:id="45" w:name="_Hlk217476930"/>
      <w:bookmarkStart w:id="46" w:name="_Hlk217300026"/>
    </w:p>
    <w:p w:rsidR="00DC5B13" w:rsidRPr="00DC5B13" w:rsidP="00C34B23">
      <w:pPr>
        <w:spacing w:line="269" w:lineRule="auto"/>
        <w:rPr>
          <w:rFonts w:eastAsia="Calibri"/>
          <w:b/>
          <w:bCs/>
          <w:rtl/>
        </w:rPr>
      </w:pPr>
      <w:r w:rsidRPr="00DC5B13">
        <w:rPr>
          <w:rFonts w:eastAsia="Calibri" w:hint="cs"/>
          <w:b/>
          <w:bCs/>
          <w:rtl/>
        </w:rPr>
        <w:t xml:space="preserve">החלטת הממשלה 875 מדצמבר 2021 ודוח ההמלצות של הוועדה הבין-משרדית להתחדשות עירונית בפריפריה מספטמבר 2022, ייחסו </w:t>
      </w:r>
      <w:r w:rsidRPr="00DC5B13">
        <w:rPr>
          <w:rFonts w:eastAsia="Calibri"/>
          <w:b/>
          <w:bCs/>
          <w:rtl/>
        </w:rPr>
        <w:t xml:space="preserve">חשיבות רבה </w:t>
      </w:r>
      <w:r w:rsidRPr="00DC5B13">
        <w:rPr>
          <w:rFonts w:eastAsia="Calibri" w:hint="cs"/>
          <w:b/>
          <w:bCs/>
          <w:rtl/>
        </w:rPr>
        <w:t>ל</w:t>
      </w:r>
      <w:r w:rsidRPr="00DC5B13">
        <w:rPr>
          <w:rFonts w:eastAsia="Calibri"/>
          <w:b/>
          <w:bCs/>
          <w:rtl/>
        </w:rPr>
        <w:t xml:space="preserve">קידום התחדשות עירונית ביישובי הפריפריה בכלל ובקריית שמונה בפרט בשל הצורך במיגון </w:t>
      </w:r>
      <w:r w:rsidRPr="00DC5B13">
        <w:rPr>
          <w:rFonts w:eastAsia="Calibri" w:hint="cs"/>
          <w:b/>
          <w:bCs/>
          <w:rtl/>
        </w:rPr>
        <w:t xml:space="preserve">המבנים בתחומה </w:t>
      </w:r>
      <w:r w:rsidRPr="00DC5B13">
        <w:rPr>
          <w:rFonts w:eastAsia="Calibri"/>
          <w:b/>
          <w:bCs/>
          <w:rtl/>
        </w:rPr>
        <w:t xml:space="preserve">ובחיזוקם עקב </w:t>
      </w:r>
      <w:r w:rsidRPr="00DC5B13">
        <w:rPr>
          <w:rFonts w:eastAsia="Calibri" w:hint="cs"/>
          <w:b/>
          <w:bCs/>
          <w:rtl/>
        </w:rPr>
        <w:t>ה</w:t>
      </w:r>
      <w:r w:rsidRPr="00DC5B13">
        <w:rPr>
          <w:rFonts w:eastAsia="Calibri"/>
          <w:b/>
          <w:bCs/>
          <w:rtl/>
        </w:rPr>
        <w:t xml:space="preserve">סיכונים </w:t>
      </w:r>
      <w:r w:rsidRPr="00DC5B13">
        <w:rPr>
          <w:rFonts w:eastAsia="Calibri" w:hint="cs"/>
          <w:b/>
          <w:bCs/>
          <w:rtl/>
        </w:rPr>
        <w:t>ה</w:t>
      </w:r>
      <w:r w:rsidRPr="00DC5B13">
        <w:rPr>
          <w:rFonts w:eastAsia="Calibri"/>
          <w:b/>
          <w:bCs/>
          <w:rtl/>
        </w:rPr>
        <w:t>ביטחוניים ו</w:t>
      </w:r>
      <w:r w:rsidRPr="00DC5B13">
        <w:rPr>
          <w:rFonts w:eastAsia="Calibri" w:hint="cs"/>
          <w:b/>
          <w:bCs/>
          <w:rtl/>
        </w:rPr>
        <w:t xml:space="preserve">בשל </w:t>
      </w:r>
      <w:r w:rsidRPr="00DC5B13">
        <w:rPr>
          <w:rFonts w:eastAsia="Calibri"/>
          <w:b/>
          <w:bCs/>
          <w:rtl/>
        </w:rPr>
        <w:t>סמיכותה לקו השבר הסורי</w:t>
      </w:r>
      <w:r w:rsidRPr="00DC5B13">
        <w:rPr>
          <w:rFonts w:eastAsia="Calibri" w:hint="cs"/>
          <w:b/>
          <w:bCs/>
          <w:rtl/>
        </w:rPr>
        <w:t>-</w:t>
      </w:r>
      <w:r w:rsidRPr="00DC5B13">
        <w:rPr>
          <w:rFonts w:eastAsia="Calibri"/>
          <w:b/>
          <w:bCs/>
          <w:rtl/>
        </w:rPr>
        <w:t>אפריקאי</w:t>
      </w:r>
      <w:r>
        <w:rPr>
          <w:rFonts w:eastAsia="Calibri"/>
          <w:b/>
          <w:bCs/>
          <w:vertAlign w:val="superscript"/>
          <w:rtl/>
        </w:rPr>
        <w:footnoteReference w:id="177"/>
      </w:r>
      <w:r w:rsidRPr="00DC5B13">
        <w:rPr>
          <w:rFonts w:eastAsia="Calibri"/>
          <w:b/>
          <w:bCs/>
          <w:rtl/>
        </w:rPr>
        <w:t xml:space="preserve"> המגביר את הסיכון לרעידות אדמה.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b/>
          <w:bCs/>
          <w:rtl/>
        </w:rPr>
        <w:t xml:space="preserve">משרד מבקר המדינה ממליץ לגורמים הרלוונטיים, </w:t>
      </w:r>
      <w:r w:rsidRPr="00DC5B13">
        <w:rPr>
          <w:rFonts w:eastAsia="Calibri" w:hint="cs"/>
          <w:b/>
          <w:bCs/>
          <w:rtl/>
        </w:rPr>
        <w:t>ו</w:t>
      </w:r>
      <w:r w:rsidRPr="00DC5B13">
        <w:rPr>
          <w:rFonts w:eastAsia="Calibri"/>
          <w:b/>
          <w:bCs/>
          <w:rtl/>
        </w:rPr>
        <w:t>בהם משרד ראש הממשלה,</w:t>
      </w:r>
      <w:r w:rsidRPr="00DC5B13">
        <w:rPr>
          <w:rFonts w:eastAsia="Calibri" w:hint="cs"/>
          <w:b/>
          <w:bCs/>
          <w:rtl/>
        </w:rPr>
        <w:t xml:space="preserve"> משרד השיכון, </w:t>
      </w:r>
      <w:r w:rsidRPr="00DC5B13">
        <w:rPr>
          <w:rFonts w:eastAsia="Calibri"/>
          <w:b/>
          <w:bCs/>
          <w:rtl/>
        </w:rPr>
        <w:t>הרשות הממשלתית להתחדשות</w:t>
      </w:r>
      <w:r w:rsidRPr="00DC5B13">
        <w:rPr>
          <w:rFonts w:eastAsia="Calibri" w:hint="cs"/>
          <w:b/>
          <w:bCs/>
          <w:rtl/>
        </w:rPr>
        <w:t xml:space="preserve">, מינהל התכנון </w:t>
      </w:r>
      <w:r w:rsidRPr="00DC5B13">
        <w:rPr>
          <w:rFonts w:eastAsia="Calibri"/>
          <w:b/>
          <w:bCs/>
          <w:rtl/>
        </w:rPr>
        <w:t>ורשות מקרקעי ישראל</w:t>
      </w:r>
      <w:r w:rsidRPr="00DC5B13">
        <w:rPr>
          <w:rFonts w:eastAsia="Calibri" w:hint="cs"/>
          <w:b/>
          <w:bCs/>
          <w:rtl/>
        </w:rPr>
        <w:t>, לבצע בחינה עדכנית של הפערים והחסמים לביצוע מיזמי התחדשות עירונית בפריפריה בכלל, ובקריית שמונה בפרט, למצוא דרכים לצמצומם או להסרתם במידת האפשר ו</w:t>
      </w:r>
      <w:r w:rsidRPr="00DC5B13">
        <w:rPr>
          <w:rFonts w:eastAsia="Calibri"/>
          <w:b/>
          <w:bCs/>
          <w:rtl/>
        </w:rPr>
        <w:t>לתת עדיפות לקידום ול</w:t>
      </w:r>
      <w:r w:rsidRPr="00DC5B13">
        <w:rPr>
          <w:rFonts w:eastAsia="Calibri" w:hint="cs"/>
          <w:b/>
          <w:bCs/>
          <w:rtl/>
        </w:rPr>
        <w:t>ב</w:t>
      </w:r>
      <w:r w:rsidRPr="00DC5B13">
        <w:rPr>
          <w:rFonts w:eastAsia="Calibri"/>
          <w:b/>
          <w:bCs/>
          <w:rtl/>
        </w:rPr>
        <w:t>יצוע מיזמים של התחדשות עירונית בקריית שמונה.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משרד השיכון מסר בתשובתו כי הוא</w:t>
      </w:r>
      <w:r w:rsidRPr="00DC5B13">
        <w:rPr>
          <w:rFonts w:eastAsia="Calibri"/>
          <w:rtl/>
        </w:rPr>
        <w:t xml:space="preserve"> רואה חשיבות עליונה בקידום התחדשות </w:t>
      </w:r>
      <w:r w:rsidRPr="00DC5B13">
        <w:rPr>
          <w:rFonts w:eastAsia="Calibri" w:hint="cs"/>
          <w:rtl/>
        </w:rPr>
        <w:t xml:space="preserve">עירונית </w:t>
      </w:r>
      <w:r w:rsidRPr="00DC5B13">
        <w:rPr>
          <w:rFonts w:eastAsia="Calibri"/>
          <w:rtl/>
        </w:rPr>
        <w:t xml:space="preserve">בפריפריה בשל הסיכונים </w:t>
      </w:r>
      <w:r w:rsidRPr="00DC5B13">
        <w:rPr>
          <w:rFonts w:eastAsia="Calibri" w:hint="cs"/>
          <w:rtl/>
        </w:rPr>
        <w:t xml:space="preserve">הסייסמיים </w:t>
      </w:r>
      <w:r w:rsidRPr="00DC5B13">
        <w:rPr>
          <w:rFonts w:eastAsia="Calibri"/>
          <w:rtl/>
        </w:rPr>
        <w:t>והביטחוניים</w:t>
      </w:r>
      <w:r w:rsidRPr="00DC5B13">
        <w:rPr>
          <w:rFonts w:eastAsia="Calibri" w:hint="cs"/>
          <w:rtl/>
        </w:rPr>
        <w:t>,</w:t>
      </w:r>
      <w:r w:rsidRPr="00DC5B13">
        <w:rPr>
          <w:rFonts w:eastAsia="Calibri"/>
          <w:rtl/>
        </w:rPr>
        <w:t xml:space="preserve"> </w:t>
      </w:r>
      <w:r w:rsidRPr="00DC5B13">
        <w:rPr>
          <w:rFonts w:eastAsia="Calibri" w:hint="cs"/>
          <w:rtl/>
        </w:rPr>
        <w:t>וכי יפעל</w:t>
      </w:r>
      <w:r w:rsidRPr="00DC5B13">
        <w:rPr>
          <w:rFonts w:eastAsia="Calibri"/>
          <w:rtl/>
        </w:rPr>
        <w:t xml:space="preserve"> </w:t>
      </w:r>
      <w:r w:rsidRPr="00DC5B13">
        <w:rPr>
          <w:rFonts w:eastAsia="Calibri" w:hint="cs"/>
          <w:rtl/>
        </w:rPr>
        <w:t>בשיתוף</w:t>
      </w:r>
      <w:r w:rsidRPr="00DC5B13">
        <w:rPr>
          <w:rFonts w:eastAsia="Calibri"/>
          <w:rtl/>
        </w:rPr>
        <w:t xml:space="preserve"> עם הרשות הממשלתית להתחדשות עירונית, משרד האוצר, משרד ראש</w:t>
      </w:r>
      <w:r w:rsidRPr="00DC5B13">
        <w:rPr>
          <w:rFonts w:eastAsia="Calibri" w:hint="cs"/>
          <w:rtl/>
        </w:rPr>
        <w:t xml:space="preserve"> </w:t>
      </w:r>
      <w:r w:rsidRPr="00DC5B13">
        <w:rPr>
          <w:rFonts w:eastAsia="Calibri"/>
          <w:rtl/>
        </w:rPr>
        <w:t>הממשלה, רמ"י ומינהל התכנון לייצר תנאים כלכליים ופתרונות של "קרקע משלימה" ופטור ממכרז, או פתרון תקציבי</w:t>
      </w:r>
      <w:r w:rsidRPr="00DC5B13">
        <w:rPr>
          <w:rFonts w:eastAsia="Calibri" w:hint="cs"/>
          <w:rtl/>
        </w:rPr>
        <w:t xml:space="preserve"> </w:t>
      </w:r>
      <w:r w:rsidRPr="00DC5B13">
        <w:rPr>
          <w:rFonts w:eastAsia="Calibri"/>
          <w:rtl/>
        </w:rPr>
        <w:t xml:space="preserve">במסגרת החלטת ממשלה רוחבית, כל </w:t>
      </w:r>
      <w:r w:rsidRPr="00DC5B13">
        <w:rPr>
          <w:rFonts w:eastAsia="Calibri" w:hint="cs"/>
          <w:rtl/>
        </w:rPr>
        <w:t xml:space="preserve">זאת </w:t>
      </w:r>
      <w:r w:rsidRPr="00DC5B13">
        <w:rPr>
          <w:rFonts w:eastAsia="Calibri"/>
          <w:rtl/>
        </w:rPr>
        <w:t>כדי להבטיח ודאות תכנונית וכלכלית ליזמים ולדיירים.</w:t>
      </w:r>
    </w:p>
    <w:bookmarkEnd w:id="45"/>
    <w:bookmarkEnd w:id="46"/>
    <w:p w:rsidR="00DC5B13" w:rsidRPr="00DC5B13" w:rsidP="00C34B23">
      <w:pPr>
        <w:spacing w:line="269" w:lineRule="auto"/>
        <w:rPr>
          <w:rFonts w:eastAsia="Calibri"/>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hint="cs"/>
          <w:bCs/>
          <w:szCs w:val="28"/>
          <w:u w:val="single"/>
          <w:rtl/>
        </w:rPr>
        <w:t>רעננה: מתחם ברנדייס - משך הליכי התכנון במיזם ההתחדשות העירונית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תוכנית רע/511/1 היא תוכנית מתאר מקומית מפורטת</w:t>
      </w:r>
      <w:r>
        <w:rPr>
          <w:rFonts w:eastAsia="Calibri"/>
          <w:vertAlign w:val="superscript"/>
          <w:rtl/>
        </w:rPr>
        <w:footnoteReference w:id="178"/>
      </w:r>
      <w:r w:rsidRPr="00DC5B13">
        <w:rPr>
          <w:rFonts w:eastAsia="Calibri" w:hint="cs"/>
          <w:rtl/>
        </w:rPr>
        <w:t xml:space="preserve"> להריסתם של ארבעה מבני מגורים ובהם 54 יחידות דיור ולהקמתם של שלושה בנייני מגורים חדשים במקומם. התוכנית כוללת איחוד וחלוקה של המגרשים הכלולים בה ללא הסכמת בעלי המגרשים ושינוי של ייעודי קרקע - בין השאר שינויים מייעוד של שטח ציבורי פתוח לייעוד מגורים ומייעוד של מגורים ג' לייעוד של מגורים ד'</w:t>
      </w:r>
      <w:r>
        <w:rPr>
          <w:rFonts w:eastAsia="Calibri"/>
          <w:vertAlign w:val="superscript"/>
          <w:rtl/>
        </w:rPr>
        <w:footnoteReference w:id="179"/>
      </w:r>
      <w:r w:rsidRPr="00DC5B13">
        <w:rPr>
          <w:rFonts w:eastAsia="Calibri" w:hint="cs"/>
          <w:rtl/>
        </w:rPr>
        <w:t xml:space="preserve"> - וזאת כדי לאפשר הוספת יחידות דיור על היחידות הקיימות לשם יצירת מנוף כלכלי לתהליך פינוי-בינוי.</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התוכנית הוגשה להתייחסות הוועדה המקומית לתכנון ובנייה בעיריית רעננה (להלן - הוועדה המקומית רעננה) בשלהי 1999, וזו החליטה להמליץ על קידום התוכנית בוועדה המחוזית מרכז, כפוף להגשת נספח תנועה ולבדיקות נוספות. בינואר 2003 התקבלה התוכנית בוועדה המחוזית, שהחליטה על הפקדתה בתנאים</w:t>
      </w:r>
      <w:r>
        <w:rPr>
          <w:rFonts w:eastAsia="Calibri"/>
          <w:vertAlign w:val="superscript"/>
          <w:rtl/>
        </w:rPr>
        <w:footnoteReference w:id="180"/>
      </w:r>
      <w:r w:rsidRPr="00DC5B13">
        <w:rPr>
          <w:rFonts w:eastAsia="Calibri" w:hint="cs"/>
          <w:rtl/>
        </w:rPr>
        <w:t>. בעת הפקדתה הציעה התוכנית בנייה של 150 יחידות דיור בשלושה מבנים והסבת שטחו של השטח הציבורי הפתוח למבני מגורים ולשטח פרטי פתוח שהיקפו כ-830 מ"ר.</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לאחר הפקדת התוכנית הוגשו התנגדויות מצד בעלי זכויות במגרשים שכנים וכן מצד עיריית רעננה, אשר קבלו על ביטול השטח הציבורי הקיים ועל הגדלת הצפיפות שתוארה כחורגת מאופי הסביבה ומהנהוג ברעננה. הוועדה המקומית ביטלה את המלצתה לתמוך בהפקדת התוכנית לנוכח עובדות חדשות שהתגלו בעת הפקדת התוכנית ומאחר שלא הוגש נספח תנועה כפי שביקשה הוועדה. בדיון בהתנגדויות בינואר 2005 החליטה הוועדה המחוזית מרכז לדחות את התוכנית המוצעת</w:t>
      </w:r>
      <w:r>
        <w:rPr>
          <w:rFonts w:eastAsia="Calibri"/>
          <w:vertAlign w:val="superscript"/>
          <w:rtl/>
        </w:rPr>
        <w:footnoteReference w:id="181"/>
      </w:r>
      <w:r w:rsidRPr="00DC5B13">
        <w:rPr>
          <w:rFonts w:eastAsia="Calibri" w:hint="cs"/>
          <w:rtl/>
        </w:rPr>
        <w:t xml:space="preserve">. הוועדה קיבלה את טענות המתנגדים בציינה שהצפיפות בבינוי המוצע בתוכנית חורגת במידה רבה מצפיפות הבנייה בסביבת התוכנית וקבלה על ביטול השטח הציבורי הפתוח.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יזמי התוכנית הגישו ערר על ההחלטה לדחות את התוכנית. ועדת הערר פרסמה באוקטובר 2007 החלטת ביניים</w:t>
      </w:r>
      <w:r>
        <w:rPr>
          <w:rFonts w:eastAsia="Calibri"/>
          <w:vertAlign w:val="superscript"/>
          <w:rtl/>
        </w:rPr>
        <w:footnoteReference w:id="182"/>
      </w:r>
      <w:r w:rsidRPr="00DC5B13">
        <w:rPr>
          <w:rFonts w:eastAsia="Calibri" w:hint="cs"/>
          <w:rtl/>
        </w:rPr>
        <w:t xml:space="preserve"> שקבעה כי העוררים והוועדה המקומית רעננה יפעלו יחד לגיבוש תוכנית מעודכנת שתהא מוסכמת על שני הצדדים. בתוכנית החדשה הוצע כי מספר יחידות הדיור בתוכנית החדשה יוקטן ל-120, וכי מספר הקומות המרבי ירד לשבע. עוד הוצע כי שטחן של 30% מהדירות המוצעות לא יעלה על 85 מ"ר וכי השטח הממוצע של כל אחת מהדירות האחרות יהיה 105 מ"ר. כן הוצע לשמור שטח של דונם בייעוד שטח ציבורי פתוח במקום השטח הפרטי הפתוח שהוצע במקור. באוגוסט 2008, משלא הושגו הסכמות גם לגבי התוכנית החדשה, הוחזרה התוכנית לדיון בפני ועדת הערר. ועדת הערר שקלה בחיוב את אישור התוכנית החדשה, כפוף לתגובת הוועדה המחוזית מרכז על השינויים המוצעים בה.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בדצמבר 2008 התקיים בוועדה המחוזית מרכז דיון נוסף בתוכנית</w:t>
      </w:r>
      <w:r>
        <w:rPr>
          <w:rFonts w:eastAsia="Calibri"/>
          <w:vertAlign w:val="superscript"/>
          <w:rtl/>
        </w:rPr>
        <w:footnoteReference w:id="183"/>
      </w:r>
      <w:r w:rsidRPr="00DC5B13">
        <w:rPr>
          <w:rFonts w:eastAsia="Calibri" w:hint="cs"/>
          <w:rtl/>
        </w:rPr>
        <w:t>, והתוכנית החדשה אושרה להפקדה פעם נוספת לאחר הטמעת שינויים אחדים שדרשה הוועדה. עיכוב נוסף נגרם בשל סכסוך משפטי שהתגלע בין בעלי הדירות ובין היזם - וזאת בשל השינויים שהוכנסו בתוכנית ובייחוד בשטח הדירות.</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התנאים שהציבה הוועדה המחוזית מרכז להפקדה מחודשת של התוכנית מולאו במאי 2014, והתוכנית הופקדה מבלי שהוגשו התנגדויות נוספות. לאחר שמולאו כל התנאים לאישור התוכנית, היא אושרה בדצמבר 2015 - כ-12 שנים לאחר שהופקדה לראשונה בוועדה המחוזית מרכז. הלוח </w:t>
      </w:r>
      <w:r w:rsidRPr="00DC5B13">
        <w:rPr>
          <w:rFonts w:eastAsia="Calibri" w:hint="cs"/>
          <w:rtl/>
        </w:rPr>
        <w:t>שלהלן מציג את השינויים בין המצב המאושר ובין שתי התוכניות שהוצעו לחידוש המתחם. הבקשות להיתרי בנייה מכוח התוכנית אושרו על ידי עיריית רעננה בספטמבר 2016.</w:t>
      </w:r>
    </w:p>
    <w:p w:rsidR="00DC5B13" w:rsidRPr="00DC5B13" w:rsidP="00C34B23">
      <w:pPr>
        <w:keepNext/>
        <w:keepLines/>
        <w:spacing w:line="269" w:lineRule="auto"/>
        <w:jc w:val="center"/>
        <w:rPr>
          <w:rFonts w:eastAsia="Calibri"/>
          <w:szCs w:val="20"/>
          <w:rtl/>
        </w:rPr>
      </w:pPr>
    </w:p>
    <w:p w:rsidR="00DC5B13" w:rsidRPr="00DC5B13" w:rsidP="00C34B23">
      <w:pPr>
        <w:keepNext/>
        <w:keepLines/>
        <w:spacing w:line="269" w:lineRule="auto"/>
        <w:jc w:val="center"/>
        <w:rPr>
          <w:rFonts w:eastAsia="Calibri"/>
          <w:rtl/>
        </w:rPr>
      </w:pPr>
      <w:r w:rsidRPr="00DC5B13">
        <w:rPr>
          <w:rFonts w:eastAsia="Calibri" w:hint="eastAsia"/>
          <w:rtl/>
        </w:rPr>
        <w:t>לוח</w:t>
      </w:r>
      <w:r w:rsidRPr="00DC5B13">
        <w:rPr>
          <w:rFonts w:eastAsia="Calibri"/>
          <w:rtl/>
        </w:rPr>
        <w:t xml:space="preserve"> </w:t>
      </w:r>
      <w:r w:rsidRPr="00DC5B13">
        <w:rPr>
          <w:rFonts w:eastAsia="Calibri" w:hint="cs"/>
          <w:rtl/>
        </w:rPr>
        <w:t>15</w:t>
      </w:r>
      <w:r w:rsidRPr="00DC5B13">
        <w:rPr>
          <w:rFonts w:eastAsia="Calibri"/>
          <w:rtl/>
        </w:rPr>
        <w:t xml:space="preserve">: </w:t>
      </w:r>
      <w:r w:rsidRPr="00DC5B13">
        <w:rPr>
          <w:rFonts w:eastAsia="Calibri" w:hint="eastAsia"/>
          <w:b/>
          <w:bCs/>
          <w:rtl/>
        </w:rPr>
        <w:t>תוכנית</w:t>
      </w:r>
      <w:r w:rsidRPr="00DC5B13">
        <w:rPr>
          <w:rFonts w:eastAsia="Calibri" w:hint="cs"/>
          <w:b/>
          <w:bCs/>
          <w:rtl/>
        </w:rPr>
        <w:t xml:space="preserve"> רע/511/1 - התחדשות מתחם ברנדייס - השוואה בין התוכניות המוצעות בעת אישור התוכנית ב-2015</w:t>
      </w:r>
    </w:p>
    <w:tbl>
      <w:tblPr>
        <w:bidiVisual/>
        <w:tblW w:w="5024" w:type="pct"/>
        <w:tblInd w:w="-20" w:type="dxa"/>
        <w:tblLook w:val="04A0"/>
      </w:tblPr>
      <w:tblGrid>
        <w:gridCol w:w="2286"/>
        <w:gridCol w:w="1843"/>
        <w:gridCol w:w="2065"/>
        <w:gridCol w:w="2065"/>
      </w:tblGrid>
      <w:tr w:rsidTr="00AB118E">
        <w:tblPrEx>
          <w:tblW w:w="5024" w:type="pct"/>
          <w:tblInd w:w="-20" w:type="dxa"/>
          <w:tblLook w:val="04A0"/>
        </w:tblPrEx>
        <w:trPr>
          <w:trHeight w:val="574"/>
        </w:trPr>
        <w:tc>
          <w:tcPr>
            <w:tcW w:w="1384" w:type="pct"/>
            <w:tcBorders>
              <w:top w:val="single" w:sz="8" w:space="0" w:color="FFFFFF"/>
              <w:left w:val="nil"/>
              <w:bottom w:val="single" w:sz="8" w:space="0" w:color="FFFFFF"/>
              <w:right w:val="single" w:sz="8" w:space="0" w:color="FFFFFF"/>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Pr>
            </w:pPr>
            <w:r w:rsidRPr="00DC5B13">
              <w:rPr>
                <w:rFonts w:ascii="David" w:eastAsia="Times New Roman" w:hAnsi="David" w:hint="cs"/>
                <w:b/>
                <w:bCs/>
                <w:color w:val="FFFFFF"/>
                <w:sz w:val="22"/>
                <w:szCs w:val="22"/>
                <w:rtl/>
              </w:rPr>
              <w:t> </w:t>
            </w:r>
          </w:p>
        </w:tc>
        <w:tc>
          <w:tcPr>
            <w:tcW w:w="1116" w:type="pct"/>
            <w:tcBorders>
              <w:top w:val="single" w:sz="8" w:space="0" w:color="FFFFFF"/>
              <w:left w:val="nil"/>
              <w:bottom w:val="single" w:sz="8" w:space="0" w:color="FFFFFF"/>
              <w:right w:val="nil"/>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המצב הקיים</w:t>
            </w:r>
          </w:p>
        </w:tc>
        <w:tc>
          <w:tcPr>
            <w:tcW w:w="1250" w:type="pct"/>
            <w:tcBorders>
              <w:top w:val="single" w:sz="8" w:space="0" w:color="FFFFFF"/>
              <w:left w:val="nil"/>
              <w:bottom w:val="single" w:sz="8" w:space="0" w:color="FFFFFF"/>
              <w:right w:val="nil"/>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המצב המוצע בתוכנית המקורית (2003)</w:t>
            </w:r>
          </w:p>
        </w:tc>
        <w:tc>
          <w:tcPr>
            <w:tcW w:w="1250" w:type="pct"/>
            <w:tcBorders>
              <w:top w:val="single" w:sz="8" w:space="0" w:color="FFFFFF"/>
              <w:left w:val="single" w:sz="8" w:space="0" w:color="FFFFFF"/>
              <w:bottom w:val="single" w:sz="8" w:space="0" w:color="FFFFFF"/>
              <w:right w:val="nil"/>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המצב המוצע בתוכנית החדשה (2008)</w:t>
            </w:r>
          </w:p>
        </w:tc>
      </w:tr>
      <w:tr w:rsidTr="00C34B23">
        <w:tblPrEx>
          <w:tblW w:w="5024" w:type="pct"/>
          <w:tblInd w:w="-20" w:type="dxa"/>
          <w:tblLook w:val="04A0"/>
        </w:tblPrEx>
        <w:trPr>
          <w:trHeight w:val="54"/>
        </w:trPr>
        <w:tc>
          <w:tcPr>
            <w:tcW w:w="1384" w:type="pct"/>
            <w:tcBorders>
              <w:top w:val="nil"/>
              <w:left w:val="single" w:sz="8" w:space="0" w:color="FFFFFF"/>
              <w:bottom w:val="single" w:sz="8" w:space="0" w:color="FFFFFF"/>
              <w:right w:val="single" w:sz="8" w:space="0" w:color="FFFFFF"/>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מספר יחידות הדיור המוצע</w:t>
            </w:r>
          </w:p>
        </w:tc>
        <w:tc>
          <w:tcPr>
            <w:tcW w:w="1116" w:type="pct"/>
            <w:tcBorders>
              <w:top w:val="nil"/>
              <w:left w:val="single" w:sz="8" w:space="0" w:color="FFFFFF"/>
              <w:bottom w:val="single" w:sz="8" w:space="0" w:color="FFFFFF"/>
              <w:right w:val="nil"/>
            </w:tcBorders>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54</w:t>
            </w:r>
          </w:p>
        </w:tc>
        <w:tc>
          <w:tcPr>
            <w:tcW w:w="1250" w:type="pct"/>
            <w:tcBorders>
              <w:top w:val="nil"/>
              <w:left w:val="single" w:sz="8" w:space="0" w:color="FFFFFF"/>
              <w:bottom w:val="single" w:sz="8" w:space="0" w:color="FFFFFF"/>
              <w:right w:val="nil"/>
            </w:tcBorders>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150</w:t>
            </w:r>
          </w:p>
        </w:tc>
        <w:tc>
          <w:tcPr>
            <w:tcW w:w="1250" w:type="pct"/>
            <w:tcBorders>
              <w:top w:val="nil"/>
              <w:left w:val="single" w:sz="8" w:space="0" w:color="FFFFFF"/>
              <w:bottom w:val="single" w:sz="8" w:space="0" w:color="FFFFFF"/>
              <w:right w:val="nil"/>
            </w:tcBorders>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120</w:t>
            </w:r>
          </w:p>
        </w:tc>
      </w:tr>
      <w:tr w:rsidTr="00C34B23">
        <w:tblPrEx>
          <w:tblW w:w="5024" w:type="pct"/>
          <w:tblInd w:w="-20" w:type="dxa"/>
          <w:tblLook w:val="04A0"/>
        </w:tblPrEx>
        <w:trPr>
          <w:trHeight w:val="510"/>
        </w:trPr>
        <w:tc>
          <w:tcPr>
            <w:tcW w:w="1384" w:type="pct"/>
            <w:vMerge w:val="restart"/>
            <w:tcBorders>
              <w:top w:val="nil"/>
              <w:left w:val="single" w:sz="8" w:space="0" w:color="FFFFFF"/>
              <w:bottom w:val="single" w:sz="8" w:space="0" w:color="FFFFFF"/>
              <w:right w:val="single" w:sz="8" w:space="0" w:color="FFFFFF"/>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שטח הדירה (עיקרי) המוצע (במ"ר)</w:t>
            </w:r>
          </w:p>
        </w:tc>
        <w:tc>
          <w:tcPr>
            <w:tcW w:w="1116" w:type="pct"/>
            <w:vMerge w:val="restart"/>
            <w:tcBorders>
              <w:top w:val="nil"/>
              <w:left w:val="single" w:sz="8" w:space="0" w:color="FFFFFF"/>
              <w:bottom w:val="single" w:sz="8" w:space="0" w:color="FFFFFF"/>
              <w:right w:val="single" w:sz="8" w:space="0" w:color="FFFFFF"/>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69</w:t>
            </w:r>
          </w:p>
        </w:tc>
        <w:tc>
          <w:tcPr>
            <w:tcW w:w="1250" w:type="pct"/>
            <w:vMerge w:val="restart"/>
            <w:tcBorders>
              <w:top w:val="nil"/>
              <w:left w:val="single" w:sz="8" w:space="0" w:color="FFFFFF"/>
              <w:bottom w:val="single" w:sz="8" w:space="0" w:color="FFFFFF"/>
              <w:right w:val="single" w:sz="8" w:space="0" w:color="FFFFFF"/>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110</w:t>
            </w:r>
          </w:p>
        </w:tc>
        <w:tc>
          <w:tcPr>
            <w:tcW w:w="1250" w:type="pct"/>
            <w:tcBorders>
              <w:top w:val="nil"/>
              <w:left w:val="single" w:sz="8" w:space="0" w:color="FFFFFF"/>
              <w:bottom w:val="nil"/>
              <w:right w:val="nil"/>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36 דירות - 85;</w:t>
            </w:r>
          </w:p>
        </w:tc>
      </w:tr>
      <w:tr w:rsidTr="00C34B23">
        <w:tblPrEx>
          <w:tblW w:w="5024" w:type="pct"/>
          <w:tblInd w:w="-20" w:type="dxa"/>
          <w:tblLook w:val="04A0"/>
        </w:tblPrEx>
        <w:trPr>
          <w:trHeight w:val="54"/>
        </w:trPr>
        <w:tc>
          <w:tcPr>
            <w:tcW w:w="1384" w:type="pct"/>
            <w:vMerge/>
            <w:tcBorders>
              <w:top w:val="nil"/>
              <w:left w:val="single" w:sz="8" w:space="0" w:color="FFFFFF"/>
              <w:bottom w:val="single" w:sz="8" w:space="0" w:color="FFFFFF"/>
              <w:right w:val="single" w:sz="8" w:space="0" w:color="FFFFFF"/>
            </w:tcBorders>
            <w:vAlign w:val="center"/>
            <w:hideMark/>
          </w:tcPr>
          <w:p w:rsidR="00DC5B13" w:rsidRPr="00DC5B13" w:rsidP="00C34B23">
            <w:pPr>
              <w:spacing w:line="269" w:lineRule="auto"/>
              <w:jc w:val="left"/>
              <w:rPr>
                <w:rFonts w:ascii="David" w:eastAsia="Times New Roman" w:hAnsi="David"/>
                <w:b/>
                <w:bCs/>
                <w:color w:val="FFFFFF"/>
                <w:sz w:val="22"/>
                <w:szCs w:val="22"/>
              </w:rPr>
            </w:pPr>
          </w:p>
        </w:tc>
        <w:tc>
          <w:tcPr>
            <w:tcW w:w="1116" w:type="pct"/>
            <w:vMerge/>
            <w:tcBorders>
              <w:top w:val="nil"/>
              <w:left w:val="single" w:sz="8" w:space="0" w:color="FFFFFF"/>
              <w:bottom w:val="single" w:sz="8" w:space="0" w:color="FFFFFF"/>
              <w:right w:val="single" w:sz="8" w:space="0" w:color="FFFFFF"/>
            </w:tcBorders>
            <w:vAlign w:val="center"/>
            <w:hideMark/>
          </w:tcPr>
          <w:p w:rsidR="00DC5B13" w:rsidRPr="00DC5B13" w:rsidP="00C34B23">
            <w:pPr>
              <w:spacing w:line="269" w:lineRule="auto"/>
              <w:jc w:val="left"/>
              <w:rPr>
                <w:rFonts w:ascii="David" w:eastAsia="Times New Roman" w:hAnsi="David"/>
                <w:color w:val="000000"/>
                <w:sz w:val="22"/>
                <w:szCs w:val="22"/>
              </w:rPr>
            </w:pPr>
          </w:p>
        </w:tc>
        <w:tc>
          <w:tcPr>
            <w:tcW w:w="1250" w:type="pct"/>
            <w:vMerge/>
            <w:tcBorders>
              <w:top w:val="nil"/>
              <w:left w:val="single" w:sz="8" w:space="0" w:color="FFFFFF"/>
              <w:bottom w:val="single" w:sz="8" w:space="0" w:color="FFFFFF"/>
              <w:right w:val="single" w:sz="8" w:space="0" w:color="FFFFFF"/>
            </w:tcBorders>
            <w:vAlign w:val="center"/>
            <w:hideMark/>
          </w:tcPr>
          <w:p w:rsidR="00DC5B13" w:rsidRPr="00DC5B13" w:rsidP="00C34B23">
            <w:pPr>
              <w:spacing w:line="269" w:lineRule="auto"/>
              <w:jc w:val="left"/>
              <w:rPr>
                <w:rFonts w:ascii="David" w:eastAsia="Times New Roman" w:hAnsi="David"/>
                <w:color w:val="000000"/>
                <w:sz w:val="22"/>
                <w:szCs w:val="22"/>
              </w:rPr>
            </w:pPr>
          </w:p>
        </w:tc>
        <w:tc>
          <w:tcPr>
            <w:tcW w:w="1250" w:type="pct"/>
            <w:tcBorders>
              <w:top w:val="nil"/>
              <w:left w:val="single" w:sz="8" w:space="0" w:color="FFFFFF"/>
              <w:bottom w:val="single" w:sz="8" w:space="0" w:color="FFFFFF"/>
              <w:right w:val="nil"/>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84 דירות - 105</w:t>
            </w:r>
          </w:p>
        </w:tc>
      </w:tr>
      <w:tr w:rsidTr="00C34B23">
        <w:tblPrEx>
          <w:tblW w:w="5024" w:type="pct"/>
          <w:tblInd w:w="-20" w:type="dxa"/>
          <w:tblLook w:val="04A0"/>
        </w:tblPrEx>
        <w:trPr>
          <w:trHeight w:val="54"/>
        </w:trPr>
        <w:tc>
          <w:tcPr>
            <w:tcW w:w="1384" w:type="pct"/>
            <w:tcBorders>
              <w:top w:val="nil"/>
              <w:left w:val="single" w:sz="8" w:space="0" w:color="FFFFFF"/>
              <w:bottom w:val="single" w:sz="8" w:space="0" w:color="FFFFFF"/>
              <w:right w:val="single" w:sz="8" w:space="0" w:color="FFFFFF"/>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גובה הכולל של המבנה (קומות)</w:t>
            </w:r>
          </w:p>
        </w:tc>
        <w:tc>
          <w:tcPr>
            <w:tcW w:w="1116" w:type="pct"/>
            <w:tcBorders>
              <w:top w:val="nil"/>
              <w:left w:val="single" w:sz="8" w:space="0" w:color="FFFFFF"/>
              <w:bottom w:val="single" w:sz="8" w:space="0" w:color="FFFFFF"/>
              <w:right w:val="nil"/>
            </w:tcBorders>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3</w:t>
            </w:r>
          </w:p>
        </w:tc>
        <w:tc>
          <w:tcPr>
            <w:tcW w:w="1250" w:type="pct"/>
            <w:tcBorders>
              <w:top w:val="nil"/>
              <w:left w:val="single" w:sz="8" w:space="0" w:color="FFFFFF"/>
              <w:bottom w:val="single" w:sz="8" w:space="0" w:color="FFFFFF"/>
              <w:right w:val="nil"/>
            </w:tcBorders>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08-דצמ</w:t>
            </w:r>
          </w:p>
        </w:tc>
        <w:tc>
          <w:tcPr>
            <w:tcW w:w="1250" w:type="pct"/>
            <w:tcBorders>
              <w:top w:val="nil"/>
              <w:left w:val="single" w:sz="8" w:space="0" w:color="FFFFFF"/>
              <w:bottom w:val="single" w:sz="8" w:space="0" w:color="FFFFFF"/>
              <w:right w:val="nil"/>
            </w:tcBorders>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8</w:t>
            </w:r>
          </w:p>
        </w:tc>
      </w:tr>
      <w:tr w:rsidTr="00C34B23">
        <w:tblPrEx>
          <w:tblW w:w="5024" w:type="pct"/>
          <w:tblInd w:w="-20" w:type="dxa"/>
          <w:tblLook w:val="04A0"/>
        </w:tblPrEx>
        <w:trPr>
          <w:trHeight w:val="54"/>
        </w:trPr>
        <w:tc>
          <w:tcPr>
            <w:tcW w:w="1384" w:type="pct"/>
            <w:tcBorders>
              <w:top w:val="nil"/>
              <w:left w:val="single" w:sz="8" w:space="0" w:color="FFFFFF"/>
              <w:bottom w:val="single" w:sz="8" w:space="0" w:color="FFFFFF"/>
              <w:right w:val="single" w:sz="8" w:space="0" w:color="FFFFFF"/>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שטח פרטי פתוח (מ"ר)</w:t>
            </w:r>
          </w:p>
        </w:tc>
        <w:tc>
          <w:tcPr>
            <w:tcW w:w="1116" w:type="pct"/>
            <w:tcBorders>
              <w:top w:val="nil"/>
              <w:left w:val="single" w:sz="8" w:space="0" w:color="FFFFFF"/>
              <w:bottom w:val="single" w:sz="8" w:space="0" w:color="FFFFFF"/>
              <w:right w:val="nil"/>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w:t>
            </w:r>
          </w:p>
        </w:tc>
        <w:tc>
          <w:tcPr>
            <w:tcW w:w="1250" w:type="pct"/>
            <w:tcBorders>
              <w:top w:val="nil"/>
              <w:left w:val="single" w:sz="8" w:space="0" w:color="FFFFFF"/>
              <w:bottom w:val="single" w:sz="8" w:space="0" w:color="FFFFFF"/>
              <w:right w:val="nil"/>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827</w:t>
            </w:r>
          </w:p>
        </w:tc>
        <w:tc>
          <w:tcPr>
            <w:tcW w:w="1250" w:type="pct"/>
            <w:tcBorders>
              <w:top w:val="nil"/>
              <w:left w:val="single" w:sz="8" w:space="0" w:color="FFFFFF"/>
              <w:bottom w:val="single" w:sz="8" w:space="0" w:color="FFFFFF"/>
              <w:right w:val="nil"/>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w:t>
            </w:r>
          </w:p>
        </w:tc>
      </w:tr>
      <w:tr w:rsidTr="00C34B23">
        <w:tblPrEx>
          <w:tblW w:w="5024" w:type="pct"/>
          <w:tblInd w:w="-20" w:type="dxa"/>
          <w:tblLook w:val="04A0"/>
        </w:tblPrEx>
        <w:trPr>
          <w:trHeight w:val="54"/>
        </w:trPr>
        <w:tc>
          <w:tcPr>
            <w:tcW w:w="1384" w:type="pct"/>
            <w:tcBorders>
              <w:top w:val="nil"/>
              <w:left w:val="single" w:sz="8" w:space="0" w:color="FFFFFF"/>
              <w:bottom w:val="single" w:sz="8" w:space="0" w:color="FFFFFF"/>
              <w:right w:val="single" w:sz="8" w:space="0" w:color="FFFFFF"/>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שטח ציבורי פתוח (מ"ר)</w:t>
            </w:r>
          </w:p>
        </w:tc>
        <w:tc>
          <w:tcPr>
            <w:tcW w:w="1116" w:type="pct"/>
            <w:tcBorders>
              <w:top w:val="nil"/>
              <w:left w:val="single" w:sz="8" w:space="0" w:color="FFFFFF"/>
              <w:bottom w:val="single" w:sz="8" w:space="0" w:color="FFFFFF"/>
              <w:right w:val="nil"/>
            </w:tcBorders>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1,598</w:t>
            </w:r>
          </w:p>
        </w:tc>
        <w:tc>
          <w:tcPr>
            <w:tcW w:w="1250" w:type="pct"/>
            <w:tcBorders>
              <w:top w:val="nil"/>
              <w:left w:val="single" w:sz="8" w:space="0" w:color="FFFFFF"/>
              <w:bottom w:val="single" w:sz="8" w:space="0" w:color="FFFFFF"/>
              <w:right w:val="nil"/>
            </w:tcBorders>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w:t>
            </w:r>
          </w:p>
        </w:tc>
        <w:tc>
          <w:tcPr>
            <w:tcW w:w="1250" w:type="pct"/>
            <w:tcBorders>
              <w:top w:val="nil"/>
              <w:left w:val="single" w:sz="8" w:space="0" w:color="FFFFFF"/>
              <w:bottom w:val="single" w:sz="8" w:space="0" w:color="FFFFFF"/>
              <w:right w:val="nil"/>
            </w:tcBorders>
            <w:shd w:val="clear" w:color="000000" w:fill="B8CCE4"/>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981</w:t>
            </w:r>
          </w:p>
        </w:tc>
      </w:tr>
      <w:tr w:rsidTr="00C34B23">
        <w:tblPrEx>
          <w:tblW w:w="5024" w:type="pct"/>
          <w:tblInd w:w="-20" w:type="dxa"/>
          <w:tblLook w:val="04A0"/>
        </w:tblPrEx>
        <w:trPr>
          <w:trHeight w:val="60"/>
        </w:trPr>
        <w:tc>
          <w:tcPr>
            <w:tcW w:w="1384" w:type="pct"/>
            <w:tcBorders>
              <w:top w:val="nil"/>
              <w:left w:val="single" w:sz="8" w:space="0" w:color="FFFFFF"/>
              <w:bottom w:val="single" w:sz="8" w:space="0" w:color="FFFFFF"/>
              <w:right w:val="single" w:sz="8" w:space="0" w:color="FFFFFF"/>
            </w:tcBorders>
            <w:shd w:val="clear" w:color="000000" w:fill="4F81BD"/>
            <w:vAlign w:val="center"/>
            <w:hideMark/>
          </w:tcPr>
          <w:p w:rsidR="00DC5B13" w:rsidRPr="00DC5B13" w:rsidP="00C34B23">
            <w:pPr>
              <w:spacing w:line="269" w:lineRule="auto"/>
              <w:jc w:val="center"/>
              <w:rPr>
                <w:rFonts w:ascii="David" w:eastAsia="Times New Roman" w:hAnsi="David"/>
                <w:b/>
                <w:bCs/>
                <w:color w:val="FFFFFF"/>
                <w:sz w:val="22"/>
                <w:szCs w:val="22"/>
                <w:rtl/>
              </w:rPr>
            </w:pPr>
            <w:r w:rsidRPr="00DC5B13">
              <w:rPr>
                <w:rFonts w:ascii="David" w:eastAsia="Times New Roman" w:hAnsi="David" w:hint="cs"/>
                <w:b/>
                <w:bCs/>
                <w:color w:val="FFFFFF"/>
                <w:sz w:val="22"/>
                <w:szCs w:val="22"/>
                <w:rtl/>
              </w:rPr>
              <w:t>שטח לדרכים (מ"ר)</w:t>
            </w:r>
          </w:p>
        </w:tc>
        <w:tc>
          <w:tcPr>
            <w:tcW w:w="1116" w:type="pct"/>
            <w:tcBorders>
              <w:top w:val="nil"/>
              <w:left w:val="single" w:sz="8" w:space="0" w:color="FFFFFF"/>
              <w:bottom w:val="single" w:sz="8" w:space="0" w:color="FFFFFF"/>
              <w:right w:val="nil"/>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w:t>
            </w:r>
          </w:p>
        </w:tc>
        <w:tc>
          <w:tcPr>
            <w:tcW w:w="1250" w:type="pct"/>
            <w:tcBorders>
              <w:top w:val="nil"/>
              <w:left w:val="single" w:sz="8" w:space="0" w:color="FFFFFF"/>
              <w:bottom w:val="single" w:sz="8" w:space="0" w:color="FFFFFF"/>
              <w:right w:val="nil"/>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146</w:t>
            </w:r>
          </w:p>
        </w:tc>
        <w:tc>
          <w:tcPr>
            <w:tcW w:w="1250" w:type="pct"/>
            <w:tcBorders>
              <w:top w:val="nil"/>
              <w:left w:val="single" w:sz="8" w:space="0" w:color="FFFFFF"/>
              <w:bottom w:val="single" w:sz="8" w:space="0" w:color="FFFFFF"/>
              <w:right w:val="nil"/>
            </w:tcBorders>
            <w:shd w:val="clear" w:color="000000" w:fill="DBE5F1"/>
            <w:vAlign w:val="center"/>
            <w:hideMark/>
          </w:tcPr>
          <w:p w:rsidR="00DC5B13" w:rsidRPr="00DC5B13" w:rsidP="00C34B23">
            <w:pPr>
              <w:spacing w:line="269" w:lineRule="auto"/>
              <w:jc w:val="center"/>
              <w:rPr>
                <w:rFonts w:ascii="David" w:eastAsia="Times New Roman" w:hAnsi="David"/>
                <w:color w:val="000000"/>
                <w:sz w:val="22"/>
                <w:szCs w:val="22"/>
                <w:rtl/>
              </w:rPr>
            </w:pPr>
            <w:r w:rsidRPr="00DC5B13">
              <w:rPr>
                <w:rFonts w:ascii="David" w:eastAsia="Times New Roman" w:hAnsi="David" w:hint="cs"/>
                <w:color w:val="000000"/>
                <w:sz w:val="22"/>
                <w:szCs w:val="22"/>
                <w:rtl/>
              </w:rPr>
              <w:t>146</w:t>
            </w:r>
          </w:p>
        </w:tc>
      </w:tr>
    </w:tbl>
    <w:p w:rsidR="00DC5B13" w:rsidRPr="00DC5B13" w:rsidP="00C34B23">
      <w:pPr>
        <w:keepNext/>
        <w:keepLines/>
        <w:spacing w:line="269" w:lineRule="auto"/>
        <w:ind w:left="-567"/>
        <w:rPr>
          <w:rFonts w:eastAsia="Calibri"/>
          <w:szCs w:val="20"/>
          <w:rtl/>
        </w:rPr>
      </w:pPr>
      <w:r w:rsidRPr="00DC5B13">
        <w:rPr>
          <w:rFonts w:eastAsia="Calibri"/>
          <w:szCs w:val="20"/>
          <w:rtl/>
        </w:rPr>
        <w:tab/>
      </w: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אתר</w:t>
      </w:r>
      <w:r w:rsidRPr="00DC5B13">
        <w:rPr>
          <w:rFonts w:eastAsia="Calibri"/>
          <w:szCs w:val="20"/>
          <w:rtl/>
        </w:rPr>
        <w:t xml:space="preserve"> </w:t>
      </w:r>
      <w:r w:rsidRPr="00DC5B13">
        <w:rPr>
          <w:rFonts w:eastAsia="Calibri" w:hint="eastAsia"/>
          <w:szCs w:val="20"/>
          <w:rtl/>
        </w:rPr>
        <w:t>המרשתת</w:t>
      </w:r>
      <w:r w:rsidRPr="00DC5B13">
        <w:rPr>
          <w:rFonts w:eastAsia="Calibri"/>
          <w:szCs w:val="20"/>
          <w:rtl/>
        </w:rPr>
        <w:t xml:space="preserve"> של </w:t>
      </w:r>
      <w:r w:rsidRPr="00DC5B13">
        <w:rPr>
          <w:rFonts w:eastAsia="Calibri" w:hint="eastAsia"/>
          <w:szCs w:val="20"/>
          <w:rtl/>
        </w:rPr>
        <w:t>מינהל</w:t>
      </w:r>
      <w:r w:rsidRPr="00DC5B13">
        <w:rPr>
          <w:rFonts w:eastAsia="Calibri"/>
          <w:szCs w:val="20"/>
          <w:rtl/>
        </w:rPr>
        <w:t xml:space="preserve"> </w:t>
      </w:r>
      <w:r w:rsidRPr="00DC5B13">
        <w:rPr>
          <w:rFonts w:eastAsia="Calibri" w:hint="eastAsia"/>
          <w:szCs w:val="20"/>
          <w:rtl/>
        </w:rPr>
        <w:t>התכנון</w:t>
      </w:r>
      <w:r w:rsidRPr="00DC5B13">
        <w:rPr>
          <w:rFonts w:eastAsia="Calibri"/>
          <w:szCs w:val="20"/>
          <w:rtl/>
        </w:rPr>
        <w:t>, בעיבוד משרד מבקר המדינה.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ב-2016 אושרה תוכנית מתאר כוללנית חדשה לרעננה (רע/3000) שהגדירה את מתחם ברנדייס כ-"מוקד פינוי-בינוי"</w:t>
      </w:r>
      <w:r>
        <w:rPr>
          <w:rFonts w:eastAsia="Calibri"/>
          <w:vertAlign w:val="superscript"/>
          <w:rtl/>
        </w:rPr>
        <w:footnoteReference w:id="184"/>
      </w:r>
      <w:r w:rsidRPr="00DC5B13">
        <w:rPr>
          <w:rFonts w:eastAsia="Calibri" w:hint="cs"/>
          <w:rtl/>
        </w:rPr>
        <w:t>. מכוחה של התוכנית הכוללנית הוגשה לוועדה המקומית רעננה בנובמבר 2017 תוכנית מתאר מפורטת חדשה בסמכות מקומית - תוכנית רע/מק/843 - תוספת זכויות, מתחם ברנדייס (להלן - תוכנית הרחבת הזכויות). התוכנית הציעה "שיפור של התכנון הקיים" באמצעות הוספת זכויות בנייה, 16 יחידות דיור חדשות נוסף על 120 היחידות שאושרו ובניית שתי קומות נוספות</w:t>
      </w:r>
      <w:r>
        <w:rPr>
          <w:rFonts w:eastAsia="Calibri"/>
          <w:vertAlign w:val="superscript"/>
          <w:rtl/>
        </w:rPr>
        <w:footnoteReference w:id="185"/>
      </w:r>
      <w:r w:rsidRPr="00DC5B13">
        <w:rPr>
          <w:rFonts w:eastAsia="Calibri" w:hint="cs"/>
          <w:rtl/>
        </w:rPr>
        <w:t>. יחידות הדיור שאושרו בתוכנית יפותחו על פי הוראות תוכנית רע/511/1.</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לתוכנית הרחבת הזכויות הוגשה התנגדות מצד כ-200 תושבים. ההתנגדות קמה בין השאר מסיבות אלה: היעדר תשתיות מתאימות לקליטת מספר כה גדול של יחידות דיור; החשש מפני עומסי תנועה כבדים בשל השינויים המוצעים בתוכנית; צמצום השטחים הציבוריים בתוכנית; בנייה גבוהה, החורגת מקו הרקיע הנמוך יותר הקיים במקום. ההתנגדויות נדחו והתוכנית אושרה על ידי הוועדה המקומית ביולי 2019</w:t>
      </w:r>
      <w:r>
        <w:rPr>
          <w:rFonts w:eastAsia="Calibri"/>
          <w:vertAlign w:val="superscript"/>
          <w:rtl/>
        </w:rPr>
        <w:footnoteReference w:id="186"/>
      </w:r>
      <w:r w:rsidRPr="00DC5B13">
        <w:rPr>
          <w:rFonts w:eastAsia="Calibri" w:hint="cs"/>
          <w:rtl/>
        </w:rPr>
        <w:t xml:space="preserve">. עיריית </w:t>
      </w:r>
      <w:r w:rsidRPr="00DC5B13">
        <w:rPr>
          <w:rFonts w:eastAsia="Calibri" w:hint="cs"/>
          <w:b/>
          <w:bCs/>
          <w:rtl/>
        </w:rPr>
        <w:t xml:space="preserve">רעננה </w:t>
      </w:r>
      <w:r w:rsidRPr="00DC5B13">
        <w:rPr>
          <w:rFonts w:eastAsia="Calibri" w:hint="cs"/>
          <w:rtl/>
        </w:rPr>
        <w:t xml:space="preserve">ציינה בפני צוות הביקורת כי אכלוס המתחם החל ב-2022.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תהליך הקידום והאישור של התחדשות מתחם ברנדייס מוצג בתרשים שלהלן.</w:t>
      </w:r>
    </w:p>
    <w:p w:rsidR="00DC5B13" w:rsidRPr="00DC5B13" w:rsidP="00C34B23">
      <w:pPr>
        <w:spacing w:line="269" w:lineRule="auto"/>
        <w:rPr>
          <w:rFonts w:eastAsia="Calibri"/>
          <w:rtl/>
        </w:rPr>
      </w:pPr>
    </w:p>
    <w:p w:rsidR="00DC5B13" w:rsidRPr="00DC5B13" w:rsidP="00C34B23">
      <w:pPr>
        <w:keepNext/>
        <w:keepLines/>
        <w:spacing w:line="269" w:lineRule="auto"/>
        <w:jc w:val="center"/>
        <w:rPr>
          <w:rFonts w:eastAsia="Calibri"/>
          <w:b/>
          <w:bCs/>
          <w:rtl/>
        </w:rPr>
      </w:pPr>
      <w:r w:rsidRPr="00DC5B13">
        <w:rPr>
          <w:rFonts w:eastAsia="Calibri"/>
          <w:b/>
          <w:bCs/>
          <w:noProof/>
        </w:rPr>
        <w:drawing>
          <wp:anchor distT="0" distB="0" distL="114300" distR="114300" simplePos="0" relativeHeight="251673600" behindDoc="0" locked="0" layoutInCell="1" allowOverlap="1">
            <wp:simplePos x="0" y="0"/>
            <wp:positionH relativeFrom="column">
              <wp:posOffset>635</wp:posOffset>
            </wp:positionH>
            <wp:positionV relativeFrom="paragraph">
              <wp:posOffset>351155</wp:posOffset>
            </wp:positionV>
            <wp:extent cx="5219700" cy="4122420"/>
            <wp:effectExtent l="0" t="0" r="0" b="0"/>
            <wp:wrapTopAndBottom/>
            <wp:docPr id="48" name="תמונה 48" descr="תוכן 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rcRect t="10669"/>
                    <a:stretch>
                      <a:fillRect/>
                    </a:stretch>
                  </pic:blipFill>
                  <pic:spPr bwMode="auto">
                    <a:xfrm>
                      <a:off x="0" y="0"/>
                      <a:ext cx="5219700" cy="41224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B13">
        <w:rPr>
          <w:rFonts w:eastAsia="Calibri" w:hint="eastAsia"/>
          <w:rtl/>
        </w:rPr>
        <w:t>תרשים</w:t>
      </w:r>
      <w:r w:rsidRPr="00DC5B13">
        <w:rPr>
          <w:rFonts w:eastAsia="Calibri"/>
          <w:rtl/>
        </w:rPr>
        <w:t xml:space="preserve"> </w:t>
      </w:r>
      <w:r w:rsidRPr="00DC5B13">
        <w:rPr>
          <w:rFonts w:eastAsia="Calibri" w:hint="cs"/>
          <w:rtl/>
        </w:rPr>
        <w:t>22</w:t>
      </w:r>
      <w:r w:rsidRPr="00DC5B13">
        <w:rPr>
          <w:rFonts w:eastAsia="Calibri"/>
          <w:rtl/>
        </w:rPr>
        <w:t xml:space="preserve">: </w:t>
      </w:r>
      <w:r w:rsidRPr="00DC5B13">
        <w:rPr>
          <w:rFonts w:eastAsia="Calibri" w:hint="eastAsia"/>
          <w:b/>
          <w:bCs/>
          <w:rtl/>
        </w:rPr>
        <w:t>התחדשות</w:t>
      </w:r>
      <w:r w:rsidRPr="00DC5B13">
        <w:rPr>
          <w:rFonts w:eastAsia="Calibri" w:hint="cs"/>
          <w:b/>
          <w:bCs/>
          <w:rtl/>
        </w:rPr>
        <w:t xml:space="preserve"> מתחם ברנדייס - האירועים הבולטים בתהליך האישור והמימוש של התוכנית</w:t>
      </w:r>
    </w:p>
    <w:p w:rsidR="00DC5B13" w:rsidRPr="00DC5B13" w:rsidP="00C34B23">
      <w:pPr>
        <w:keepNext/>
        <w:keepLines/>
        <w:spacing w:line="269" w:lineRule="auto"/>
        <w:rPr>
          <w:rFonts w:eastAsia="Calibri"/>
          <w:szCs w:val="20"/>
          <w:rtl/>
        </w:rPr>
      </w:pPr>
      <w:r w:rsidRPr="00DC5B13">
        <w:rPr>
          <w:rFonts w:eastAsia="Calibri" w:hint="eastAsia"/>
          <w:szCs w:val="20"/>
          <w:rtl/>
        </w:rPr>
        <w:t>על</w:t>
      </w:r>
      <w:r w:rsidRPr="00DC5B13">
        <w:rPr>
          <w:rFonts w:eastAsia="Calibri"/>
          <w:szCs w:val="20"/>
          <w:rtl/>
        </w:rPr>
        <w:t xml:space="preserve"> פי </w:t>
      </w:r>
      <w:r w:rsidRPr="00DC5B13">
        <w:rPr>
          <w:rFonts w:eastAsia="Calibri" w:hint="eastAsia"/>
          <w:szCs w:val="20"/>
          <w:rtl/>
        </w:rPr>
        <w:t>נתוני</w:t>
      </w:r>
      <w:r w:rsidRPr="00DC5B13">
        <w:rPr>
          <w:rFonts w:eastAsia="Calibri"/>
          <w:szCs w:val="20"/>
          <w:rtl/>
        </w:rPr>
        <w:t xml:space="preserve"> </w:t>
      </w:r>
      <w:r w:rsidRPr="00DC5B13">
        <w:rPr>
          <w:rFonts w:eastAsia="Calibri" w:hint="eastAsia"/>
          <w:szCs w:val="20"/>
          <w:rtl/>
        </w:rPr>
        <w:t>עיריית</w:t>
      </w:r>
      <w:r w:rsidRPr="00DC5B13">
        <w:rPr>
          <w:rFonts w:eastAsia="Calibri"/>
          <w:szCs w:val="20"/>
          <w:rtl/>
        </w:rPr>
        <w:t xml:space="preserve"> </w:t>
      </w:r>
      <w:r w:rsidRPr="00DC5B13">
        <w:rPr>
          <w:rFonts w:eastAsia="Calibri" w:hint="eastAsia"/>
          <w:szCs w:val="20"/>
          <w:rtl/>
        </w:rPr>
        <w:t>רעננה</w:t>
      </w:r>
      <w:r w:rsidRPr="00DC5B13">
        <w:rPr>
          <w:rFonts w:eastAsia="Calibri"/>
          <w:szCs w:val="20"/>
          <w:rtl/>
        </w:rPr>
        <w:t xml:space="preserve"> </w:t>
      </w:r>
      <w:r w:rsidRPr="00DC5B13">
        <w:rPr>
          <w:rFonts w:eastAsia="Calibri" w:hint="eastAsia"/>
          <w:szCs w:val="20"/>
          <w:rtl/>
        </w:rPr>
        <w:t>ומינהל</w:t>
      </w:r>
      <w:r w:rsidRPr="00DC5B13">
        <w:rPr>
          <w:rFonts w:eastAsia="Calibri"/>
          <w:szCs w:val="20"/>
          <w:rtl/>
        </w:rPr>
        <w:t xml:space="preserve"> </w:t>
      </w:r>
      <w:r w:rsidRPr="00DC5B13">
        <w:rPr>
          <w:rFonts w:eastAsia="Calibri" w:hint="eastAsia"/>
          <w:szCs w:val="20"/>
          <w:rtl/>
        </w:rPr>
        <w:t>התכנון</w:t>
      </w:r>
      <w:r w:rsidRPr="00DC5B13">
        <w:rPr>
          <w:rFonts w:eastAsia="Calibri"/>
          <w:szCs w:val="20"/>
          <w:rtl/>
        </w:rPr>
        <w:t>, בעיבוד משרד מבקר המדינה.</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תהליך אישורה וביצועה של תוכנית ההתחדשות למתחם ברנדייס ברעננה מבטא רבים מהאתגרים ומהקשיים המאפיינים תוכניות להתחדשות עירונית. </w:t>
      </w:r>
      <w:r w:rsidRPr="00DC5B13">
        <w:rPr>
          <w:rFonts w:eastAsia="Calibri" w:hint="cs"/>
          <w:b/>
          <w:bCs/>
          <w:rtl/>
        </w:rPr>
        <w:t>מרגע הגשתה להתייחסות הוועדה המקומית רעננה ועד לאכלוס הבניינים החדשים שנבנו מכוחה, עברו 23 שנים עקב התמשכותו של תהליך האישור והמימוש של התוכנית.</w:t>
      </w:r>
      <w:r w:rsidRPr="00DC5B13">
        <w:rPr>
          <w:rFonts w:eastAsia="Calibri" w:hint="cs"/>
          <w:rtl/>
        </w:rPr>
        <w:t xml:space="preserve"> בשנים 1999 - 2022 נערכו דיונים בוועדה המקומית רעננה, בוועדה המחוזית מרכז ובוועדת המשנה שלה להתנגדויות ובוועדת המשנה לעררים של המועצה הארצית לתכנון ולבנייה. כן נערכו דיונים משפטיים בין נציגים של יזמי התוכנית ובין נציגים של בעלי הדירות במתחם עד להשגת פשרה שאפשרה להגיש תוכנית חדשה. התנגדויות לתוכנית הוגשו בשלבים שונים הן מטעם דיירי המתחם, הן מטעם דיירים שכנים והן מטעם עיריית </w:t>
      </w:r>
      <w:r w:rsidRPr="00DC5B13">
        <w:rPr>
          <w:rFonts w:eastAsia="Calibri" w:hint="eastAsia"/>
          <w:rtl/>
        </w:rPr>
        <w:t>רעננה</w:t>
      </w:r>
      <w:r w:rsidRPr="00DC5B13">
        <w:rPr>
          <w:rFonts w:eastAsia="Calibri"/>
          <w:rtl/>
        </w:rPr>
        <w:t xml:space="preserve"> </w:t>
      </w:r>
      <w:r w:rsidRPr="00DC5B13">
        <w:rPr>
          <w:rFonts w:eastAsia="Calibri" w:hint="cs"/>
          <w:rtl/>
        </w:rPr>
        <w:t xml:space="preserve">והוועדה המחוזית מרכז. בשל השתלשלות האירועים, ובייחוד בשל אישור תוכנית המתאר הכוללנית של רעננה ב-2016, ההתנגדויות שהוגשו לתוכנית לאחר שנוספו לה זכויות בנייה שבוטלו בשלבים הקודמים של התוכנית נדחו על ידי הוועדה המקומית, שהתנגדה אף היא לתוכנית המקורית שהוצעה - בין השאר מטעמי צפיפות.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התנגדויות התושבים שהוגשו לתוכנית התחדשות מתחם ברנדייס ברעננה (היא תוכנית הזכויות לתוכנית ההתחדשות) מצביעות על החששות המלווים תושבים רבים מפני ביצוע מיזמים להתחדשות עירונית בסביבתם: חששות מפני משך הבנייה, הרעש והזיהום שייגרמו בשל כך; הצפיפות שתיגרם מתוספת הבינוי; העומס העשוי לפגוע בתשתיות התנועה והתשתיות אחרות בסביבת המיזם; פגיעה בגודלם ובאיכותם של השטחים הפתוחים; בנייה שנתפסה בעיניהם כחורגת מנוף השכונה. אל מול חששות התושבים הובאו נימוקי הוועדה המקומית ובראשם הטענה כי ביצוע המיזם עולה בקנה אחד עם עקרונותיה של תוכנית המתאר שאושרה, לרבות התאמת התשתיות לצרכים העתידיים.</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התארכות משכי התכנון של מתחם ברנדייס ברעננה לכ-23 שנים ומגוון החסמים שעלו כגון הליכים משפטיים והתנגדויות לתוכנית, מצביעים כאמור על המורכבות הרבה הגלומה בקידום ובביצוע של תהליכי התחדשות עירונית. התמונה העולה מתהליך זה מצביעה על היתרונות הגלומים בפעולת הרשויות המקומיות ליצירת ודאות תכנונית וקניינית. שיתוף פעולה בין כל בעלי העניין המעורבים במיזם היה עשוי לקצר את משך תהליכי התכנון ואת משך הדיונים המשפטיים (או לייתרם).</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מהאמור לעיל עולה כי פרסום התוכנית הכוללנית על ידי עיריית רעננה סייע ביצירת ודאות תכנונית שאפשרה - חרף התנגדות התושבים - לממש ולהשלים את תוכנית ההתחדשות במתחם.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מומלץ כי עיריית רעננה תמשיך לקדם וודאות תכנונית והליכי התחדשות עירונית ברורים ושקופים, מול כל בעלי העניין המעורבים, כדי לייעל ולקצר את משך הזמן של התכנון והביצוע של מיזמי ההתחדשות העירונית בתחומה.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עיריית </w:t>
      </w:r>
      <w:r w:rsidRPr="00DC5B13">
        <w:rPr>
          <w:rFonts w:eastAsia="Calibri" w:hint="cs"/>
          <w:b/>
          <w:bCs/>
          <w:rtl/>
        </w:rPr>
        <w:t>רעננה</w:t>
      </w:r>
      <w:r w:rsidRPr="00DC5B13">
        <w:rPr>
          <w:rFonts w:eastAsia="Calibri" w:hint="cs"/>
          <w:rtl/>
        </w:rPr>
        <w:t xml:space="preserve"> מסרה בתשובתה כי </w:t>
      </w:r>
      <w:r w:rsidRPr="00DC5B13">
        <w:rPr>
          <w:rFonts w:eastAsia="Calibri"/>
          <w:rtl/>
        </w:rPr>
        <w:t>פרויקט התחדשות עירונית "מתחם ברנדייס"</w:t>
      </w:r>
      <w:r w:rsidRPr="00DC5B13">
        <w:rPr>
          <w:rFonts w:eastAsia="Calibri" w:hint="cs"/>
          <w:rtl/>
        </w:rPr>
        <w:t xml:space="preserve"> </w:t>
      </w:r>
      <w:r w:rsidRPr="00DC5B13">
        <w:rPr>
          <w:rFonts w:eastAsia="Calibri"/>
          <w:rtl/>
        </w:rPr>
        <w:t>אינו</w:t>
      </w:r>
      <w:r w:rsidRPr="00DC5B13">
        <w:rPr>
          <w:rFonts w:eastAsia="Calibri" w:hint="cs"/>
          <w:rtl/>
        </w:rPr>
        <w:t xml:space="preserve"> בגדר</w:t>
      </w:r>
      <w:r w:rsidRPr="00DC5B13">
        <w:rPr>
          <w:rFonts w:eastAsia="Calibri"/>
          <w:rtl/>
        </w:rPr>
        <w:t xml:space="preserve"> הכלל בפרויקטי</w:t>
      </w:r>
      <w:r w:rsidRPr="00DC5B13">
        <w:rPr>
          <w:rFonts w:eastAsia="Calibri" w:hint="cs"/>
          <w:rtl/>
        </w:rPr>
        <w:t>ם</w:t>
      </w:r>
      <w:r w:rsidRPr="00DC5B13">
        <w:rPr>
          <w:rFonts w:eastAsia="Calibri"/>
          <w:rtl/>
        </w:rPr>
        <w:t xml:space="preserve"> </w:t>
      </w:r>
      <w:r w:rsidRPr="00DC5B13">
        <w:rPr>
          <w:rFonts w:eastAsia="Calibri" w:hint="cs"/>
          <w:rtl/>
        </w:rPr>
        <w:t>ל</w:t>
      </w:r>
      <w:r w:rsidRPr="00DC5B13">
        <w:rPr>
          <w:rFonts w:eastAsia="Calibri"/>
          <w:rtl/>
        </w:rPr>
        <w:t>התחדשות</w:t>
      </w:r>
      <w:r w:rsidRPr="00DC5B13">
        <w:rPr>
          <w:rFonts w:eastAsia="Calibri" w:hint="cs"/>
          <w:rtl/>
        </w:rPr>
        <w:t xml:space="preserve"> עירונית</w:t>
      </w:r>
      <w:r w:rsidRPr="00DC5B13">
        <w:rPr>
          <w:rFonts w:eastAsia="Calibri"/>
          <w:rtl/>
        </w:rPr>
        <w:t xml:space="preserve"> ברעננה.</w:t>
      </w:r>
      <w:r w:rsidRPr="00DC5B13">
        <w:rPr>
          <w:rFonts w:eastAsia="Calibri" w:hint="cs"/>
          <w:rtl/>
        </w:rPr>
        <w:t xml:space="preserve"> </w:t>
      </w:r>
      <w:r w:rsidRPr="00DC5B13">
        <w:rPr>
          <w:rFonts w:eastAsia="Calibri"/>
          <w:rtl/>
        </w:rPr>
        <w:t>הפרויקט החל בשנת 1999, תקופה שקדמה להקמת מינהלות להתחדשות עירונית בישראל, ולפני מועד אישורה</w:t>
      </w:r>
      <w:r w:rsidRPr="00DC5B13">
        <w:rPr>
          <w:rFonts w:eastAsia="Calibri" w:hint="cs"/>
          <w:rtl/>
        </w:rPr>
        <w:t xml:space="preserve"> </w:t>
      </w:r>
      <w:r w:rsidRPr="00DC5B13">
        <w:rPr>
          <w:rFonts w:eastAsia="Calibri"/>
          <w:rtl/>
        </w:rPr>
        <w:t xml:space="preserve">של </w:t>
      </w:r>
      <w:r w:rsidRPr="00DC5B13">
        <w:rPr>
          <w:rFonts w:eastAsia="Calibri" w:hint="cs"/>
          <w:rtl/>
        </w:rPr>
        <w:t>ה</w:t>
      </w:r>
      <w:r w:rsidRPr="00DC5B13">
        <w:rPr>
          <w:rFonts w:eastAsia="Calibri"/>
          <w:rtl/>
        </w:rPr>
        <w:t>ת</w:t>
      </w:r>
      <w:r w:rsidRPr="00DC5B13">
        <w:rPr>
          <w:rFonts w:eastAsia="Calibri" w:hint="cs"/>
          <w:rtl/>
        </w:rPr>
        <w:t>ו</w:t>
      </w:r>
      <w:r w:rsidRPr="00DC5B13">
        <w:rPr>
          <w:rFonts w:eastAsia="Calibri"/>
          <w:rtl/>
        </w:rPr>
        <w:t>כנית הכוללנית לרעננה</w:t>
      </w:r>
      <w:r w:rsidRPr="00DC5B13">
        <w:rPr>
          <w:rFonts w:eastAsia="Calibri" w:hint="cs"/>
          <w:rtl/>
        </w:rPr>
        <w:t xml:space="preserve"> (</w:t>
      </w:r>
      <w:r w:rsidRPr="00DC5B13">
        <w:rPr>
          <w:rFonts w:eastAsia="Calibri"/>
          <w:rtl/>
        </w:rPr>
        <w:t>רע/ 3000</w:t>
      </w:r>
      <w:r w:rsidRPr="00DC5B13">
        <w:rPr>
          <w:rFonts w:eastAsia="Calibri" w:hint="cs"/>
          <w:rtl/>
        </w:rPr>
        <w:t>),</w:t>
      </w:r>
      <w:r w:rsidRPr="00DC5B13">
        <w:rPr>
          <w:rFonts w:eastAsia="Calibri"/>
          <w:rtl/>
        </w:rPr>
        <w:t xml:space="preserve"> אשר קבעה היקפי בינוי בתחומי העיר</w:t>
      </w:r>
      <w:r w:rsidRPr="00DC5B13">
        <w:rPr>
          <w:rFonts w:eastAsia="Calibri" w:hint="cs"/>
          <w:rtl/>
        </w:rPr>
        <w:t xml:space="preserve">. </w:t>
      </w:r>
      <w:r w:rsidRPr="00DC5B13">
        <w:rPr>
          <w:rFonts w:eastAsia="Calibri"/>
          <w:rtl/>
        </w:rPr>
        <w:t>אף על פי</w:t>
      </w:r>
      <w:r w:rsidRPr="00DC5B13">
        <w:rPr>
          <w:rFonts w:eastAsia="Calibri" w:hint="cs"/>
          <w:rtl/>
        </w:rPr>
        <w:t xml:space="preserve"> </w:t>
      </w:r>
      <w:r w:rsidRPr="00DC5B13">
        <w:rPr>
          <w:rFonts w:eastAsia="Calibri"/>
          <w:rtl/>
        </w:rPr>
        <w:t xml:space="preserve">כן, אין ספק כי </w:t>
      </w:r>
      <w:r w:rsidRPr="00DC5B13">
        <w:rPr>
          <w:rFonts w:eastAsia="Calibri" w:hint="cs"/>
          <w:rtl/>
        </w:rPr>
        <w:t>ה</w:t>
      </w:r>
      <w:r w:rsidRPr="00DC5B13">
        <w:rPr>
          <w:rFonts w:eastAsia="Calibri"/>
          <w:rtl/>
        </w:rPr>
        <w:t xml:space="preserve">פרויקט סבל מהתמשכות יתר של תהליכים, ונמשך זמן לא </w:t>
      </w:r>
      <w:r w:rsidRPr="00DC5B13">
        <w:rPr>
          <w:rFonts w:eastAsia="Calibri" w:hint="cs"/>
          <w:rtl/>
        </w:rPr>
        <w:t>סביר</w:t>
      </w:r>
      <w:r w:rsidRPr="00DC5B13">
        <w:rPr>
          <w:rFonts w:eastAsia="Calibri"/>
          <w:rtl/>
        </w:rPr>
        <w:t xml:space="preserve"> עד</w:t>
      </w:r>
      <w:r w:rsidRPr="00DC5B13">
        <w:rPr>
          <w:rFonts w:eastAsia="Calibri" w:hint="cs"/>
          <w:rtl/>
        </w:rPr>
        <w:t xml:space="preserve"> </w:t>
      </w:r>
      <w:r w:rsidRPr="00DC5B13">
        <w:rPr>
          <w:rFonts w:eastAsia="Calibri"/>
          <w:rtl/>
        </w:rPr>
        <w:t>מימושו ואכלוסו.</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rtl/>
        </w:rPr>
        <w:t xml:space="preserve">עוד מסרה עיריית </w:t>
      </w:r>
      <w:r w:rsidRPr="00DC5B13">
        <w:rPr>
          <w:rFonts w:eastAsia="Calibri" w:hint="cs"/>
          <w:b/>
          <w:bCs/>
          <w:rtl/>
        </w:rPr>
        <w:t>רעננה</w:t>
      </w:r>
      <w:r w:rsidRPr="00DC5B13">
        <w:rPr>
          <w:rFonts w:eastAsia="Calibri" w:hint="cs"/>
          <w:rtl/>
        </w:rPr>
        <w:t xml:space="preserve"> כי היא</w:t>
      </w:r>
      <w:r w:rsidRPr="00DC5B13">
        <w:rPr>
          <w:rFonts w:eastAsia="Calibri"/>
          <w:rtl/>
        </w:rPr>
        <w:t xml:space="preserve"> מקיימת שיח שוטף ומובנה עם יזמים, קבלנים ומתכננים הפעילים בתחום</w:t>
      </w:r>
      <w:r w:rsidRPr="00DC5B13">
        <w:rPr>
          <w:rFonts w:eastAsia="Calibri" w:hint="cs"/>
          <w:rtl/>
        </w:rPr>
        <w:t xml:space="preserve"> </w:t>
      </w:r>
      <w:r w:rsidRPr="00DC5B13">
        <w:rPr>
          <w:rFonts w:eastAsia="Calibri"/>
          <w:rtl/>
        </w:rPr>
        <w:t>ההתחדשות העירונית בעיר, באמצעות פגישות תקופתיות ייעודיות. מפגשים אלו נועדו, בין היתר, לאפשר</w:t>
      </w:r>
      <w:r w:rsidRPr="00DC5B13">
        <w:rPr>
          <w:rFonts w:eastAsia="Calibri" w:hint="cs"/>
          <w:rtl/>
        </w:rPr>
        <w:t xml:space="preserve"> </w:t>
      </w:r>
      <w:r w:rsidRPr="00DC5B13">
        <w:rPr>
          <w:rFonts w:eastAsia="Calibri"/>
          <w:rtl/>
        </w:rPr>
        <w:t>זיהוי מוקדם של חסמים תכנוניים, סטטוטוריים וכלכליים ולגבש פתרונות אופרטיביים להסרתם, תוך</w:t>
      </w:r>
      <w:r w:rsidRPr="00DC5B13">
        <w:rPr>
          <w:rFonts w:eastAsia="Calibri" w:hint="cs"/>
          <w:rtl/>
        </w:rPr>
        <w:t xml:space="preserve"> </w:t>
      </w:r>
      <w:r w:rsidRPr="00DC5B13">
        <w:rPr>
          <w:rFonts w:eastAsia="Calibri"/>
          <w:rtl/>
        </w:rPr>
        <w:t>שיתוף פעולה הדוק בין כלל הגורמים המעורבים</w:t>
      </w:r>
      <w:r w:rsidRPr="00DC5B13">
        <w:rPr>
          <w:rFonts w:eastAsia="Calibri" w:hint="cs"/>
          <w:rtl/>
        </w:rPr>
        <w:t xml:space="preserve"> בכך</w:t>
      </w:r>
      <w:r w:rsidRPr="00DC5B13">
        <w:rPr>
          <w:rFonts w:eastAsia="Calibri"/>
          <w:rtl/>
        </w:rPr>
        <w:t xml:space="preserve">. </w:t>
      </w:r>
      <w:r w:rsidRPr="00DC5B13">
        <w:rPr>
          <w:rFonts w:eastAsia="Calibri" w:hint="cs"/>
          <w:rtl/>
        </w:rPr>
        <w:t xml:space="preserve">העירייה ציינה כי </w:t>
      </w:r>
      <w:r w:rsidRPr="00DC5B13">
        <w:rPr>
          <w:rFonts w:eastAsia="Calibri"/>
          <w:rtl/>
        </w:rPr>
        <w:t xml:space="preserve">במסגרת זו ניתנים הסברים והבהרות </w:t>
      </w:r>
      <w:r w:rsidRPr="00DC5B13">
        <w:rPr>
          <w:rFonts w:eastAsia="Calibri" w:hint="cs"/>
          <w:rtl/>
        </w:rPr>
        <w:t>בנוגע</w:t>
      </w:r>
      <w:r w:rsidRPr="00DC5B13">
        <w:rPr>
          <w:rFonts w:eastAsia="Calibri"/>
          <w:rtl/>
        </w:rPr>
        <w:t xml:space="preserve"> למדיניות</w:t>
      </w:r>
      <w:r w:rsidRPr="00DC5B13">
        <w:rPr>
          <w:rFonts w:eastAsia="Calibri" w:hint="cs"/>
          <w:rtl/>
        </w:rPr>
        <w:t xml:space="preserve"> </w:t>
      </w:r>
      <w:r w:rsidRPr="00DC5B13">
        <w:rPr>
          <w:rFonts w:eastAsia="Calibri"/>
          <w:rtl/>
        </w:rPr>
        <w:t>העירונית ולת</w:t>
      </w:r>
      <w:r w:rsidRPr="00DC5B13">
        <w:rPr>
          <w:rFonts w:eastAsia="Calibri" w:hint="cs"/>
          <w:rtl/>
        </w:rPr>
        <w:t>ו</w:t>
      </w:r>
      <w:r w:rsidRPr="00DC5B13">
        <w:rPr>
          <w:rFonts w:eastAsia="Calibri"/>
          <w:rtl/>
        </w:rPr>
        <w:t>כניות התקפות והמקודמות, לצד יצירת ערוץ להעלאת סוגיות מהשטח, הקשבה לצורכי</w:t>
      </w:r>
      <w:r w:rsidRPr="00DC5B13">
        <w:rPr>
          <w:rFonts w:eastAsia="Calibri" w:hint="cs"/>
          <w:rtl/>
        </w:rPr>
        <w:t xml:space="preserve"> </w:t>
      </w:r>
      <w:r w:rsidRPr="00DC5B13">
        <w:rPr>
          <w:rFonts w:eastAsia="Calibri"/>
          <w:rtl/>
        </w:rPr>
        <w:t>היזמים והתושבים</w:t>
      </w:r>
      <w:r w:rsidRPr="00DC5B13">
        <w:rPr>
          <w:rFonts w:eastAsia="Calibri" w:hint="cs"/>
          <w:rtl/>
        </w:rPr>
        <w:t xml:space="preserve"> </w:t>
      </w:r>
      <w:r w:rsidRPr="00DC5B13">
        <w:rPr>
          <w:rFonts w:eastAsia="Calibri"/>
          <w:rtl/>
        </w:rPr>
        <w:t xml:space="preserve">ושיפור מתמיד של הממשק בין הרשות המקומית לבין השוק הפרטי. </w:t>
      </w:r>
    </w:p>
    <w:p w:rsidR="00DC5B13" w:rsidRPr="00DC5B13" w:rsidP="00C34B23">
      <w:pPr>
        <w:spacing w:line="269" w:lineRule="auto"/>
        <w:rPr>
          <w:rFonts w:eastAsia="Calibri"/>
          <w:b/>
          <w:bCs/>
          <w:rtl/>
        </w:rPr>
      </w:pPr>
    </w:p>
    <w:p w:rsidR="00DC5B13" w:rsidRPr="00DC5B13" w:rsidP="00C34B23">
      <w:pPr>
        <w:spacing w:line="269" w:lineRule="auto"/>
        <w:jc w:val="center"/>
        <w:rPr>
          <w:rFonts w:ascii="Arial" w:eastAsia="Calibri" w:hAnsi="Arial" w:cs="Arial"/>
          <w:sz w:val="36"/>
          <w:rtl/>
        </w:rPr>
      </w:pPr>
      <w:r w:rsidRPr="00DC5B13">
        <w:rPr>
          <w:rFonts w:ascii="Segoe UI Symbol" w:eastAsia="Calibri" w:hAnsi="Segoe UI Symbol" w:cs="Segoe UI Symbol" w:hint="cs"/>
          <w:sz w:val="36"/>
          <w:rtl/>
        </w:rPr>
        <w:t>✰</w:t>
      </w:r>
    </w:p>
    <w:p w:rsidR="00DC5B13" w:rsidRPr="00DC5B13" w:rsidP="00C34B23">
      <w:pPr>
        <w:spacing w:line="269" w:lineRule="auto"/>
        <w:ind w:left="-567"/>
        <w:rPr>
          <w:rFonts w:eastAsia="Calibri"/>
          <w:szCs w:val="20"/>
          <w:rtl/>
        </w:rPr>
      </w:pPr>
      <w:bookmarkStart w:id="47" w:name="_Hlk220320694"/>
    </w:p>
    <w:p w:rsidR="00DC5B13" w:rsidRPr="00DC5B13" w:rsidP="00C34B23">
      <w:pPr>
        <w:spacing w:line="269" w:lineRule="auto"/>
        <w:rPr>
          <w:rFonts w:eastAsia="Calibri"/>
          <w:b/>
          <w:bCs/>
          <w:rtl/>
        </w:rPr>
      </w:pPr>
      <w:r w:rsidRPr="00DC5B13">
        <w:rPr>
          <w:rFonts w:eastAsia="Calibri" w:hint="cs"/>
          <w:b/>
          <w:bCs/>
          <w:rtl/>
        </w:rPr>
        <w:t xml:space="preserve">סקירת המיזמים שהוצגו לעיל מעלה היבטים שונים של המורכבות ושל האתגרים הרבים המאפיינים את תכנונם ואת קידומם של מיזמים במסגרת תהליכי התחדשות עירונית. אף שמדובר בארבעה מתוך כ-800 מיזמים לפינוי ובינוי המקודמים כיום בכל הארץ, המיזמים שנבחרו מציגים מאפיינים בולטים של תהליכי ההתחדשות והחסמים העולים מהם - הן ברשויות שנבדקו והן ברשויות אחרות.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מהמיזמים שנסקרו בעיריות לוד, קריית ים וקריית שמונה עולים קשיים במימוש מיזמים מאושרים, הנובעים מהקושי בהכרעת מחלוקות שמאיות מול רשות מקרקעי ישראל (לוד) וממחלוקות על הכדאיות הכלכלית של המיזם (קריית ים). בקריית שמונה עלה קושי מהותי לביצוע התחדשות עירונית מעבר לעובדה הבסיסית שככלל תהליכי התחדשות עירונית בפריפריה אינם כדאיים מהבחינה הכלכלית ועל אף קבלת אישור למימון המיזם על ידי הרשות להתחדשות ובמימון משרד הביטחון, עקב מחלוקת עם רמ"י בנוגע לאיחוד וחלוקה במתחם.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bookmarkStart w:id="48" w:name="_Hlk219973465"/>
      <w:r w:rsidRPr="00DC5B13">
        <w:rPr>
          <w:rFonts w:eastAsia="Calibri" w:hint="cs"/>
          <w:b/>
          <w:bCs/>
          <w:rtl/>
        </w:rPr>
        <w:t>אי-ודאות כלכלית ותכנונית מספקת עלתה כגורם מרכזי נוסף להיווצרות חסמים</w:t>
      </w:r>
      <w:r w:rsidRPr="00DC5B13">
        <w:rPr>
          <w:rFonts w:eastAsia="Calibri"/>
          <w:rtl/>
        </w:rPr>
        <w:t xml:space="preserve"> </w:t>
      </w:r>
      <w:r w:rsidRPr="00DC5B13">
        <w:rPr>
          <w:rFonts w:eastAsia="Calibri"/>
          <w:b/>
          <w:bCs/>
          <w:rtl/>
        </w:rPr>
        <w:t>בקידום התחדשות עירונית</w:t>
      </w:r>
      <w:r w:rsidRPr="00DC5B13">
        <w:rPr>
          <w:rFonts w:eastAsia="Calibri" w:hint="cs"/>
          <w:b/>
          <w:bCs/>
          <w:rtl/>
        </w:rPr>
        <w:t xml:space="preserve">. </w:t>
      </w:r>
      <w:bookmarkStart w:id="49" w:name="_Hlk230073704"/>
      <w:r w:rsidRPr="00DC5B13">
        <w:rPr>
          <w:rFonts w:eastAsia="Calibri" w:hint="cs"/>
          <w:b/>
          <w:bCs/>
          <w:rtl/>
        </w:rPr>
        <w:t>בשל מורכבותם של תהליכי ההתחדשות העירונית</w:t>
      </w:r>
      <w:bookmarkEnd w:id="49"/>
      <w:r w:rsidRPr="00DC5B13">
        <w:rPr>
          <w:rFonts w:eastAsia="Calibri" w:hint="cs"/>
          <w:b/>
          <w:bCs/>
          <w:rtl/>
        </w:rPr>
        <w:t xml:space="preserve"> והצורך בתיאום בין גורמים רבים העוסקים בקידומם, עשוי עיכוב יחיד, הנגרם מפערים בתיאום הציפיות בין בעלי עניין, לגרום לעיכובים מתמשכים בקידום המיזמים. המיזמים שנסקרו בעיריות קריית ים ורעננה ממחישים את העיכובים שעשויים להיגרם - בין השאר בשל הצורך בהעברת המחלוקות לגבי קידום הפרויקט להכרעתו של בית המשפט (קריית ים) - ואת האיומים על מימוש מיזמים בשל היעדר שיתוף פעולה מלא בין כל בעלי העניין לכל אורך תהליך ההתחדשות העירונית (רעננה). </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rtl/>
        </w:rPr>
        <w:t>רמ"י מסרה בתשובתה כי היא מכירה בצורך בהמשך שיפור וייעול של התהליכים הנוגעים לבקשה ולהקצאה של קרקעות משלימות, לרבות קיצור לוחות הזמנים, הגברת הוודאות והסרת החסמים הכרוכים בכך. רמ"י מסרה כי היא פועלת ליישום צעדים מעשיים לשם כך, ובהם עדכון נהלים, הידוק הליווי המוקדם של מיזמים ושיפור הממשקים עם כל הגורמים המעורבים בתהליך. רמ"י ציינה כי תמשיך לשתף פעולה עם הרשות להתחדשות, עם מינהל התכנון ועם הרשויות המקומיות כדי להאיץ מימוש מיזמי התחדשות עירונית, תוך שמירה על הקרקעות הציבוריות ותוך הניהול המיטבי שלהן.</w:t>
      </w:r>
    </w:p>
    <w:p w:rsidR="00DC5B13" w:rsidRPr="00DC5B13" w:rsidP="00C34B23">
      <w:pPr>
        <w:spacing w:line="269" w:lineRule="auto"/>
        <w:ind w:left="-567"/>
        <w:rPr>
          <w:rFonts w:eastAsia="Calibri"/>
          <w:szCs w:val="20"/>
          <w:rtl/>
        </w:rPr>
      </w:pPr>
      <w:bookmarkStart w:id="50" w:name="_Hlk220320799"/>
      <w:bookmarkEnd w:id="48"/>
    </w:p>
    <w:p w:rsidR="00DC5B13" w:rsidRPr="00DC5B13" w:rsidP="00C34B23">
      <w:pPr>
        <w:spacing w:line="269" w:lineRule="auto"/>
        <w:rPr>
          <w:rFonts w:eastAsia="Calibri"/>
          <w:b/>
          <w:bCs/>
          <w:rtl/>
        </w:rPr>
      </w:pPr>
      <w:r w:rsidRPr="00DC5B13">
        <w:rPr>
          <w:rFonts w:eastAsia="Calibri" w:hint="cs"/>
          <w:b/>
          <w:bCs/>
          <w:rtl/>
        </w:rPr>
        <w:t>מומלץ כי הרשות להתחדשות בשיתוף הגורמים המרכזיים העוסקים בהתחדשות עירונית ובהם מינהל התכנון, הוותמ"ל ורשות מקרקעי ישראל יאספו מידע על החסמים המאפיינים תהליכי פינוי ובינוי בכל שלביהם, ינתחו אותם ויגבשו דרכים להסרתם - בין השאר על ידי ניסוח מדיניות התחדשות עירונית לאומית, שתעסוק הן בחסמים שתוארו לעיל והן בחסמים אחרים. לימוד של החסמים והסיבות להיווצרותם יסייע בהפחתתם ולעיתים אף במניעתם.</w:t>
      </w:r>
    </w:p>
    <w:bookmarkEnd w:id="47"/>
    <w:bookmarkEnd w:id="50"/>
    <w:p w:rsidR="000D1E6D" w:rsidRPr="00151194" w:rsidP="00151194">
      <w:pPr>
        <w:spacing w:line="269" w:lineRule="auto"/>
        <w:rPr>
          <w:rFonts w:eastAsia="Calibri"/>
          <w:b/>
          <w:bCs/>
          <w:rtl/>
        </w:rPr>
      </w:pPr>
    </w:p>
    <w:p w:rsidR="00DC5B13" w:rsidRPr="00DC5B13" w:rsidP="00C34B23">
      <w:pPr>
        <w:keepNext/>
        <w:keepLines/>
        <w:spacing w:line="269" w:lineRule="auto"/>
        <w:outlineLvl w:val="2"/>
        <w:rPr>
          <w:rFonts w:eastAsia="Times New Roman"/>
          <w:bCs/>
          <w:szCs w:val="28"/>
          <w:u w:val="single"/>
          <w:rtl/>
        </w:rPr>
      </w:pPr>
      <w:r w:rsidRPr="00DC5B13">
        <w:rPr>
          <w:rFonts w:eastAsia="Times New Roman" w:hint="cs"/>
          <w:bCs/>
          <w:szCs w:val="28"/>
          <w:u w:val="single"/>
          <w:rtl/>
        </w:rPr>
        <w:t>סיכום</w:t>
      </w:r>
    </w:p>
    <w:p w:rsidR="00DC5B13" w:rsidRPr="00DC5B13" w:rsidP="00C34B23">
      <w:pPr>
        <w:spacing w:line="269" w:lineRule="auto"/>
        <w:rPr>
          <w:rFonts w:eastAsia="Calibri"/>
          <w:szCs w:val="20"/>
          <w:rtl/>
        </w:rPr>
      </w:pPr>
      <w:bookmarkStart w:id="51" w:name="_Hlk220509382"/>
    </w:p>
    <w:p w:rsidR="00DC5B13" w:rsidRPr="00DC5B13" w:rsidP="00C34B23">
      <w:pPr>
        <w:spacing w:line="269" w:lineRule="auto"/>
        <w:rPr>
          <w:rFonts w:eastAsia="Calibri"/>
          <w:b/>
          <w:bCs/>
          <w:rtl/>
        </w:rPr>
      </w:pPr>
      <w:r w:rsidRPr="00DC5B13">
        <w:rPr>
          <w:rFonts w:eastAsia="Calibri"/>
          <w:b/>
          <w:bCs/>
          <w:rtl/>
        </w:rPr>
        <w:t xml:space="preserve">התחדשות עירונית </w:t>
      </w:r>
      <w:r w:rsidRPr="00DC5B13">
        <w:rPr>
          <w:rFonts w:eastAsia="Calibri" w:hint="cs"/>
          <w:b/>
          <w:bCs/>
          <w:rtl/>
        </w:rPr>
        <w:t>היא כלי</w:t>
      </w:r>
      <w:r w:rsidRPr="00DC5B13">
        <w:rPr>
          <w:rFonts w:eastAsia="Calibri"/>
          <w:b/>
          <w:bCs/>
          <w:rtl/>
        </w:rPr>
        <w:t xml:space="preserve"> </w:t>
      </w:r>
      <w:r w:rsidRPr="00DC5B13">
        <w:rPr>
          <w:rFonts w:eastAsia="Calibri" w:hint="cs"/>
          <w:b/>
          <w:bCs/>
          <w:rtl/>
        </w:rPr>
        <w:t xml:space="preserve">אסטרטגי </w:t>
      </w:r>
      <w:r w:rsidRPr="00DC5B13">
        <w:rPr>
          <w:rFonts w:eastAsia="Calibri"/>
          <w:b/>
          <w:bCs/>
          <w:rtl/>
        </w:rPr>
        <w:t>בתחום התכנון והבנייה</w:t>
      </w:r>
      <w:r w:rsidRPr="00DC5B13">
        <w:rPr>
          <w:rFonts w:eastAsia="Calibri" w:hint="cs"/>
          <w:b/>
          <w:bCs/>
          <w:rtl/>
        </w:rPr>
        <w:t xml:space="preserve"> לקביעת מדיניות </w:t>
      </w:r>
      <w:r w:rsidRPr="00DC5B13">
        <w:rPr>
          <w:rFonts w:eastAsia="Calibri"/>
          <w:b/>
          <w:bCs/>
          <w:rtl/>
        </w:rPr>
        <w:t>הטומן בחובו פוטנציאל להשגת</w:t>
      </w:r>
      <w:r w:rsidRPr="00DC5B13">
        <w:rPr>
          <w:rFonts w:eastAsia="Calibri" w:hint="cs"/>
          <w:b/>
          <w:bCs/>
          <w:rtl/>
        </w:rPr>
        <w:t xml:space="preserve"> </w:t>
      </w:r>
      <w:r w:rsidRPr="00DC5B13">
        <w:rPr>
          <w:rFonts w:eastAsia="Calibri"/>
          <w:b/>
          <w:bCs/>
          <w:rtl/>
        </w:rPr>
        <w:t xml:space="preserve">מטרות </w:t>
      </w:r>
      <w:r w:rsidRPr="00DC5B13">
        <w:rPr>
          <w:rFonts w:eastAsia="Calibri" w:hint="cs"/>
          <w:b/>
          <w:bCs/>
          <w:rtl/>
        </w:rPr>
        <w:t>שונות בתחום המרחב, ה</w:t>
      </w:r>
      <w:r w:rsidRPr="00DC5B13">
        <w:rPr>
          <w:rFonts w:eastAsia="Calibri"/>
          <w:b/>
          <w:bCs/>
          <w:rtl/>
        </w:rPr>
        <w:t>כלכל</w:t>
      </w:r>
      <w:r w:rsidRPr="00DC5B13">
        <w:rPr>
          <w:rFonts w:eastAsia="Calibri" w:hint="cs"/>
          <w:b/>
          <w:bCs/>
          <w:rtl/>
        </w:rPr>
        <w:t>ה</w:t>
      </w:r>
      <w:r w:rsidRPr="00DC5B13">
        <w:rPr>
          <w:rFonts w:eastAsia="Calibri"/>
          <w:b/>
          <w:bCs/>
          <w:rtl/>
        </w:rPr>
        <w:t xml:space="preserve"> ו</w:t>
      </w:r>
      <w:r w:rsidRPr="00DC5B13">
        <w:rPr>
          <w:rFonts w:eastAsia="Calibri" w:hint="cs"/>
          <w:b/>
          <w:bCs/>
          <w:rtl/>
        </w:rPr>
        <w:t>ה</w:t>
      </w:r>
      <w:r w:rsidRPr="00DC5B13">
        <w:rPr>
          <w:rFonts w:eastAsia="Calibri"/>
          <w:b/>
          <w:bCs/>
          <w:rtl/>
        </w:rPr>
        <w:t>חבר</w:t>
      </w:r>
      <w:r w:rsidRPr="00DC5B13">
        <w:rPr>
          <w:rFonts w:eastAsia="Calibri" w:hint="cs"/>
          <w:b/>
          <w:bCs/>
          <w:rtl/>
        </w:rPr>
        <w:t xml:space="preserve">ה - ובראשן </w:t>
      </w:r>
      <w:r w:rsidRPr="00DC5B13">
        <w:rPr>
          <w:rFonts w:eastAsia="Calibri"/>
          <w:b/>
          <w:bCs/>
          <w:rtl/>
        </w:rPr>
        <w:t>תוספת יחידות דיור במרקמים</w:t>
      </w:r>
      <w:r w:rsidRPr="00DC5B13">
        <w:rPr>
          <w:rFonts w:eastAsia="Calibri" w:hint="cs"/>
          <w:b/>
          <w:bCs/>
          <w:rtl/>
        </w:rPr>
        <w:t xml:space="preserve"> </w:t>
      </w:r>
      <w:r w:rsidRPr="00DC5B13">
        <w:rPr>
          <w:rFonts w:eastAsia="Calibri"/>
          <w:b/>
          <w:bCs/>
          <w:rtl/>
        </w:rPr>
        <w:t>עירוניים קיימים שנבנו בעבר בצפיפות נמוכה יחסית</w:t>
      </w:r>
      <w:r w:rsidRPr="00DC5B13">
        <w:rPr>
          <w:rFonts w:eastAsia="Calibri" w:hint="cs"/>
          <w:b/>
          <w:bCs/>
          <w:rtl/>
        </w:rPr>
        <w:t>,</w:t>
      </w:r>
      <w:r w:rsidRPr="00DC5B13">
        <w:rPr>
          <w:rFonts w:eastAsia="Calibri"/>
          <w:b/>
          <w:bCs/>
          <w:rtl/>
        </w:rPr>
        <w:t xml:space="preserve"> </w:t>
      </w:r>
      <w:r w:rsidRPr="00DC5B13">
        <w:rPr>
          <w:rFonts w:eastAsia="Calibri" w:hint="cs"/>
          <w:b/>
          <w:bCs/>
          <w:rtl/>
        </w:rPr>
        <w:t>ובכלל זה</w:t>
      </w:r>
      <w:r w:rsidRPr="00DC5B13">
        <w:rPr>
          <w:rFonts w:eastAsia="Calibri"/>
          <w:b/>
          <w:bCs/>
          <w:rtl/>
        </w:rPr>
        <w:t xml:space="preserve"> ייעול השימוש בקרקע</w:t>
      </w:r>
      <w:r w:rsidRPr="00DC5B13">
        <w:rPr>
          <w:rFonts w:eastAsia="Calibri" w:hint="cs"/>
          <w:b/>
          <w:bCs/>
          <w:rtl/>
        </w:rPr>
        <w:t xml:space="preserve">. זאת </w:t>
      </w:r>
      <w:r w:rsidRPr="00DC5B13">
        <w:rPr>
          <w:rFonts w:eastAsia="Calibri"/>
          <w:b/>
          <w:bCs/>
          <w:rtl/>
        </w:rPr>
        <w:t>ב</w:t>
      </w:r>
      <w:r w:rsidRPr="00DC5B13">
        <w:rPr>
          <w:rFonts w:eastAsia="Calibri" w:hint="cs"/>
          <w:b/>
          <w:bCs/>
          <w:rtl/>
        </w:rPr>
        <w:t>ייחוד</w:t>
      </w:r>
      <w:r w:rsidRPr="00DC5B13">
        <w:rPr>
          <w:rFonts w:eastAsia="Calibri"/>
          <w:b/>
          <w:bCs/>
          <w:rtl/>
        </w:rPr>
        <w:t xml:space="preserve"> לנוכח הגידול המהיר באוכלוסיי</w:t>
      </w:r>
      <w:r w:rsidRPr="00DC5B13">
        <w:rPr>
          <w:rFonts w:eastAsia="Calibri" w:hint="cs"/>
          <w:b/>
          <w:bCs/>
          <w:rtl/>
        </w:rPr>
        <w:t xml:space="preserve">ת המדינה </w:t>
      </w:r>
      <w:r w:rsidRPr="00DC5B13">
        <w:rPr>
          <w:rFonts w:eastAsia="Calibri"/>
          <w:b/>
          <w:bCs/>
          <w:rtl/>
        </w:rPr>
        <w:t>והצורך הגובר ב</w:t>
      </w:r>
      <w:r w:rsidRPr="00DC5B13">
        <w:rPr>
          <w:rFonts w:eastAsia="Calibri" w:hint="cs"/>
          <w:b/>
          <w:bCs/>
          <w:rtl/>
        </w:rPr>
        <w:t xml:space="preserve">יחידות </w:t>
      </w:r>
      <w:r w:rsidRPr="00DC5B13">
        <w:rPr>
          <w:rFonts w:eastAsia="Calibri"/>
          <w:b/>
          <w:bCs/>
          <w:rtl/>
        </w:rPr>
        <w:t>דיור איכותי</w:t>
      </w:r>
      <w:r w:rsidRPr="00DC5B13">
        <w:rPr>
          <w:rFonts w:eastAsia="Calibri" w:hint="cs"/>
          <w:b/>
          <w:bCs/>
          <w:rtl/>
        </w:rPr>
        <w:t>ות</w:t>
      </w:r>
      <w:r w:rsidRPr="00DC5B13">
        <w:rPr>
          <w:rFonts w:eastAsia="Calibri"/>
          <w:b/>
          <w:bCs/>
          <w:rtl/>
        </w:rPr>
        <w:t xml:space="preserve"> וממוגנ</w:t>
      </w:r>
      <w:r w:rsidRPr="00DC5B13">
        <w:rPr>
          <w:rFonts w:eastAsia="Calibri" w:hint="cs"/>
          <w:b/>
          <w:bCs/>
          <w:rtl/>
        </w:rPr>
        <w:t>ות מפני פגיעות ונזקים מרעידות אדמה ומירי רקטות וטילים. צורך זה בא לידי ביטוי ביתר שאת במהלך מלחמת "חרבות ברזל" ובמבצע "עם כלביא"</w:t>
      </w:r>
      <w:r w:rsidRPr="00DC5B13">
        <w:rPr>
          <w:rFonts w:eastAsia="Calibri"/>
          <w:b/>
          <w:bCs/>
          <w:rtl/>
        </w:rPr>
        <w:t xml:space="preserve">. </w:t>
      </w:r>
      <w:bookmarkEnd w:id="51"/>
      <w:r w:rsidRPr="00DC5B13">
        <w:rPr>
          <w:rFonts w:eastAsia="Calibri" w:hint="cs"/>
          <w:b/>
          <w:bCs/>
          <w:rtl/>
        </w:rPr>
        <w:t>בשנים 2021 - 2024 אושרו תוכניות לבנייתן של כ-157,000 יח"ד בתוכניות להתחדשות עירונית - מספר העולה על היעדים הכמותיים שהוצבו לתקופה זו בתוכנית האסטרטגית לדיור - 151,000 יח"ד בשנים 2021 - 2025.</w:t>
      </w:r>
      <w:r w:rsidRPr="00DC5B13">
        <w:rPr>
          <w:rFonts w:eastAsia="Calibri" w:hint="cs"/>
          <w:rtl/>
        </w:rPr>
        <w:t xml:space="preserve"> </w:t>
      </w:r>
      <w:r w:rsidRPr="00DC5B13">
        <w:rPr>
          <w:rFonts w:eastAsia="Calibri" w:hint="cs"/>
          <w:b/>
          <w:bCs/>
          <w:rtl/>
        </w:rPr>
        <w:t>בשנת 2024 חלה עלייה של כ-40% במספר יחידות הדיור שאושרו בתוכניות פינוי-בינוי ביחס לשנת 2023 ועלייה של כ-44% ביחס לשנת 2022.</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b/>
          <w:bCs/>
          <w:rtl/>
        </w:rPr>
        <w:t xml:space="preserve">לרשות המקומית תפקידים רבים בתכנון ובקידום ההתחדשות העירונית בתחומה והיא משמשת גורם מרכזי בהובלת התהליכים. בין היתר היא יוזמת ומתכננת תוכניות להתחדשות עירונית בתחומה, ועליה לוודא כי תכנון ההתחדשות שנעשה בידי גופים אחרים - ממשלתיים ופרטיים - יתאים למדיניות העירונית ולתוכניות המתאר להתחדשות העירונית או לתוכניות אחרות הרלוונטיות לנושא. הרשות המקומית היא גורם מקשר ומתווך בין גורמי התכנון השונים וכן בין היזם ובין התושבים, והיא </w:t>
      </w:r>
      <w:r w:rsidRPr="00DC5B13">
        <w:rPr>
          <w:rFonts w:eastAsia="Calibri" w:hint="cs"/>
          <w:b/>
          <w:bCs/>
          <w:rtl/>
        </w:rPr>
        <w:t xml:space="preserve">נדרשת לבצע </w:t>
      </w:r>
      <w:r w:rsidRPr="00DC5B13">
        <w:rPr>
          <w:rFonts w:eastAsia="Calibri"/>
          <w:b/>
          <w:bCs/>
          <w:rtl/>
        </w:rPr>
        <w:t xml:space="preserve">זאת תוך שמירה על </w:t>
      </w:r>
      <w:r w:rsidRPr="00DC5B13">
        <w:rPr>
          <w:rFonts w:eastAsia="Calibri" w:hint="cs"/>
          <w:b/>
          <w:bCs/>
          <w:rtl/>
        </w:rPr>
        <w:t>כללי מנהל תקין ו</w:t>
      </w:r>
      <w:r w:rsidRPr="00DC5B13">
        <w:rPr>
          <w:rFonts w:eastAsia="Calibri"/>
          <w:b/>
          <w:bCs/>
          <w:rtl/>
        </w:rPr>
        <w:t xml:space="preserve">שמירה על זכויותיהם של </w:t>
      </w:r>
      <w:r w:rsidRPr="00DC5B13">
        <w:rPr>
          <w:rFonts w:eastAsia="Calibri" w:hint="cs"/>
          <w:b/>
          <w:bCs/>
          <w:rtl/>
        </w:rPr>
        <w:t xml:space="preserve">כלל </w:t>
      </w:r>
      <w:r w:rsidRPr="00DC5B13">
        <w:rPr>
          <w:rFonts w:eastAsia="Calibri"/>
          <w:b/>
          <w:bCs/>
          <w:rtl/>
        </w:rPr>
        <w:t>תושביה.</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rtl/>
        </w:rPr>
      </w:pPr>
      <w:r w:rsidRPr="00DC5B13">
        <w:rPr>
          <w:rFonts w:eastAsia="Calibri" w:hint="cs"/>
          <w:b/>
          <w:bCs/>
          <w:rtl/>
        </w:rPr>
        <w:t>מהמיפוי של פריסת מיזמי ההתחדשות</w:t>
      </w:r>
      <w:r w:rsidRPr="00DC5B13">
        <w:rPr>
          <w:rFonts w:eastAsia="Calibri"/>
          <w:b/>
          <w:bCs/>
          <w:rtl/>
        </w:rPr>
        <w:t xml:space="preserve"> </w:t>
      </w:r>
      <w:r w:rsidRPr="00DC5B13">
        <w:rPr>
          <w:rFonts w:eastAsia="Calibri" w:hint="cs"/>
          <w:b/>
          <w:bCs/>
          <w:rtl/>
        </w:rPr>
        <w:t>בחלוקה למחוזות תכנון עלה</w:t>
      </w:r>
      <w:r w:rsidRPr="00DC5B13">
        <w:rPr>
          <w:rFonts w:eastAsia="Calibri"/>
          <w:b/>
          <w:bCs/>
          <w:rtl/>
        </w:rPr>
        <w:t xml:space="preserve"> כי במחוזות המרכז ותל אביב מקודמים ומבוצעים כ-</w:t>
      </w:r>
      <w:r w:rsidRPr="00DC5B13">
        <w:rPr>
          <w:rFonts w:eastAsia="Calibri" w:hint="cs"/>
          <w:b/>
          <w:bCs/>
          <w:rtl/>
        </w:rPr>
        <w:t>58</w:t>
      </w:r>
      <w:r w:rsidRPr="00DC5B13">
        <w:rPr>
          <w:rFonts w:eastAsia="Calibri"/>
          <w:b/>
          <w:bCs/>
          <w:rtl/>
        </w:rPr>
        <w:t xml:space="preserve">% מכלל המיזמים (472 מתוך </w:t>
      </w:r>
      <w:r w:rsidRPr="00DC5B13">
        <w:rPr>
          <w:rFonts w:eastAsia="Calibri" w:hint="cs"/>
          <w:b/>
          <w:bCs/>
          <w:rtl/>
        </w:rPr>
        <w:t>814</w:t>
      </w:r>
      <w:r w:rsidRPr="00DC5B13">
        <w:rPr>
          <w:rFonts w:eastAsia="Calibri"/>
          <w:b/>
          <w:bCs/>
          <w:rtl/>
        </w:rPr>
        <w:t xml:space="preserve"> מיזמים)</w:t>
      </w:r>
      <w:r w:rsidRPr="00DC5B13">
        <w:rPr>
          <w:rFonts w:eastAsia="Calibri" w:hint="cs"/>
          <w:b/>
          <w:bCs/>
          <w:rtl/>
        </w:rPr>
        <w:t xml:space="preserve">, ובהם כ-56% מכלל יח"ד המוצעות בכלל המיזמים; </w:t>
      </w:r>
      <w:r w:rsidRPr="00DC5B13">
        <w:rPr>
          <w:rFonts w:eastAsia="Calibri"/>
          <w:b/>
          <w:bCs/>
          <w:rtl/>
        </w:rPr>
        <w:t xml:space="preserve">בירושלים מקודמים ומבוצעים 137 מיזמים, שהם כ-95% מהמיזמים במחוז ירושלים; במחוזות הצפון והדרום יחד מקודמים ומבוצעים </w:t>
      </w:r>
      <w:r w:rsidRPr="00DC5B13">
        <w:rPr>
          <w:rFonts w:eastAsia="Calibri" w:hint="cs"/>
          <w:b/>
          <w:bCs/>
          <w:rtl/>
        </w:rPr>
        <w:t>98</w:t>
      </w:r>
      <w:r w:rsidRPr="00DC5B13">
        <w:rPr>
          <w:rFonts w:eastAsia="Calibri"/>
          <w:b/>
          <w:bCs/>
          <w:rtl/>
        </w:rPr>
        <w:t xml:space="preserve"> מיזמים - </w:t>
      </w:r>
      <w:r w:rsidRPr="00DC5B13">
        <w:rPr>
          <w:rFonts w:eastAsia="Calibri" w:hint="cs"/>
          <w:b/>
          <w:bCs/>
          <w:rtl/>
        </w:rPr>
        <w:t>מספר דומה</w:t>
      </w:r>
      <w:r w:rsidRPr="00DC5B13">
        <w:rPr>
          <w:rFonts w:eastAsia="Calibri"/>
          <w:b/>
          <w:bCs/>
          <w:rtl/>
        </w:rPr>
        <w:t xml:space="preserve"> </w:t>
      </w:r>
      <w:r w:rsidRPr="00DC5B13">
        <w:rPr>
          <w:rFonts w:eastAsia="Calibri" w:hint="cs"/>
          <w:b/>
          <w:bCs/>
          <w:rtl/>
        </w:rPr>
        <w:t>ל</w:t>
      </w:r>
      <w:r w:rsidRPr="00DC5B13">
        <w:rPr>
          <w:rFonts w:eastAsia="Calibri"/>
          <w:b/>
          <w:bCs/>
          <w:rtl/>
        </w:rPr>
        <w:t>מספר המיזמים במחוז חיפה</w:t>
      </w:r>
      <w:r w:rsidRPr="00DC5B13">
        <w:rPr>
          <w:rFonts w:eastAsia="Calibri" w:hint="cs"/>
          <w:b/>
          <w:bCs/>
          <w:rtl/>
        </w:rPr>
        <w:t xml:space="preserve"> (97 מיזמים)</w:t>
      </w:r>
      <w:r w:rsidRPr="00DC5B13">
        <w:rPr>
          <w:rFonts w:eastAsia="Calibri"/>
          <w:b/>
          <w:b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עוד עלה מהמיפויים כי הגורם העיקרי המשפיע על קידום וביצוע מיזמים להתחדשות עירונית הוא הגורם הכלכלי, וצורך בחיזוק מבנים נגד רעידות אדמה </w:t>
      </w:r>
      <w:r w:rsidRPr="00DC5B13">
        <w:rPr>
          <w:rFonts w:eastAsia="Calibri" w:hint="eastAsia"/>
          <w:b/>
          <w:bCs/>
          <w:rtl/>
        </w:rPr>
        <w:t>אינ</w:t>
      </w:r>
      <w:r w:rsidRPr="00DC5B13">
        <w:rPr>
          <w:rFonts w:eastAsia="Calibri" w:hint="cs"/>
          <w:b/>
          <w:bCs/>
          <w:rtl/>
        </w:rPr>
        <w:t xml:space="preserve">ו מקבל מענה מספק במסגרת המאמצים לקדם התחדשות עירונית. ביישובים החשופים לסכנות מעין אלה </w:t>
      </w:r>
      <w:r w:rsidRPr="00DC5B13">
        <w:rPr>
          <w:rFonts w:eastAsia="Calibri" w:hint="eastAsia"/>
          <w:b/>
          <w:bCs/>
          <w:rtl/>
        </w:rPr>
        <w:t>לא</w:t>
      </w:r>
      <w:r w:rsidRPr="00DC5B13">
        <w:rPr>
          <w:rFonts w:eastAsia="Calibri" w:hint="cs"/>
          <w:b/>
          <w:bCs/>
          <w:rtl/>
        </w:rPr>
        <w:t xml:space="preserve"> מקודמים מספיק מיזמים רחבי-היקף להתחדשות המרקם הבנוי, אם בכלל. המיפויים שהוצגו בדוח הצביעו על הפער בין הצורך הדחוף בחיזוק מבנים, ובין המימוש בפועל של מיזמי התחדשות עירונית - זאת בניגוד להחלטת הממשלה 875, שהדגישה את הצורך בנקיטת פעולות דחופות לביצוע התחדשות עירונית ביישובי הנגב והגליל. ממצאי המיפויים מדגישים את הצורך בניתוח החסמים המעכבים והצורך בנקיטת פעולות להסרתם. </w:t>
      </w:r>
    </w:p>
    <w:p w:rsidR="00DC5B13" w:rsidRPr="00DC5B13" w:rsidP="00C34B23">
      <w:pPr>
        <w:spacing w:line="269" w:lineRule="auto"/>
        <w:rPr>
          <w:rFonts w:eastAsia="Calibri"/>
          <w:szCs w:val="20"/>
          <w:rtl/>
        </w:rPr>
      </w:pPr>
    </w:p>
    <w:p w:rsidR="00DC5B13" w:rsidRPr="00DC5B13" w:rsidP="00C34B23">
      <w:pPr>
        <w:spacing w:line="269" w:lineRule="auto"/>
        <w:rPr>
          <w:rFonts w:eastAsia="Calibri"/>
          <w:rtl/>
        </w:rPr>
      </w:pPr>
      <w:r w:rsidRPr="00DC5B13">
        <w:rPr>
          <w:rFonts w:eastAsia="Calibri" w:hint="cs"/>
          <w:b/>
          <w:bCs/>
          <w:rtl/>
        </w:rPr>
        <w:t>חרף החשיבות המיוחסת לביצועם של תהליכי ההתחדשות העירונית להשגת מטרות לאומיות, מממצאי הדוח עולה כי למדינת ישראל אין מדיניות כתובה ומוגדרת בנושא ההתחדשות העירונית, המציגה את המטרות הללו ואת מערך היחסים בין דרגי השלטון במאמץ להשגתן. על אף חשיבות הכנתו של מסמך מדיניות להתחדשות עירונית, אין בנמצא גורם שקבע קריטריונים ברורים לאופן הכנתו או לתוכנו של המסמך</w:t>
      </w:r>
      <w:r w:rsidRPr="00DC5B13">
        <w:rPr>
          <w:rFonts w:eastAsia="Calibri" w:hint="cs"/>
          <w:rtl/>
        </w:rPr>
        <w:t>.</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מספר המינהלות שהוקמו בשנים 2017 - 2025, הן ברשויות מקומיות איתנות והן ברשויות השוכנות בפריפריה הגיאוגרפית והחברתית, גדל פי 5.8 (מ-8 ל-46 מינהלות ב-48 רשויות מקומיות). 23 רשויות מקומיות מקדמות מתחמי התחדשות עירונית שלא באמצעות מינהלת. ברשויות שבהן פועלות מינהלות עירוניות יש כ-98,000 יח"ד במצב קיים וכ-402,000 יח"ד במצב מוצע והיחס בין מספר יח"ד הקיימות המעורבות בתהליכי התחדשות (המיועדות להריסה ולהתחדשות) ובין מספר התושבים גבוה מהיחס המקביל ברשויות ללא מינהלת. </w:t>
      </w:r>
    </w:p>
    <w:p w:rsidR="00DC5B13" w:rsidRPr="00DC5B13" w:rsidP="00C34B23">
      <w:pPr>
        <w:spacing w:line="269" w:lineRule="auto"/>
        <w:rPr>
          <w:rFonts w:eastAsia="Calibri"/>
          <w:szCs w:val="20"/>
          <w:rtl/>
        </w:rPr>
      </w:pPr>
      <w:bookmarkStart w:id="52" w:name="_Hlk217392764"/>
    </w:p>
    <w:p w:rsidR="00DC5B13" w:rsidRPr="00DC5B13" w:rsidP="00C34B23">
      <w:pPr>
        <w:spacing w:line="269" w:lineRule="auto"/>
        <w:rPr>
          <w:rFonts w:eastAsia="Calibri"/>
          <w:b/>
          <w:bCs/>
          <w:rtl/>
        </w:rPr>
      </w:pPr>
      <w:r w:rsidRPr="00DC5B13">
        <w:rPr>
          <w:rFonts w:eastAsia="Calibri" w:hint="cs"/>
          <w:b/>
          <w:bCs/>
          <w:rtl/>
        </w:rPr>
        <w:t xml:space="preserve">התגלו פערים ניכרים במידע שהציגו משרד השיכון, הרשות להתחדשות עירונית והרשויות המקומיות שנבדקו בנוגע להיקפי ההתחדשות העירונית ברשויות. בלוד התגלה פער של כ-40,000 יחידות דיור המעורבות בתהליכי ההתחדשות העירונית בין הנתונים שנמסרו משלושת המקורות ופער של כ-15,000 יחידות דיור המצויות בשלב הרישוי בין מקורות אלה. לרשות להתחדשות עירונית אין נתונים על המיזמים המקודמים בתחום העיר קריית שמונה. פערים אלה מצביעים על היעדר תיאום בעדכון המידע בין הגופים האמורים לשתף פעולה בתהליכי ההתחדשות העירונית בעיר </w:t>
      </w:r>
      <w:r w:rsidRPr="00DC5B13">
        <w:rPr>
          <w:rFonts w:eastAsia="Calibri"/>
          <w:b/>
          <w:bCs/>
          <w:rtl/>
        </w:rPr>
        <w:t xml:space="preserve">- דבר </w:t>
      </w:r>
      <w:r w:rsidRPr="00DC5B13">
        <w:rPr>
          <w:rFonts w:eastAsia="Calibri" w:hint="cs"/>
          <w:b/>
          <w:bCs/>
          <w:rtl/>
        </w:rPr>
        <w:t>ה</w:t>
      </w:r>
      <w:r w:rsidRPr="00DC5B13">
        <w:rPr>
          <w:rFonts w:eastAsia="Calibri"/>
          <w:b/>
          <w:bCs/>
          <w:rtl/>
        </w:rPr>
        <w:t xml:space="preserve">עלול להשפיע על קבלת </w:t>
      </w:r>
      <w:r w:rsidRPr="00DC5B13">
        <w:rPr>
          <w:rFonts w:eastAsia="Calibri" w:hint="cs"/>
          <w:b/>
          <w:bCs/>
          <w:rtl/>
        </w:rPr>
        <w:t>ה</w:t>
      </w:r>
      <w:r w:rsidRPr="00DC5B13">
        <w:rPr>
          <w:rFonts w:eastAsia="Calibri"/>
          <w:b/>
          <w:bCs/>
          <w:rtl/>
        </w:rPr>
        <w:t>החלטות ועל הפניית משאבים הולמת לצורך קידום מיזמים אלה</w:t>
      </w:r>
      <w:r w:rsidRPr="00DC5B13">
        <w:rPr>
          <w:rFonts w:eastAsia="Calibri" w:hint="cs"/>
          <w:b/>
          <w:bCs/>
          <w:rtl/>
        </w:rPr>
        <w:t>.</w:t>
      </w:r>
      <w:bookmarkEnd w:id="52"/>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עיריית לוד טרם מימשה התחייבויות לתקצוב מהרשות להתחדשות בסך כ-28 מיליון ש"ח; עיריית נתניה מימשה כ-3.5 מיליון ש"ח מתוך כ-23 מיליון ש"ח שאותם התחייבה הרשות להתחדשות להעביר לה (כ-15% שמומשו מתוך ההתחייבות); ועיריית קריית ים טרם מימשה התחייבויות לתקצוב מהרשות להתחדשות בסך כ-3 מיליון ש"ח (לאחר קיזוז של 9 מיליון). העיריות לוד, נתניה וקריית ים מתקשות במימוש הזכאות לתקצוב מכוח הסכם המסגרת.</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העיריות לוד ונתניה הצביעו על קשיי נזילות הנובעים מהצורך לשלם עבור חידוש התשתיות או עבור הקמתן לפני קבלת המימון, וכי הן מתקשות להעריך את העלות האמיתית של התשתיות במהלך הכנתו של תחשיב הזכאות בעת החתימה על ההסכם. כמו כן נמצא כי פקעה זכאותה של עיריית קריית ים למימון בשל אי-עמידה בתנאי הסף - וזאת בשל החלטת היזם להגיש לאישור מחדש תוכנית מתאר שהעירייה התבססה עליה לצורך חישוב זכאותה למימון.</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lang w:eastAsia="he-IL"/>
        </w:rPr>
      </w:pPr>
      <w:r w:rsidRPr="00DC5B13">
        <w:rPr>
          <w:rFonts w:eastAsia="Calibri" w:hint="cs"/>
          <w:b/>
          <w:bCs/>
          <w:rtl/>
        </w:rPr>
        <w:t>על אף חשיבות הכנתו של מסמך מדיניות בהתחדשות עירונית, הרשות להתחדשות ומינהל התכנון לא קבעו קריטריונים ברורים בנוגע לאופן הכנתו של המסמך או לתוכנו</w:t>
      </w:r>
      <w:r w:rsidRPr="00DC5B13">
        <w:rPr>
          <w:rFonts w:eastAsia="Calibri" w:hint="cs"/>
          <w:rtl/>
        </w:rPr>
        <w:t xml:space="preserve">. </w:t>
      </w:r>
      <w:r w:rsidRPr="00DC5B13">
        <w:rPr>
          <w:rFonts w:eastAsia="Calibri" w:hint="cs"/>
          <w:b/>
          <w:bCs/>
          <w:rtl/>
        </w:rPr>
        <w:t>בשל היעדר הנחיות אלה, נמצאו בבדיקה</w:t>
      </w:r>
      <w:r w:rsidRPr="00DC5B13">
        <w:rPr>
          <w:rFonts w:eastAsia="Calibri" w:hint="cs"/>
          <w:b/>
          <w:bCs/>
          <w:rtl/>
          <w:lang w:eastAsia="he-IL"/>
        </w:rPr>
        <w:t xml:space="preserve"> הבדלים מהותיים בין הרשויות שנבדקו בתפיסת תפקידם של מסמכי המדיניות, במספר המסמכים, בשטח שעליו הם חלים, בהיקף העיסוק בנושאים הקשורים להתחדשות העירונית וביחסן לשלבים של הוצאת היתרי בנייה ושל הבנייה עצמה. </w:t>
      </w:r>
    </w:p>
    <w:p w:rsidR="00DC5B13" w:rsidRPr="00DC5B13" w:rsidP="00C34B23">
      <w:pPr>
        <w:spacing w:line="269" w:lineRule="auto"/>
        <w:ind w:left="-567"/>
        <w:rPr>
          <w:rFonts w:eastAsia="Calibri"/>
          <w:szCs w:val="20"/>
          <w:rtl/>
          <w:lang w:eastAsia="he-IL"/>
        </w:rPr>
      </w:pPr>
    </w:p>
    <w:p w:rsidR="00DC5B13" w:rsidRPr="00DC5B13" w:rsidP="00C34B23">
      <w:pPr>
        <w:spacing w:line="269" w:lineRule="auto"/>
        <w:rPr>
          <w:rFonts w:eastAsia="Calibri"/>
          <w:b/>
          <w:bCs/>
          <w:rtl/>
        </w:rPr>
      </w:pPr>
      <w:r w:rsidRPr="00DC5B13">
        <w:rPr>
          <w:rFonts w:eastAsia="Calibri" w:hint="cs"/>
          <w:b/>
          <w:bCs/>
          <w:rtl/>
        </w:rPr>
        <w:t>מהמיזמים שנסקרו בעיריות לוד, קריית ים וקריית שמונה עולים קשיים במימוש מיזמים מאושרים, הנובעים מהקושי בהכרעת מחלוקות שמאיות מול רשות מקרקעי ישראל (לוד) וממחלוקות על הכדאיות הכלכלית של המיזם (קריית ים). בקריית שמונה עלה קושי של היעדר כדאיות כלכלית, על אף קבלת אישור למימון המיזם על ידי הרשות להתחדשות ועל ידי משרד הביטחון, עקב מחלוקת עם רמ"י בנוגע לאיחוד וחלוקה במתחם.</w:t>
      </w:r>
    </w:p>
    <w:p w:rsidR="00DC5B13" w:rsidRPr="00DC5B13" w:rsidP="00C34B23">
      <w:pPr>
        <w:spacing w:line="269" w:lineRule="auto"/>
        <w:ind w:left="-567"/>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אי-ודאות כלכלית ותכנונית מספקת עלתה כגורם מרכזי נוסף להיווצרות חסמים. בשל מורכבותם של תהליכי ההתחדשות העירונית והצורך בתיאום בין גורמים רבים העוסקים בקידומם, עיכוב יחיד, הנגרם מפערים בתיאום הציפיות בין בעלי עניין, עשוי לגרום לעיכובים מתמשכים בקידום המיזמים. המיזמים שנסקרו בעיריות קריית ים ורעננה ממחישים את העיכובים שעשויים להיגרם - בין השאר בשל הצורך בהעברת המחלוקות לגבי קידום הפרויקט להכרעתו של בית </w:t>
      </w:r>
      <w:r w:rsidRPr="00DC5B13">
        <w:rPr>
          <w:rFonts w:eastAsia="Calibri" w:hint="cs"/>
          <w:b/>
          <w:bCs/>
          <w:rtl/>
        </w:rPr>
        <w:t>המשפט (קריית ים) - ואת האיומים על מימוש מיזמים בשל היעדר שיתוף פעולה מלא בין כל בעלי העניין לכל אורך תהליך ההתחדשות העירונית (רעננה).</w:t>
      </w:r>
    </w:p>
    <w:p w:rsidR="00DC5B13" w:rsidRPr="00DC5B13" w:rsidP="00C34B23">
      <w:pPr>
        <w:spacing w:line="269" w:lineRule="auto"/>
        <w:rPr>
          <w:rFonts w:eastAsia="Calibri"/>
          <w:szCs w:val="20"/>
          <w:rtl/>
          <w:lang w:eastAsia="he-IL"/>
        </w:rPr>
      </w:pPr>
    </w:p>
    <w:p w:rsidR="00DC5B13" w:rsidRPr="00DC5B13" w:rsidP="00C34B23">
      <w:pPr>
        <w:spacing w:line="269" w:lineRule="auto"/>
        <w:rPr>
          <w:rFonts w:eastAsia="Calibri"/>
          <w:rtl/>
        </w:rPr>
      </w:pPr>
      <w:r w:rsidRPr="00DC5B13">
        <w:rPr>
          <w:rFonts w:eastAsia="Calibri"/>
          <w:b/>
          <w:bCs/>
          <w:rtl/>
        </w:rPr>
        <w:t xml:space="preserve">משרד מבקר המדינה ממליץ לגורמים הרלוונטיים, ובהם משרד ראש הממשלה, </w:t>
      </w:r>
      <w:r w:rsidRPr="00DC5B13">
        <w:rPr>
          <w:rFonts w:eastAsia="Calibri" w:hint="cs"/>
          <w:b/>
          <w:bCs/>
          <w:rtl/>
        </w:rPr>
        <w:t>ר</w:t>
      </w:r>
      <w:r w:rsidRPr="00DC5B13">
        <w:rPr>
          <w:rFonts w:eastAsia="Calibri"/>
          <w:b/>
          <w:bCs/>
          <w:rtl/>
        </w:rPr>
        <w:t>שות מקרקעי ישראל, מינהל התכנון ו</w:t>
      </w:r>
      <w:r w:rsidRPr="00DC5B13">
        <w:rPr>
          <w:rFonts w:eastAsia="Calibri" w:hint="cs"/>
          <w:b/>
          <w:bCs/>
          <w:rtl/>
        </w:rPr>
        <w:t>ה</w:t>
      </w:r>
      <w:r w:rsidRPr="00DC5B13">
        <w:rPr>
          <w:rFonts w:eastAsia="Calibri"/>
          <w:b/>
          <w:bCs/>
          <w:rtl/>
        </w:rPr>
        <w:t>רשות להתחדשות</w:t>
      </w:r>
      <w:r w:rsidRPr="00DC5B13">
        <w:rPr>
          <w:rFonts w:eastAsia="Calibri" w:hint="cs"/>
          <w:b/>
          <w:bCs/>
          <w:rtl/>
        </w:rPr>
        <w:t xml:space="preserve"> - שהיא הגוף הממשלתי האמון על תחום ההתחדשות העירונית,</w:t>
      </w:r>
      <w:r w:rsidRPr="00DC5B13">
        <w:rPr>
          <w:rFonts w:eastAsia="Calibri"/>
          <w:b/>
          <w:bCs/>
          <w:rtl/>
        </w:rPr>
        <w:t xml:space="preserve"> </w:t>
      </w:r>
      <w:r w:rsidRPr="00DC5B13">
        <w:rPr>
          <w:rFonts w:eastAsia="Calibri" w:hint="cs"/>
          <w:b/>
          <w:bCs/>
          <w:rtl/>
        </w:rPr>
        <w:t>לעודד</w:t>
      </w:r>
      <w:r w:rsidRPr="00DC5B13">
        <w:rPr>
          <w:rFonts w:eastAsia="Calibri"/>
          <w:b/>
          <w:bCs/>
          <w:rtl/>
        </w:rPr>
        <w:t xml:space="preserve"> מיזמי התחדשות עירונית בי</w:t>
      </w:r>
      <w:r w:rsidRPr="00DC5B13">
        <w:rPr>
          <w:rFonts w:eastAsia="Calibri" w:hint="cs"/>
          <w:b/>
          <w:bCs/>
          <w:rtl/>
        </w:rPr>
        <w:t>י</w:t>
      </w:r>
      <w:r w:rsidRPr="00DC5B13">
        <w:rPr>
          <w:rFonts w:eastAsia="Calibri"/>
          <w:b/>
          <w:bCs/>
          <w:rtl/>
        </w:rPr>
        <w:t xml:space="preserve">שובים שבהם </w:t>
      </w:r>
      <w:r w:rsidRPr="00DC5B13">
        <w:rPr>
          <w:rFonts w:eastAsia="Calibri" w:hint="cs"/>
          <w:b/>
          <w:bCs/>
          <w:rtl/>
        </w:rPr>
        <w:t xml:space="preserve">המכפיל גבוה ועדיין אין </w:t>
      </w:r>
      <w:r w:rsidRPr="00DC5B13">
        <w:rPr>
          <w:rFonts w:eastAsia="Calibri"/>
          <w:b/>
          <w:bCs/>
          <w:rtl/>
        </w:rPr>
        <w:t>כדאיות כלכלית מספקת, בין היתר באמצעות יצירת תנאים כלכליים שיאפשרו את הקידום והביצוע של מיזמים אלה.</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מומלץ לרשות להתחדשות עירונית לפעול - בשיתוף משרד הפנים, משרד השיכון, משרד ראש הממשלה ומשרד המשפטים - בהתאם למדיניות המפורטת בתמ"א 35 להכנת מסמך מדיניות לאומי להתחדשות עירונית, אשר ייצור מסגרת ערכית אחודה להמשך יישום החקיקה הקיימת בתחום ההתחדשות העירונית </w:t>
      </w:r>
      <w:r w:rsidRPr="00DC5B13">
        <w:rPr>
          <w:rFonts w:eastAsia="Calibri"/>
          <w:b/>
          <w:bCs/>
          <w:rtl/>
        </w:rPr>
        <w:t>להשגת יעדי ההתחדשות העירונית, הגשמת מטרותיה ומימוש מיטבי של יתרונותיה.</w:t>
      </w:r>
      <w:r w:rsidRPr="00DC5B13">
        <w:rPr>
          <w:rFonts w:eastAsia="Calibri" w:hint="cs"/>
          <w:b/>
          <w:bCs/>
          <w:rtl/>
        </w:rPr>
        <w:t xml:space="preserve"> מומלץ כי מסמך המדיניות יגדיר, בין השאר, מטרות לאומיות לפריסה, לקידום ולביצוע התחדשות עירונית בהתייחס למאפיינים ולצרכים של אזורים שונים; אזורי עדיפות לקידום התחדשות עירונית; יעדי ביצוע למדיניות; ומתווה למערכת היחסים בין הגורמים העוסקים בהתחדשות העירונית בישראל, לרבות אופני שיתוף הפעולה בין הגורמים ואת תפקידי הרשויות המקומיות בנושא זה.</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לנוכח הנתונים המצביעים על תרומתן הרבה של המינהלות בקידום תהליכי ההתחדשות העירונית - וזאת לעומת רשויות שבהן לא פועלות מינהלות להתחדשות עירונית, ולנוכח חשיבותן ומרכזיותן של המינהלות העירוניות בקידום תהליכי התחדשות עירונית, מומלץ כי הרשות הממשלתית להתחדשות עירונית תמשיך לקדם הקמתן של מינהלות עירוניות ברשויות מקומיות.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מן הראוי שמשרד השיכון והרשות להתחדשות עירונית יוודאו כי המידע שברשותם עדכני ומדויק וכי המידע שהם מציגים לציבור משקף את המצב לאשורו. זאת כדי שיוכלו לעקוב ביעילות אחר תהליכי ההתחדשות העירונית, להסיק מהם מס</w:t>
      </w:r>
      <w:bookmarkStart w:id="53" w:name="_GoBack"/>
      <w:bookmarkEnd w:id="53"/>
      <w:r w:rsidRPr="00DC5B13">
        <w:rPr>
          <w:rFonts w:eastAsia="Calibri" w:hint="cs"/>
          <w:b/>
          <w:bCs/>
          <w:rtl/>
        </w:rPr>
        <w:t>קנות בזמן אמת, להפיק לקחים לעתיד ולהציג מידע אמין לציבור.</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בביקורת עלו חסמים שפגעו במימוש הסכמי המסגרת ברשויות שנבדקו ובמרכזם קשיי הנזילות שנגרמו לרשויות. למרות נכונות הרשות להתחדשות להכיר בהיתרי הריסה לצורך מתן התקציבים מכוח ההסכמים, ולנוכח נתוני הניצול הנמוכים של התקציבים בהסכם המסגרת הראשון בכללותו (33%) ובפרט ברשויות שנבדקו (בנתניה - 15%, בלוד ובקריית ים - 0%), מומלץ כי הרשות להתחדשות תבחן את יעילות פעולתו של מנגנון הסכמי המסגרת ותשקול אם ניתן לטייב אותו לשם השגת המטרה שלשמה נחתם ההסכם - עידוד ההתחדשות העירונית והוצאת היתרי בנייה, לרבות שדרוג התשתיות הנדרשות בפרויקטים. </w:t>
      </w:r>
    </w:p>
    <w:p w:rsidR="00DC5B13" w:rsidRPr="00DC5B13" w:rsidP="00C34B23">
      <w:pPr>
        <w:spacing w:line="269" w:lineRule="auto"/>
        <w:rPr>
          <w:rFonts w:eastAsia="Calibri"/>
          <w:szCs w:val="20"/>
          <w:rtl/>
        </w:rPr>
      </w:pPr>
    </w:p>
    <w:p w:rsidR="00DC5B13" w:rsidRPr="00DC5B13" w:rsidP="00C34B23">
      <w:pPr>
        <w:spacing w:line="269" w:lineRule="auto"/>
        <w:rPr>
          <w:rFonts w:eastAsia="Calibri"/>
          <w:b/>
          <w:bCs/>
          <w:rtl/>
        </w:rPr>
      </w:pPr>
      <w:r w:rsidRPr="00DC5B13">
        <w:rPr>
          <w:rFonts w:eastAsia="Calibri" w:hint="cs"/>
          <w:b/>
          <w:bCs/>
          <w:rtl/>
        </w:rPr>
        <w:t xml:space="preserve">מומלץ כי הרשות להתחדשות בשיתוף מינהל התכנון יגדירו קריטריונים ברורים לכתיבת מסמך מדיניות להתחדשות עירונית ולאופן הכנתו, כדי שיגובש בהליך ראוי, יכלול את כלל ההיבטים הנוגעים להתחדשות עירונית ויבטיח ודאות ושקיפות. </w:t>
      </w:r>
      <w:r w:rsidRPr="00DC5B13">
        <w:rPr>
          <w:rFonts w:eastAsia="Calibri" w:hint="cs"/>
          <w:b/>
          <w:bCs/>
          <w:rtl/>
          <w:lang w:eastAsia="he-IL"/>
        </w:rPr>
        <w:t>משרד מבקר המדינה ממליץ לעיריות נתניה, קריית ים, קריית שמונה ורעננה לשקול לשלב במסמכי המדיניות שלהן הנחיות הנוגעות גם לשלבי הביצוע עקב המורכבות הרבה של תהליכי ההתחדשות העירונית גם מעבר לשלבי התכנון.</w:t>
      </w:r>
      <w:bookmarkStart w:id="54" w:name="_Hlk220509287"/>
    </w:p>
    <w:p w:rsidR="001E204F" w:rsidRPr="00B4321D" w:rsidP="00AB118E">
      <w:pPr>
        <w:spacing w:line="269" w:lineRule="auto"/>
        <w:rPr>
          <w:rFonts w:ascii="Calibri" w:hAnsi="Calibri" w:cstheme="minorBidi"/>
          <w:color w:val="002060"/>
          <w:sz w:val="22"/>
          <w:szCs w:val="22"/>
        </w:rPr>
      </w:pPr>
      <w:r w:rsidRPr="00DC5B13">
        <w:rPr>
          <w:rFonts w:eastAsia="Calibri" w:hint="cs"/>
          <w:b/>
          <w:bCs/>
          <w:rtl/>
        </w:rPr>
        <w:t>הבנה של החסמים והסיבות להיווצרותם תסייע להפחיתם ואף למנוע אותם כליל במקרים מסוימים. משרד מבקר המדינה ממליץ לרשות להתחדשות בשיתוף הגורמים המרכזיים העוסקים בהתחדשות עירונית ובהם מינהל התכנון, הוותמ"ל ורשות מקרקעי ישראל לאסוף מידע על החסמים המאפיינים תהליכי פינוי ובינוי על כל שלביהם, לנתח אותם ולהמציא דרכים להסרתם - בין השאר על ידי ניסוח מדיניות התחדשות עירונית לאומית, שתעסוק בחסמים שתוארו לעיל ובחסמים אחרים ותציע דרכים לטיפול בהם.</w:t>
      </w:r>
      <w:bookmarkEnd w:id="54"/>
      <w:r w:rsidR="00A222E2">
        <w:rPr>
          <w:rFonts w:ascii="Calibri" w:hAnsi="Calibri" w:cstheme="minorBidi"/>
          <w:color w:val="002060"/>
          <w:sz w:val="22"/>
          <w:szCs w:val="22"/>
        </w:rPr>
        <w:tab/>
      </w:r>
    </w:p>
    <w:sectPr w:rsidSect="0099692E">
      <w:headerReference w:type="first" r:id="rId61"/>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panose1 w:val="00000000000000000000"/>
    <w:charset w:val="00"/>
    <w:family w:val="roman"/>
    <w:notTrueType/>
    <w:pitch w:val="default"/>
  </w:font>
  <w:font w:name="Rubik">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1194">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151194"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8"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151194"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51194" w:rsidP="00C23CC9">
      <w:pPr>
        <w:spacing w:line="240" w:lineRule="auto"/>
      </w:pPr>
      <w:r>
        <w:separator/>
      </w:r>
    </w:p>
  </w:footnote>
  <w:footnote w:type="continuationSeparator" w:id="1">
    <w:p w:rsidR="00151194" w:rsidP="00C23CC9">
      <w:pPr>
        <w:spacing w:line="240" w:lineRule="auto"/>
      </w:pPr>
      <w:r>
        <w:continuationSeparator/>
      </w:r>
    </w:p>
  </w:footnote>
  <w:footnote w:id="2">
    <w:p w:rsidR="00151194" w:rsidP="00DC5B13">
      <w:pPr>
        <w:pStyle w:val="FootnoteText"/>
        <w:rPr>
          <w:rtl/>
        </w:rPr>
      </w:pPr>
      <w:r>
        <w:rPr>
          <w:rStyle w:val="FootnoteReference1"/>
        </w:rPr>
        <w:footnoteRef/>
      </w:r>
      <w:r>
        <w:rPr>
          <w:rtl/>
        </w:rPr>
        <w:t xml:space="preserve"> </w:t>
      </w:r>
      <w:r>
        <w:rPr>
          <w:rtl/>
        </w:rPr>
        <w:tab/>
        <w:t>נטע זיו, "</w:t>
      </w:r>
      <w:r w:rsidRPr="000F4E99">
        <w:rPr>
          <w:rtl/>
        </w:rPr>
        <w:t>התחדשות עירונית בישראל: דינמיקה של מרחב חברתי ורגולטורי</w:t>
      </w:r>
      <w:r>
        <w:rPr>
          <w:b/>
          <w:bCs/>
          <w:rtl/>
        </w:rPr>
        <w:t>"</w:t>
      </w:r>
      <w:r>
        <w:rPr>
          <w:rtl/>
        </w:rPr>
        <w:t xml:space="preserve">, </w:t>
      </w:r>
      <w:r>
        <w:rPr>
          <w:b/>
          <w:bCs/>
          <w:rtl/>
        </w:rPr>
        <w:t>משפט חברה ותרבות</w:t>
      </w:r>
      <w:r>
        <w:rPr>
          <w:rtl/>
        </w:rPr>
        <w:t xml:space="preserve"> ה' (2022), עמ' 15 - 46. </w:t>
      </w:r>
    </w:p>
  </w:footnote>
  <w:footnote w:id="3">
    <w:p w:rsidR="00151194" w:rsidP="00DC5B13">
      <w:pPr>
        <w:pStyle w:val="FootnoteText"/>
      </w:pPr>
      <w:r>
        <w:rPr>
          <w:rStyle w:val="FootnoteReference1"/>
        </w:rPr>
        <w:footnoteRef/>
      </w:r>
      <w:r>
        <w:rPr>
          <w:rtl/>
        </w:rPr>
        <w:t xml:space="preserve"> </w:t>
      </w:r>
      <w:r>
        <w:rPr>
          <w:rtl/>
        </w:rPr>
        <w:tab/>
        <w:t xml:space="preserve">המונח </w:t>
      </w:r>
      <w:r>
        <w:rPr>
          <w:rFonts w:hint="cs"/>
          <w:rtl/>
        </w:rPr>
        <w:t>"</w:t>
      </w:r>
      <w:r>
        <w:rPr>
          <w:rtl/>
        </w:rPr>
        <w:t>מיזמי התחדשות עירונית</w:t>
      </w:r>
      <w:r>
        <w:rPr>
          <w:rFonts w:hint="cs"/>
          <w:rtl/>
        </w:rPr>
        <w:t>"</w:t>
      </w:r>
      <w:r>
        <w:rPr>
          <w:rtl/>
        </w:rPr>
        <w:t xml:space="preserve"> מתייחס </w:t>
      </w:r>
      <w:r>
        <w:rPr>
          <w:rFonts w:hint="cs"/>
          <w:rtl/>
        </w:rPr>
        <w:t xml:space="preserve">בדוח זה </w:t>
      </w:r>
      <w:r>
        <w:rPr>
          <w:rtl/>
        </w:rPr>
        <w:t xml:space="preserve">לכל </w:t>
      </w:r>
      <w:r>
        <w:rPr>
          <w:rFonts w:hint="cs"/>
          <w:rtl/>
        </w:rPr>
        <w:t>ה</w:t>
      </w:r>
      <w:r>
        <w:rPr>
          <w:rtl/>
        </w:rPr>
        <w:t>שלבי</w:t>
      </w:r>
      <w:r>
        <w:rPr>
          <w:rFonts w:hint="cs"/>
          <w:rtl/>
        </w:rPr>
        <w:t>ם</w:t>
      </w:r>
      <w:r>
        <w:rPr>
          <w:rtl/>
        </w:rPr>
        <w:t xml:space="preserve"> </w:t>
      </w:r>
      <w:r>
        <w:rPr>
          <w:rFonts w:hint="cs"/>
          <w:rtl/>
        </w:rPr>
        <w:t>הנוגעים ל</w:t>
      </w:r>
      <w:r>
        <w:rPr>
          <w:rtl/>
        </w:rPr>
        <w:t>תכנון</w:t>
      </w:r>
      <w:r>
        <w:rPr>
          <w:rFonts w:hint="cs"/>
          <w:rtl/>
        </w:rPr>
        <w:t>,</w:t>
      </w:r>
      <w:r>
        <w:rPr>
          <w:rtl/>
        </w:rPr>
        <w:t xml:space="preserve"> </w:t>
      </w:r>
      <w:r>
        <w:rPr>
          <w:rFonts w:hint="cs"/>
          <w:rtl/>
        </w:rPr>
        <w:t>ל</w:t>
      </w:r>
      <w:r>
        <w:rPr>
          <w:rtl/>
        </w:rPr>
        <w:t xml:space="preserve">קידום </w:t>
      </w:r>
      <w:r>
        <w:rPr>
          <w:rFonts w:hint="cs"/>
          <w:rtl/>
        </w:rPr>
        <w:t>ולביצוע של תוכניות מסוג פינוי ובינוי</w:t>
      </w:r>
      <w:r>
        <w:rPr>
          <w:rtl/>
        </w:rPr>
        <w:t xml:space="preserve">. בהמשך הדוח </w:t>
      </w:r>
      <w:r>
        <w:rPr>
          <w:rFonts w:hint="cs"/>
          <w:rtl/>
        </w:rPr>
        <w:t>מתוארים בהרחבה</w:t>
      </w:r>
      <w:r>
        <w:rPr>
          <w:rtl/>
        </w:rPr>
        <w:t xml:space="preserve"> </w:t>
      </w:r>
      <w:r>
        <w:rPr>
          <w:rFonts w:hint="cs"/>
          <w:rtl/>
        </w:rPr>
        <w:t>ה</w:t>
      </w:r>
      <w:r>
        <w:rPr>
          <w:rtl/>
        </w:rPr>
        <w:t>שלבי</w:t>
      </w:r>
      <w:r>
        <w:rPr>
          <w:rFonts w:hint="cs"/>
          <w:rtl/>
        </w:rPr>
        <w:t>ם</w:t>
      </w:r>
      <w:r>
        <w:rPr>
          <w:rtl/>
        </w:rPr>
        <w:t xml:space="preserve"> </w:t>
      </w:r>
      <w:r>
        <w:rPr>
          <w:rFonts w:hint="cs"/>
          <w:rtl/>
        </w:rPr>
        <w:t>הרלוונטיים לכל פרק.</w:t>
      </w:r>
    </w:p>
  </w:footnote>
  <w:footnote w:id="4">
    <w:p w:rsidR="00151194" w:rsidP="00DC5B13">
      <w:pPr>
        <w:pStyle w:val="FootnoteText"/>
        <w:rPr>
          <w:rtl/>
        </w:rPr>
      </w:pPr>
      <w:r>
        <w:rPr>
          <w:rStyle w:val="FootnoteReference1"/>
        </w:rPr>
        <w:footnoteRef/>
      </w:r>
      <w:r>
        <w:rPr>
          <w:rtl/>
        </w:rPr>
        <w:t xml:space="preserve"> </w:t>
      </w:r>
      <w:r>
        <w:rPr>
          <w:rtl/>
        </w:rPr>
        <w:tab/>
        <w:t>לרוב במסלול לפי תמ"א 38, שהיה בתוקף לגבי כלל הערים בישראל עד 1.10.23, למעט באותן ועדות מקומיות אשר עמדו בתנאי המועצה הארצית. במרחבי תכנון אשר עמדו בתנאים שנקבעו בהחלטות המועצה הארצית, תחול התמ"א עד ל-18.05. 26 או עד מועד אישור התכנית המחליפה (לפי המוקדם מביניהם).</w:t>
      </w:r>
    </w:p>
  </w:footnote>
  <w:footnote w:id="5">
    <w:p w:rsidR="00151194" w:rsidP="00DC5B13">
      <w:pPr>
        <w:pStyle w:val="FootnoteText"/>
        <w:rPr>
          <w:rtl/>
        </w:rPr>
      </w:pPr>
      <w:r>
        <w:rPr>
          <w:rStyle w:val="FootnoteReference1"/>
        </w:rPr>
        <w:footnoteRef/>
      </w:r>
      <w:r>
        <w:rPr>
          <w:rtl/>
        </w:rPr>
        <w:t xml:space="preserve"> </w:t>
      </w:r>
      <w:r>
        <w:rPr>
          <w:rtl/>
        </w:rPr>
        <w:tab/>
      </w:r>
      <w:r w:rsidRPr="000F4E99">
        <w:rPr>
          <w:rtl/>
        </w:rPr>
        <w:t xml:space="preserve">מבקר המדינה, </w:t>
      </w:r>
      <w:r w:rsidRPr="000F4E99">
        <w:rPr>
          <w:b/>
          <w:bCs/>
          <w:rtl/>
        </w:rPr>
        <w:t xml:space="preserve">דוח שנתי 66ג </w:t>
      </w:r>
      <w:r w:rsidRPr="000F4E99">
        <w:rPr>
          <w:rtl/>
        </w:rPr>
        <w:t>(2016), "פעולות הממשלה לקידום התחדשות עירונית כצורך לאומי - משרד השיכון", עמ' 1243.</w:t>
      </w:r>
      <w:r>
        <w:rPr>
          <w:rtl/>
        </w:rPr>
        <w:t xml:space="preserve"> </w:t>
      </w:r>
    </w:p>
  </w:footnote>
  <w:footnote w:id="6">
    <w:p w:rsidR="00151194" w:rsidRPr="0090171F" w:rsidP="00DC5B13">
      <w:pPr>
        <w:pStyle w:val="FootnoteText"/>
        <w:rPr>
          <w:rtl/>
        </w:rPr>
      </w:pPr>
      <w:r>
        <w:rPr>
          <w:rStyle w:val="FootnoteReference1"/>
        </w:rPr>
        <w:footnoteRef/>
      </w:r>
      <w:r>
        <w:rPr>
          <w:rtl/>
        </w:rPr>
        <w:t xml:space="preserve"> </w:t>
      </w:r>
      <w:r>
        <w:rPr>
          <w:rtl/>
        </w:rPr>
        <w:tab/>
      </w:r>
      <w:r>
        <w:rPr>
          <w:rFonts w:hint="cs"/>
          <w:rtl/>
        </w:rPr>
        <w:t xml:space="preserve">הצעת </w:t>
      </w:r>
      <w:r w:rsidRPr="00961F69">
        <w:rPr>
          <w:rtl/>
        </w:rPr>
        <w:t xml:space="preserve">חוק </w:t>
      </w:r>
      <w:r>
        <w:rPr>
          <w:rFonts w:hint="cs"/>
          <w:rtl/>
        </w:rPr>
        <w:t>"</w:t>
      </w:r>
      <w:r w:rsidRPr="00961F69">
        <w:rPr>
          <w:rtl/>
        </w:rPr>
        <w:t>שיקום נזקי מלחמה בדרך של התחדשות עירונית, התשפ"ה-2025</w:t>
      </w:r>
      <w:r>
        <w:rPr>
          <w:rFonts w:hint="cs"/>
          <w:rtl/>
        </w:rPr>
        <w:t>". ה</w:t>
      </w:r>
      <w:r w:rsidRPr="0090171F">
        <w:rPr>
          <w:rtl/>
        </w:rPr>
        <w:t xml:space="preserve">צעת </w:t>
      </w:r>
      <w:r>
        <w:rPr>
          <w:rFonts w:hint="cs"/>
          <w:rtl/>
        </w:rPr>
        <w:t>ה</w:t>
      </w:r>
      <w:r w:rsidRPr="0090171F">
        <w:rPr>
          <w:rtl/>
        </w:rPr>
        <w:t xml:space="preserve">חוק </w:t>
      </w:r>
      <w:r>
        <w:rPr>
          <w:rFonts w:hint="cs"/>
          <w:rtl/>
        </w:rPr>
        <w:t>נמצאת בוועדת הכנסת למיזוג עם הצעת החוק "</w:t>
      </w:r>
      <w:r w:rsidRPr="0090171F">
        <w:rPr>
          <w:rtl/>
        </w:rPr>
        <w:t>לשיקום מהיר של מבנים שניזוקו במלחמת עם כלביא (תיקוני חקיקה), התשפ"ה-2025</w:t>
      </w:r>
      <w:r>
        <w:rPr>
          <w:rFonts w:hint="cs"/>
          <w:rtl/>
        </w:rPr>
        <w:t xml:space="preserve">" והן </w:t>
      </w:r>
      <w:r w:rsidRPr="000F4E99">
        <w:rPr>
          <w:rFonts w:hint="cs"/>
          <w:rtl/>
        </w:rPr>
        <w:t>בהכנה לקריאה שנייה ושלישית</w:t>
      </w:r>
      <w:r>
        <w:rPr>
          <w:rFonts w:hint="cs"/>
          <w:rtl/>
        </w:rPr>
        <w:t xml:space="preserve"> בכנסת. החוק התקבל בכנסת ב-31.3.26</w:t>
      </w:r>
    </w:p>
  </w:footnote>
  <w:footnote w:id="7">
    <w:p w:rsidR="00151194" w:rsidP="00DC5B13">
      <w:pPr>
        <w:pStyle w:val="FootnoteText"/>
      </w:pPr>
      <w:r>
        <w:rPr>
          <w:rStyle w:val="FootnoteReference1"/>
        </w:rPr>
        <w:footnoteRef/>
      </w:r>
      <w:r>
        <w:rPr>
          <w:rtl/>
        </w:rPr>
        <w:t xml:space="preserve"> </w:t>
      </w:r>
      <w:r>
        <w:rPr>
          <w:rtl/>
        </w:rPr>
        <w:tab/>
        <w:t xml:space="preserve">נוצר בסיוע כלי בינה מלאכותית מסוג </w:t>
      </w:r>
      <w:r>
        <w:t>Napkin</w:t>
      </w:r>
      <w:r>
        <w:rPr>
          <w:rtl/>
        </w:rPr>
        <w:t>.</w:t>
      </w:r>
    </w:p>
  </w:footnote>
  <w:footnote w:id="8">
    <w:p w:rsidR="00151194" w:rsidP="00DC5B13">
      <w:pPr>
        <w:pStyle w:val="FootnoteText"/>
      </w:pPr>
      <w:r w:rsidRPr="00E52F27">
        <w:rPr>
          <w:rStyle w:val="FootnoteReference1"/>
        </w:rPr>
        <w:footnoteRef/>
      </w:r>
      <w:r w:rsidRPr="00E52F27">
        <w:rPr>
          <w:rtl/>
        </w:rPr>
        <w:t xml:space="preserve"> </w:t>
      </w:r>
      <w:r w:rsidRPr="00E52F27">
        <w:rPr>
          <w:rtl/>
        </w:rPr>
        <w:tab/>
      </w:r>
      <w:r w:rsidRPr="00E52F27">
        <w:rPr>
          <w:rFonts w:hint="cs"/>
          <w:rtl/>
        </w:rPr>
        <w:t xml:space="preserve">ראו </w:t>
      </w:r>
      <w:r>
        <w:rPr>
          <w:rFonts w:hint="cs"/>
          <w:rtl/>
        </w:rPr>
        <w:t>הערה</w:t>
      </w:r>
      <w:r w:rsidRPr="00E52F27">
        <w:rPr>
          <w:rFonts w:hint="cs"/>
          <w:rtl/>
        </w:rPr>
        <w:t xml:space="preserve"> 1.</w:t>
      </w:r>
    </w:p>
  </w:footnote>
  <w:footnote w:id="9">
    <w:p w:rsidR="00151194" w:rsidP="00DC5B13">
      <w:pPr>
        <w:pStyle w:val="FootnoteText"/>
        <w:rPr>
          <w:rtl/>
        </w:rPr>
      </w:pPr>
      <w:r>
        <w:rPr>
          <w:rStyle w:val="FootnoteReference1"/>
        </w:rPr>
        <w:footnoteRef/>
      </w:r>
      <w:r>
        <w:rPr>
          <w:rtl/>
        </w:rPr>
        <w:t xml:space="preserve"> </w:t>
      </w:r>
      <w:r>
        <w:rPr>
          <w:rtl/>
        </w:rPr>
        <w:tab/>
        <w:t>לרבות חוכרים של דירות אלה שהוחכרו לדורות (כלומר, הושכרו לתקופה שלמעלה מ-25 שנה).</w:t>
      </w:r>
    </w:p>
  </w:footnote>
  <w:footnote w:id="10">
    <w:p w:rsidR="00151194" w:rsidP="00DC5B13">
      <w:pPr>
        <w:pStyle w:val="FootnoteText"/>
      </w:pPr>
      <w:r>
        <w:rPr>
          <w:rStyle w:val="FootnoteReference1"/>
        </w:rPr>
        <w:footnoteRef/>
      </w:r>
      <w:r>
        <w:rPr>
          <w:rtl/>
        </w:rPr>
        <w:t xml:space="preserve"> </w:t>
      </w:r>
      <w:r>
        <w:rPr>
          <w:rtl/>
        </w:rPr>
        <w:tab/>
        <w:t>במסלול זה הרשות המקומית היא הגורם המרכזי המוביל את המיזם, היא מקדמת את התכנון למתחם ופועלת לארגון הדיירים כדי לעודד אותם להשתתפות פעילה בתהליך.</w:t>
      </w:r>
    </w:p>
  </w:footnote>
  <w:footnote w:id="11">
    <w:p w:rsidR="00151194" w:rsidP="00DC5B13">
      <w:pPr>
        <w:pStyle w:val="FootnoteText"/>
        <w:rPr>
          <w:rtl/>
        </w:rPr>
      </w:pPr>
      <w:r w:rsidRPr="00A25F67">
        <w:rPr>
          <w:rStyle w:val="FootnoteReference1"/>
        </w:rPr>
        <w:footnoteRef/>
      </w:r>
      <w:r w:rsidRPr="00A25F67">
        <w:rPr>
          <w:rtl/>
        </w:rPr>
        <w:t xml:space="preserve"> </w:t>
      </w:r>
      <w:r w:rsidRPr="00A25F67">
        <w:rPr>
          <w:rtl/>
        </w:rPr>
        <w:tab/>
        <w:t>כאמור, פינוי-בינוי מתייחס להתחדשות עירונית על ידי בנייה והריסה מחדש במסלול לפי חוק הרשות הממשלתית להתחדשות עירונית, התשע"ו-2016. המסלולים לפי החוק תקפים רק לגבי שטח הכולל 24 יחידות לפחות ולכן משמשים לתוכניות הכוללות כמה בניינים.</w:t>
      </w:r>
      <w:r w:rsidRPr="00A25F67">
        <w:rPr>
          <w:rFonts w:hint="cs"/>
          <w:rtl/>
        </w:rPr>
        <w:t xml:space="preserve"> יובהר כי הביקורת לא התייחסה להתחדשות בניינים מכוח תמ"א 38 וחלופותיה, כפי שיוצגו להלן.</w:t>
      </w:r>
    </w:p>
  </w:footnote>
  <w:footnote w:id="12">
    <w:p w:rsidR="00151194" w:rsidP="00DC5B13">
      <w:pPr>
        <w:pStyle w:val="FootnoteText"/>
      </w:pPr>
      <w:r>
        <w:rPr>
          <w:rStyle w:val="FootnoteReference1"/>
        </w:rPr>
        <w:footnoteRef/>
      </w:r>
      <w:r>
        <w:rPr>
          <w:rtl/>
        </w:rPr>
        <w:t xml:space="preserve"> </w:t>
      </w:r>
      <w:r>
        <w:rPr>
          <w:rtl/>
        </w:rPr>
        <w:tab/>
        <w:t xml:space="preserve">מערכת ממוחשבת המאפשרת ניהול, אחזור, הצגה וניתוח של מידע שמעוגן ברשת קואורדינטות (נקודות ציון במרחב). </w:t>
      </w:r>
    </w:p>
  </w:footnote>
  <w:footnote w:id="13">
    <w:p w:rsidR="00151194" w:rsidP="00DC5B13">
      <w:pPr>
        <w:pStyle w:val="FootnoteText"/>
        <w:rPr>
          <w:rtl/>
        </w:rPr>
      </w:pPr>
      <w:r>
        <w:rPr>
          <w:rStyle w:val="FootnoteReference1"/>
        </w:rPr>
        <w:footnoteRef/>
      </w:r>
      <w:r>
        <w:rPr>
          <w:rtl/>
        </w:rPr>
        <w:t xml:space="preserve"> </w:t>
      </w:r>
      <w:r>
        <w:rPr>
          <w:rtl/>
        </w:rPr>
        <w:tab/>
        <w:t>חוקים נוספים עוסקים בהתחדשות עירונית, אך הם אינם רלוונטיים לנושאים המבוקרים בדוח זה ולכן לא הוספו לסקירה זו, למשל: חוק מיסוי מקרקעין (שבח ורכישה), התשכ"ג-1963; חוק מס ערך מוסף; חוק המקרקעין (חיזוק בתים משותפים מפני רעידות אדמה), התשס"ח-2008.</w:t>
      </w:r>
    </w:p>
  </w:footnote>
  <w:footnote w:id="14">
    <w:p w:rsidR="00151194" w:rsidP="00DC5B13">
      <w:pPr>
        <w:pStyle w:val="FootnoteText"/>
      </w:pPr>
      <w:r>
        <w:rPr>
          <w:rStyle w:val="FootnoteReference1"/>
        </w:rPr>
        <w:footnoteRef/>
      </w:r>
      <w:r>
        <w:rPr>
          <w:rtl/>
        </w:rPr>
        <w:t xml:space="preserve"> </w:t>
      </w:r>
      <w:r>
        <w:rPr>
          <w:rtl/>
        </w:rPr>
        <w:tab/>
        <w:t xml:space="preserve">נוצר בסיוע כלי בינה מלאכותית מסוג </w:t>
      </w:r>
      <w:r>
        <w:t>Napkin</w:t>
      </w:r>
      <w:r>
        <w:rPr>
          <w:rtl/>
        </w:rPr>
        <w:t>.</w:t>
      </w:r>
      <w:r>
        <w:rPr>
          <w:rFonts w:hint="cs"/>
          <w:rtl/>
        </w:rPr>
        <w:t xml:space="preserve"> ראו שמות החוקים המלאים בהמשך הפרק.</w:t>
      </w:r>
    </w:p>
  </w:footnote>
  <w:footnote w:id="15">
    <w:p w:rsidR="00151194" w:rsidP="00DC5B13">
      <w:pPr>
        <w:pStyle w:val="FootnoteText"/>
      </w:pPr>
      <w:r>
        <w:rPr>
          <w:rStyle w:val="FootnoteReference1"/>
        </w:rPr>
        <w:footnoteRef/>
      </w:r>
      <w:r>
        <w:rPr>
          <w:rtl/>
        </w:rPr>
        <w:t xml:space="preserve"> </w:t>
      </w:r>
      <w:r>
        <w:rPr>
          <w:rtl/>
        </w:rPr>
        <w:tab/>
        <w:t>תוכנית כוללת להתחדשות עירונית היא תוכנית מתאר מקומית החלה על כל השטח של מרחב התכנון המקומי או על כל שטח היישוב שהתוכנית בתחומו, והיא כוללת הוראות לעניין מתחמים ואזורים להתחדשות עירונית והוראות לעניין חיזוק מבנים מפני רעידות אדמה, ובכלל זה כל אלה.</w:t>
      </w:r>
    </w:p>
  </w:footnote>
  <w:footnote w:id="16">
    <w:p w:rsidR="00151194" w:rsidP="00DC5B13">
      <w:pPr>
        <w:pStyle w:val="FootnoteText"/>
      </w:pPr>
      <w:r>
        <w:rPr>
          <w:rStyle w:val="FootnoteReference1"/>
        </w:rPr>
        <w:footnoteRef/>
      </w:r>
      <w:r>
        <w:rPr>
          <w:rtl/>
        </w:rPr>
        <w:t xml:space="preserve"> </w:t>
      </w:r>
      <w:r>
        <w:rPr>
          <w:rtl/>
        </w:rPr>
        <w:tab/>
      </w:r>
      <w:r w:rsidRPr="000F4E99">
        <w:rPr>
          <w:rtl/>
        </w:rPr>
        <w:t xml:space="preserve">מבקר המדינה, </w:t>
      </w:r>
      <w:r w:rsidRPr="000F4E99">
        <w:rPr>
          <w:b/>
          <w:bCs/>
          <w:rtl/>
        </w:rPr>
        <w:t>דוח שנתי 66ג</w:t>
      </w:r>
      <w:r w:rsidRPr="000F4E99">
        <w:rPr>
          <w:rtl/>
        </w:rPr>
        <w:t xml:space="preserve"> (2016), "פעולות הממשלה לקידום התחדשות עירונית כצורך לאומי - משרד השיכון", עמ' 1243.</w:t>
      </w:r>
    </w:p>
  </w:footnote>
  <w:footnote w:id="17">
    <w:p w:rsidR="00151194" w:rsidP="00DC5B13">
      <w:pPr>
        <w:pStyle w:val="FootnoteText"/>
        <w:rPr>
          <w:rtl/>
        </w:rPr>
      </w:pPr>
      <w:r>
        <w:rPr>
          <w:rStyle w:val="FootnoteReference1"/>
        </w:rPr>
        <w:footnoteRef/>
      </w:r>
      <w:r>
        <w:rPr>
          <w:rtl/>
        </w:rPr>
        <w:t xml:space="preserve"> </w:t>
      </w:r>
      <w:r>
        <w:rPr>
          <w:rtl/>
        </w:rPr>
        <w:tab/>
      </w:r>
      <w:r w:rsidRPr="000F4E99">
        <w:rPr>
          <w:rtl/>
        </w:rPr>
        <w:t>החלטת הממשלה 2457</w:t>
      </w:r>
      <w:r>
        <w:rPr>
          <w:rtl/>
        </w:rPr>
        <w:t xml:space="preserve"> התקבלה בהמשך להחלטת הממשלה 149 מ</w:t>
      </w:r>
      <w:r>
        <w:rPr>
          <w:rFonts w:hint="cs"/>
          <w:rtl/>
        </w:rPr>
        <w:t>יוני 2015</w:t>
      </w:r>
      <w:r>
        <w:rPr>
          <w:rtl/>
        </w:rPr>
        <w:t>.</w:t>
      </w:r>
    </w:p>
  </w:footnote>
  <w:footnote w:id="18">
    <w:p w:rsidR="00151194" w:rsidP="00DC5B13">
      <w:pPr>
        <w:pStyle w:val="FootnoteText"/>
      </w:pPr>
      <w:r>
        <w:rPr>
          <w:rStyle w:val="FootnoteReference1"/>
        </w:rPr>
        <w:footnoteRef/>
      </w:r>
      <w:r>
        <w:rPr>
          <w:rtl/>
        </w:rPr>
        <w:t xml:space="preserve"> </w:t>
      </w:r>
      <w:r>
        <w:rPr>
          <w:rtl/>
        </w:rPr>
        <w:tab/>
        <w:t>המועצה הלאומית לכלכלה היא יחידת מטה הפועלת במשרד ראש הממשלה. תפקידה העיקרי לשמש גוף ייעוץ כלכלי בכיר לראש הממשלה ולממשלה ולסייע בגיבוש אסטרטגיה כלכלית-חברתית ארוכת-טווח.</w:t>
      </w:r>
    </w:p>
  </w:footnote>
  <w:footnote w:id="19">
    <w:p w:rsidR="00151194" w:rsidP="00DC5B13">
      <w:pPr>
        <w:pStyle w:val="FootnoteText"/>
        <w:rPr>
          <w:rtl/>
        </w:rPr>
      </w:pPr>
      <w:r>
        <w:rPr>
          <w:rStyle w:val="FootnoteReference1"/>
        </w:rPr>
        <w:footnoteRef/>
      </w:r>
      <w:r>
        <w:rPr>
          <w:rtl/>
        </w:rPr>
        <w:t xml:space="preserve"> </w:t>
      </w:r>
      <w:r>
        <w:rPr>
          <w:rtl/>
        </w:rPr>
        <w:tab/>
        <w:t>אם חלה השבחה במקרקעין, כלומר חלה עלייה בשוויים של מקרקעין עקב אישור תוכנית, עקב מתן הקלה או עקב התרת שימוש חורג, בעל הזכויות במקרקעין ישלם היטל השבחה.</w:t>
      </w:r>
    </w:p>
  </w:footnote>
  <w:footnote w:id="20">
    <w:p w:rsidR="00151194" w:rsidP="00DC5B13">
      <w:pPr>
        <w:pStyle w:val="FootnoteText"/>
        <w:rPr>
          <w:rtl/>
        </w:rPr>
      </w:pPr>
      <w:r>
        <w:rPr>
          <w:rStyle w:val="FootnoteReference1"/>
        </w:rPr>
        <w:footnoteRef/>
      </w:r>
      <w:r>
        <w:rPr>
          <w:rtl/>
        </w:rPr>
        <w:t xml:space="preserve"> </w:t>
      </w:r>
      <w:r>
        <w:rPr>
          <w:rtl/>
        </w:rPr>
        <w:tab/>
        <w:t xml:space="preserve">מרכז המחקר והמידע של הכנסת, </w:t>
      </w:r>
      <w:r>
        <w:rPr>
          <w:b/>
          <w:bCs/>
          <w:rtl/>
        </w:rPr>
        <w:t>סוגיות בהתחדשות עירונית - לקראת דיון ברפורמה המוצעת בהתחדשות העירונית בפרק ד' להצעת חוק התוכנית הכלכלית</w:t>
      </w:r>
      <w:r>
        <w:rPr>
          <w:rtl/>
        </w:rPr>
        <w:t>, 12.10.21.</w:t>
      </w:r>
    </w:p>
  </w:footnote>
  <w:footnote w:id="21">
    <w:p w:rsidR="00151194" w:rsidP="00DC5B13">
      <w:pPr>
        <w:pStyle w:val="FootnoteText"/>
      </w:pPr>
      <w:r w:rsidRPr="00BD183F">
        <w:rPr>
          <w:rStyle w:val="FootnoteReference1"/>
        </w:rPr>
        <w:footnoteRef/>
      </w:r>
      <w:r w:rsidRPr="00BD183F">
        <w:rPr>
          <w:rtl/>
        </w:rPr>
        <w:t xml:space="preserve"> </w:t>
      </w:r>
      <w:r w:rsidRPr="00BD183F">
        <w:rPr>
          <w:rtl/>
        </w:rPr>
        <w:tab/>
        <w:t xml:space="preserve">תוכנית אב היא מסמך מדיניות שמשמש את מוסדות התכנון לטובת תכנון בראייה כוללת. </w:t>
      </w:r>
      <w:r>
        <w:rPr>
          <w:rFonts w:hint="cs"/>
          <w:rtl/>
        </w:rPr>
        <w:t xml:space="preserve">התוכנית </w:t>
      </w:r>
      <w:r w:rsidRPr="00BD183F">
        <w:rPr>
          <w:rtl/>
        </w:rPr>
        <w:t>אינה סטטוטורית, אין לה תוקף משפטי ואי אפשר להוציא מכוחה היתר בנייה. תוכנית אב עשויה לעסוק במגוון נושאים בהתאם לצורך, ותכולתה נקבעת בהתאם לנושאיה.</w:t>
      </w:r>
    </w:p>
  </w:footnote>
  <w:footnote w:id="22">
    <w:p w:rsidR="00151194" w:rsidP="00DC5B13">
      <w:pPr>
        <w:pStyle w:val="FootnoteText"/>
      </w:pPr>
      <w:r>
        <w:rPr>
          <w:rStyle w:val="FootnoteReference1"/>
        </w:rPr>
        <w:footnoteRef/>
      </w:r>
      <w:r>
        <w:rPr>
          <w:rtl/>
        </w:rPr>
        <w:t xml:space="preserve"> </w:t>
      </w:r>
      <w:r>
        <w:rPr>
          <w:rtl/>
        </w:rPr>
        <w:tab/>
        <w:t>בדוח צוין כי במספרים נכללות תוכניות שאושרו בכל מוסדות התכנון: ועדות מחוזיות, ותמ"ל, ועדות מקומיות עצמאיות מיוחדות. החל משנת 2022 נכללות גם תוכניות התחדשות עירונית הכוללות 4 יחידות דיור קיימות ותוספת של 12 יחידות דיור לכל הפחות.</w:t>
      </w:r>
    </w:p>
  </w:footnote>
  <w:footnote w:id="23">
    <w:p w:rsidR="00151194" w:rsidP="00DC5B13">
      <w:pPr>
        <w:pStyle w:val="FootnoteText"/>
        <w:rPr>
          <w:rtl/>
        </w:rPr>
      </w:pPr>
      <w:r>
        <w:rPr>
          <w:rStyle w:val="FootnoteReference1"/>
        </w:rPr>
        <w:footnoteRef/>
      </w:r>
      <w:r>
        <w:rPr>
          <w:rtl/>
        </w:rPr>
        <w:t xml:space="preserve"> </w:t>
      </w:r>
      <w:r>
        <w:rPr>
          <w:rtl/>
        </w:rPr>
        <w:tab/>
      </w:r>
      <w:r w:rsidRPr="000F4E99">
        <w:rPr>
          <w:rtl/>
        </w:rPr>
        <w:t xml:space="preserve">מינהל התכנון, </w:t>
      </w:r>
      <w:r w:rsidRPr="000F4E99">
        <w:rPr>
          <w:b/>
          <w:bCs/>
          <w:rtl/>
        </w:rPr>
        <w:t>עקרונות לעריכת תכנית כלל עירונית להתחדשות</w:t>
      </w:r>
      <w:r w:rsidRPr="000F4E99">
        <w:rPr>
          <w:rtl/>
        </w:rPr>
        <w:t>, אפריל 2024.</w:t>
      </w:r>
      <w:r>
        <w:rPr>
          <w:rFonts w:hint="cs"/>
          <w:rtl/>
        </w:rPr>
        <w:t xml:space="preserve"> </w:t>
      </w:r>
    </w:p>
  </w:footnote>
  <w:footnote w:id="24">
    <w:p w:rsidR="00151194" w:rsidP="00DC5B13">
      <w:pPr>
        <w:pStyle w:val="FootnoteText"/>
        <w:rPr>
          <w:rtl/>
        </w:rPr>
      </w:pPr>
      <w:r>
        <w:rPr>
          <w:rStyle w:val="FootnoteReference1"/>
        </w:rPr>
        <w:footnoteRef/>
      </w:r>
      <w:r>
        <w:rPr>
          <w:rtl/>
        </w:rPr>
        <w:t xml:space="preserve"> </w:t>
      </w:r>
      <w:r>
        <w:rPr>
          <w:rtl/>
        </w:rPr>
        <w:tab/>
        <w:t>למשל: הרחבת מרכז שפירא; מרכז עסקים ראשי (מע"ר) עתלית; שדרות ירושלים בקריית ים</w:t>
      </w:r>
      <w:r>
        <w:rPr>
          <w:rFonts w:hint="cs"/>
          <w:rtl/>
        </w:rPr>
        <w:t xml:space="preserve">; </w:t>
      </w:r>
      <w:r w:rsidRPr="00B973D0">
        <w:rPr>
          <w:rtl/>
        </w:rPr>
        <w:t xml:space="preserve">מתחם נגה כצנלסון בגבעתיים, המרכז האזרחי </w:t>
      </w:r>
      <w:r>
        <w:rPr>
          <w:rFonts w:hint="cs"/>
          <w:rtl/>
        </w:rPr>
        <w:t>ב</w:t>
      </w:r>
      <w:r w:rsidRPr="00B973D0">
        <w:rPr>
          <w:rtl/>
        </w:rPr>
        <w:t xml:space="preserve">באר שבע, שדרות מנחם בגין </w:t>
      </w:r>
      <w:r>
        <w:rPr>
          <w:rFonts w:hint="cs"/>
          <w:rtl/>
        </w:rPr>
        <w:t>ב</w:t>
      </w:r>
      <w:r w:rsidRPr="00B973D0">
        <w:rPr>
          <w:rtl/>
        </w:rPr>
        <w:t>אשדוד</w:t>
      </w:r>
      <w:r>
        <w:rPr>
          <w:rtl/>
        </w:rPr>
        <w:t>.</w:t>
      </w:r>
    </w:p>
  </w:footnote>
  <w:footnote w:id="25">
    <w:p w:rsidR="00151194" w:rsidP="00DC5B13">
      <w:pPr>
        <w:pStyle w:val="FootnoteText"/>
        <w:rPr>
          <w:rtl/>
        </w:rPr>
      </w:pPr>
      <w:r>
        <w:rPr>
          <w:rStyle w:val="FootnoteReference1"/>
        </w:rPr>
        <w:footnoteRef/>
      </w:r>
      <w:r>
        <w:rPr>
          <w:rtl/>
        </w:rPr>
        <w:t xml:space="preserve"> </w:t>
      </w:r>
      <w:r>
        <w:rPr>
          <w:rtl/>
        </w:rPr>
        <w:tab/>
      </w:r>
      <w:r w:rsidRPr="000F4E99">
        <w:rPr>
          <w:rtl/>
        </w:rPr>
        <w:t xml:space="preserve">החלטת הנהלת רשות מקרקעי ישראל 4953, </w:t>
      </w:r>
      <w:r w:rsidRPr="000F4E99">
        <w:rPr>
          <w:b/>
          <w:bCs/>
          <w:rtl/>
        </w:rPr>
        <w:t>קריטריונים למתן הרשאות לתכנון מתחמי התחדשות עירונית</w:t>
      </w:r>
      <w:r w:rsidRPr="000F4E99">
        <w:rPr>
          <w:rtl/>
        </w:rPr>
        <w:t xml:space="preserve">, </w:t>
      </w:r>
      <w:r>
        <w:rPr>
          <w:rFonts w:hint="cs"/>
          <w:rtl/>
        </w:rPr>
        <w:t>אוקטובר 2020</w:t>
      </w:r>
      <w:r w:rsidRPr="000F4E99">
        <w:rPr>
          <w:rtl/>
        </w:rPr>
        <w:t>.</w:t>
      </w:r>
    </w:p>
  </w:footnote>
  <w:footnote w:id="26">
    <w:p w:rsidR="00151194" w:rsidP="00DC5B13">
      <w:pPr>
        <w:pStyle w:val="FootnoteText"/>
        <w:rPr>
          <w:rtl/>
        </w:rPr>
      </w:pPr>
      <w:r>
        <w:rPr>
          <w:rStyle w:val="FootnoteReference1"/>
        </w:rPr>
        <w:footnoteRef/>
      </w:r>
      <w:r>
        <w:rPr>
          <w:rtl/>
        </w:rPr>
        <w:t xml:space="preserve"> </w:t>
      </w:r>
      <w:r>
        <w:rPr>
          <w:rtl/>
        </w:rPr>
        <w:tab/>
        <w:t>למשל, תוכנית התחדשות עירונית בקידומה של הרשות המקומית ובמימון רמ"י: תוכנית אב - שכונה א' בבאר שבע. תוכניות מפורטות: תמ"ל 2027 לב העיר נתיבות; לב העיר מגדל העמק; העיר העתיקה בבאר שבע; שכונת דוד המלך בלוד - אושרה; שכונת אופיר באילת - נסגרה; שכונות בן גוריון וכהן במעלות - נסגרה.</w:t>
      </w:r>
    </w:p>
  </w:footnote>
  <w:footnote w:id="27">
    <w:p w:rsidR="00151194" w:rsidP="00DC5B13">
      <w:pPr>
        <w:pStyle w:val="FootnoteText"/>
      </w:pPr>
      <w:r>
        <w:rPr>
          <w:rStyle w:val="FootnoteReference1"/>
        </w:rPr>
        <w:footnoteRef/>
      </w:r>
      <w:r>
        <w:rPr>
          <w:rtl/>
        </w:rPr>
        <w:t xml:space="preserve"> </w:t>
      </w:r>
      <w:r>
        <w:rPr>
          <w:rtl/>
        </w:rPr>
        <w:tab/>
      </w:r>
      <w:r w:rsidRPr="000F4E99">
        <w:rPr>
          <w:rtl/>
        </w:rPr>
        <w:t xml:space="preserve">אהרון נמדר, </w:t>
      </w:r>
      <w:r w:rsidRPr="000F4E99">
        <w:rPr>
          <w:b/>
          <w:bCs/>
          <w:rtl/>
        </w:rPr>
        <w:t>התחדשות עירונית (פינוי ובינוי - עיבוי בניה - תמ"א 38: מס שבח - מע"מ - היטל השבחה - ארנונה)</w:t>
      </w:r>
      <w:r w:rsidRPr="000F4E99">
        <w:rPr>
          <w:rtl/>
        </w:rPr>
        <w:t>, חושן משפט, 2011</w:t>
      </w:r>
      <w:r>
        <w:rPr>
          <w:rtl/>
        </w:rPr>
        <w:t>.</w:t>
      </w:r>
    </w:p>
  </w:footnote>
  <w:footnote w:id="28">
    <w:p w:rsidR="00151194" w:rsidP="00DC5B13">
      <w:pPr>
        <w:pStyle w:val="FootnoteText"/>
        <w:rPr>
          <w:rtl/>
        </w:rPr>
      </w:pPr>
      <w:r>
        <w:rPr>
          <w:rStyle w:val="FootnoteReference1"/>
        </w:rPr>
        <w:footnoteRef/>
      </w:r>
      <w:r>
        <w:rPr>
          <w:rtl/>
        </w:rPr>
        <w:t xml:space="preserve"> </w:t>
      </w:r>
      <w:r>
        <w:rPr>
          <w:rtl/>
        </w:rPr>
        <w:tab/>
        <w:t xml:space="preserve">שם. </w:t>
      </w:r>
    </w:p>
  </w:footnote>
  <w:footnote w:id="29">
    <w:p w:rsidR="00151194" w:rsidP="00DC5B13">
      <w:pPr>
        <w:pStyle w:val="FootnoteText"/>
        <w:rPr>
          <w:rtl/>
        </w:rPr>
      </w:pPr>
      <w:r>
        <w:rPr>
          <w:rStyle w:val="FootnoteReference1"/>
        </w:rPr>
        <w:footnoteRef/>
      </w:r>
      <w:r>
        <w:rPr>
          <w:rtl/>
        </w:rPr>
        <w:t xml:space="preserve"> </w:t>
      </w:r>
      <w:r>
        <w:rPr>
          <w:rtl/>
        </w:rPr>
        <w:tab/>
      </w:r>
      <w:r w:rsidRPr="000F4E99">
        <w:rPr>
          <w:rtl/>
        </w:rPr>
        <w:t xml:space="preserve">הרשות הממשלתית להתחדשות עירונית, </w:t>
      </w:r>
      <w:r w:rsidRPr="000F4E99">
        <w:rPr>
          <w:b/>
          <w:bCs/>
          <w:rtl/>
        </w:rPr>
        <w:t>דוח התחדשות עירונית לשנת 2024</w:t>
      </w:r>
      <w:r w:rsidRPr="000F4E99">
        <w:rPr>
          <w:rtl/>
        </w:rPr>
        <w:t>, אפריל 2025.</w:t>
      </w:r>
    </w:p>
  </w:footnote>
  <w:footnote w:id="30">
    <w:p w:rsidR="00151194" w:rsidP="00DC5B13">
      <w:pPr>
        <w:pStyle w:val="FootnoteText"/>
      </w:pPr>
      <w:r>
        <w:rPr>
          <w:rStyle w:val="FootnoteReference1"/>
        </w:rPr>
        <w:footnoteRef/>
      </w:r>
      <w:r>
        <w:rPr>
          <w:rtl/>
        </w:rPr>
        <w:t xml:space="preserve"> </w:t>
      </w:r>
      <w:r>
        <w:rPr>
          <w:rtl/>
        </w:rPr>
        <w:tab/>
        <w:t>בדוח הרשות להתחדשות לשנת 2024 צוין כי "המספרים בטבלה משקפים את המתחמים במלואם, אולם ההכרזה בפועל במרבית המתחמים הייתה על חלק מהמתחם, בהתאם למקבצים שנחתמו בהם הסכמים בין בעלי הדירות ליזם לכל הפחות ברוב הדרוש על פי החוק".</w:t>
      </w:r>
    </w:p>
  </w:footnote>
  <w:footnote w:id="31">
    <w:p w:rsidR="00151194" w:rsidP="00DC5B13">
      <w:pPr>
        <w:pStyle w:val="FootnoteText"/>
      </w:pPr>
      <w:r>
        <w:rPr>
          <w:rStyle w:val="FootnoteReference1"/>
        </w:rPr>
        <w:footnoteRef/>
      </w:r>
      <w:r>
        <w:rPr>
          <w:rtl/>
        </w:rPr>
        <w:t xml:space="preserve"> </w:t>
      </w:r>
      <w:r>
        <w:rPr>
          <w:rFonts w:hint="cs"/>
          <w:rtl/>
        </w:rPr>
        <w:tab/>
      </w:r>
      <w:r w:rsidRPr="000F4E99">
        <w:rPr>
          <w:rtl/>
        </w:rPr>
        <w:t xml:space="preserve">הרשות הממשלתית להתחדשות עירונית, </w:t>
      </w:r>
      <w:r w:rsidRPr="000F4E99">
        <w:rPr>
          <w:b/>
          <w:bCs/>
          <w:rtl/>
        </w:rPr>
        <w:t>דוח התחדשות עירונית לשנת 2024</w:t>
      </w:r>
      <w:r w:rsidRPr="000F4E99">
        <w:rPr>
          <w:rtl/>
        </w:rPr>
        <w:t>, אפריל 2025.</w:t>
      </w:r>
    </w:p>
  </w:footnote>
  <w:footnote w:id="32">
    <w:p w:rsidR="00151194" w:rsidP="00DC5B13">
      <w:pPr>
        <w:pStyle w:val="FootnoteText"/>
        <w:rPr>
          <w:rtl/>
        </w:rPr>
      </w:pPr>
      <w:r>
        <w:rPr>
          <w:rStyle w:val="FootnoteReference1"/>
        </w:rPr>
        <w:footnoteRef/>
      </w:r>
      <w:r>
        <w:rPr>
          <w:rtl/>
        </w:rPr>
        <w:t xml:space="preserve"> </w:t>
      </w:r>
      <w:r>
        <w:rPr>
          <w:rtl/>
        </w:rPr>
        <w:tab/>
        <w:t>על פי מילון המונחים של מינהל התכנון, תוכנית מתאר ברמה הארצית עשויה לחול על כל שטח מדינת ישראל או על חלק ממנו. תמ"א עשויה לקבוע את מדיניות התכנון הארצית (לדוגמה תמ"א 35) או לעסוק בנושא ספציפי (לדוגמה, תמ"א 3 - תוכנית המתאר הארצית לדרכים). חלק קטן מתוכניות המתאר הארציות הן מפורטות וניתן להוציא מכוחן היתר בנייה (לדוגמה תמ"א 38), אך לרוב לא ניתן להוציא היתר ישירות מכוח תוכנית המתאר הארצית. חלק מהתמ"אות הן בגדר שינוי נקודתי או מפורט לקביעה בתמ"א אחרת. תוכנית מתאר ארצית נערכת ביוזמת המועצה הארצית לתכנון ולבנייה וטעונה אישור של הממשלה.</w:t>
      </w:r>
    </w:p>
  </w:footnote>
  <w:footnote w:id="33">
    <w:p w:rsidR="00151194" w:rsidP="00DC5B13">
      <w:pPr>
        <w:pStyle w:val="FootnoteText"/>
        <w:rPr>
          <w:rtl/>
        </w:rPr>
      </w:pPr>
      <w:r>
        <w:rPr>
          <w:rStyle w:val="FootnoteReference1"/>
        </w:rPr>
        <w:footnoteRef/>
      </w:r>
      <w:r>
        <w:rPr>
          <w:rtl/>
        </w:rPr>
        <w:t xml:space="preserve"> </w:t>
      </w:r>
      <w:r>
        <w:rPr>
          <w:rtl/>
        </w:rPr>
        <w:tab/>
        <w:t xml:space="preserve">לעניין יישום תמ"א 38 ברשויות המקומיות בפריפריה ראו: מבקר המדינה, </w:t>
      </w:r>
      <w:r>
        <w:rPr>
          <w:b/>
          <w:bCs/>
          <w:rtl/>
        </w:rPr>
        <w:t>מקבץ דוחות מיוחדים: היערכות הרשויות המקומיות לרעידות אדמה</w:t>
      </w:r>
      <w:r>
        <w:rPr>
          <w:rtl/>
        </w:rPr>
        <w:t xml:space="preserve"> (מרץ 2023).</w:t>
      </w:r>
    </w:p>
  </w:footnote>
  <w:footnote w:id="34">
    <w:p w:rsidR="00151194" w:rsidP="00DC5B13">
      <w:pPr>
        <w:pStyle w:val="FootnoteText"/>
      </w:pPr>
      <w:r>
        <w:rPr>
          <w:rStyle w:val="FootnoteReference1"/>
        </w:rPr>
        <w:footnoteRef/>
      </w:r>
      <w:r>
        <w:rPr>
          <w:rtl/>
        </w:rPr>
        <w:t xml:space="preserve"> </w:t>
      </w:r>
      <w:r>
        <w:rPr>
          <w:rtl/>
        </w:rPr>
        <w:tab/>
      </w:r>
      <w:r w:rsidRPr="000F4E99">
        <w:rPr>
          <w:rtl/>
        </w:rPr>
        <w:t>הוראות תוכנית מתאר ארצית לחיזוק מבנים קיימים בפני רעידות אדמה - תמ"א 38, דצמבר 2016</w:t>
      </w:r>
      <w:r>
        <w:rPr>
          <w:rtl/>
        </w:rPr>
        <w:t>.</w:t>
      </w:r>
    </w:p>
  </w:footnote>
  <w:footnote w:id="35">
    <w:p w:rsidR="00151194" w:rsidP="00DC5B13">
      <w:pPr>
        <w:pStyle w:val="FootnoteText"/>
      </w:pPr>
      <w:r>
        <w:rPr>
          <w:rStyle w:val="FootnoteReference1"/>
        </w:rPr>
        <w:footnoteRef/>
      </w:r>
      <w:r>
        <w:rPr>
          <w:rtl/>
        </w:rPr>
        <w:t xml:space="preserve"> </w:t>
      </w:r>
      <w:r>
        <w:rPr>
          <w:rtl/>
        </w:rPr>
        <w:tab/>
      </w:r>
      <w:r>
        <w:rPr>
          <w:rFonts w:hint="cs"/>
          <w:rtl/>
        </w:rPr>
        <w:t xml:space="preserve">בהחלטת הממשלה 875 מדצמבר 2021 </w:t>
      </w:r>
      <w:r>
        <w:rPr>
          <w:rtl/>
        </w:rPr>
        <w:t>נקבע כי שר הבינוי והשיכון ימנה ועדה בין</w:t>
      </w:r>
      <w:r>
        <w:rPr>
          <w:rFonts w:hint="cs"/>
          <w:rtl/>
        </w:rPr>
        <w:t>-</w:t>
      </w:r>
      <w:r>
        <w:rPr>
          <w:rtl/>
        </w:rPr>
        <w:t>משרדית</w:t>
      </w:r>
      <w:r>
        <w:rPr>
          <w:rFonts w:hint="cs"/>
          <w:rtl/>
        </w:rPr>
        <w:t xml:space="preserve"> </w:t>
      </w:r>
      <w:r>
        <w:rPr>
          <w:rtl/>
        </w:rPr>
        <w:t>לשם בחינה וגיבוש של המלצות בדבר הכלים הנדרשים לעידוד התחדשות עירונית</w:t>
      </w:r>
      <w:r>
        <w:rPr>
          <w:rFonts w:hint="cs"/>
          <w:rtl/>
        </w:rPr>
        <w:t xml:space="preserve"> </w:t>
      </w:r>
      <w:r>
        <w:rPr>
          <w:rtl/>
        </w:rPr>
        <w:t>במבנים המצויים ביישובי פריפריה</w:t>
      </w:r>
      <w:r>
        <w:rPr>
          <w:rFonts w:hint="cs"/>
          <w:rtl/>
        </w:rPr>
        <w:t>.</w:t>
      </w:r>
    </w:p>
  </w:footnote>
  <w:footnote w:id="36">
    <w:p w:rsidR="00151194" w:rsidP="00DC5B13">
      <w:pPr>
        <w:pStyle w:val="FootnoteText"/>
      </w:pPr>
      <w:r>
        <w:rPr>
          <w:rStyle w:val="FootnoteReference1"/>
        </w:rPr>
        <w:footnoteRef/>
      </w:r>
      <w:r>
        <w:rPr>
          <w:rtl/>
        </w:rPr>
        <w:t xml:space="preserve"> </w:t>
      </w:r>
      <w:r>
        <w:rPr>
          <w:rtl/>
        </w:rPr>
        <w:tab/>
      </w:r>
      <w:r w:rsidRPr="000F4E99">
        <w:rPr>
          <w:rFonts w:hint="cs"/>
          <w:rtl/>
        </w:rPr>
        <w:t>דו</w:t>
      </w:r>
      <w:r w:rsidRPr="000F4E99">
        <w:rPr>
          <w:rtl/>
        </w:rPr>
        <w:t>ח המלצות הוועדה</w:t>
      </w:r>
      <w:r w:rsidRPr="000F4E99">
        <w:rPr>
          <w:rFonts w:hint="cs"/>
          <w:rtl/>
        </w:rPr>
        <w:t xml:space="preserve"> </w:t>
      </w:r>
      <w:r w:rsidRPr="000F4E99">
        <w:rPr>
          <w:rtl/>
        </w:rPr>
        <w:t>הבין-משרדית לעידוד</w:t>
      </w:r>
      <w:r w:rsidRPr="000F4E99">
        <w:rPr>
          <w:rFonts w:hint="cs"/>
          <w:rtl/>
        </w:rPr>
        <w:t xml:space="preserve"> </w:t>
      </w:r>
      <w:r w:rsidRPr="000F4E99">
        <w:rPr>
          <w:rtl/>
        </w:rPr>
        <w:t>התחדשות עירונית</w:t>
      </w:r>
      <w:r w:rsidRPr="000F4E99">
        <w:rPr>
          <w:rFonts w:hint="cs"/>
          <w:rtl/>
        </w:rPr>
        <w:t xml:space="preserve"> </w:t>
      </w:r>
      <w:r w:rsidRPr="000F4E99">
        <w:rPr>
          <w:rtl/>
        </w:rPr>
        <w:t>בפריפריה</w:t>
      </w:r>
      <w:r w:rsidRPr="000F4E99">
        <w:rPr>
          <w:rFonts w:hint="cs"/>
          <w:rtl/>
        </w:rPr>
        <w:t>, ספטמבר 2022.</w:t>
      </w:r>
    </w:p>
  </w:footnote>
  <w:footnote w:id="37">
    <w:p w:rsidR="00151194" w:rsidP="00DC5B13">
      <w:pPr>
        <w:pStyle w:val="FootnoteText"/>
      </w:pPr>
      <w:r>
        <w:rPr>
          <w:rStyle w:val="FootnoteReference1"/>
        </w:rPr>
        <w:footnoteRef/>
      </w:r>
      <w:r>
        <w:rPr>
          <w:rtl/>
        </w:rPr>
        <w:t xml:space="preserve"> </w:t>
      </w:r>
      <w:r>
        <w:rPr>
          <w:rtl/>
        </w:rPr>
        <w:tab/>
      </w:r>
      <w:r>
        <w:rPr>
          <w:rFonts w:hint="cs"/>
          <w:rtl/>
        </w:rPr>
        <w:t>שם, עמ' 36.</w:t>
      </w:r>
    </w:p>
  </w:footnote>
  <w:footnote w:id="38">
    <w:p w:rsidR="00151194" w:rsidP="00DC5B13">
      <w:pPr>
        <w:pStyle w:val="FootnoteText"/>
      </w:pPr>
      <w:r>
        <w:rPr>
          <w:rStyle w:val="FootnoteReference1"/>
        </w:rPr>
        <w:footnoteRef/>
      </w:r>
      <w:r>
        <w:rPr>
          <w:rtl/>
        </w:rPr>
        <w:t xml:space="preserve"> </w:t>
      </w:r>
      <w:r>
        <w:rPr>
          <w:rtl/>
        </w:rPr>
        <w:tab/>
      </w:r>
      <w:r>
        <w:rPr>
          <w:rFonts w:hint="cs"/>
          <w:rtl/>
        </w:rPr>
        <w:t>מחוזות התכנון של משרד הפנים.</w:t>
      </w:r>
    </w:p>
  </w:footnote>
  <w:footnote w:id="39">
    <w:p w:rsidR="00151194" w:rsidP="00DC5B13">
      <w:pPr>
        <w:pStyle w:val="FootnoteText"/>
      </w:pPr>
      <w:r>
        <w:rPr>
          <w:rStyle w:val="FootnoteReference1"/>
        </w:rPr>
        <w:footnoteRef/>
      </w:r>
      <w:r>
        <w:rPr>
          <w:rtl/>
        </w:rPr>
        <w:t xml:space="preserve"> </w:t>
      </w:r>
      <w:r>
        <w:rPr>
          <w:rtl/>
        </w:rPr>
        <w:tab/>
      </w:r>
      <w:r w:rsidRPr="00247118">
        <w:rPr>
          <w:rFonts w:hint="eastAsia"/>
          <w:rtl/>
        </w:rPr>
        <w:t>ירושלים</w:t>
      </w:r>
      <w:r>
        <w:rPr>
          <w:rFonts w:hint="cs"/>
          <w:rtl/>
        </w:rPr>
        <w:t xml:space="preserve"> היא הרשות המקומית המובילה מבחינת מספר המיזמים לפינוי ובינוי המקודמים והמבוצעים בשטחה - 137 מיזמים. בתל אביב מקודמים ומבוצעים 71 מיזמים, ברמת גן - 59, בנתניה - 41 ובחיפה מקודמים ומבוצעים 38 מיזמים.</w:t>
      </w:r>
    </w:p>
  </w:footnote>
  <w:footnote w:id="40">
    <w:p w:rsidR="00151194" w:rsidP="00DC5B13">
      <w:pPr>
        <w:pStyle w:val="FootnoteText"/>
        <w:rPr>
          <w:rtl/>
        </w:rPr>
      </w:pPr>
      <w:r>
        <w:rPr>
          <w:rStyle w:val="FootnoteReference1"/>
        </w:rPr>
        <w:footnoteRef/>
      </w:r>
      <w:r>
        <w:rPr>
          <w:rtl/>
        </w:rPr>
        <w:t xml:space="preserve"> </w:t>
      </w:r>
      <w:r>
        <w:rPr>
          <w:rtl/>
        </w:rPr>
        <w:tab/>
      </w:r>
      <w:r>
        <w:rPr>
          <w:rFonts w:hint="cs"/>
          <w:rtl/>
        </w:rPr>
        <w:t>על פי מסמך הנלווה לתקן 21 ("רווח היזמי המזערי בתוכניות פינוי ובינוי"), הרווח ליזם עבור מיזם של פינוי ובינוי עומד על 14% בתל אביב-יפו, על 16% בגוש דן ובירושלים ועל 17% ביתר חלקי הארץ. שיעורים אלה מתבססים על תחשיבים הכוללים היטל השבחה.</w:t>
      </w:r>
    </w:p>
  </w:footnote>
  <w:footnote w:id="41">
    <w:p w:rsidR="00151194" w:rsidP="00DC5B13">
      <w:pPr>
        <w:pStyle w:val="FootnoteText"/>
      </w:pPr>
      <w:r>
        <w:rPr>
          <w:rStyle w:val="FootnoteReference1"/>
        </w:rPr>
        <w:footnoteRef/>
      </w:r>
      <w:r>
        <w:rPr>
          <w:rtl/>
        </w:rPr>
        <w:t xml:space="preserve"> </w:t>
      </w:r>
      <w:r>
        <w:rPr>
          <w:rtl/>
        </w:rPr>
        <w:tab/>
      </w:r>
      <w:r>
        <w:rPr>
          <w:rFonts w:hint="cs"/>
          <w:rtl/>
        </w:rPr>
        <w:t xml:space="preserve">פרופ' </w:t>
      </w:r>
      <w:r w:rsidR="00D82C9D">
        <w:rPr>
          <w:rFonts w:hint="cs"/>
          <w:rtl/>
        </w:rPr>
        <w:t xml:space="preserve">א' </w:t>
      </w:r>
      <w:r>
        <w:rPr>
          <w:rFonts w:hint="cs"/>
          <w:rtl/>
        </w:rPr>
        <w:t>קלר ואח', מפות תאוצה ספקטראלית לשימוש בת"י 413 גיליון תיקון 5, המכון הלאומי לחקר הבניה, הטכניון - מכון טכנולוגי לישראל והמכון הגיאופיסי לישראל, 2011.</w:t>
      </w:r>
    </w:p>
  </w:footnote>
  <w:footnote w:id="42">
    <w:p w:rsidR="00151194" w:rsidP="00DC5B13">
      <w:pPr>
        <w:pStyle w:val="FootnoteText"/>
        <w:rPr>
          <w:rtl/>
        </w:rPr>
      </w:pPr>
      <w:r>
        <w:rPr>
          <w:rStyle w:val="FootnoteReference1"/>
        </w:rPr>
        <w:footnoteRef/>
      </w:r>
      <w:r>
        <w:rPr>
          <w:rtl/>
        </w:rPr>
        <w:t xml:space="preserve"> </w:t>
      </w:r>
      <w:r>
        <w:rPr>
          <w:rtl/>
        </w:rPr>
        <w:tab/>
      </w:r>
      <w:r>
        <w:rPr>
          <w:rFonts w:hint="cs"/>
          <w:rtl/>
        </w:rPr>
        <w:t xml:space="preserve">עבור החישוב נבחרו ערכים המבטאים תרחיש של תנודות קרקע חשופה במהירות 760 מטרים בשנייה במחזור של 0.2 שניות (ראו: פרופ' </w:t>
      </w:r>
      <w:r w:rsidR="00AE0DA2">
        <w:rPr>
          <w:rFonts w:hint="cs"/>
          <w:rtl/>
        </w:rPr>
        <w:t xml:space="preserve">א' </w:t>
      </w:r>
      <w:r>
        <w:rPr>
          <w:rFonts w:hint="cs"/>
          <w:rtl/>
        </w:rPr>
        <w:t>קלר ואח', מפות תאוצה ספקטראלית לשימוש בת"י 413 גיליון תיקון 5, עמ' 10).</w:t>
      </w:r>
    </w:p>
  </w:footnote>
  <w:footnote w:id="43">
    <w:p w:rsidR="00151194" w:rsidP="00DC5B13">
      <w:pPr>
        <w:pStyle w:val="FootnoteText"/>
      </w:pPr>
      <w:r>
        <w:rPr>
          <w:rStyle w:val="FootnoteReference1"/>
        </w:rPr>
        <w:footnoteRef/>
      </w:r>
      <w:r>
        <w:rPr>
          <w:rtl/>
        </w:rPr>
        <w:t xml:space="preserve"> </w:t>
      </w:r>
      <w:r>
        <w:rPr>
          <w:rtl/>
        </w:rPr>
        <w:tab/>
      </w:r>
      <w:r>
        <w:rPr>
          <w:rFonts w:hint="cs"/>
          <w:rtl/>
        </w:rPr>
        <w:t xml:space="preserve">רשויות אלה כוללות את העיריות אילת, בית שאן, טבריה, צפת </w:t>
      </w:r>
      <w:r w:rsidRPr="00023BAC">
        <w:rPr>
          <w:rFonts w:hint="cs"/>
          <w:rtl/>
        </w:rPr>
        <w:t>ו</w:t>
      </w:r>
      <w:r w:rsidRPr="00546B94">
        <w:rPr>
          <w:rFonts w:hint="eastAsia"/>
          <w:rtl/>
        </w:rPr>
        <w:t>קריית</w:t>
      </w:r>
      <w:r w:rsidRPr="00546B94">
        <w:rPr>
          <w:rtl/>
        </w:rPr>
        <w:t xml:space="preserve"> </w:t>
      </w:r>
      <w:r w:rsidRPr="00546B94">
        <w:rPr>
          <w:rFonts w:hint="eastAsia"/>
          <w:rtl/>
        </w:rPr>
        <w:t>שמונה</w:t>
      </w:r>
      <w:r>
        <w:rPr>
          <w:rFonts w:hint="cs"/>
          <w:rtl/>
        </w:rPr>
        <w:t xml:space="preserve"> ואת המועצה המקומית חצור הגלילית. נכון למועד סיום הביקורת התגוררו ברשויות אלה כ-191,000 תושבים וקודמו בהן 31 מיזמי התחדשות עירונית.</w:t>
      </w:r>
    </w:p>
  </w:footnote>
  <w:footnote w:id="44">
    <w:p w:rsidR="00151194" w:rsidP="00DC5B13">
      <w:pPr>
        <w:pStyle w:val="FootnoteText"/>
      </w:pPr>
      <w:r>
        <w:rPr>
          <w:rStyle w:val="FootnoteReference1"/>
        </w:rPr>
        <w:footnoteRef/>
      </w:r>
      <w:r>
        <w:rPr>
          <w:rtl/>
        </w:rPr>
        <w:t xml:space="preserve"> </w:t>
      </w:r>
      <w:r>
        <w:rPr>
          <w:rtl/>
        </w:rPr>
        <w:tab/>
        <w:t xml:space="preserve">מבקר המדינה, </w:t>
      </w:r>
      <w:r>
        <w:rPr>
          <w:b/>
          <w:bCs/>
          <w:rtl/>
        </w:rPr>
        <w:t>מקבץ דוחות מיוחדים: היערכות הרשויות המקומיות לרעידות אדמה</w:t>
      </w:r>
      <w:r>
        <w:rPr>
          <w:rtl/>
        </w:rPr>
        <w:t xml:space="preserve"> (מרץ 2023).</w:t>
      </w:r>
    </w:p>
  </w:footnote>
  <w:footnote w:id="45">
    <w:p w:rsidR="00151194" w:rsidP="00DC5B13">
      <w:pPr>
        <w:pStyle w:val="FootnoteText"/>
        <w:rPr>
          <w:rtl/>
        </w:rPr>
      </w:pPr>
      <w:r>
        <w:rPr>
          <w:rStyle w:val="FootnoteReference1"/>
        </w:rPr>
        <w:footnoteRef/>
      </w:r>
      <w:r>
        <w:rPr>
          <w:rtl/>
        </w:rPr>
        <w:t xml:space="preserve"> </w:t>
      </w:r>
      <w:r>
        <w:rPr>
          <w:rtl/>
        </w:rPr>
        <w:tab/>
      </w:r>
      <w:r>
        <w:rPr>
          <w:rFonts w:hint="cs"/>
          <w:rtl/>
        </w:rPr>
        <w:t>שם, עמ' 21.</w:t>
      </w:r>
    </w:p>
  </w:footnote>
  <w:footnote w:id="46">
    <w:p w:rsidR="00151194" w:rsidP="00DC5B13">
      <w:pPr>
        <w:pStyle w:val="FootnoteText"/>
      </w:pPr>
      <w:r>
        <w:rPr>
          <w:rStyle w:val="FootnoteReference1"/>
        </w:rPr>
        <w:footnoteRef/>
      </w:r>
      <w:r>
        <w:rPr>
          <w:rtl/>
        </w:rPr>
        <w:t xml:space="preserve"> </w:t>
      </w:r>
      <w:r>
        <w:rPr>
          <w:rtl/>
        </w:rPr>
        <w:tab/>
      </w:r>
      <w:r>
        <w:rPr>
          <w:rFonts w:hint="cs"/>
          <w:rtl/>
        </w:rPr>
        <w:t xml:space="preserve">על פי </w:t>
      </w:r>
      <w:r w:rsidRPr="000F4E99">
        <w:rPr>
          <w:rFonts w:hint="cs"/>
          <w:rtl/>
        </w:rPr>
        <w:t>נתוני</w:t>
      </w:r>
      <w:r>
        <w:rPr>
          <w:rFonts w:hint="cs"/>
          <w:rtl/>
        </w:rPr>
        <w:t xml:space="preserve"> הרשות להתחדשות. בתחום שיפוטה של עיריית אילת מקודמים שמונה מיזמי התחדשות עירונית ובהם מוצעות כ-2,900 יח"ד, אך גם להן טרם הוצאו היתרי בנייה.</w:t>
      </w:r>
    </w:p>
  </w:footnote>
  <w:footnote w:id="47">
    <w:p w:rsidR="00151194" w:rsidP="00DC5B13">
      <w:pPr>
        <w:pStyle w:val="FootnoteText"/>
        <w:rPr>
          <w:rtl/>
        </w:rPr>
      </w:pPr>
      <w:r>
        <w:rPr>
          <w:rStyle w:val="FootnoteReference1"/>
        </w:rPr>
        <w:footnoteRef/>
      </w:r>
      <w:r>
        <w:rPr>
          <w:rtl/>
        </w:rPr>
        <w:t xml:space="preserve"> </w:t>
      </w:r>
      <w:r>
        <w:rPr>
          <w:rtl/>
        </w:rPr>
        <w:tab/>
      </w:r>
      <w:r>
        <w:rPr>
          <w:rFonts w:hint="cs"/>
          <w:rtl/>
        </w:rPr>
        <w:t xml:space="preserve">ראו: אביתר כהן, "שלטון הרוב: מבט השוואתי", </w:t>
      </w:r>
      <w:r w:rsidRPr="002A75F9">
        <w:rPr>
          <w:rFonts w:hint="eastAsia"/>
          <w:b/>
          <w:bCs/>
          <w:rtl/>
        </w:rPr>
        <w:t>רשות</w:t>
      </w:r>
      <w:r w:rsidRPr="002A75F9">
        <w:rPr>
          <w:b/>
          <w:bCs/>
          <w:rtl/>
        </w:rPr>
        <w:t xml:space="preserve"> </w:t>
      </w:r>
      <w:r w:rsidRPr="002A75F9">
        <w:rPr>
          <w:rFonts w:hint="eastAsia"/>
          <w:b/>
          <w:bCs/>
          <w:rtl/>
        </w:rPr>
        <w:t>הרבים</w:t>
      </w:r>
      <w:r w:rsidRPr="002A75F9">
        <w:rPr>
          <w:b/>
          <w:bCs/>
          <w:rtl/>
        </w:rPr>
        <w:t xml:space="preserve">: כתב העת של הפורום הישראלי למשפט </w:t>
      </w:r>
      <w:r w:rsidRPr="002A75F9">
        <w:rPr>
          <w:rFonts w:hint="eastAsia"/>
          <w:b/>
          <w:bCs/>
          <w:rtl/>
        </w:rPr>
        <w:t>וחירות</w:t>
      </w:r>
      <w:r>
        <w:rPr>
          <w:rFonts w:hint="cs"/>
          <w:rtl/>
        </w:rPr>
        <w:t xml:space="preserve"> (2023), פורסם </w:t>
      </w:r>
      <w:r w:rsidRPr="000F4E99">
        <w:rPr>
          <w:rFonts w:hint="cs"/>
          <w:rtl/>
        </w:rPr>
        <w:t>באתר</w:t>
      </w:r>
      <w:r>
        <w:rPr>
          <w:rFonts w:hint="cs"/>
          <w:rtl/>
        </w:rPr>
        <w:t xml:space="preserve"> המרשתת של כתב העת. </w:t>
      </w:r>
    </w:p>
  </w:footnote>
  <w:footnote w:id="48">
    <w:p w:rsidR="00151194" w:rsidP="00DC5B13">
      <w:pPr>
        <w:pStyle w:val="FootnoteText"/>
        <w:rPr>
          <w:rtl/>
        </w:rPr>
      </w:pPr>
      <w:r w:rsidRPr="00FB2AD8">
        <w:rPr>
          <w:rStyle w:val="FootnoteReference1"/>
        </w:rPr>
        <w:footnoteRef/>
      </w:r>
      <w:r w:rsidRPr="00FB2AD8">
        <w:rPr>
          <w:rtl/>
        </w:rPr>
        <w:t xml:space="preserve"> </w:t>
      </w:r>
      <w:r w:rsidRPr="00FB2AD8">
        <w:rPr>
          <w:rtl/>
        </w:rPr>
        <w:tab/>
      </w:r>
      <w:r w:rsidRPr="000F4E99">
        <w:rPr>
          <w:rFonts w:hint="cs"/>
          <w:rtl/>
        </w:rPr>
        <w:t>ראו</w:t>
      </w:r>
      <w:r w:rsidRPr="00FB2AD8">
        <w:rPr>
          <w:rFonts w:hint="cs"/>
          <w:rtl/>
        </w:rPr>
        <w:t xml:space="preserve">: </w:t>
      </w:r>
      <w:r w:rsidRPr="00FB2AD8">
        <w:t xml:space="preserve">L. </w:t>
      </w:r>
      <w:r w:rsidRPr="00FB2AD8">
        <w:rPr>
          <w:rFonts w:hint="cs"/>
        </w:rPr>
        <w:t>Y</w:t>
      </w:r>
      <w:r w:rsidRPr="00FB2AD8">
        <w:t xml:space="preserve">iyang, “Research on the Strategy of Urban Renewal and Transformation in the UK Based on Sustainable Development”, </w:t>
      </w:r>
      <w:r w:rsidRPr="00FB2AD8">
        <w:rPr>
          <w:i/>
          <w:iCs/>
        </w:rPr>
        <w:t>Lecture Notes in Education Arts Management and Social Science</w:t>
      </w:r>
      <w:r w:rsidRPr="00FB2AD8">
        <w:t xml:space="preserve"> 3(4) (2025), pp. 199-203.</w:t>
      </w:r>
      <w:r>
        <w:t xml:space="preserve"> </w:t>
      </w:r>
    </w:p>
  </w:footnote>
  <w:footnote w:id="49">
    <w:p w:rsidR="00151194" w:rsidP="00DC5B13">
      <w:pPr>
        <w:pStyle w:val="FootnoteText"/>
      </w:pPr>
      <w:r>
        <w:rPr>
          <w:rStyle w:val="FootnoteReference1"/>
        </w:rPr>
        <w:footnoteRef/>
      </w:r>
      <w:r>
        <w:rPr>
          <w:rtl/>
        </w:rPr>
        <w:t xml:space="preserve"> </w:t>
      </w:r>
      <w:r>
        <w:rPr>
          <w:rtl/>
        </w:rPr>
        <w:tab/>
      </w:r>
      <w:r>
        <w:t xml:space="preserve">S. </w:t>
      </w:r>
      <w:r>
        <w:rPr>
          <w:rFonts w:hint="cs"/>
        </w:rPr>
        <w:t>G</w:t>
      </w:r>
      <w:r>
        <w:t>ibbons, H. Overman and M. Sarvim</w:t>
      </w:r>
      <w:r w:rsidRPr="00DF39C7">
        <w:t>ä</w:t>
      </w:r>
      <w:r>
        <w:t>ki, “</w:t>
      </w:r>
      <w:r w:rsidRPr="008463E5">
        <w:t xml:space="preserve">The local </w:t>
      </w:r>
      <w:r>
        <w:t>E</w:t>
      </w:r>
      <w:r w:rsidRPr="008463E5">
        <w:t xml:space="preserve">conomic </w:t>
      </w:r>
      <w:r>
        <w:t>I</w:t>
      </w:r>
      <w:r w:rsidRPr="008463E5">
        <w:t xml:space="preserve">mpacts of </w:t>
      </w:r>
      <w:r>
        <w:t>R</w:t>
      </w:r>
      <w:r w:rsidRPr="008463E5">
        <w:t xml:space="preserve">egeneration </w:t>
      </w:r>
      <w:r>
        <w:t>P</w:t>
      </w:r>
      <w:r w:rsidRPr="008463E5">
        <w:t xml:space="preserve">rojects: Evidence from UK’s </w:t>
      </w:r>
      <w:r>
        <w:t>S</w:t>
      </w:r>
      <w:r w:rsidRPr="008463E5">
        <w:t xml:space="preserve">ingle </w:t>
      </w:r>
      <w:r>
        <w:t>R</w:t>
      </w:r>
      <w:r w:rsidRPr="008463E5">
        <w:t xml:space="preserve">egeneration </w:t>
      </w:r>
      <w:r>
        <w:t>B</w:t>
      </w:r>
      <w:r w:rsidRPr="008463E5">
        <w:t>udget</w:t>
      </w:r>
      <w:r>
        <w:t>”</w:t>
      </w:r>
      <w:r w:rsidRPr="00032454">
        <w:t>,</w:t>
      </w:r>
      <w:r>
        <w:t xml:space="preserve"> </w:t>
      </w:r>
      <w:r w:rsidRPr="008463E5">
        <w:rPr>
          <w:i/>
          <w:iCs/>
        </w:rPr>
        <w:t>Journal of Urban Economics,</w:t>
      </w:r>
      <w:r>
        <w:t xml:space="preserve"> 122 (2021). </w:t>
      </w:r>
    </w:p>
  </w:footnote>
  <w:footnote w:id="50">
    <w:p w:rsidR="00151194" w:rsidP="00DC5B13">
      <w:pPr>
        <w:pStyle w:val="FootnoteText"/>
        <w:rPr>
          <w:rtl/>
        </w:rPr>
      </w:pPr>
      <w:r>
        <w:rPr>
          <w:rStyle w:val="FootnoteReference1"/>
        </w:rPr>
        <w:footnoteRef/>
      </w:r>
      <w:r>
        <w:rPr>
          <w:rtl/>
        </w:rPr>
        <w:t xml:space="preserve"> </w:t>
      </w:r>
      <w:r>
        <w:rPr>
          <w:rtl/>
        </w:rPr>
        <w:tab/>
      </w:r>
      <w:r>
        <w:rPr>
          <w:rFonts w:hint="cs"/>
          <w:rtl/>
        </w:rPr>
        <w:t>ריאיון עם פרופ' הנרי אוברמן (</w:t>
      </w:r>
      <w:r>
        <w:t>Henry Overman</w:t>
      </w:r>
      <w:r>
        <w:rPr>
          <w:rFonts w:hint="cs"/>
          <w:rtl/>
        </w:rPr>
        <w:t xml:space="preserve">) באתר המרשתת של </w:t>
      </w:r>
      <w:r>
        <w:t>The London School of Economics</w:t>
      </w:r>
      <w:r>
        <w:rPr>
          <w:rFonts w:hint="cs"/>
          <w:rtl/>
        </w:rPr>
        <w:t xml:space="preserve">. </w:t>
      </w:r>
    </w:p>
  </w:footnote>
  <w:footnote w:id="51">
    <w:p w:rsidR="00151194" w:rsidRPr="00BE0E8F" w:rsidP="00DC5B13">
      <w:pPr>
        <w:pStyle w:val="FootnoteText"/>
      </w:pPr>
      <w:r w:rsidRPr="00BE0E8F">
        <w:rPr>
          <w:rStyle w:val="FootnoteReference1"/>
        </w:rPr>
        <w:footnoteRef/>
      </w:r>
      <w:r w:rsidRPr="00BE0E8F">
        <w:rPr>
          <w:rtl/>
        </w:rPr>
        <w:t xml:space="preserve"> </w:t>
      </w:r>
      <w:r w:rsidRPr="00BE0E8F">
        <w:rPr>
          <w:rtl/>
        </w:rPr>
        <w:tab/>
      </w:r>
      <w:r w:rsidRPr="000F4E99">
        <w:rPr>
          <w:rtl/>
        </w:rPr>
        <w:t>אתר</w:t>
      </w:r>
      <w:r w:rsidRPr="00BE0E8F">
        <w:rPr>
          <w:rtl/>
        </w:rPr>
        <w:t xml:space="preserve"> המרשתת </w:t>
      </w:r>
      <w:r w:rsidRPr="00BE0E8F">
        <w:t>Legislation.gov.uk</w:t>
      </w:r>
      <w:r w:rsidRPr="00BE0E8F">
        <w:rPr>
          <w:rFonts w:hint="cs"/>
          <w:rtl/>
        </w:rPr>
        <w:t>.</w:t>
      </w:r>
    </w:p>
  </w:footnote>
  <w:footnote w:id="52">
    <w:p w:rsidR="00151194" w:rsidP="00DC5B13">
      <w:pPr>
        <w:pStyle w:val="FootnoteText"/>
        <w:rPr>
          <w:rtl/>
        </w:rPr>
      </w:pPr>
      <w:r>
        <w:rPr>
          <w:rStyle w:val="FootnoteReference1"/>
        </w:rPr>
        <w:footnoteRef/>
      </w:r>
      <w:r>
        <w:rPr>
          <w:rtl/>
        </w:rPr>
        <w:t xml:space="preserve"> </w:t>
      </w:r>
      <w:r>
        <w:rPr>
          <w:rtl/>
        </w:rPr>
        <w:tab/>
      </w:r>
      <w:r>
        <w:rPr>
          <w:rFonts w:hint="cs"/>
          <w:rtl/>
        </w:rPr>
        <w:t xml:space="preserve">המדיניות פורסמה בתחילה </w:t>
      </w:r>
      <w:r w:rsidRPr="000F4E99">
        <w:rPr>
          <w:rFonts w:hint="cs"/>
          <w:rtl/>
        </w:rPr>
        <w:t>כהצעת חוק</w:t>
      </w:r>
      <w:r>
        <w:rPr>
          <w:rFonts w:hint="cs"/>
          <w:rtl/>
        </w:rPr>
        <w:t xml:space="preserve"> ב-2022 (</w:t>
      </w:r>
      <w:r>
        <w:t xml:space="preserve">Levelling </w:t>
      </w:r>
      <w:r>
        <w:rPr>
          <w:rFonts w:hint="cs"/>
        </w:rPr>
        <w:t>U</w:t>
      </w:r>
      <w:r>
        <w:t>p and Regeneration Bill</w:t>
      </w:r>
      <w:r>
        <w:rPr>
          <w:rFonts w:hint="cs"/>
          <w:rtl/>
        </w:rPr>
        <w:t>). הצעת החוק כללה דברי הסבר מפורטים על נושאים רבים הנוגעים להתחדשות עירונית.</w:t>
      </w:r>
    </w:p>
  </w:footnote>
  <w:footnote w:id="53">
    <w:p w:rsidR="00151194" w:rsidRPr="00812808" w:rsidP="00DC5B13">
      <w:pPr>
        <w:pStyle w:val="FootnoteText"/>
      </w:pPr>
      <w:r>
        <w:rPr>
          <w:rStyle w:val="FootnoteReference1"/>
        </w:rPr>
        <w:footnoteRef/>
      </w:r>
      <w:r>
        <w:rPr>
          <w:rtl/>
        </w:rPr>
        <w:t xml:space="preserve"> </w:t>
      </w:r>
      <w:r>
        <w:rPr>
          <w:rtl/>
        </w:rPr>
        <w:tab/>
      </w:r>
      <w:r w:rsidRPr="000F4E99">
        <w:rPr>
          <w:rtl/>
        </w:rPr>
        <w:t>אתר</w:t>
      </w:r>
      <w:r w:rsidRPr="00344D82">
        <w:rPr>
          <w:rtl/>
        </w:rPr>
        <w:t xml:space="preserve"> המרשתת </w:t>
      </w:r>
      <w:r w:rsidRPr="00344D82">
        <w:t>Legislation.gov.uk</w:t>
      </w:r>
      <w:r>
        <w:rPr>
          <w:rFonts w:hint="cs"/>
          <w:rtl/>
        </w:rPr>
        <w:t>.</w:t>
      </w:r>
    </w:p>
  </w:footnote>
  <w:footnote w:id="54">
    <w:p w:rsidR="00151194" w:rsidP="00DC5B13">
      <w:pPr>
        <w:pStyle w:val="FootnoteText"/>
        <w:rPr>
          <w:rtl/>
        </w:rPr>
      </w:pPr>
      <w:r>
        <w:rPr>
          <w:rStyle w:val="FootnoteReference1"/>
        </w:rPr>
        <w:footnoteRef/>
      </w:r>
      <w:r>
        <w:rPr>
          <w:rtl/>
        </w:rPr>
        <w:t xml:space="preserve"> </w:t>
      </w:r>
      <w:r>
        <w:rPr>
          <w:rtl/>
        </w:rPr>
        <w:tab/>
      </w:r>
      <w:r>
        <w:rPr>
          <w:rFonts w:hint="cs"/>
          <w:rtl/>
        </w:rPr>
        <w:t xml:space="preserve">מדיניות התכנון הלאומית של בריטניה: </w:t>
      </w:r>
      <w:r>
        <w:t>Ministry of Housing, Communities &amp; Local Government, National Planning Policy Framework (2024), sec. 236</w:t>
      </w:r>
      <w:r>
        <w:rPr>
          <w:rtl/>
        </w:rPr>
        <w:t xml:space="preserve"> </w:t>
      </w:r>
    </w:p>
  </w:footnote>
  <w:footnote w:id="55">
    <w:p w:rsidR="00151194" w:rsidP="00DC5B13">
      <w:pPr>
        <w:pStyle w:val="FootnoteText"/>
        <w:rPr>
          <w:rtl/>
        </w:rPr>
      </w:pPr>
      <w:r>
        <w:rPr>
          <w:rStyle w:val="FootnoteReference1"/>
        </w:rPr>
        <w:footnoteRef/>
      </w:r>
      <w:r>
        <w:rPr>
          <w:rtl/>
        </w:rPr>
        <w:t xml:space="preserve"> </w:t>
      </w:r>
      <w:r>
        <w:rPr>
          <w:rtl/>
        </w:rPr>
        <w:tab/>
      </w:r>
      <w:r>
        <w:t>R. Ogden-Jones, “</w:t>
      </w:r>
      <w:r w:rsidRPr="00035E5B">
        <w:t>Policies, Places and Practices: Why Environmental Law Scholars Should Care About the Levelling-Up and Regeneration Act 2023</w:t>
      </w:r>
      <w:r>
        <w:t>”</w:t>
      </w:r>
      <w:r w:rsidRPr="00035E5B">
        <w:t>,</w:t>
      </w:r>
      <w:r w:rsidRPr="002A799B">
        <w:rPr>
          <w:b/>
          <w:bCs/>
        </w:rPr>
        <w:t xml:space="preserve"> </w:t>
      </w:r>
      <w:r w:rsidRPr="00035E5B">
        <w:rPr>
          <w:i/>
          <w:iCs/>
        </w:rPr>
        <w:t>Journal of Environmental Law</w:t>
      </w:r>
      <w:r w:rsidRPr="000D49C2">
        <w:t>,</w:t>
      </w:r>
      <w:r>
        <w:t xml:space="preserve"> 36 (2024), pp.</w:t>
      </w:r>
      <w:r w:rsidRPr="000D49C2">
        <w:t xml:space="preserve"> 445</w:t>
      </w:r>
      <w:r>
        <w:t>-</w:t>
      </w:r>
      <w:r w:rsidRPr="000D49C2">
        <w:t>452</w:t>
      </w:r>
      <w:r>
        <w:t xml:space="preserve">. </w:t>
      </w:r>
    </w:p>
  </w:footnote>
  <w:footnote w:id="56">
    <w:p w:rsidR="00151194" w:rsidRPr="008903B3" w:rsidP="00DC5B13">
      <w:pPr>
        <w:pStyle w:val="FootnoteText"/>
        <w:rPr>
          <w:rtl/>
        </w:rPr>
      </w:pPr>
      <w:r>
        <w:rPr>
          <w:rStyle w:val="FootnoteReference1"/>
        </w:rPr>
        <w:footnoteRef/>
      </w:r>
      <w:r>
        <w:rPr>
          <w:rtl/>
        </w:rPr>
        <w:t xml:space="preserve"> </w:t>
      </w:r>
      <w:r>
        <w:rPr>
          <w:rtl/>
        </w:rPr>
        <w:tab/>
      </w:r>
      <w:r>
        <w:t xml:space="preserve">J. </w:t>
      </w:r>
      <w:r>
        <w:rPr>
          <w:rFonts w:hint="cs"/>
        </w:rPr>
        <w:t>C</w:t>
      </w:r>
      <w:r>
        <w:t>laassens, E. Koomen and J. Rouwendal,</w:t>
      </w:r>
      <w:r w:rsidRPr="008903B3">
        <w:rPr>
          <w:b/>
          <w:bCs/>
        </w:rPr>
        <w:t xml:space="preserve"> </w:t>
      </w:r>
      <w:r w:rsidRPr="00035E5B">
        <w:t>“Urban Density and Spatial Planning: The Unforeseen Impacts of Dutch Devolution”</w:t>
      </w:r>
      <w:r w:rsidRPr="004C0A43">
        <w:t>,</w:t>
      </w:r>
      <w:r>
        <w:t xml:space="preserve"> </w:t>
      </w:r>
      <w:r w:rsidRPr="00035E5B">
        <w:rPr>
          <w:i/>
          <w:iCs/>
        </w:rPr>
        <w:t>PLOS ONE</w:t>
      </w:r>
      <w:r>
        <w:t xml:space="preserve"> (2020), p. 1.</w:t>
      </w:r>
      <w:r>
        <w:rPr>
          <w:rtl/>
        </w:rPr>
        <w:t xml:space="preserve"> </w:t>
      </w:r>
    </w:p>
  </w:footnote>
  <w:footnote w:id="57">
    <w:p w:rsidR="00151194" w:rsidRPr="00BD24B4" w:rsidP="00DC5B13">
      <w:pPr>
        <w:pStyle w:val="FootnoteText"/>
        <w:rPr>
          <w:rtl/>
        </w:rPr>
      </w:pPr>
      <w:r>
        <w:rPr>
          <w:rStyle w:val="FootnoteReference1"/>
        </w:rPr>
        <w:footnoteRef/>
      </w:r>
      <w:r>
        <w:rPr>
          <w:rtl/>
        </w:rPr>
        <w:t xml:space="preserve"> </w:t>
      </w:r>
      <w:r>
        <w:rPr>
          <w:rtl/>
        </w:rPr>
        <w:tab/>
      </w:r>
      <w:bookmarkStart w:id="22" w:name="_Hlk217636423"/>
      <w:r>
        <w:t>S. Musterd and W. Ostendorf,</w:t>
      </w:r>
      <w:r w:rsidRPr="00BD24B4">
        <w:t xml:space="preserve"> </w:t>
      </w:r>
      <w:r w:rsidRPr="004C0A43">
        <w:t>“</w:t>
      </w:r>
      <w:bookmarkStart w:id="23" w:name="_Hlk217636514"/>
      <w:r w:rsidRPr="000F4E99">
        <w:t>Urban Renewal Policies</w:t>
      </w:r>
      <w:bookmarkEnd w:id="23"/>
      <w:r w:rsidRPr="007C40D1">
        <w:t xml:space="preserve"> in the Netherlands in an Era of Changing Welfare Regimes”</w:t>
      </w:r>
      <w:r w:rsidRPr="004C0A43">
        <w:t>,</w:t>
      </w:r>
      <w:r>
        <w:t xml:space="preserve"> </w:t>
      </w:r>
      <w:r w:rsidRPr="007C40D1">
        <w:rPr>
          <w:i/>
          <w:iCs/>
        </w:rPr>
        <w:t>Urban Research &amp; Practice</w:t>
      </w:r>
      <w:r>
        <w:t xml:space="preserve"> 16(1) (2023), pp. 92-108.</w:t>
      </w:r>
    </w:p>
    <w:bookmarkEnd w:id="22"/>
  </w:footnote>
  <w:footnote w:id="58">
    <w:p w:rsidR="00151194" w:rsidP="00DC5B13">
      <w:pPr>
        <w:pStyle w:val="FootnoteText"/>
      </w:pPr>
      <w:r>
        <w:rPr>
          <w:rStyle w:val="FootnoteReference1"/>
        </w:rPr>
        <w:footnoteRef/>
      </w:r>
      <w:r>
        <w:rPr>
          <w:rtl/>
        </w:rPr>
        <w:t xml:space="preserve"> </w:t>
      </w:r>
      <w:r>
        <w:rPr>
          <w:rtl/>
        </w:rPr>
        <w:tab/>
      </w:r>
      <w:r>
        <w:rPr>
          <w:rFonts w:hint="cs"/>
          <w:rtl/>
        </w:rPr>
        <w:t>מדיניות זו כונתה</w:t>
      </w:r>
      <w:r>
        <w:t xml:space="preserve"> Big Cities Policy </w:t>
      </w:r>
      <w:r>
        <w:rPr>
          <w:rFonts w:hint="cs"/>
          <w:rtl/>
        </w:rPr>
        <w:t xml:space="preserve">או </w:t>
      </w:r>
      <w:r>
        <w:t>III</w:t>
      </w:r>
      <w:r>
        <w:rPr>
          <w:rFonts w:hint="cs"/>
          <w:rtl/>
        </w:rPr>
        <w:t xml:space="preserve"> </w:t>
      </w:r>
      <w:r>
        <w:rPr>
          <w:rFonts w:hint="cs"/>
        </w:rPr>
        <w:t>GSB</w:t>
      </w:r>
      <w:r>
        <w:rPr>
          <w:rFonts w:hint="cs"/>
          <w:rtl/>
        </w:rPr>
        <w:t xml:space="preserve"> בהולנדית. מטרות המדיניות התעדכנו בהדרגה עד שהמדיניות כולה הוחלפה במדיניות ליברלית מ-2010 ואילך.</w:t>
      </w:r>
    </w:p>
  </w:footnote>
  <w:footnote w:id="59">
    <w:p w:rsidR="00151194" w:rsidP="00DC5B13">
      <w:pPr>
        <w:pStyle w:val="FootnoteText"/>
        <w:rPr>
          <w:rtl/>
        </w:rPr>
      </w:pPr>
      <w:r>
        <w:rPr>
          <w:rStyle w:val="FootnoteReference1"/>
        </w:rPr>
        <w:footnoteRef/>
      </w:r>
      <w:r>
        <w:rPr>
          <w:rtl/>
        </w:rPr>
        <w:t xml:space="preserve"> </w:t>
      </w:r>
      <w:r>
        <w:rPr>
          <w:rtl/>
        </w:rPr>
        <w:tab/>
      </w:r>
      <w:bookmarkStart w:id="24" w:name="_Hlk217636595"/>
      <w:r>
        <w:t xml:space="preserve">M. Reimer, P. Getimis and H. Blotevogel (Eds.), </w:t>
      </w:r>
      <w:r w:rsidRPr="007C40D1">
        <w:rPr>
          <w:i/>
          <w:iCs/>
        </w:rPr>
        <w:t>Spatial Planning Systems and Practices in Europe</w:t>
      </w:r>
      <w:r>
        <w:rPr>
          <w:i/>
          <w:iCs/>
        </w:rPr>
        <w:t>,</w:t>
      </w:r>
      <w:r>
        <w:t xml:space="preserve"> Routledge, 2014, p. 61.</w:t>
      </w:r>
    </w:p>
    <w:bookmarkEnd w:id="24"/>
  </w:footnote>
  <w:footnote w:id="60">
    <w:p w:rsidR="00151194" w:rsidP="00DC5B13">
      <w:pPr>
        <w:pStyle w:val="FootnoteText"/>
        <w:rPr>
          <w:rtl/>
        </w:rPr>
      </w:pPr>
      <w:r w:rsidRPr="00CE26FA">
        <w:rPr>
          <w:rStyle w:val="FootnoteReference1"/>
        </w:rPr>
        <w:footnoteRef/>
      </w:r>
      <w:r w:rsidRPr="00CE26FA">
        <w:tab/>
      </w:r>
      <w:r w:rsidRPr="00CE26FA">
        <w:rPr>
          <w:rFonts w:hint="cs"/>
          <w:rtl/>
        </w:rPr>
        <w:t>שם.</w:t>
      </w:r>
    </w:p>
  </w:footnote>
  <w:footnote w:id="61">
    <w:p w:rsidR="00151194" w:rsidRPr="009B30B4" w:rsidP="00DC5B13">
      <w:pPr>
        <w:pStyle w:val="FootnoteText"/>
        <w:rPr>
          <w:rtl/>
        </w:rPr>
      </w:pPr>
      <w:r>
        <w:rPr>
          <w:rStyle w:val="FootnoteReference1"/>
        </w:rPr>
        <w:footnoteRef/>
      </w:r>
      <w:r>
        <w:rPr>
          <w:rtl/>
        </w:rPr>
        <w:t xml:space="preserve"> </w:t>
      </w:r>
      <w:r>
        <w:rPr>
          <w:rtl/>
        </w:rPr>
        <w:tab/>
      </w:r>
      <w:r w:rsidRPr="004C0A43">
        <w:t>S. Musterd and W. Ostendorf, “</w:t>
      </w:r>
      <w:r w:rsidRPr="000F4E99">
        <w:t>Urban Renewal Policies</w:t>
      </w:r>
      <w:r w:rsidRPr="004C0A43">
        <w:t xml:space="preserve"> in the Netherlands in an Era of Changing Welfare Regimes”, </w:t>
      </w:r>
      <w:r w:rsidRPr="007C40D1">
        <w:rPr>
          <w:i/>
          <w:iCs/>
        </w:rPr>
        <w:t>Urban Research &amp; Practice</w:t>
      </w:r>
      <w:r w:rsidRPr="004C0A43">
        <w:t>, 16(1) (2023), pp. 92-108.</w:t>
      </w:r>
    </w:p>
  </w:footnote>
  <w:footnote w:id="62">
    <w:p w:rsidR="00151194" w:rsidP="00DC5B13">
      <w:pPr>
        <w:pStyle w:val="FootnoteText"/>
      </w:pPr>
      <w:r>
        <w:rPr>
          <w:rStyle w:val="FootnoteReference1"/>
        </w:rPr>
        <w:footnoteRef/>
      </w:r>
      <w:r>
        <w:rPr>
          <w:rtl/>
        </w:rPr>
        <w:t xml:space="preserve"> </w:t>
      </w:r>
      <w:r>
        <w:rPr>
          <w:rtl/>
        </w:rPr>
        <w:tab/>
      </w:r>
      <w:r>
        <w:rPr>
          <w:rFonts w:hint="cs"/>
          <w:rtl/>
        </w:rPr>
        <w:t>המדיניות התפרסמה ונכנסה לתוקף ב-2012. בין השאר פורק המשרד הממשלתי האמון על דיור, תכנון מרחבי והגנת הסביבה בהולנד. מאז 2010 אין בהולנד משרד שבשמו מופיעות המלים "תכנון מרחבי" והיחסים של משרדי הממשלה ההולנדית עם עולם התכנון המרחבי מתמקדים מאז, כמוסבר לעיל, בפיתוח כלכלי, בהקמת תשתיות ובמניעת שיטפונות.</w:t>
      </w:r>
    </w:p>
  </w:footnote>
  <w:footnote w:id="63">
    <w:p w:rsidR="00151194" w:rsidP="00DC5B13">
      <w:pPr>
        <w:pStyle w:val="FootnoteText"/>
      </w:pPr>
      <w:r>
        <w:rPr>
          <w:rStyle w:val="FootnoteReference1"/>
        </w:rPr>
        <w:footnoteRef/>
      </w:r>
      <w:r>
        <w:rPr>
          <w:rtl/>
        </w:rPr>
        <w:t xml:space="preserve"> </w:t>
      </w:r>
      <w:r>
        <w:rPr>
          <w:rtl/>
        </w:rPr>
        <w:tab/>
      </w:r>
      <w:r w:rsidRPr="000F4E99">
        <w:rPr>
          <w:rFonts w:hint="cs"/>
          <w:rtl/>
        </w:rPr>
        <w:t>יעדים</w:t>
      </w:r>
      <w:r>
        <w:rPr>
          <w:rFonts w:hint="cs"/>
          <w:rtl/>
        </w:rPr>
        <w:t xml:space="preserve"> אלה נקבעו בכותרת מסמך המדיניות של המשרד הלאומי לתשתיות ולהגנת הסביבה של הולנד </w:t>
      </w:r>
      <w:r w:rsidR="007E0B98">
        <w:rPr>
          <w:rtl/>
        </w:rPr>
        <w:br/>
      </w:r>
      <w:r>
        <w:rPr>
          <w:rFonts w:hint="cs"/>
          <w:rtl/>
        </w:rPr>
        <w:t>ב-2011.</w:t>
      </w:r>
    </w:p>
  </w:footnote>
  <w:footnote w:id="64">
    <w:p w:rsidR="00151194" w:rsidRPr="00016DEE" w:rsidP="00DC5B13">
      <w:pPr>
        <w:pStyle w:val="FootnoteText"/>
        <w:rPr>
          <w:rtl/>
        </w:rPr>
      </w:pPr>
      <w:r>
        <w:rPr>
          <w:rStyle w:val="FootnoteReference1"/>
        </w:rPr>
        <w:footnoteRef/>
      </w:r>
      <w:r>
        <w:rPr>
          <w:rtl/>
        </w:rPr>
        <w:t xml:space="preserve"> </w:t>
      </w:r>
      <w:r>
        <w:rPr>
          <w:rtl/>
        </w:rPr>
        <w:tab/>
      </w:r>
      <w:r>
        <w:t xml:space="preserve">M. Reimer, P. Getimis and H. Blotevogel, </w:t>
      </w:r>
      <w:r w:rsidRPr="007C40D1">
        <w:rPr>
          <w:i/>
          <w:iCs/>
        </w:rPr>
        <w:t>Spatial Planning Systems and Practices in Europe</w:t>
      </w:r>
      <w:r>
        <w:rPr>
          <w:i/>
          <w:iCs/>
        </w:rPr>
        <w:t xml:space="preserve">. </w:t>
      </w:r>
      <w:r>
        <w:t>Routledge,</w:t>
      </w:r>
      <w:r w:rsidRPr="007C40D1">
        <w:rPr>
          <w:i/>
          <w:iCs/>
        </w:rPr>
        <w:t xml:space="preserve"> </w:t>
      </w:r>
      <w:r w:rsidRPr="00016DEE">
        <w:t>2014, pp.75-78.</w:t>
      </w:r>
    </w:p>
  </w:footnote>
  <w:footnote w:id="65">
    <w:p w:rsidR="00151194" w:rsidP="00DC5B13">
      <w:pPr>
        <w:pStyle w:val="FootnoteText"/>
        <w:rPr>
          <w:rtl/>
        </w:rPr>
      </w:pPr>
      <w:r>
        <w:rPr>
          <w:rStyle w:val="FootnoteReference1"/>
        </w:rPr>
        <w:footnoteRef/>
      </w:r>
      <w:r>
        <w:rPr>
          <w:rtl/>
        </w:rPr>
        <w:t xml:space="preserve"> </w:t>
      </w:r>
      <w:r>
        <w:rPr>
          <w:rtl/>
        </w:rPr>
        <w:tab/>
      </w:r>
      <w:r>
        <w:t>An Overview of Spatial Policy in Asian and European Countries (</w:t>
      </w:r>
      <w:r w:rsidRPr="00016DEE">
        <w:t>Netherlands</w:t>
      </w:r>
      <w:r>
        <w:t>)</w:t>
      </w:r>
      <w:r>
        <w:rPr>
          <w:rFonts w:hint="cs"/>
          <w:rtl/>
        </w:rPr>
        <w:t xml:space="preserve"> </w:t>
      </w:r>
      <w:r w:rsidRPr="000F4E99">
        <w:rPr>
          <w:rFonts w:hint="cs"/>
          <w:rtl/>
        </w:rPr>
        <w:t>באתר</w:t>
      </w:r>
      <w:r>
        <w:rPr>
          <w:rFonts w:hint="cs"/>
          <w:rtl/>
        </w:rPr>
        <w:t xml:space="preserve"> המרשתת של משרד הקרקעות, התשתיות, התחבורה והתיירות של יפן, 2015.</w:t>
      </w:r>
    </w:p>
  </w:footnote>
  <w:footnote w:id="66">
    <w:p w:rsidR="00151194" w:rsidRPr="007B45C5" w:rsidP="00DC5B13">
      <w:pPr>
        <w:pStyle w:val="FootnoteText"/>
        <w:rPr>
          <w:rtl/>
        </w:rPr>
      </w:pPr>
      <w:r>
        <w:rPr>
          <w:rStyle w:val="FootnoteReference1"/>
        </w:rPr>
        <w:footnoteRef/>
      </w:r>
      <w:r>
        <w:rPr>
          <w:rtl/>
        </w:rPr>
        <w:t xml:space="preserve"> </w:t>
      </w:r>
      <w:r>
        <w:rPr>
          <w:rtl/>
        </w:rPr>
        <w:tab/>
      </w:r>
      <w:r>
        <w:t xml:space="preserve">J. </w:t>
      </w:r>
      <w:r>
        <w:rPr>
          <w:rFonts w:hint="cs"/>
        </w:rPr>
        <w:t>C</w:t>
      </w:r>
      <w:r>
        <w:t>laassens, E. Koomen and J. Rouwendal,</w:t>
      </w:r>
      <w:r w:rsidRPr="008903B3">
        <w:rPr>
          <w:b/>
          <w:bCs/>
        </w:rPr>
        <w:t xml:space="preserve"> </w:t>
      </w:r>
      <w:r w:rsidRPr="00CB7503">
        <w:t xml:space="preserve">“Urban </w:t>
      </w:r>
      <w:r>
        <w:t>D</w:t>
      </w:r>
      <w:r w:rsidRPr="00CB7503">
        <w:t xml:space="preserve">ensity and </w:t>
      </w:r>
      <w:r>
        <w:t>S</w:t>
      </w:r>
      <w:r w:rsidRPr="00CB7503">
        <w:t xml:space="preserve">patial </w:t>
      </w:r>
      <w:r>
        <w:t>P</w:t>
      </w:r>
      <w:r w:rsidRPr="00CB7503">
        <w:t xml:space="preserve">lanning: The </w:t>
      </w:r>
      <w:r>
        <w:t>U</w:t>
      </w:r>
      <w:r w:rsidRPr="00CB7503">
        <w:t xml:space="preserve">nforeseen </w:t>
      </w:r>
      <w:r>
        <w:t>I</w:t>
      </w:r>
      <w:r w:rsidRPr="00CB7503">
        <w:t xml:space="preserve">mpacts of Dutch </w:t>
      </w:r>
      <w:r>
        <w:t>D</w:t>
      </w:r>
      <w:r w:rsidRPr="00CB7503">
        <w:t>evolution</w:t>
      </w:r>
      <w:r>
        <w:t>”</w:t>
      </w:r>
      <w:r w:rsidRPr="00016DEE">
        <w:t xml:space="preserve">, </w:t>
      </w:r>
      <w:r w:rsidRPr="00CB7503">
        <w:rPr>
          <w:i/>
          <w:iCs/>
        </w:rPr>
        <w:t>PLOS ONE</w:t>
      </w:r>
      <w:r>
        <w:t xml:space="preserve"> (2020), p. 4.</w:t>
      </w:r>
    </w:p>
  </w:footnote>
  <w:footnote w:id="67">
    <w:p w:rsidR="00151194" w:rsidRPr="00764253" w:rsidP="00DC5B13">
      <w:pPr>
        <w:pStyle w:val="FootnoteText"/>
      </w:pPr>
      <w:r>
        <w:rPr>
          <w:rStyle w:val="FootnoteReference1"/>
        </w:rPr>
        <w:footnoteRef/>
      </w:r>
      <w:r>
        <w:rPr>
          <w:rtl/>
        </w:rPr>
        <w:t xml:space="preserve"> </w:t>
      </w:r>
      <w:r>
        <w:rPr>
          <w:rtl/>
        </w:rPr>
        <w:tab/>
      </w:r>
      <w:r>
        <w:t>Ministry of Infrastructure and the Environment, “</w:t>
      </w:r>
      <w:r w:rsidRPr="00CB7503">
        <w:t>Summary National Policy Strategy for Infrastructure and Spatial Planning</w:t>
      </w:r>
      <w:r>
        <w:t>”</w:t>
      </w:r>
      <w:r w:rsidRPr="00016DEE">
        <w:t>,</w:t>
      </w:r>
      <w:r>
        <w:t xml:space="preserve"> The Netherlands, 2011, p. 4.</w:t>
      </w:r>
    </w:p>
  </w:footnote>
  <w:footnote w:id="68">
    <w:p w:rsidR="00151194" w:rsidRPr="00326400" w:rsidP="00DC5B13">
      <w:pPr>
        <w:pStyle w:val="FootnoteText"/>
      </w:pPr>
      <w:r w:rsidRPr="00326400">
        <w:rPr>
          <w:rStyle w:val="FootnoteReference1"/>
        </w:rPr>
        <w:footnoteRef/>
      </w:r>
      <w:r w:rsidRPr="00326400">
        <w:rPr>
          <w:rtl/>
        </w:rPr>
        <w:t xml:space="preserve"> </w:t>
      </w:r>
      <w:r w:rsidRPr="00326400">
        <w:rPr>
          <w:rtl/>
        </w:rPr>
        <w:tab/>
      </w:r>
      <w:r w:rsidRPr="00326400">
        <w:rPr>
          <w:rFonts w:hint="eastAsia"/>
          <w:rtl/>
        </w:rPr>
        <w:t>באופן</w:t>
      </w:r>
      <w:r w:rsidRPr="00326400">
        <w:rPr>
          <w:rtl/>
        </w:rPr>
        <w:t xml:space="preserve"> </w:t>
      </w:r>
      <w:r>
        <w:rPr>
          <w:rFonts w:hint="cs"/>
          <w:rtl/>
        </w:rPr>
        <w:t>ה</w:t>
      </w:r>
      <w:r w:rsidRPr="00326400">
        <w:rPr>
          <w:rFonts w:hint="eastAsia"/>
          <w:rtl/>
        </w:rPr>
        <w:t>מצמצם</w:t>
      </w:r>
      <w:r w:rsidRPr="00326400">
        <w:rPr>
          <w:rtl/>
        </w:rPr>
        <w:t xml:space="preserve"> </w:t>
      </w:r>
      <w:r w:rsidRPr="00326400">
        <w:rPr>
          <w:rFonts w:hint="eastAsia"/>
          <w:rtl/>
        </w:rPr>
        <w:t>את</w:t>
      </w:r>
      <w:r w:rsidRPr="00326400">
        <w:rPr>
          <w:rtl/>
        </w:rPr>
        <w:t xml:space="preserve"> </w:t>
      </w:r>
      <w:r w:rsidRPr="00326400">
        <w:rPr>
          <w:rFonts w:hint="eastAsia"/>
          <w:rtl/>
        </w:rPr>
        <w:t>הבנייה</w:t>
      </w:r>
      <w:r w:rsidRPr="00326400">
        <w:rPr>
          <w:rtl/>
        </w:rPr>
        <w:t xml:space="preserve"> </w:t>
      </w:r>
      <w:r>
        <w:rPr>
          <w:rFonts w:hint="cs"/>
          <w:rtl/>
        </w:rPr>
        <w:t>ב</w:t>
      </w:r>
      <w:r w:rsidRPr="00326400">
        <w:rPr>
          <w:rFonts w:hint="eastAsia"/>
          <w:rtl/>
        </w:rPr>
        <w:t>שטחים</w:t>
      </w:r>
      <w:r w:rsidRPr="00326400">
        <w:rPr>
          <w:rtl/>
        </w:rPr>
        <w:t xml:space="preserve"> </w:t>
      </w:r>
      <w:r w:rsidRPr="00326400">
        <w:rPr>
          <w:rFonts w:hint="eastAsia"/>
          <w:rtl/>
        </w:rPr>
        <w:t>פתוחים</w:t>
      </w:r>
      <w:r w:rsidRPr="00326400">
        <w:rPr>
          <w:rtl/>
        </w:rPr>
        <w:t xml:space="preserve"> </w:t>
      </w:r>
      <w:r w:rsidRPr="00326400">
        <w:rPr>
          <w:rFonts w:hint="eastAsia"/>
          <w:rtl/>
        </w:rPr>
        <w:t>ו</w:t>
      </w:r>
      <w:r>
        <w:rPr>
          <w:rFonts w:hint="cs"/>
          <w:rtl/>
        </w:rPr>
        <w:t>ה</w:t>
      </w:r>
      <w:r w:rsidRPr="00326400">
        <w:rPr>
          <w:rFonts w:hint="eastAsia"/>
          <w:rtl/>
        </w:rPr>
        <w:t>מכוון</w:t>
      </w:r>
      <w:r w:rsidRPr="00326400">
        <w:rPr>
          <w:rtl/>
        </w:rPr>
        <w:t xml:space="preserve"> </w:t>
      </w:r>
      <w:r w:rsidRPr="00326400">
        <w:rPr>
          <w:rFonts w:hint="eastAsia"/>
          <w:rtl/>
        </w:rPr>
        <w:t>את</w:t>
      </w:r>
      <w:r w:rsidRPr="00326400">
        <w:rPr>
          <w:rtl/>
        </w:rPr>
        <w:t xml:space="preserve"> </w:t>
      </w:r>
      <w:r w:rsidRPr="00326400">
        <w:rPr>
          <w:rFonts w:hint="eastAsia"/>
          <w:rtl/>
        </w:rPr>
        <w:t>הביקוש</w:t>
      </w:r>
      <w:r w:rsidRPr="00326400">
        <w:rPr>
          <w:rtl/>
        </w:rPr>
        <w:t xml:space="preserve"> </w:t>
      </w:r>
      <w:r w:rsidRPr="00326400">
        <w:rPr>
          <w:rFonts w:hint="eastAsia"/>
          <w:rtl/>
        </w:rPr>
        <w:t>לדיור</w:t>
      </w:r>
      <w:r w:rsidRPr="00326400">
        <w:rPr>
          <w:rtl/>
        </w:rPr>
        <w:t xml:space="preserve"> </w:t>
      </w:r>
      <w:r w:rsidRPr="00326400">
        <w:rPr>
          <w:rFonts w:hint="eastAsia"/>
          <w:rtl/>
        </w:rPr>
        <w:t>אל</w:t>
      </w:r>
      <w:r w:rsidRPr="00326400">
        <w:rPr>
          <w:rtl/>
        </w:rPr>
        <w:t xml:space="preserve"> </w:t>
      </w:r>
      <w:r w:rsidRPr="00326400">
        <w:rPr>
          <w:rFonts w:hint="eastAsia"/>
          <w:rtl/>
        </w:rPr>
        <w:t>אזורים</w:t>
      </w:r>
      <w:r w:rsidRPr="00326400">
        <w:rPr>
          <w:rtl/>
        </w:rPr>
        <w:t xml:space="preserve"> </w:t>
      </w:r>
      <w:r w:rsidRPr="00326400">
        <w:rPr>
          <w:rFonts w:hint="eastAsia"/>
          <w:rtl/>
        </w:rPr>
        <w:t>מבונים</w:t>
      </w:r>
      <w:r w:rsidRPr="00326400">
        <w:rPr>
          <w:rtl/>
        </w:rPr>
        <w:t xml:space="preserve"> </w:t>
      </w:r>
      <w:r w:rsidRPr="00326400">
        <w:rPr>
          <w:rFonts w:hint="eastAsia"/>
          <w:rtl/>
        </w:rPr>
        <w:t>או</w:t>
      </w:r>
      <w:r w:rsidRPr="00326400">
        <w:rPr>
          <w:rtl/>
        </w:rPr>
        <w:t xml:space="preserve"> </w:t>
      </w:r>
      <w:r w:rsidRPr="00326400">
        <w:rPr>
          <w:rFonts w:hint="eastAsia"/>
          <w:rtl/>
        </w:rPr>
        <w:t>לאזורי</w:t>
      </w:r>
      <w:r w:rsidRPr="00326400">
        <w:rPr>
          <w:rtl/>
        </w:rPr>
        <w:t xml:space="preserve"> </w:t>
      </w:r>
      <w:r w:rsidRPr="00326400">
        <w:rPr>
          <w:rFonts w:hint="eastAsia"/>
          <w:rtl/>
        </w:rPr>
        <w:t>תעשייה</w:t>
      </w:r>
      <w:r w:rsidRPr="00326400">
        <w:rPr>
          <w:rtl/>
        </w:rPr>
        <w:t xml:space="preserve"> </w:t>
      </w:r>
      <w:r w:rsidRPr="00326400">
        <w:rPr>
          <w:rFonts w:hint="eastAsia"/>
          <w:rtl/>
        </w:rPr>
        <w:t>מתחדשים</w:t>
      </w:r>
      <w:r w:rsidRPr="00326400">
        <w:rPr>
          <w:rtl/>
        </w:rPr>
        <w:t>.</w:t>
      </w:r>
    </w:p>
  </w:footnote>
  <w:footnote w:id="69">
    <w:p w:rsidR="00151194" w:rsidRPr="00326400" w:rsidP="00DC5B13">
      <w:pPr>
        <w:pStyle w:val="FootnoteText"/>
        <w:rPr>
          <w:rtl/>
        </w:rPr>
      </w:pPr>
      <w:r w:rsidRPr="00326400">
        <w:rPr>
          <w:rStyle w:val="FootnoteReference1"/>
        </w:rPr>
        <w:footnoteRef/>
      </w:r>
      <w:r w:rsidRPr="00326400">
        <w:rPr>
          <w:rtl/>
        </w:rPr>
        <w:t xml:space="preserve"> </w:t>
      </w:r>
      <w:r w:rsidRPr="00326400">
        <w:rPr>
          <w:rtl/>
        </w:rPr>
        <w:tab/>
      </w:r>
      <w:r w:rsidRPr="00326400">
        <w:rPr>
          <w:rFonts w:hint="eastAsia"/>
          <w:rtl/>
        </w:rPr>
        <w:t>ב</w:t>
      </w:r>
      <w:r>
        <w:rPr>
          <w:rFonts w:hint="cs"/>
          <w:rtl/>
        </w:rPr>
        <w:t xml:space="preserve">עיקר </w:t>
      </w:r>
      <w:r w:rsidRPr="00326400">
        <w:rPr>
          <w:rFonts w:hint="eastAsia"/>
          <w:rtl/>
        </w:rPr>
        <w:t>התחדשות</w:t>
      </w:r>
      <w:r w:rsidRPr="00326400">
        <w:rPr>
          <w:rtl/>
        </w:rPr>
        <w:t xml:space="preserve"> </w:t>
      </w:r>
      <w:r w:rsidRPr="00326400">
        <w:rPr>
          <w:rFonts w:hint="eastAsia"/>
          <w:rtl/>
        </w:rPr>
        <w:t>של</w:t>
      </w:r>
      <w:r w:rsidRPr="00326400">
        <w:rPr>
          <w:rtl/>
        </w:rPr>
        <w:t xml:space="preserve"> </w:t>
      </w:r>
      <w:r w:rsidRPr="00326400">
        <w:rPr>
          <w:rFonts w:hint="eastAsia"/>
          <w:rtl/>
        </w:rPr>
        <w:t>אזורי</w:t>
      </w:r>
      <w:r w:rsidRPr="00326400">
        <w:rPr>
          <w:rtl/>
        </w:rPr>
        <w:t xml:space="preserve"> </w:t>
      </w:r>
      <w:r w:rsidRPr="00326400">
        <w:rPr>
          <w:rFonts w:hint="eastAsia"/>
          <w:rtl/>
        </w:rPr>
        <w:t>תעשייה</w:t>
      </w:r>
      <w:r w:rsidRPr="00326400">
        <w:rPr>
          <w:rtl/>
        </w:rPr>
        <w:t xml:space="preserve"> </w:t>
      </w:r>
      <w:r w:rsidRPr="00326400">
        <w:rPr>
          <w:rFonts w:hint="eastAsia"/>
          <w:rtl/>
        </w:rPr>
        <w:t>ש</w:t>
      </w:r>
      <w:r>
        <w:rPr>
          <w:rFonts w:hint="cs"/>
          <w:rtl/>
        </w:rPr>
        <w:t xml:space="preserve">חלו בהם </w:t>
      </w:r>
      <w:r w:rsidRPr="00326400">
        <w:rPr>
          <w:rFonts w:hint="eastAsia"/>
          <w:rtl/>
        </w:rPr>
        <w:t>תהליכי</w:t>
      </w:r>
      <w:r w:rsidRPr="00326400">
        <w:rPr>
          <w:rtl/>
        </w:rPr>
        <w:t xml:space="preserve"> </w:t>
      </w:r>
      <w:r w:rsidRPr="00326400">
        <w:rPr>
          <w:rFonts w:hint="eastAsia"/>
          <w:rtl/>
        </w:rPr>
        <w:t>ניקוי</w:t>
      </w:r>
      <w:r w:rsidRPr="00326400">
        <w:rPr>
          <w:rtl/>
        </w:rPr>
        <w:t xml:space="preserve"> (</w:t>
      </w:r>
      <w:r w:rsidRPr="00326400">
        <w:t>Brownfields</w:t>
      </w:r>
      <w:r w:rsidRPr="00326400">
        <w:rPr>
          <w:rtl/>
        </w:rPr>
        <w:t xml:space="preserve">). </w:t>
      </w:r>
    </w:p>
  </w:footnote>
  <w:footnote w:id="70">
    <w:p w:rsidR="00151194" w:rsidRPr="00326400" w:rsidP="00DC5B13">
      <w:pPr>
        <w:pStyle w:val="FootnoteText"/>
      </w:pPr>
      <w:r w:rsidRPr="00326400">
        <w:rPr>
          <w:rStyle w:val="FootnoteReference1"/>
        </w:rPr>
        <w:footnoteRef/>
      </w:r>
      <w:r w:rsidRPr="00326400">
        <w:rPr>
          <w:rtl/>
        </w:rPr>
        <w:t xml:space="preserve"> </w:t>
      </w:r>
      <w:r w:rsidRPr="00326400">
        <w:rPr>
          <w:rtl/>
        </w:rPr>
        <w:tab/>
      </w:r>
      <w:r w:rsidRPr="00326400">
        <w:rPr>
          <w:rFonts w:hint="eastAsia"/>
          <w:rtl/>
        </w:rPr>
        <w:t>בשנות</w:t>
      </w:r>
      <w:r w:rsidRPr="00326400">
        <w:rPr>
          <w:rtl/>
        </w:rPr>
        <w:t xml:space="preserve"> </w:t>
      </w:r>
      <w:r w:rsidRPr="00326400">
        <w:rPr>
          <w:rFonts w:hint="eastAsia"/>
          <w:rtl/>
        </w:rPr>
        <w:t>ה</w:t>
      </w:r>
      <w:r>
        <w:rPr>
          <w:rFonts w:hint="cs"/>
          <w:rtl/>
        </w:rPr>
        <w:t>תשעים</w:t>
      </w:r>
      <w:r w:rsidRPr="00326400">
        <w:rPr>
          <w:rtl/>
        </w:rPr>
        <w:t xml:space="preserve"> </w:t>
      </w:r>
      <w:r w:rsidRPr="00326400">
        <w:rPr>
          <w:rFonts w:hint="eastAsia"/>
          <w:rtl/>
        </w:rPr>
        <w:t>של</w:t>
      </w:r>
      <w:r w:rsidRPr="00326400">
        <w:rPr>
          <w:rtl/>
        </w:rPr>
        <w:t xml:space="preserve"> </w:t>
      </w:r>
      <w:r w:rsidRPr="00326400">
        <w:rPr>
          <w:rFonts w:hint="eastAsia"/>
          <w:rtl/>
        </w:rPr>
        <w:t>המאה</w:t>
      </w:r>
      <w:r w:rsidRPr="00326400">
        <w:rPr>
          <w:rtl/>
        </w:rPr>
        <w:t xml:space="preserve"> </w:t>
      </w:r>
      <w:r>
        <w:rPr>
          <w:rFonts w:hint="cs"/>
          <w:rtl/>
        </w:rPr>
        <w:t>העשרים</w:t>
      </w:r>
      <w:r w:rsidRPr="00326400">
        <w:rPr>
          <w:rtl/>
        </w:rPr>
        <w:t xml:space="preserve"> </w:t>
      </w:r>
      <w:r>
        <w:rPr>
          <w:rFonts w:hint="cs"/>
          <w:rtl/>
        </w:rPr>
        <w:t xml:space="preserve">נחשבה </w:t>
      </w:r>
      <w:r w:rsidRPr="00326400">
        <w:rPr>
          <w:rFonts w:hint="eastAsia"/>
          <w:rtl/>
        </w:rPr>
        <w:t>הולנד</w:t>
      </w:r>
      <w:r w:rsidRPr="00326400">
        <w:rPr>
          <w:rtl/>
        </w:rPr>
        <w:t xml:space="preserve"> </w:t>
      </w:r>
      <w:r>
        <w:rPr>
          <w:rFonts w:hint="cs"/>
          <w:rtl/>
        </w:rPr>
        <w:t>ל</w:t>
      </w:r>
      <w:r w:rsidRPr="00326400">
        <w:rPr>
          <w:rtl/>
        </w:rPr>
        <w:t xml:space="preserve">"גן </w:t>
      </w:r>
      <w:r w:rsidRPr="00326400">
        <w:rPr>
          <w:rFonts w:hint="eastAsia"/>
          <w:rtl/>
        </w:rPr>
        <w:t>עדן</w:t>
      </w:r>
      <w:r w:rsidRPr="00326400">
        <w:rPr>
          <w:rtl/>
        </w:rPr>
        <w:t xml:space="preserve"> </w:t>
      </w:r>
      <w:r w:rsidRPr="00326400">
        <w:rPr>
          <w:rFonts w:hint="eastAsia"/>
          <w:rtl/>
        </w:rPr>
        <w:t>למתכננים</w:t>
      </w:r>
      <w:r w:rsidRPr="00326400">
        <w:rPr>
          <w:rtl/>
        </w:rPr>
        <w:t xml:space="preserve">" </w:t>
      </w:r>
      <w:r w:rsidRPr="00326400">
        <w:rPr>
          <w:rFonts w:hint="eastAsia"/>
          <w:rtl/>
        </w:rPr>
        <w:t>דווקא</w:t>
      </w:r>
      <w:r w:rsidRPr="00326400">
        <w:rPr>
          <w:rtl/>
        </w:rPr>
        <w:t xml:space="preserve"> </w:t>
      </w:r>
      <w:r w:rsidRPr="00326400">
        <w:rPr>
          <w:rFonts w:hint="eastAsia"/>
          <w:rtl/>
        </w:rPr>
        <w:t>בשל</w:t>
      </w:r>
      <w:r w:rsidRPr="00326400">
        <w:rPr>
          <w:rtl/>
        </w:rPr>
        <w:t xml:space="preserve"> </w:t>
      </w:r>
      <w:r w:rsidRPr="00326400">
        <w:rPr>
          <w:rFonts w:hint="eastAsia"/>
          <w:rtl/>
        </w:rPr>
        <w:t>המעורבות</w:t>
      </w:r>
      <w:r w:rsidRPr="00326400">
        <w:rPr>
          <w:rtl/>
        </w:rPr>
        <w:t xml:space="preserve"> </w:t>
      </w:r>
      <w:r w:rsidRPr="00326400">
        <w:rPr>
          <w:rFonts w:hint="eastAsia"/>
          <w:rtl/>
        </w:rPr>
        <w:t>הרבה</w:t>
      </w:r>
      <w:r w:rsidRPr="00326400">
        <w:rPr>
          <w:rtl/>
        </w:rPr>
        <w:t xml:space="preserve"> </w:t>
      </w:r>
      <w:r w:rsidRPr="00326400">
        <w:rPr>
          <w:rFonts w:hint="eastAsia"/>
          <w:rtl/>
        </w:rPr>
        <w:t>של</w:t>
      </w:r>
      <w:r w:rsidRPr="00326400">
        <w:rPr>
          <w:rtl/>
        </w:rPr>
        <w:t xml:space="preserve"> </w:t>
      </w:r>
      <w:r w:rsidRPr="00326400">
        <w:rPr>
          <w:rFonts w:hint="eastAsia"/>
          <w:rtl/>
        </w:rPr>
        <w:t>הממשלה</w:t>
      </w:r>
      <w:r w:rsidRPr="00326400">
        <w:rPr>
          <w:rtl/>
        </w:rPr>
        <w:t xml:space="preserve"> </w:t>
      </w:r>
      <w:r w:rsidRPr="00326400">
        <w:rPr>
          <w:rFonts w:hint="eastAsia"/>
          <w:rtl/>
        </w:rPr>
        <w:t>בקביעת</w:t>
      </w:r>
      <w:r w:rsidRPr="00326400">
        <w:rPr>
          <w:rtl/>
        </w:rPr>
        <w:t xml:space="preserve"> </w:t>
      </w:r>
      <w:r w:rsidRPr="00326400">
        <w:rPr>
          <w:rFonts w:hint="eastAsia"/>
          <w:rtl/>
        </w:rPr>
        <w:t>מדיניות</w:t>
      </w:r>
      <w:r w:rsidRPr="00326400">
        <w:rPr>
          <w:rtl/>
        </w:rPr>
        <w:t xml:space="preserve"> </w:t>
      </w:r>
      <w:r w:rsidRPr="00326400">
        <w:rPr>
          <w:rFonts w:hint="eastAsia"/>
          <w:rtl/>
        </w:rPr>
        <w:t>התכנון</w:t>
      </w:r>
      <w:r w:rsidRPr="00326400">
        <w:rPr>
          <w:rtl/>
        </w:rPr>
        <w:t xml:space="preserve"> (</w:t>
      </w:r>
      <w:r w:rsidRPr="000F4E99">
        <w:rPr>
          <w:rFonts w:hint="eastAsia"/>
          <w:rtl/>
        </w:rPr>
        <w:t>ראו</w:t>
      </w:r>
      <w:r w:rsidRPr="00326400">
        <w:rPr>
          <w:rtl/>
        </w:rPr>
        <w:t xml:space="preserve">: </w:t>
      </w:r>
      <w:r>
        <w:t xml:space="preserve">M. </w:t>
      </w:r>
      <w:r w:rsidRPr="00326400">
        <w:t xml:space="preserve">Reimer, </w:t>
      </w:r>
      <w:r>
        <w:t xml:space="preserve">P. </w:t>
      </w:r>
      <w:r w:rsidRPr="00326400">
        <w:t>Getimis and</w:t>
      </w:r>
      <w:r>
        <w:t xml:space="preserve"> H. </w:t>
      </w:r>
      <w:r w:rsidRPr="00326400">
        <w:t xml:space="preserve">Blotevogel, </w:t>
      </w:r>
      <w:r w:rsidRPr="00CB7503">
        <w:rPr>
          <w:i/>
          <w:iCs/>
        </w:rPr>
        <w:t>Spatial Planning Systems and Practices in Europe</w:t>
      </w:r>
      <w:r>
        <w:t>, Routledge,</w:t>
      </w:r>
      <w:r w:rsidRPr="00326400">
        <w:t xml:space="preserve"> 2014, p</w:t>
      </w:r>
      <w:r>
        <w:t>.</w:t>
      </w:r>
      <w:r w:rsidRPr="00326400">
        <w:t xml:space="preserve"> 61</w:t>
      </w:r>
      <w:r w:rsidRPr="00326400">
        <w:rPr>
          <w:rtl/>
        </w:rPr>
        <w:t>)</w:t>
      </w:r>
      <w:r>
        <w:t>.</w:t>
      </w:r>
    </w:p>
  </w:footnote>
  <w:footnote w:id="71">
    <w:p w:rsidR="00151194" w:rsidRPr="00326400" w:rsidP="00DC5B13">
      <w:pPr>
        <w:pStyle w:val="FootnoteText"/>
        <w:rPr>
          <w:rtl/>
        </w:rPr>
      </w:pPr>
      <w:r w:rsidRPr="00326400">
        <w:rPr>
          <w:rStyle w:val="FootnoteReference1"/>
        </w:rPr>
        <w:footnoteRef/>
      </w:r>
      <w:r w:rsidRPr="00326400">
        <w:rPr>
          <w:rtl/>
        </w:rPr>
        <w:t xml:space="preserve"> </w:t>
      </w:r>
      <w:r w:rsidRPr="00326400">
        <w:rPr>
          <w:rtl/>
        </w:rPr>
        <w:tab/>
      </w:r>
      <w:r w:rsidRPr="00326400">
        <w:rPr>
          <w:rFonts w:hint="eastAsia"/>
          <w:rtl/>
        </w:rPr>
        <w:t>זחילה</w:t>
      </w:r>
      <w:r w:rsidRPr="00326400">
        <w:rPr>
          <w:rtl/>
        </w:rPr>
        <w:t xml:space="preserve"> </w:t>
      </w:r>
      <w:r w:rsidRPr="00326400">
        <w:rPr>
          <w:rFonts w:hint="eastAsia"/>
          <w:rtl/>
        </w:rPr>
        <w:t>עירונית</w:t>
      </w:r>
      <w:r w:rsidRPr="00326400">
        <w:rPr>
          <w:rtl/>
        </w:rPr>
        <w:t xml:space="preserve"> (</w:t>
      </w:r>
      <w:r>
        <w:t>u</w:t>
      </w:r>
      <w:r w:rsidRPr="00326400">
        <w:t xml:space="preserve">rban </w:t>
      </w:r>
      <w:r>
        <w:t>s</w:t>
      </w:r>
      <w:r w:rsidRPr="00326400">
        <w:t>prawl</w:t>
      </w:r>
      <w:r w:rsidRPr="00326400">
        <w:rPr>
          <w:rtl/>
        </w:rPr>
        <w:t xml:space="preserve">) </w:t>
      </w:r>
      <w:r w:rsidRPr="00326400">
        <w:rPr>
          <w:rFonts w:hint="eastAsia"/>
          <w:rtl/>
        </w:rPr>
        <w:t>היא</w:t>
      </w:r>
      <w:r w:rsidRPr="00326400">
        <w:rPr>
          <w:rtl/>
        </w:rPr>
        <w:t xml:space="preserve"> </w:t>
      </w:r>
      <w:r>
        <w:rPr>
          <w:rFonts w:hint="cs"/>
          <w:rtl/>
        </w:rPr>
        <w:t xml:space="preserve">שיטה </w:t>
      </w:r>
      <w:r w:rsidRPr="00326400">
        <w:rPr>
          <w:rFonts w:hint="eastAsia"/>
          <w:rtl/>
        </w:rPr>
        <w:t>לפיתוח</w:t>
      </w:r>
      <w:r w:rsidRPr="00326400">
        <w:rPr>
          <w:rtl/>
        </w:rPr>
        <w:t xml:space="preserve"> </w:t>
      </w:r>
      <w:r w:rsidRPr="00326400">
        <w:rPr>
          <w:rFonts w:hint="eastAsia"/>
          <w:rtl/>
        </w:rPr>
        <w:t>עירוני</w:t>
      </w:r>
      <w:r w:rsidRPr="00326400">
        <w:rPr>
          <w:rtl/>
        </w:rPr>
        <w:t xml:space="preserve"> </w:t>
      </w:r>
      <w:r w:rsidRPr="00326400">
        <w:rPr>
          <w:rFonts w:hint="eastAsia"/>
          <w:rtl/>
        </w:rPr>
        <w:t>המתאפיינת</w:t>
      </w:r>
      <w:r w:rsidRPr="00326400">
        <w:rPr>
          <w:rtl/>
        </w:rPr>
        <w:t xml:space="preserve"> </w:t>
      </w:r>
      <w:r w:rsidRPr="00326400">
        <w:rPr>
          <w:rFonts w:hint="eastAsia"/>
          <w:rtl/>
        </w:rPr>
        <w:t>בהתפשטות</w:t>
      </w:r>
      <w:r w:rsidRPr="00326400">
        <w:rPr>
          <w:rtl/>
        </w:rPr>
        <w:t xml:space="preserve"> </w:t>
      </w:r>
      <w:r w:rsidRPr="00326400">
        <w:rPr>
          <w:rFonts w:hint="eastAsia"/>
          <w:rtl/>
        </w:rPr>
        <w:t>נרחבת</w:t>
      </w:r>
      <w:r w:rsidRPr="00326400">
        <w:rPr>
          <w:rtl/>
        </w:rPr>
        <w:t xml:space="preserve"> </w:t>
      </w:r>
      <w:r w:rsidRPr="00326400">
        <w:rPr>
          <w:rFonts w:hint="eastAsia"/>
          <w:rtl/>
        </w:rPr>
        <w:t>ובלתי</w:t>
      </w:r>
      <w:r w:rsidRPr="00326400">
        <w:rPr>
          <w:rtl/>
        </w:rPr>
        <w:t xml:space="preserve"> </w:t>
      </w:r>
      <w:r w:rsidRPr="00326400">
        <w:rPr>
          <w:rFonts w:hint="eastAsia"/>
          <w:rtl/>
        </w:rPr>
        <w:t>רציפה</w:t>
      </w:r>
      <w:r w:rsidRPr="00326400">
        <w:rPr>
          <w:rtl/>
        </w:rPr>
        <w:t xml:space="preserve"> </w:t>
      </w:r>
      <w:r w:rsidRPr="00326400">
        <w:rPr>
          <w:rFonts w:hint="eastAsia"/>
          <w:rtl/>
        </w:rPr>
        <w:t>של</w:t>
      </w:r>
      <w:r w:rsidRPr="00326400">
        <w:rPr>
          <w:rtl/>
        </w:rPr>
        <w:t xml:space="preserve"> </w:t>
      </w:r>
      <w:r w:rsidRPr="00326400">
        <w:rPr>
          <w:rFonts w:hint="eastAsia"/>
          <w:rtl/>
        </w:rPr>
        <w:t>המרחב</w:t>
      </w:r>
      <w:r w:rsidRPr="00326400">
        <w:rPr>
          <w:rtl/>
        </w:rPr>
        <w:t xml:space="preserve"> </w:t>
      </w:r>
      <w:r w:rsidRPr="00326400">
        <w:rPr>
          <w:rFonts w:hint="eastAsia"/>
          <w:rtl/>
        </w:rPr>
        <w:t>העירוני</w:t>
      </w:r>
      <w:r w:rsidRPr="00326400">
        <w:rPr>
          <w:rtl/>
        </w:rPr>
        <w:t xml:space="preserve"> </w:t>
      </w:r>
      <w:r w:rsidRPr="00326400">
        <w:rPr>
          <w:rFonts w:hint="eastAsia"/>
          <w:rtl/>
        </w:rPr>
        <w:t>הבנוי</w:t>
      </w:r>
      <w:r w:rsidRPr="00326400">
        <w:rPr>
          <w:rtl/>
        </w:rPr>
        <w:t xml:space="preserve"> </w:t>
      </w:r>
      <w:r w:rsidRPr="00326400">
        <w:rPr>
          <w:rFonts w:hint="eastAsia"/>
          <w:rtl/>
        </w:rPr>
        <w:t>וביצירת</w:t>
      </w:r>
      <w:r w:rsidRPr="00326400">
        <w:rPr>
          <w:rtl/>
        </w:rPr>
        <w:t xml:space="preserve"> </w:t>
      </w:r>
      <w:r w:rsidRPr="00326400">
        <w:rPr>
          <w:rFonts w:hint="eastAsia"/>
          <w:rtl/>
        </w:rPr>
        <w:t>מרחבים</w:t>
      </w:r>
      <w:r w:rsidRPr="00326400">
        <w:rPr>
          <w:rtl/>
        </w:rPr>
        <w:t xml:space="preserve"> </w:t>
      </w:r>
      <w:r w:rsidRPr="00326400">
        <w:rPr>
          <w:rFonts w:hint="eastAsia"/>
          <w:rtl/>
        </w:rPr>
        <w:t>פרבריים</w:t>
      </w:r>
      <w:r w:rsidRPr="00326400">
        <w:rPr>
          <w:rtl/>
        </w:rPr>
        <w:t xml:space="preserve"> </w:t>
      </w:r>
      <w:r w:rsidRPr="00326400">
        <w:rPr>
          <w:rFonts w:hint="eastAsia"/>
          <w:rtl/>
        </w:rPr>
        <w:t>בעלי</w:t>
      </w:r>
      <w:r w:rsidRPr="00326400">
        <w:rPr>
          <w:rtl/>
        </w:rPr>
        <w:t xml:space="preserve"> </w:t>
      </w:r>
      <w:r w:rsidRPr="00326400">
        <w:rPr>
          <w:rFonts w:hint="eastAsia"/>
          <w:rtl/>
        </w:rPr>
        <w:t>צפיפות</w:t>
      </w:r>
      <w:r w:rsidRPr="00326400">
        <w:rPr>
          <w:rtl/>
        </w:rPr>
        <w:t xml:space="preserve"> </w:t>
      </w:r>
      <w:r w:rsidRPr="00326400">
        <w:rPr>
          <w:rFonts w:hint="eastAsia"/>
          <w:rtl/>
        </w:rPr>
        <w:t>בנייה</w:t>
      </w:r>
      <w:r w:rsidRPr="00326400">
        <w:rPr>
          <w:rtl/>
        </w:rPr>
        <w:t xml:space="preserve"> </w:t>
      </w:r>
      <w:r w:rsidRPr="00326400">
        <w:rPr>
          <w:rFonts w:hint="eastAsia"/>
          <w:rtl/>
        </w:rPr>
        <w:t>נמוכה</w:t>
      </w:r>
      <w:r w:rsidRPr="00326400">
        <w:rPr>
          <w:rtl/>
        </w:rPr>
        <w:t xml:space="preserve">, </w:t>
      </w:r>
      <w:r w:rsidRPr="00326400">
        <w:rPr>
          <w:rFonts w:hint="eastAsia"/>
          <w:rtl/>
        </w:rPr>
        <w:t>המבוססים</w:t>
      </w:r>
      <w:r w:rsidRPr="00326400">
        <w:rPr>
          <w:rtl/>
        </w:rPr>
        <w:t xml:space="preserve"> </w:t>
      </w:r>
      <w:r w:rsidRPr="00326400">
        <w:rPr>
          <w:rFonts w:hint="eastAsia"/>
          <w:rtl/>
        </w:rPr>
        <w:t>על</w:t>
      </w:r>
      <w:r w:rsidRPr="00326400">
        <w:rPr>
          <w:rtl/>
        </w:rPr>
        <w:t xml:space="preserve"> </w:t>
      </w:r>
      <w:r w:rsidRPr="00326400">
        <w:rPr>
          <w:rFonts w:hint="eastAsia"/>
          <w:rtl/>
        </w:rPr>
        <w:t>תנועת</w:t>
      </w:r>
      <w:r w:rsidRPr="00326400">
        <w:rPr>
          <w:rtl/>
        </w:rPr>
        <w:t xml:space="preserve"> </w:t>
      </w:r>
      <w:r w:rsidRPr="00326400">
        <w:rPr>
          <w:rFonts w:hint="eastAsia"/>
          <w:rtl/>
        </w:rPr>
        <w:t>כלי</w:t>
      </w:r>
      <w:r w:rsidRPr="00326400">
        <w:rPr>
          <w:rtl/>
        </w:rPr>
        <w:t xml:space="preserve"> </w:t>
      </w:r>
      <w:r w:rsidRPr="00326400">
        <w:rPr>
          <w:rFonts w:hint="eastAsia"/>
          <w:rtl/>
        </w:rPr>
        <w:t>רכב</w:t>
      </w:r>
      <w:r w:rsidRPr="00326400">
        <w:rPr>
          <w:rtl/>
        </w:rPr>
        <w:t xml:space="preserve"> </w:t>
      </w:r>
      <w:r w:rsidRPr="00326400">
        <w:rPr>
          <w:rFonts w:hint="eastAsia"/>
          <w:rtl/>
        </w:rPr>
        <w:t>פרטיים</w:t>
      </w:r>
      <w:r w:rsidRPr="00326400">
        <w:rPr>
          <w:rtl/>
        </w:rPr>
        <w:t xml:space="preserve">. </w:t>
      </w:r>
      <w:r w:rsidRPr="00326400">
        <w:rPr>
          <w:rFonts w:hint="eastAsia"/>
          <w:rtl/>
        </w:rPr>
        <w:t>הפיתוח</w:t>
      </w:r>
      <w:r w:rsidRPr="00326400">
        <w:rPr>
          <w:rtl/>
        </w:rPr>
        <w:t xml:space="preserve"> </w:t>
      </w:r>
      <w:r w:rsidRPr="00326400">
        <w:rPr>
          <w:rFonts w:hint="eastAsia"/>
          <w:rtl/>
        </w:rPr>
        <w:t>נעשה</w:t>
      </w:r>
      <w:r w:rsidRPr="00326400">
        <w:rPr>
          <w:rtl/>
        </w:rPr>
        <w:t xml:space="preserve"> </w:t>
      </w:r>
      <w:r w:rsidRPr="00326400">
        <w:rPr>
          <w:rFonts w:hint="eastAsia"/>
          <w:rtl/>
        </w:rPr>
        <w:t>על</w:t>
      </w:r>
      <w:r w:rsidRPr="00326400">
        <w:rPr>
          <w:rtl/>
        </w:rPr>
        <w:t xml:space="preserve"> </w:t>
      </w:r>
      <w:r w:rsidRPr="00326400">
        <w:rPr>
          <w:rFonts w:hint="eastAsia"/>
          <w:rtl/>
        </w:rPr>
        <w:t>פי</w:t>
      </w:r>
      <w:r w:rsidRPr="00326400">
        <w:rPr>
          <w:rtl/>
        </w:rPr>
        <w:t xml:space="preserve"> </w:t>
      </w:r>
      <w:r w:rsidRPr="00326400">
        <w:rPr>
          <w:rFonts w:hint="eastAsia"/>
          <w:rtl/>
        </w:rPr>
        <w:t>רוב</w:t>
      </w:r>
      <w:r w:rsidRPr="00326400">
        <w:rPr>
          <w:rtl/>
        </w:rPr>
        <w:t xml:space="preserve"> </w:t>
      </w:r>
      <w:r w:rsidRPr="00326400">
        <w:rPr>
          <w:rFonts w:hint="eastAsia"/>
          <w:rtl/>
        </w:rPr>
        <w:t>בשטחים</w:t>
      </w:r>
      <w:r w:rsidRPr="00326400">
        <w:rPr>
          <w:rtl/>
        </w:rPr>
        <w:t xml:space="preserve"> </w:t>
      </w:r>
      <w:r w:rsidRPr="00326400">
        <w:rPr>
          <w:rFonts w:hint="eastAsia"/>
          <w:rtl/>
        </w:rPr>
        <w:t>פתוחים</w:t>
      </w:r>
      <w:r w:rsidRPr="00326400">
        <w:rPr>
          <w:rtl/>
        </w:rPr>
        <w:t xml:space="preserve"> </w:t>
      </w:r>
      <w:r w:rsidRPr="00326400">
        <w:rPr>
          <w:rFonts w:hint="eastAsia"/>
          <w:rtl/>
        </w:rPr>
        <w:t>שונים</w:t>
      </w:r>
      <w:r w:rsidRPr="00326400">
        <w:rPr>
          <w:rtl/>
        </w:rPr>
        <w:t xml:space="preserve"> </w:t>
      </w:r>
      <w:r w:rsidRPr="00326400">
        <w:rPr>
          <w:rFonts w:hint="eastAsia"/>
          <w:rtl/>
        </w:rPr>
        <w:t>והוא</w:t>
      </w:r>
      <w:r w:rsidRPr="00326400">
        <w:rPr>
          <w:rtl/>
        </w:rPr>
        <w:t xml:space="preserve"> </w:t>
      </w:r>
      <w:r w:rsidRPr="00326400">
        <w:rPr>
          <w:rFonts w:hint="eastAsia"/>
          <w:rtl/>
        </w:rPr>
        <w:t>נתפס</w:t>
      </w:r>
      <w:r w:rsidRPr="00326400">
        <w:rPr>
          <w:rtl/>
        </w:rPr>
        <w:t xml:space="preserve"> </w:t>
      </w:r>
      <w:r w:rsidRPr="00326400">
        <w:rPr>
          <w:rFonts w:hint="eastAsia"/>
          <w:rtl/>
        </w:rPr>
        <w:t>כתופעה</w:t>
      </w:r>
      <w:r w:rsidRPr="00326400">
        <w:rPr>
          <w:rtl/>
        </w:rPr>
        <w:t xml:space="preserve"> </w:t>
      </w:r>
      <w:r w:rsidRPr="00326400">
        <w:rPr>
          <w:rFonts w:hint="eastAsia"/>
          <w:rtl/>
        </w:rPr>
        <w:t>בעלת</w:t>
      </w:r>
      <w:r w:rsidRPr="00326400">
        <w:rPr>
          <w:rtl/>
        </w:rPr>
        <w:t xml:space="preserve"> </w:t>
      </w:r>
      <w:r w:rsidRPr="00326400">
        <w:rPr>
          <w:rFonts w:hint="eastAsia"/>
          <w:rtl/>
        </w:rPr>
        <w:t>השלכות</w:t>
      </w:r>
      <w:r w:rsidRPr="00326400">
        <w:rPr>
          <w:rtl/>
        </w:rPr>
        <w:t xml:space="preserve"> </w:t>
      </w:r>
      <w:r w:rsidRPr="00326400">
        <w:rPr>
          <w:rFonts w:hint="eastAsia"/>
          <w:rtl/>
        </w:rPr>
        <w:t>שליליות</w:t>
      </w:r>
      <w:r w:rsidRPr="00326400">
        <w:rPr>
          <w:rtl/>
        </w:rPr>
        <w:t xml:space="preserve">, </w:t>
      </w:r>
      <w:r w:rsidRPr="00326400">
        <w:rPr>
          <w:rFonts w:hint="eastAsia"/>
          <w:rtl/>
        </w:rPr>
        <w:t>הכוללות</w:t>
      </w:r>
      <w:r w:rsidRPr="00326400">
        <w:rPr>
          <w:rtl/>
        </w:rPr>
        <w:t xml:space="preserve"> </w:t>
      </w:r>
      <w:r w:rsidRPr="00326400">
        <w:rPr>
          <w:rFonts w:hint="eastAsia"/>
          <w:rtl/>
        </w:rPr>
        <w:t>בין</w:t>
      </w:r>
      <w:r w:rsidRPr="00326400">
        <w:rPr>
          <w:rtl/>
        </w:rPr>
        <w:t xml:space="preserve"> </w:t>
      </w:r>
      <w:r w:rsidRPr="00326400">
        <w:rPr>
          <w:rFonts w:hint="eastAsia"/>
          <w:rtl/>
        </w:rPr>
        <w:t>השאר</w:t>
      </w:r>
      <w:r w:rsidRPr="00326400">
        <w:rPr>
          <w:rtl/>
        </w:rPr>
        <w:t xml:space="preserve"> </w:t>
      </w:r>
      <w:r w:rsidRPr="00326400">
        <w:rPr>
          <w:rFonts w:hint="eastAsia"/>
          <w:rtl/>
        </w:rPr>
        <w:t>היחלשות</w:t>
      </w:r>
      <w:r w:rsidRPr="00326400">
        <w:rPr>
          <w:rtl/>
        </w:rPr>
        <w:t xml:space="preserve"> </w:t>
      </w:r>
      <w:r w:rsidRPr="00326400">
        <w:rPr>
          <w:rFonts w:hint="eastAsia"/>
          <w:rtl/>
        </w:rPr>
        <w:t>של</w:t>
      </w:r>
      <w:r w:rsidRPr="00326400">
        <w:rPr>
          <w:rtl/>
        </w:rPr>
        <w:t xml:space="preserve"> </w:t>
      </w:r>
      <w:r w:rsidRPr="00326400">
        <w:rPr>
          <w:rFonts w:hint="eastAsia"/>
          <w:rtl/>
        </w:rPr>
        <w:t>הבסיס</w:t>
      </w:r>
      <w:r w:rsidRPr="00326400">
        <w:rPr>
          <w:rtl/>
        </w:rPr>
        <w:t xml:space="preserve"> </w:t>
      </w:r>
      <w:r w:rsidRPr="00326400">
        <w:rPr>
          <w:rFonts w:hint="eastAsia"/>
          <w:rtl/>
        </w:rPr>
        <w:t>הכלכלי</w:t>
      </w:r>
      <w:r w:rsidRPr="00326400">
        <w:rPr>
          <w:rtl/>
        </w:rPr>
        <w:t xml:space="preserve"> </w:t>
      </w:r>
      <w:r w:rsidRPr="00326400">
        <w:rPr>
          <w:rFonts w:hint="eastAsia"/>
          <w:rtl/>
        </w:rPr>
        <w:t>של</w:t>
      </w:r>
      <w:r w:rsidRPr="00326400">
        <w:rPr>
          <w:rtl/>
        </w:rPr>
        <w:t xml:space="preserve"> </w:t>
      </w:r>
      <w:r w:rsidRPr="00326400">
        <w:rPr>
          <w:rFonts w:hint="eastAsia"/>
          <w:rtl/>
        </w:rPr>
        <w:t>מרכזי</w:t>
      </w:r>
      <w:r w:rsidRPr="00326400">
        <w:rPr>
          <w:rtl/>
        </w:rPr>
        <w:t xml:space="preserve"> </w:t>
      </w:r>
      <w:r w:rsidRPr="00326400">
        <w:rPr>
          <w:rFonts w:hint="eastAsia"/>
          <w:rtl/>
        </w:rPr>
        <w:t>הערים</w:t>
      </w:r>
      <w:r w:rsidRPr="00326400">
        <w:rPr>
          <w:rtl/>
        </w:rPr>
        <w:t xml:space="preserve">, </w:t>
      </w:r>
      <w:r w:rsidRPr="00326400">
        <w:rPr>
          <w:rFonts w:hint="eastAsia"/>
          <w:rtl/>
        </w:rPr>
        <w:t>על</w:t>
      </w:r>
      <w:r>
        <w:rPr>
          <w:rFonts w:hint="cs"/>
          <w:rtl/>
        </w:rPr>
        <w:t>י</w:t>
      </w:r>
      <w:r w:rsidRPr="00326400">
        <w:rPr>
          <w:rFonts w:hint="eastAsia"/>
          <w:rtl/>
        </w:rPr>
        <w:t>יה</w:t>
      </w:r>
      <w:r w:rsidRPr="00326400">
        <w:rPr>
          <w:rtl/>
        </w:rPr>
        <w:t xml:space="preserve"> </w:t>
      </w:r>
      <w:r w:rsidRPr="00326400">
        <w:rPr>
          <w:rFonts w:hint="eastAsia"/>
          <w:rtl/>
        </w:rPr>
        <w:t>ב</w:t>
      </w:r>
      <w:r>
        <w:rPr>
          <w:rFonts w:hint="cs"/>
          <w:rtl/>
        </w:rPr>
        <w:t xml:space="preserve">רמת </w:t>
      </w:r>
      <w:r w:rsidRPr="00326400">
        <w:rPr>
          <w:rFonts w:hint="eastAsia"/>
          <w:rtl/>
        </w:rPr>
        <w:t>זיהום</w:t>
      </w:r>
      <w:r w:rsidRPr="00326400">
        <w:rPr>
          <w:rtl/>
        </w:rPr>
        <w:t xml:space="preserve"> </w:t>
      </w:r>
      <w:r w:rsidRPr="00326400">
        <w:rPr>
          <w:rFonts w:hint="eastAsia"/>
          <w:rtl/>
        </w:rPr>
        <w:t>האוויר</w:t>
      </w:r>
      <w:r w:rsidRPr="00326400">
        <w:rPr>
          <w:rtl/>
        </w:rPr>
        <w:t xml:space="preserve"> </w:t>
      </w:r>
      <w:r>
        <w:rPr>
          <w:rFonts w:hint="cs"/>
          <w:rtl/>
        </w:rPr>
        <w:t xml:space="preserve">עקב </w:t>
      </w:r>
      <w:r w:rsidRPr="00326400">
        <w:rPr>
          <w:rFonts w:hint="eastAsia"/>
          <w:rtl/>
        </w:rPr>
        <w:t>השימוש</w:t>
      </w:r>
      <w:r w:rsidRPr="00326400">
        <w:rPr>
          <w:rtl/>
        </w:rPr>
        <w:t xml:space="preserve"> </w:t>
      </w:r>
      <w:r w:rsidRPr="00326400">
        <w:rPr>
          <w:rFonts w:hint="eastAsia"/>
          <w:rtl/>
        </w:rPr>
        <w:t>הנרחב</w:t>
      </w:r>
      <w:r w:rsidRPr="00326400">
        <w:rPr>
          <w:rtl/>
        </w:rPr>
        <w:t xml:space="preserve"> </w:t>
      </w:r>
      <w:r w:rsidRPr="00326400">
        <w:rPr>
          <w:rFonts w:hint="eastAsia"/>
          <w:rtl/>
        </w:rPr>
        <w:t>בכלי</w:t>
      </w:r>
      <w:r w:rsidRPr="00326400">
        <w:rPr>
          <w:rtl/>
        </w:rPr>
        <w:t xml:space="preserve"> </w:t>
      </w:r>
      <w:r w:rsidRPr="00326400">
        <w:rPr>
          <w:rFonts w:hint="eastAsia"/>
          <w:rtl/>
        </w:rPr>
        <w:t>רכב</w:t>
      </w:r>
      <w:r w:rsidRPr="00326400">
        <w:rPr>
          <w:rtl/>
        </w:rPr>
        <w:t xml:space="preserve"> </w:t>
      </w:r>
      <w:r w:rsidRPr="00326400">
        <w:rPr>
          <w:rFonts w:hint="eastAsia"/>
          <w:rtl/>
        </w:rPr>
        <w:t>פרטיים</w:t>
      </w:r>
      <w:r w:rsidRPr="00326400">
        <w:rPr>
          <w:rtl/>
        </w:rPr>
        <w:t xml:space="preserve"> </w:t>
      </w:r>
      <w:r w:rsidRPr="00326400">
        <w:rPr>
          <w:rFonts w:hint="eastAsia"/>
          <w:rtl/>
        </w:rPr>
        <w:t>ופגיעה</w:t>
      </w:r>
      <w:r w:rsidRPr="00326400">
        <w:rPr>
          <w:rtl/>
        </w:rPr>
        <w:t xml:space="preserve"> </w:t>
      </w:r>
      <w:r w:rsidRPr="00326400">
        <w:rPr>
          <w:rFonts w:hint="eastAsia"/>
          <w:rtl/>
        </w:rPr>
        <w:t>בלתי</w:t>
      </w:r>
      <w:r w:rsidRPr="00326400">
        <w:rPr>
          <w:rtl/>
        </w:rPr>
        <w:t xml:space="preserve"> </w:t>
      </w:r>
      <w:r w:rsidRPr="00326400">
        <w:rPr>
          <w:rFonts w:hint="eastAsia"/>
          <w:rtl/>
        </w:rPr>
        <w:t>הפיכה</w:t>
      </w:r>
      <w:r w:rsidRPr="00326400">
        <w:rPr>
          <w:rtl/>
        </w:rPr>
        <w:t xml:space="preserve"> </w:t>
      </w:r>
      <w:r w:rsidRPr="00326400">
        <w:rPr>
          <w:rFonts w:hint="eastAsia"/>
          <w:rtl/>
        </w:rPr>
        <w:t>במשאבי</w:t>
      </w:r>
      <w:r w:rsidRPr="00326400">
        <w:rPr>
          <w:rtl/>
        </w:rPr>
        <w:t xml:space="preserve"> </w:t>
      </w:r>
      <w:r w:rsidRPr="00326400">
        <w:rPr>
          <w:rFonts w:hint="eastAsia"/>
          <w:rtl/>
        </w:rPr>
        <w:t>טבע</w:t>
      </w:r>
      <w:r w:rsidRPr="00326400">
        <w:rPr>
          <w:rtl/>
        </w:rPr>
        <w:t xml:space="preserve"> </w:t>
      </w:r>
      <w:r w:rsidRPr="00326400">
        <w:rPr>
          <w:rFonts w:hint="eastAsia"/>
          <w:rtl/>
        </w:rPr>
        <w:t>ונוף</w:t>
      </w:r>
      <w:r w:rsidRPr="00326400">
        <w:rPr>
          <w:rtl/>
        </w:rPr>
        <w:t xml:space="preserve"> (</w:t>
      </w:r>
      <w:r w:rsidRPr="000F4E99">
        <w:rPr>
          <w:rFonts w:hint="eastAsia"/>
          <w:rtl/>
        </w:rPr>
        <w:t>ראו</w:t>
      </w:r>
      <w:r w:rsidRPr="00326400">
        <w:rPr>
          <w:rtl/>
        </w:rPr>
        <w:t xml:space="preserve">: </w:t>
      </w:r>
      <w:r>
        <w:rPr>
          <w:rFonts w:hint="cs"/>
          <w:rtl/>
        </w:rPr>
        <w:t xml:space="preserve">אמנון </w:t>
      </w:r>
      <w:r w:rsidRPr="00326400">
        <w:rPr>
          <w:rFonts w:hint="eastAsia"/>
          <w:rtl/>
        </w:rPr>
        <w:t>פרנקל</w:t>
      </w:r>
      <w:r w:rsidRPr="00326400">
        <w:rPr>
          <w:rtl/>
        </w:rPr>
        <w:t xml:space="preserve">, </w:t>
      </w:r>
      <w:r>
        <w:rPr>
          <w:rFonts w:hint="cs"/>
          <w:rtl/>
        </w:rPr>
        <w:t>"</w:t>
      </w:r>
      <w:r w:rsidRPr="00326400">
        <w:rPr>
          <w:rFonts w:hint="eastAsia"/>
          <w:rtl/>
        </w:rPr>
        <w:t>חזון</w:t>
      </w:r>
      <w:r w:rsidRPr="00326400">
        <w:rPr>
          <w:rtl/>
        </w:rPr>
        <w:t xml:space="preserve"> </w:t>
      </w:r>
      <w:r w:rsidRPr="00326400">
        <w:rPr>
          <w:rFonts w:hint="eastAsia"/>
          <w:rtl/>
        </w:rPr>
        <w:t>בר</w:t>
      </w:r>
      <w:r w:rsidRPr="00326400">
        <w:rPr>
          <w:rtl/>
        </w:rPr>
        <w:t xml:space="preserve"> </w:t>
      </w:r>
      <w:r w:rsidRPr="00326400">
        <w:rPr>
          <w:rFonts w:hint="eastAsia"/>
          <w:rtl/>
        </w:rPr>
        <w:t>קיימא</w:t>
      </w:r>
      <w:r w:rsidRPr="00326400">
        <w:rPr>
          <w:rtl/>
        </w:rPr>
        <w:t xml:space="preserve"> </w:t>
      </w:r>
      <w:r w:rsidRPr="00326400">
        <w:rPr>
          <w:rFonts w:hint="eastAsia"/>
          <w:rtl/>
        </w:rPr>
        <w:t>מול</w:t>
      </w:r>
      <w:r w:rsidRPr="00326400">
        <w:rPr>
          <w:rtl/>
        </w:rPr>
        <w:t xml:space="preserve"> </w:t>
      </w:r>
      <w:r w:rsidRPr="00326400">
        <w:rPr>
          <w:rFonts w:hint="eastAsia"/>
          <w:rtl/>
        </w:rPr>
        <w:t>מציאות</w:t>
      </w:r>
      <w:r w:rsidRPr="00326400">
        <w:rPr>
          <w:rtl/>
        </w:rPr>
        <w:t xml:space="preserve"> </w:t>
      </w:r>
      <w:r w:rsidRPr="00326400">
        <w:rPr>
          <w:rFonts w:hint="eastAsia"/>
          <w:rtl/>
        </w:rPr>
        <w:t>זוחלת</w:t>
      </w:r>
      <w:r w:rsidRPr="00326400">
        <w:rPr>
          <w:rtl/>
        </w:rPr>
        <w:t xml:space="preserve"> </w:t>
      </w:r>
      <w:r w:rsidRPr="00326400">
        <w:rPr>
          <w:rFonts w:hint="eastAsia"/>
          <w:rtl/>
        </w:rPr>
        <w:t>תבנית</w:t>
      </w:r>
      <w:r w:rsidRPr="00326400">
        <w:rPr>
          <w:rtl/>
        </w:rPr>
        <w:t xml:space="preserve"> </w:t>
      </w:r>
      <w:r w:rsidRPr="00326400">
        <w:rPr>
          <w:rFonts w:hint="eastAsia"/>
          <w:rtl/>
        </w:rPr>
        <w:t>הזחילה</w:t>
      </w:r>
      <w:r w:rsidRPr="00326400">
        <w:rPr>
          <w:rtl/>
        </w:rPr>
        <w:t xml:space="preserve"> </w:t>
      </w:r>
      <w:r w:rsidRPr="00326400">
        <w:rPr>
          <w:rFonts w:hint="eastAsia"/>
          <w:rtl/>
        </w:rPr>
        <w:t>העירונית</w:t>
      </w:r>
      <w:r w:rsidRPr="00326400">
        <w:rPr>
          <w:rtl/>
        </w:rPr>
        <w:t xml:space="preserve"> </w:t>
      </w:r>
      <w:r w:rsidRPr="00326400">
        <w:rPr>
          <w:rFonts w:hint="eastAsia"/>
          <w:rtl/>
        </w:rPr>
        <w:t>בישראל</w:t>
      </w:r>
      <w:r>
        <w:rPr>
          <w:rFonts w:hint="cs"/>
          <w:rtl/>
        </w:rPr>
        <w:t>"</w:t>
      </w:r>
      <w:r w:rsidRPr="00326400">
        <w:rPr>
          <w:rtl/>
        </w:rPr>
        <w:t xml:space="preserve">, </w:t>
      </w:r>
      <w:r w:rsidRPr="00326400">
        <w:rPr>
          <w:rFonts w:hint="eastAsia"/>
          <w:rtl/>
        </w:rPr>
        <w:t>מוסד</w:t>
      </w:r>
      <w:r w:rsidRPr="00326400">
        <w:rPr>
          <w:rtl/>
        </w:rPr>
        <w:t xml:space="preserve"> </w:t>
      </w:r>
      <w:r w:rsidRPr="00326400">
        <w:rPr>
          <w:rFonts w:hint="eastAsia"/>
          <w:rtl/>
        </w:rPr>
        <w:t>שמואל</w:t>
      </w:r>
      <w:r w:rsidRPr="00326400">
        <w:rPr>
          <w:rtl/>
        </w:rPr>
        <w:t xml:space="preserve"> </w:t>
      </w:r>
      <w:r w:rsidRPr="00326400">
        <w:rPr>
          <w:rFonts w:hint="eastAsia"/>
          <w:rtl/>
        </w:rPr>
        <w:t>נאמן</w:t>
      </w:r>
      <w:r>
        <w:rPr>
          <w:rFonts w:hint="cs"/>
          <w:rtl/>
        </w:rPr>
        <w:t xml:space="preserve"> למחקר מדיניות לאומית</w:t>
      </w:r>
      <w:r w:rsidRPr="00326400">
        <w:rPr>
          <w:rtl/>
        </w:rPr>
        <w:t>, 2005)</w:t>
      </w:r>
      <w:r>
        <w:rPr>
          <w:rFonts w:hint="cs"/>
          <w:rtl/>
        </w:rPr>
        <w:t>.</w:t>
      </w:r>
    </w:p>
  </w:footnote>
  <w:footnote w:id="72">
    <w:p w:rsidR="00151194" w:rsidRPr="00E17860" w:rsidP="00DC5B13">
      <w:pPr>
        <w:pStyle w:val="FootnoteText"/>
        <w:rPr>
          <w:rtl/>
        </w:rPr>
      </w:pPr>
      <w:r w:rsidRPr="00326400">
        <w:rPr>
          <w:rStyle w:val="FootnoteReference1"/>
        </w:rPr>
        <w:footnoteRef/>
      </w:r>
      <w:r w:rsidRPr="00326400">
        <w:rPr>
          <w:rtl/>
        </w:rPr>
        <w:t xml:space="preserve"> </w:t>
      </w:r>
      <w:r w:rsidRPr="00326400">
        <w:rPr>
          <w:rtl/>
        </w:rPr>
        <w:tab/>
      </w:r>
      <w:r>
        <w:t xml:space="preserve">J. </w:t>
      </w:r>
      <w:r w:rsidRPr="00326400">
        <w:t xml:space="preserve">Claassens, </w:t>
      </w:r>
      <w:r>
        <w:t xml:space="preserve">E. </w:t>
      </w:r>
      <w:r w:rsidRPr="00326400">
        <w:t xml:space="preserve">Koomen and </w:t>
      </w:r>
      <w:r>
        <w:t>J.</w:t>
      </w:r>
      <w:r w:rsidRPr="00326400">
        <w:t xml:space="preserve"> Rouwendal, </w:t>
      </w:r>
      <w:r w:rsidRPr="00CB7503">
        <w:t xml:space="preserve">“Urban </w:t>
      </w:r>
      <w:r>
        <w:t>D</w:t>
      </w:r>
      <w:r w:rsidRPr="00CB7503">
        <w:t xml:space="preserve">ensity and </w:t>
      </w:r>
      <w:r>
        <w:t>S</w:t>
      </w:r>
      <w:r w:rsidRPr="00CB7503">
        <w:t xml:space="preserve">patial </w:t>
      </w:r>
      <w:r>
        <w:t>P</w:t>
      </w:r>
      <w:r w:rsidRPr="00CB7503">
        <w:t xml:space="preserve">lanning: The </w:t>
      </w:r>
      <w:r>
        <w:t>U</w:t>
      </w:r>
      <w:r w:rsidRPr="00CB7503">
        <w:t xml:space="preserve">nforeseen </w:t>
      </w:r>
      <w:r>
        <w:t>I</w:t>
      </w:r>
      <w:r w:rsidRPr="00CB7503">
        <w:t xml:space="preserve">mpacts of Dutch </w:t>
      </w:r>
      <w:r>
        <w:t>D</w:t>
      </w:r>
      <w:r w:rsidRPr="00CB7503">
        <w:t>evolution</w:t>
      </w:r>
      <w:r>
        <w:t>”</w:t>
      </w:r>
      <w:r w:rsidRPr="00326400">
        <w:t xml:space="preserve">, </w:t>
      </w:r>
      <w:r w:rsidRPr="00CB7503">
        <w:rPr>
          <w:i/>
          <w:iCs/>
        </w:rPr>
        <w:t>PLOS ONE</w:t>
      </w:r>
      <w:r>
        <w:t xml:space="preserve"> (2020), p. 1.</w:t>
      </w:r>
      <w:r>
        <w:rPr>
          <w:rtl/>
        </w:rPr>
        <w:t xml:space="preserve"> </w:t>
      </w:r>
    </w:p>
  </w:footnote>
  <w:footnote w:id="73">
    <w:p w:rsidR="00151194" w:rsidRPr="00172D2A" w:rsidP="00DC5B13">
      <w:pPr>
        <w:pStyle w:val="FootnoteText"/>
      </w:pPr>
      <w:r>
        <w:rPr>
          <w:rStyle w:val="FootnoteReference1"/>
        </w:rPr>
        <w:footnoteRef/>
      </w:r>
      <w:r>
        <w:rPr>
          <w:rtl/>
        </w:rPr>
        <w:t xml:space="preserve"> </w:t>
      </w:r>
      <w:r>
        <w:rPr>
          <w:rtl/>
        </w:rPr>
        <w:tab/>
      </w:r>
      <w:r w:rsidRPr="000F4E99">
        <w:rPr>
          <w:rFonts w:hint="cs"/>
          <w:rtl/>
        </w:rPr>
        <w:t>ראו</w:t>
      </w:r>
      <w:r>
        <w:rPr>
          <w:rFonts w:hint="cs"/>
          <w:rtl/>
        </w:rPr>
        <w:t xml:space="preserve"> לדוגמה: </w:t>
      </w:r>
      <w:r>
        <w:t xml:space="preserve">S. Musterd and W. Ostendorf, </w:t>
      </w:r>
      <w:r w:rsidRPr="00172D2A">
        <w:t>“</w:t>
      </w:r>
      <w:r w:rsidRPr="00CB7503">
        <w:t>Urban Renewal Policies in the Netherlands in an Era of Changing Welfare Regimes”</w:t>
      </w:r>
      <w:r w:rsidRPr="00172D2A">
        <w:t xml:space="preserve">, </w:t>
      </w:r>
      <w:r w:rsidRPr="00CB7503">
        <w:rPr>
          <w:i/>
          <w:iCs/>
        </w:rPr>
        <w:t>Urban Research &amp; Practice</w:t>
      </w:r>
      <w:r w:rsidRPr="00172D2A">
        <w:t>, 16(1) (2023), pp. 92-108.</w:t>
      </w:r>
    </w:p>
  </w:footnote>
  <w:footnote w:id="74">
    <w:p w:rsidR="00151194" w:rsidP="00DC5B13">
      <w:pPr>
        <w:pStyle w:val="FootnoteText"/>
      </w:pPr>
      <w:r>
        <w:rPr>
          <w:rStyle w:val="FootnoteReference1"/>
        </w:rPr>
        <w:footnoteRef/>
      </w:r>
      <w:r>
        <w:rPr>
          <w:rtl/>
        </w:rPr>
        <w:t xml:space="preserve"> </w:t>
      </w:r>
      <w:r>
        <w:rPr>
          <w:rtl/>
        </w:rPr>
        <w:tab/>
      </w:r>
      <w:r>
        <w:rPr>
          <w:rFonts w:hint="cs"/>
          <w:rtl/>
        </w:rPr>
        <w:t xml:space="preserve">ראו: </w:t>
      </w:r>
      <w:r w:rsidRPr="000F4E99">
        <w:rPr>
          <w:rFonts w:hint="cs"/>
          <w:rtl/>
        </w:rPr>
        <w:t>אתר</w:t>
      </w:r>
      <w:r>
        <w:rPr>
          <w:rFonts w:hint="cs"/>
          <w:rtl/>
        </w:rPr>
        <w:t xml:space="preserve"> המרשתת של המשרד להגנת הסביבה של ממשלת יפן. החוק של יפן להתחדשות עירונית נחקק ב-1969.</w:t>
      </w:r>
    </w:p>
  </w:footnote>
  <w:footnote w:id="75">
    <w:p w:rsidR="00151194" w:rsidP="00DC5B13">
      <w:pPr>
        <w:pStyle w:val="FootnoteText"/>
        <w:rPr>
          <w:rtl/>
        </w:rPr>
      </w:pPr>
      <w:r>
        <w:rPr>
          <w:rStyle w:val="FootnoteReference1"/>
        </w:rPr>
        <w:footnoteRef/>
      </w:r>
      <w:r>
        <w:rPr>
          <w:rtl/>
        </w:rPr>
        <w:t xml:space="preserve"> </w:t>
      </w:r>
      <w:r>
        <w:rPr>
          <w:rtl/>
        </w:rPr>
        <w:tab/>
      </w:r>
      <w:r w:rsidRPr="000F4E99">
        <w:rPr>
          <w:rFonts w:hint="cs"/>
          <w:rtl/>
        </w:rPr>
        <w:t>אתר</w:t>
      </w:r>
      <w:r>
        <w:rPr>
          <w:rFonts w:hint="cs"/>
          <w:rtl/>
        </w:rPr>
        <w:t xml:space="preserve"> המרשתת של משרד ראש הממשלה של יפן.</w:t>
      </w:r>
    </w:p>
  </w:footnote>
  <w:footnote w:id="76">
    <w:p w:rsidR="00151194" w:rsidP="00DC5B13">
      <w:pPr>
        <w:pStyle w:val="FootnoteText"/>
        <w:rPr>
          <w:rtl/>
        </w:rPr>
      </w:pPr>
      <w:r w:rsidRPr="00BE0E8F">
        <w:rPr>
          <w:rStyle w:val="FootnoteReference1"/>
        </w:rPr>
        <w:footnoteRef/>
      </w:r>
      <w:r w:rsidRPr="00BE0E8F">
        <w:rPr>
          <w:rtl/>
        </w:rPr>
        <w:t xml:space="preserve"> </w:t>
      </w:r>
      <w:r w:rsidRPr="00BE0E8F">
        <w:rPr>
          <w:rtl/>
        </w:rPr>
        <w:tab/>
      </w:r>
      <w:r w:rsidRPr="00BE0E8F">
        <w:rPr>
          <w:rFonts w:hint="cs"/>
          <w:rtl/>
        </w:rPr>
        <w:t xml:space="preserve">שם. </w:t>
      </w:r>
    </w:p>
  </w:footnote>
  <w:footnote w:id="77">
    <w:p w:rsidR="00151194" w:rsidP="00DC5B13">
      <w:pPr>
        <w:pStyle w:val="FootnoteText"/>
        <w:rPr>
          <w:rtl/>
        </w:rPr>
      </w:pPr>
      <w:r>
        <w:rPr>
          <w:rStyle w:val="FootnoteReference1"/>
        </w:rPr>
        <w:footnoteRef/>
      </w:r>
      <w:r>
        <w:rPr>
          <w:rtl/>
        </w:rPr>
        <w:t xml:space="preserve"> </w:t>
      </w:r>
      <w:r>
        <w:rPr>
          <w:rtl/>
        </w:rPr>
        <w:tab/>
      </w:r>
      <w:r>
        <w:t>Basic Policies for Urban Renaissance, section 4(1)</w:t>
      </w:r>
      <w:r>
        <w:rPr>
          <w:rFonts w:hint="cs"/>
          <w:rtl/>
        </w:rPr>
        <w:t xml:space="preserve"> ב</w:t>
      </w:r>
      <w:r w:rsidRPr="000F4E99">
        <w:rPr>
          <w:rFonts w:hint="cs"/>
          <w:rtl/>
        </w:rPr>
        <w:t>אתר</w:t>
      </w:r>
      <w:r>
        <w:rPr>
          <w:rFonts w:hint="cs"/>
          <w:rtl/>
        </w:rPr>
        <w:t xml:space="preserve"> המרשתת של משרד ראש הממשלה של יפן. </w:t>
      </w:r>
    </w:p>
  </w:footnote>
  <w:footnote w:id="78">
    <w:p w:rsidR="00151194" w:rsidP="00DC5B13">
      <w:pPr>
        <w:pStyle w:val="FootnoteText"/>
        <w:rPr>
          <w:rtl/>
        </w:rPr>
      </w:pPr>
      <w:r>
        <w:rPr>
          <w:rStyle w:val="FootnoteReference1"/>
        </w:rPr>
        <w:footnoteRef/>
      </w:r>
      <w:r>
        <w:rPr>
          <w:rtl/>
        </w:rPr>
        <w:t xml:space="preserve"> </w:t>
      </w:r>
      <w:r>
        <w:rPr>
          <w:rtl/>
        </w:rPr>
        <w:tab/>
      </w:r>
      <w:r w:rsidRPr="00A04FF1">
        <w:t>F. De Souza et al, “</w:t>
      </w:r>
      <w:r w:rsidRPr="00CB7503">
        <w:t>Solving Urban Problems Through Innovative Approach”</w:t>
      </w:r>
      <w:r w:rsidRPr="00A04FF1">
        <w:t xml:space="preserve">, </w:t>
      </w:r>
      <w:bookmarkStart w:id="25" w:name="_Hlk217653974"/>
      <w:r w:rsidRPr="00CB7503">
        <w:rPr>
          <w:i/>
          <w:iCs/>
        </w:rPr>
        <w:t>JICA Research Institute</w:t>
      </w:r>
      <w:r w:rsidRPr="00A04FF1">
        <w:t>, Tokyo (2018),</w:t>
      </w:r>
      <w:bookmarkEnd w:id="25"/>
      <w:r w:rsidRPr="00A04FF1">
        <w:t xml:space="preserve"> p. 34.</w:t>
      </w:r>
    </w:p>
  </w:footnote>
  <w:footnote w:id="79">
    <w:p w:rsidR="00151194" w:rsidRPr="00B54284" w:rsidP="00DC5B13">
      <w:pPr>
        <w:pStyle w:val="FootnoteText"/>
        <w:rPr>
          <w:rtl/>
        </w:rPr>
      </w:pPr>
      <w:r w:rsidRPr="00BE0E8F">
        <w:rPr>
          <w:rStyle w:val="FootnoteReference1"/>
        </w:rPr>
        <w:footnoteRef/>
      </w:r>
      <w:r w:rsidRPr="00BE0E8F">
        <w:rPr>
          <w:rtl/>
        </w:rPr>
        <w:t xml:space="preserve"> </w:t>
      </w:r>
      <w:r w:rsidRPr="00BE0E8F">
        <w:rPr>
          <w:rtl/>
        </w:rPr>
        <w:tab/>
      </w:r>
      <w:r w:rsidRPr="00BE0E8F">
        <w:rPr>
          <w:rFonts w:hint="cs"/>
          <w:rtl/>
        </w:rPr>
        <w:t>שם.</w:t>
      </w:r>
      <w:r>
        <w:t xml:space="preserve"> </w:t>
      </w:r>
    </w:p>
  </w:footnote>
  <w:footnote w:id="80">
    <w:p w:rsidR="00151194" w:rsidRPr="0062199F" w:rsidP="00DC5B13">
      <w:pPr>
        <w:pStyle w:val="FootnoteText"/>
        <w:rPr>
          <w:rtl/>
        </w:rPr>
      </w:pPr>
      <w:r>
        <w:rPr>
          <w:rStyle w:val="FootnoteReference1"/>
        </w:rPr>
        <w:footnoteRef/>
      </w:r>
      <w:r>
        <w:rPr>
          <w:rtl/>
        </w:rPr>
        <w:t xml:space="preserve"> </w:t>
      </w:r>
      <w:r>
        <w:rPr>
          <w:rtl/>
        </w:rPr>
        <w:tab/>
      </w:r>
      <w:r>
        <w:rPr>
          <w:rFonts w:hint="cs"/>
          <w:rtl/>
        </w:rPr>
        <w:t xml:space="preserve">אחד המניעים לביצוע תוכנית כזו הוא הרצון להחליף בניינים ישנים, החשופים לנזק משריפות ומרעידות אדמה, בבניינים חדשים עמידים יותר. </w:t>
      </w:r>
      <w:r w:rsidRPr="000F4E99">
        <w:rPr>
          <w:rFonts w:hint="cs"/>
          <w:rtl/>
        </w:rPr>
        <w:t>מיזם</w:t>
      </w:r>
      <w:r>
        <w:rPr>
          <w:rFonts w:hint="cs"/>
          <w:rtl/>
        </w:rPr>
        <w:t xml:space="preserve"> ההתחדשות </w:t>
      </w:r>
      <w:r>
        <w:t>East Core Hikifune</w:t>
      </w:r>
      <w:r>
        <w:rPr>
          <w:rFonts w:hint="cs"/>
          <w:rtl/>
        </w:rPr>
        <w:t xml:space="preserve"> ברובע </w:t>
      </w:r>
      <w:r w:rsidRPr="0062199F">
        <w:t>Sumida-</w:t>
      </w:r>
      <w:r>
        <w:t>K</w:t>
      </w:r>
      <w:r w:rsidRPr="0062199F">
        <w:t>u</w:t>
      </w:r>
      <w:r>
        <w:rPr>
          <w:rFonts w:hint="cs"/>
          <w:rtl/>
        </w:rPr>
        <w:t xml:space="preserve"> בטוקיו הוא דוגמה ליישום התוכנית להתחדשות אנכית.</w:t>
      </w:r>
    </w:p>
  </w:footnote>
  <w:footnote w:id="81">
    <w:p w:rsidR="00151194" w:rsidP="00DC5B13">
      <w:pPr>
        <w:pStyle w:val="FootnoteText"/>
        <w:rPr>
          <w:rtl/>
        </w:rPr>
      </w:pPr>
      <w:r>
        <w:rPr>
          <w:rStyle w:val="FootnoteReference1"/>
        </w:rPr>
        <w:footnoteRef/>
      </w:r>
      <w:r>
        <w:rPr>
          <w:rtl/>
        </w:rPr>
        <w:t xml:space="preserve"> </w:t>
      </w:r>
      <w:r>
        <w:rPr>
          <w:rtl/>
        </w:rPr>
        <w:tab/>
      </w:r>
      <w:r>
        <w:t xml:space="preserve">F. De Souza et al., </w:t>
      </w:r>
      <w:r w:rsidRPr="00A04FF1">
        <w:t>“</w:t>
      </w:r>
      <w:r w:rsidRPr="00353993">
        <w:t>Solving Urban Problems Through Innovative Approach”</w:t>
      </w:r>
      <w:r w:rsidRPr="00A04FF1">
        <w:t>,</w:t>
      </w:r>
      <w:r>
        <w:t xml:space="preserve"> p. 27.</w:t>
      </w:r>
    </w:p>
  </w:footnote>
  <w:footnote w:id="82">
    <w:p w:rsidR="00151194" w:rsidRPr="00753508" w:rsidP="00DC5B13">
      <w:pPr>
        <w:spacing w:line="240" w:lineRule="auto"/>
      </w:pPr>
      <w:r>
        <w:rPr>
          <w:rStyle w:val="FootnoteReference1"/>
        </w:rPr>
        <w:footnoteRef/>
      </w:r>
      <w:r>
        <w:rPr>
          <w:rtl/>
        </w:rPr>
        <w:t xml:space="preserve"> </w:t>
      </w:r>
      <w:r>
        <w:rPr>
          <w:rtl/>
        </w:rPr>
        <w:tab/>
      </w:r>
      <w:r w:rsidRPr="0000200C">
        <w:rPr>
          <w:rFonts w:hint="eastAsia"/>
          <w:szCs w:val="20"/>
          <w:rtl/>
        </w:rPr>
        <w:t>מינהל</w:t>
      </w:r>
      <w:r w:rsidRPr="0000200C">
        <w:rPr>
          <w:szCs w:val="20"/>
          <w:rtl/>
        </w:rPr>
        <w:t xml:space="preserve"> התכנון, </w:t>
      </w:r>
      <w:r w:rsidRPr="00353993">
        <w:rPr>
          <w:rFonts w:hint="eastAsia"/>
          <w:b/>
          <w:bCs/>
          <w:szCs w:val="20"/>
          <w:rtl/>
        </w:rPr>
        <w:t>תמ</w:t>
      </w:r>
      <w:r w:rsidRPr="00353993">
        <w:rPr>
          <w:b/>
          <w:bCs/>
          <w:szCs w:val="20"/>
          <w:rtl/>
        </w:rPr>
        <w:t>"א 35</w:t>
      </w:r>
      <w:r w:rsidRPr="0000200C">
        <w:rPr>
          <w:b/>
          <w:bCs/>
          <w:szCs w:val="20"/>
          <w:rtl/>
        </w:rPr>
        <w:t xml:space="preserve"> - תכנית מתאר ארצית משולבת לבנייה, לפיתוח ולשימור, </w:t>
      </w:r>
      <w:r w:rsidRPr="00353993">
        <w:rPr>
          <w:rFonts w:hint="eastAsia"/>
          <w:b/>
          <w:bCs/>
          <w:szCs w:val="20"/>
          <w:rtl/>
        </w:rPr>
        <w:t>כרך</w:t>
      </w:r>
      <w:r w:rsidRPr="00353993">
        <w:rPr>
          <w:b/>
          <w:bCs/>
          <w:szCs w:val="20"/>
          <w:rtl/>
        </w:rPr>
        <w:t xml:space="preserve"> </w:t>
      </w:r>
      <w:r w:rsidRPr="00353993">
        <w:rPr>
          <w:rFonts w:hint="eastAsia"/>
          <w:b/>
          <w:bCs/>
          <w:szCs w:val="20"/>
          <w:rtl/>
        </w:rPr>
        <w:t>אמצעי</w:t>
      </w:r>
      <w:r w:rsidRPr="00353993">
        <w:rPr>
          <w:b/>
          <w:bCs/>
          <w:szCs w:val="20"/>
          <w:rtl/>
        </w:rPr>
        <w:t xml:space="preserve"> </w:t>
      </w:r>
      <w:r w:rsidRPr="0000200C">
        <w:rPr>
          <w:b/>
          <w:bCs/>
          <w:szCs w:val="20"/>
          <w:rtl/>
        </w:rPr>
        <w:tab/>
      </w:r>
      <w:r w:rsidRPr="00353993">
        <w:rPr>
          <w:rFonts w:hint="eastAsia"/>
          <w:b/>
          <w:bCs/>
          <w:szCs w:val="20"/>
          <w:rtl/>
        </w:rPr>
        <w:t>מדיניות</w:t>
      </w:r>
      <w:r w:rsidRPr="00353993">
        <w:rPr>
          <w:b/>
          <w:bCs/>
          <w:szCs w:val="20"/>
          <w:rtl/>
        </w:rPr>
        <w:t xml:space="preserve">: </w:t>
      </w:r>
      <w:r w:rsidRPr="00353993">
        <w:rPr>
          <w:rFonts w:hint="eastAsia"/>
          <w:b/>
          <w:bCs/>
          <w:szCs w:val="20"/>
          <w:rtl/>
        </w:rPr>
        <w:t>אמצעי</w:t>
      </w:r>
      <w:r w:rsidRPr="00353993">
        <w:rPr>
          <w:b/>
          <w:bCs/>
          <w:szCs w:val="20"/>
          <w:rtl/>
        </w:rPr>
        <w:t xml:space="preserve"> </w:t>
      </w:r>
      <w:r w:rsidRPr="00353993">
        <w:rPr>
          <w:rFonts w:hint="eastAsia"/>
          <w:b/>
          <w:bCs/>
          <w:szCs w:val="20"/>
          <w:rtl/>
        </w:rPr>
        <w:t>מדיניות</w:t>
      </w:r>
      <w:r w:rsidRPr="00353993">
        <w:rPr>
          <w:b/>
          <w:bCs/>
          <w:szCs w:val="20"/>
          <w:rtl/>
        </w:rPr>
        <w:t xml:space="preserve"> </w:t>
      </w:r>
      <w:r w:rsidRPr="00353993">
        <w:rPr>
          <w:rFonts w:hint="eastAsia"/>
          <w:b/>
          <w:bCs/>
          <w:szCs w:val="20"/>
          <w:rtl/>
        </w:rPr>
        <w:t>ליישום</w:t>
      </w:r>
      <w:r w:rsidRPr="00353993">
        <w:rPr>
          <w:b/>
          <w:bCs/>
          <w:szCs w:val="20"/>
          <w:rtl/>
        </w:rPr>
        <w:t xml:space="preserve"> </w:t>
      </w:r>
      <w:r w:rsidRPr="00353993">
        <w:rPr>
          <w:rFonts w:hint="eastAsia"/>
          <w:b/>
          <w:bCs/>
          <w:szCs w:val="20"/>
          <w:rtl/>
        </w:rPr>
        <w:t>התכנית</w:t>
      </w:r>
      <w:r w:rsidRPr="0000200C">
        <w:rPr>
          <w:szCs w:val="20"/>
          <w:rtl/>
        </w:rPr>
        <w:t xml:space="preserve">, </w:t>
      </w:r>
      <w:r w:rsidRPr="0000200C">
        <w:rPr>
          <w:rFonts w:hint="eastAsia"/>
          <w:szCs w:val="20"/>
          <w:rtl/>
        </w:rPr>
        <w:t>עמ</w:t>
      </w:r>
      <w:r w:rsidRPr="0000200C">
        <w:rPr>
          <w:szCs w:val="20"/>
          <w:rtl/>
        </w:rPr>
        <w:t>' 175 - 182,</w:t>
      </w:r>
      <w:r w:rsidRPr="00D338A9">
        <w:rPr>
          <w:rtl/>
        </w:rPr>
        <w:t xml:space="preserve"> </w:t>
      </w:r>
      <w:r w:rsidRPr="00545E30">
        <w:t>www.gov.il/he/pages/tama_35_info</w:t>
      </w:r>
      <w:r w:rsidRPr="00753508">
        <w:rPr>
          <w:rFonts w:hint="cs"/>
          <w:szCs w:val="20"/>
          <w:rtl/>
        </w:rPr>
        <w:t>.</w:t>
      </w:r>
    </w:p>
  </w:footnote>
  <w:footnote w:id="83">
    <w:p w:rsidR="00151194" w:rsidP="00DC5B13">
      <w:pPr>
        <w:pStyle w:val="FootnoteText"/>
        <w:rPr>
          <w:rtl/>
        </w:rPr>
      </w:pPr>
      <w:r>
        <w:rPr>
          <w:rStyle w:val="FootnoteReference1"/>
        </w:rPr>
        <w:footnoteRef/>
      </w:r>
      <w:r>
        <w:rPr>
          <w:rtl/>
        </w:rPr>
        <w:t xml:space="preserve"> </w:t>
      </w:r>
      <w:r>
        <w:rPr>
          <w:rtl/>
        </w:rPr>
        <w:tab/>
      </w:r>
      <w:r>
        <w:rPr>
          <w:rFonts w:hint="cs"/>
          <w:rtl/>
        </w:rPr>
        <w:t>משרד ראש הממשלה, החלטה מס. 4467 של הממשלה - תוכנית מתאר ארצית משולבת לבנייה, לפיתוח ולשימור, נובמבר 2005, ס' 2.</w:t>
      </w:r>
    </w:p>
  </w:footnote>
  <w:footnote w:id="84">
    <w:p w:rsidR="00151194" w:rsidP="00DC5B13">
      <w:pPr>
        <w:pStyle w:val="FootnoteText"/>
      </w:pPr>
      <w:r>
        <w:rPr>
          <w:rStyle w:val="FootnoteReference1"/>
        </w:rPr>
        <w:footnoteRef/>
      </w:r>
      <w:r>
        <w:rPr>
          <w:rtl/>
        </w:rPr>
        <w:t xml:space="preserve"> </w:t>
      </w:r>
      <w:r>
        <w:rPr>
          <w:rtl/>
        </w:rPr>
        <w:tab/>
      </w:r>
      <w:r>
        <w:rPr>
          <w:rFonts w:hint="cs"/>
          <w:rtl/>
        </w:rPr>
        <w:t>נטע זיו, "</w:t>
      </w:r>
      <w:r w:rsidRPr="00353993">
        <w:rPr>
          <w:rtl/>
        </w:rPr>
        <w:t>התחדשות עירונית בישראל: דינמיקה של מרחב חברתי ורגולטורי</w:t>
      </w:r>
      <w:r>
        <w:rPr>
          <w:rFonts w:hint="cs"/>
          <w:rtl/>
        </w:rPr>
        <w:t xml:space="preserve">", </w:t>
      </w:r>
      <w:r w:rsidRPr="00353993">
        <w:rPr>
          <w:rFonts w:hint="eastAsia"/>
          <w:b/>
          <w:bCs/>
          <w:rtl/>
        </w:rPr>
        <w:t>משפט</w:t>
      </w:r>
      <w:r w:rsidRPr="00353993">
        <w:rPr>
          <w:b/>
          <w:bCs/>
          <w:rtl/>
        </w:rPr>
        <w:t xml:space="preserve"> </w:t>
      </w:r>
      <w:r w:rsidRPr="00353993">
        <w:rPr>
          <w:rFonts w:hint="eastAsia"/>
          <w:b/>
          <w:bCs/>
          <w:rtl/>
        </w:rPr>
        <w:t>חברה</w:t>
      </w:r>
      <w:r w:rsidRPr="00353993">
        <w:rPr>
          <w:b/>
          <w:bCs/>
          <w:rtl/>
        </w:rPr>
        <w:t xml:space="preserve"> </w:t>
      </w:r>
      <w:r w:rsidRPr="00353993">
        <w:rPr>
          <w:rFonts w:hint="eastAsia"/>
          <w:b/>
          <w:bCs/>
          <w:rtl/>
        </w:rPr>
        <w:t>ותרבות</w:t>
      </w:r>
      <w:r>
        <w:rPr>
          <w:rFonts w:hint="cs"/>
          <w:rtl/>
        </w:rPr>
        <w:t xml:space="preserve">, ה' עמ' 15 - 45. </w:t>
      </w:r>
    </w:p>
  </w:footnote>
  <w:footnote w:id="85">
    <w:p w:rsidR="00151194" w:rsidRPr="00545E30" w:rsidP="00DC5B13">
      <w:pPr>
        <w:pStyle w:val="FootnoteText"/>
      </w:pPr>
      <w:r>
        <w:rPr>
          <w:rStyle w:val="FootnoteReference1"/>
        </w:rPr>
        <w:footnoteRef/>
      </w:r>
      <w:r>
        <w:rPr>
          <w:rtl/>
        </w:rPr>
        <w:t xml:space="preserve"> </w:t>
      </w:r>
      <w:r>
        <w:rPr>
          <w:rtl/>
        </w:rPr>
        <w:tab/>
        <w:t>מבקר המדינה</w:t>
      </w:r>
      <w:r>
        <w:rPr>
          <w:rFonts w:hint="cs"/>
          <w:rtl/>
        </w:rPr>
        <w:t>,</w:t>
      </w:r>
      <w:r>
        <w:rPr>
          <w:rtl/>
        </w:rPr>
        <w:t xml:space="preserve"> </w:t>
      </w:r>
      <w:r w:rsidRPr="00353993">
        <w:rPr>
          <w:rFonts w:hint="eastAsia"/>
          <w:b/>
          <w:bCs/>
          <w:rtl/>
        </w:rPr>
        <w:t>דוח</w:t>
      </w:r>
      <w:r w:rsidRPr="00353993">
        <w:rPr>
          <w:b/>
          <w:bCs/>
          <w:rtl/>
        </w:rPr>
        <w:t xml:space="preserve"> </w:t>
      </w:r>
      <w:r w:rsidRPr="00353993">
        <w:rPr>
          <w:rFonts w:hint="eastAsia"/>
          <w:b/>
          <w:bCs/>
          <w:rtl/>
        </w:rPr>
        <w:t>שנתי</w:t>
      </w:r>
      <w:r w:rsidRPr="00353993">
        <w:rPr>
          <w:b/>
          <w:bCs/>
          <w:rtl/>
        </w:rPr>
        <w:t xml:space="preserve"> 66ג</w:t>
      </w:r>
      <w:r>
        <w:rPr>
          <w:rFonts w:hint="cs"/>
          <w:rtl/>
        </w:rPr>
        <w:t xml:space="preserve"> (2016), </w:t>
      </w:r>
      <w:r w:rsidRPr="00545E30">
        <w:rPr>
          <w:rtl/>
        </w:rPr>
        <w:t>"</w:t>
      </w:r>
      <w:r w:rsidRPr="00353993">
        <w:rPr>
          <w:rtl/>
        </w:rPr>
        <w:t>משרד הבינוי והשיכון - פעולות הממשלה לקידום התחדשות עירונית כצורך לאומי",</w:t>
      </w:r>
      <w:r w:rsidRPr="00545E30">
        <w:rPr>
          <w:rtl/>
        </w:rPr>
        <w:t xml:space="preserve"> </w:t>
      </w:r>
      <w:r w:rsidRPr="00545E30">
        <w:rPr>
          <w:rFonts w:hint="eastAsia"/>
          <w:rtl/>
        </w:rPr>
        <w:t>עמ</w:t>
      </w:r>
      <w:r w:rsidRPr="00545E30">
        <w:rPr>
          <w:rtl/>
        </w:rPr>
        <w:t xml:space="preserve">' 1245. </w:t>
      </w:r>
    </w:p>
  </w:footnote>
  <w:footnote w:id="86">
    <w:p w:rsidR="00151194" w:rsidRPr="008C574A" w:rsidP="00DC5B13">
      <w:pPr>
        <w:pStyle w:val="FootnoteText"/>
        <w:rPr>
          <w:rtl/>
        </w:rPr>
      </w:pPr>
      <w:r>
        <w:rPr>
          <w:rStyle w:val="FootnoteReference1"/>
        </w:rPr>
        <w:footnoteRef/>
      </w:r>
      <w:r>
        <w:rPr>
          <w:rtl/>
        </w:rPr>
        <w:t xml:space="preserve"> </w:t>
      </w:r>
      <w:r>
        <w:rPr>
          <w:rtl/>
        </w:rPr>
        <w:tab/>
      </w:r>
      <w:r w:rsidRPr="008C574A">
        <w:rPr>
          <w:rFonts w:hint="cs"/>
          <w:rtl/>
        </w:rPr>
        <w:t>שיעור ההשתתפות חושב</w:t>
      </w:r>
      <w:r w:rsidRPr="008C574A">
        <w:rPr>
          <w:rtl/>
        </w:rPr>
        <w:t xml:space="preserve"> בהתאם לסך גביית הארנונה לנפש </w:t>
      </w:r>
      <w:r w:rsidRPr="008C574A">
        <w:rPr>
          <w:rFonts w:hint="eastAsia"/>
          <w:rtl/>
        </w:rPr>
        <w:t>וחולק</w:t>
      </w:r>
      <w:r w:rsidRPr="008C574A">
        <w:rPr>
          <w:rtl/>
        </w:rPr>
        <w:t xml:space="preserve"> </w:t>
      </w:r>
      <w:r w:rsidRPr="008C574A">
        <w:rPr>
          <w:rFonts w:hint="eastAsia"/>
          <w:rtl/>
        </w:rPr>
        <w:t>לשלוש</w:t>
      </w:r>
      <w:r w:rsidRPr="008C574A">
        <w:rPr>
          <w:rtl/>
        </w:rPr>
        <w:t xml:space="preserve"> </w:t>
      </w:r>
      <w:r w:rsidRPr="008C574A">
        <w:rPr>
          <w:rFonts w:hint="eastAsia"/>
          <w:rtl/>
        </w:rPr>
        <w:t>מדרגות</w:t>
      </w:r>
      <w:r w:rsidRPr="008C574A">
        <w:rPr>
          <w:rtl/>
        </w:rPr>
        <w:t>: ממוצע גבייה של 1,500</w:t>
      </w:r>
      <w:r>
        <w:rPr>
          <w:rtl/>
        </w:rPr>
        <w:t xml:space="preserve"> </w:t>
      </w:r>
      <w:r w:rsidRPr="008C574A">
        <w:rPr>
          <w:rtl/>
        </w:rPr>
        <w:t>- 2,500</w:t>
      </w:r>
      <w:r>
        <w:rPr>
          <w:rtl/>
        </w:rPr>
        <w:t xml:space="preserve"> </w:t>
      </w:r>
      <w:r w:rsidRPr="008C574A">
        <w:rPr>
          <w:rFonts w:hint="eastAsia"/>
          <w:rtl/>
        </w:rPr>
        <w:t>ש</w:t>
      </w:r>
      <w:r w:rsidRPr="008C574A">
        <w:rPr>
          <w:rtl/>
        </w:rPr>
        <w:t xml:space="preserve">"ח לנפש זיכה בשיעור השתתפות של 75% לכל היותר, </w:t>
      </w:r>
      <w:r w:rsidRPr="008C574A">
        <w:rPr>
          <w:rFonts w:hint="eastAsia"/>
          <w:rtl/>
        </w:rPr>
        <w:t>ואילו</w:t>
      </w:r>
      <w:r w:rsidRPr="008C574A">
        <w:rPr>
          <w:rtl/>
        </w:rPr>
        <w:t xml:space="preserve"> ממוצע של 3,501 - 4,000 </w:t>
      </w:r>
      <w:r w:rsidRPr="008C574A">
        <w:rPr>
          <w:rFonts w:hint="eastAsia"/>
          <w:rtl/>
        </w:rPr>
        <w:t>ש</w:t>
      </w:r>
      <w:r w:rsidRPr="008C574A">
        <w:rPr>
          <w:rtl/>
        </w:rPr>
        <w:t xml:space="preserve">"ח </w:t>
      </w:r>
      <w:r w:rsidRPr="008C574A">
        <w:rPr>
          <w:rFonts w:hint="eastAsia"/>
          <w:rtl/>
        </w:rPr>
        <w:t>לנפש</w:t>
      </w:r>
      <w:r w:rsidRPr="008C574A">
        <w:rPr>
          <w:rtl/>
        </w:rPr>
        <w:t xml:space="preserve"> </w:t>
      </w:r>
      <w:r w:rsidRPr="008C574A">
        <w:rPr>
          <w:rFonts w:hint="eastAsia"/>
          <w:rtl/>
        </w:rPr>
        <w:t>זיכה</w:t>
      </w:r>
      <w:r w:rsidRPr="008C574A">
        <w:rPr>
          <w:rtl/>
        </w:rPr>
        <w:t xml:space="preserve"> </w:t>
      </w:r>
      <w:r w:rsidRPr="008C574A">
        <w:rPr>
          <w:rFonts w:hint="eastAsia"/>
          <w:rtl/>
        </w:rPr>
        <w:t>בשיעור</w:t>
      </w:r>
      <w:r w:rsidRPr="008C574A">
        <w:rPr>
          <w:rtl/>
        </w:rPr>
        <w:t xml:space="preserve"> </w:t>
      </w:r>
      <w:r w:rsidRPr="008C574A">
        <w:rPr>
          <w:rFonts w:hint="eastAsia"/>
          <w:rtl/>
        </w:rPr>
        <w:t>השתתפות</w:t>
      </w:r>
      <w:r w:rsidRPr="008C574A">
        <w:rPr>
          <w:rtl/>
        </w:rPr>
        <w:t xml:space="preserve"> </w:t>
      </w:r>
      <w:r w:rsidRPr="008C574A">
        <w:rPr>
          <w:rFonts w:hint="eastAsia"/>
          <w:rtl/>
        </w:rPr>
        <w:t>של</w:t>
      </w:r>
      <w:r w:rsidRPr="008C574A">
        <w:rPr>
          <w:rtl/>
        </w:rPr>
        <w:t xml:space="preserve"> 35% </w:t>
      </w:r>
      <w:r w:rsidRPr="008C574A">
        <w:rPr>
          <w:rFonts w:hint="eastAsia"/>
          <w:rtl/>
        </w:rPr>
        <w:t>לכל</w:t>
      </w:r>
      <w:r w:rsidRPr="008C574A">
        <w:rPr>
          <w:rtl/>
        </w:rPr>
        <w:t xml:space="preserve"> </w:t>
      </w:r>
      <w:r w:rsidRPr="008C574A">
        <w:rPr>
          <w:rFonts w:hint="eastAsia"/>
          <w:rtl/>
        </w:rPr>
        <w:t>הפחות</w:t>
      </w:r>
      <w:r w:rsidRPr="008C574A">
        <w:rPr>
          <w:rtl/>
        </w:rPr>
        <w:t>.</w:t>
      </w:r>
    </w:p>
  </w:footnote>
  <w:footnote w:id="87">
    <w:p w:rsidR="00151194" w:rsidP="00DC5B13">
      <w:pPr>
        <w:pStyle w:val="FootnoteText"/>
        <w:rPr>
          <w:rtl/>
        </w:rPr>
      </w:pPr>
      <w:r w:rsidRPr="008C574A">
        <w:rPr>
          <w:rStyle w:val="FootnoteReference1"/>
        </w:rPr>
        <w:footnoteRef/>
      </w:r>
      <w:r w:rsidRPr="008C574A">
        <w:rPr>
          <w:rtl/>
        </w:rPr>
        <w:t xml:space="preserve"> </w:t>
      </w:r>
      <w:r w:rsidRPr="008C574A">
        <w:rPr>
          <w:rtl/>
        </w:rPr>
        <w:tab/>
      </w:r>
      <w:r w:rsidRPr="008C574A">
        <w:rPr>
          <w:rFonts w:hint="cs"/>
          <w:rtl/>
        </w:rPr>
        <w:t xml:space="preserve">כמו כן הוגדל טווח ממוצע סך הגבייה מארנונה לנפש </w:t>
      </w:r>
      <w:r w:rsidRPr="008C574A">
        <w:rPr>
          <w:rFonts w:hint="eastAsia"/>
          <w:rtl/>
        </w:rPr>
        <w:t>באופן</w:t>
      </w:r>
      <w:r w:rsidRPr="008C574A">
        <w:rPr>
          <w:rtl/>
        </w:rPr>
        <w:t xml:space="preserve"> שהמדרגה הראשונה - </w:t>
      </w:r>
      <w:r w:rsidRPr="008C574A">
        <w:rPr>
          <w:rFonts w:hint="eastAsia"/>
          <w:rtl/>
        </w:rPr>
        <w:t>ממוצע</w:t>
      </w:r>
      <w:r w:rsidRPr="008C574A">
        <w:rPr>
          <w:rtl/>
        </w:rPr>
        <w:t xml:space="preserve"> </w:t>
      </w:r>
      <w:r w:rsidRPr="008C574A">
        <w:rPr>
          <w:rFonts w:hint="eastAsia"/>
          <w:rtl/>
        </w:rPr>
        <w:t>גבייה</w:t>
      </w:r>
      <w:r w:rsidRPr="008C574A">
        <w:rPr>
          <w:rtl/>
        </w:rPr>
        <w:t xml:space="preserve"> </w:t>
      </w:r>
      <w:r w:rsidRPr="008C574A">
        <w:rPr>
          <w:rFonts w:hint="eastAsia"/>
          <w:rtl/>
        </w:rPr>
        <w:t>של</w:t>
      </w:r>
      <w:r w:rsidRPr="008C574A">
        <w:rPr>
          <w:rtl/>
        </w:rPr>
        <w:t xml:space="preserve"> </w:t>
      </w:r>
      <w:r w:rsidRPr="008C574A">
        <w:rPr>
          <w:rFonts w:hint="eastAsia"/>
          <w:rtl/>
        </w:rPr>
        <w:t>עד</w:t>
      </w:r>
      <w:r w:rsidRPr="008C574A">
        <w:rPr>
          <w:rtl/>
        </w:rPr>
        <w:t xml:space="preserve"> 3,000 </w:t>
      </w:r>
      <w:r w:rsidRPr="008C574A">
        <w:rPr>
          <w:rFonts w:hint="eastAsia"/>
          <w:rtl/>
        </w:rPr>
        <w:t>ש</w:t>
      </w:r>
      <w:r w:rsidRPr="008C574A">
        <w:rPr>
          <w:rtl/>
        </w:rPr>
        <w:t>"ח - זיכ</w:t>
      </w:r>
      <w:r w:rsidRPr="008C574A">
        <w:rPr>
          <w:rFonts w:hint="eastAsia"/>
          <w:rtl/>
        </w:rPr>
        <w:t>תה</w:t>
      </w:r>
      <w:r w:rsidRPr="008C574A">
        <w:rPr>
          <w:rtl/>
        </w:rPr>
        <w:t xml:space="preserve"> ב-80% מימון לכל היותר, וממוצע גבייה של </w:t>
      </w:r>
      <w:r w:rsidRPr="008C574A">
        <w:rPr>
          <w:rFonts w:hint="eastAsia"/>
          <w:rtl/>
        </w:rPr>
        <w:t>יותר</w:t>
      </w:r>
      <w:r w:rsidRPr="008C574A">
        <w:rPr>
          <w:rtl/>
        </w:rPr>
        <w:t xml:space="preserve"> </w:t>
      </w:r>
      <w:r w:rsidRPr="008C574A">
        <w:rPr>
          <w:rFonts w:hint="eastAsia"/>
          <w:rtl/>
        </w:rPr>
        <w:t>מ</w:t>
      </w:r>
      <w:r w:rsidRPr="008C574A">
        <w:rPr>
          <w:rtl/>
        </w:rPr>
        <w:t xml:space="preserve">-4,000 </w:t>
      </w:r>
      <w:r w:rsidRPr="008C574A">
        <w:rPr>
          <w:rFonts w:hint="eastAsia"/>
          <w:rtl/>
        </w:rPr>
        <w:t>ש</w:t>
      </w:r>
      <w:r w:rsidRPr="008C574A">
        <w:rPr>
          <w:rtl/>
        </w:rPr>
        <w:t>"ח לנפש זיכה ב-45% מימון לכל הפחות.</w:t>
      </w:r>
      <w:r>
        <w:rPr>
          <w:rFonts w:hint="cs"/>
          <w:rtl/>
        </w:rPr>
        <w:t xml:space="preserve"> </w:t>
      </w:r>
    </w:p>
  </w:footnote>
  <w:footnote w:id="88">
    <w:p w:rsidR="00151194" w:rsidP="00DC5B13">
      <w:pPr>
        <w:pStyle w:val="FootnoteText"/>
        <w:rPr>
          <w:rtl/>
        </w:rPr>
      </w:pPr>
      <w:r>
        <w:rPr>
          <w:rStyle w:val="FootnoteReference1"/>
        </w:rPr>
        <w:footnoteRef/>
      </w:r>
      <w:r>
        <w:rPr>
          <w:rtl/>
        </w:rPr>
        <w:t xml:space="preserve"> </w:t>
      </w:r>
      <w:r>
        <w:rPr>
          <w:rtl/>
        </w:rPr>
        <w:tab/>
      </w:r>
      <w:r>
        <w:rPr>
          <w:rFonts w:hint="cs"/>
          <w:rtl/>
        </w:rPr>
        <w:t xml:space="preserve">בשנת 2023 זכתה עיריית </w:t>
      </w:r>
      <w:r w:rsidRPr="00E41B98">
        <w:rPr>
          <w:rFonts w:hint="eastAsia"/>
          <w:b/>
          <w:bCs/>
          <w:rtl/>
        </w:rPr>
        <w:t>קריית</w:t>
      </w:r>
      <w:r w:rsidRPr="00E41B98">
        <w:rPr>
          <w:b/>
          <w:bCs/>
          <w:rtl/>
        </w:rPr>
        <w:t xml:space="preserve"> </w:t>
      </w:r>
      <w:r w:rsidRPr="00E41B98">
        <w:rPr>
          <w:rFonts w:hint="eastAsia"/>
          <w:b/>
          <w:bCs/>
          <w:rtl/>
        </w:rPr>
        <w:t>שמונה</w:t>
      </w:r>
      <w:r>
        <w:rPr>
          <w:rFonts w:hint="cs"/>
          <w:rtl/>
        </w:rPr>
        <w:t xml:space="preserve"> בקול קורא 2/2023 והחלה לקבל שירותי ייעוץ בתחומי התכנון והחברה מטעם המינהלת האזורית, אולם החל משנת 2025 מקימה העירייה מינהלת עירונית במימון ממשלתי מלא בעקבות החלטת הממשלה</w:t>
      </w:r>
      <w:r w:rsidRPr="00F403B0">
        <w:rPr>
          <w:rFonts w:hint="cs"/>
          <w:rtl/>
        </w:rPr>
        <w:t xml:space="preserve"> 1786 מיום 27.5.24</w:t>
      </w:r>
      <w:r>
        <w:rPr>
          <w:rFonts w:hint="cs"/>
          <w:rtl/>
        </w:rPr>
        <w:t>. עם סיום תהליך הקמתה תחליף מינהלת זו את המינהלת האזורית במתן השירותים.</w:t>
      </w:r>
    </w:p>
  </w:footnote>
  <w:footnote w:id="89">
    <w:p w:rsidR="00151194" w:rsidP="00DC5B13">
      <w:pPr>
        <w:pStyle w:val="FootnoteText"/>
      </w:pPr>
      <w:r>
        <w:rPr>
          <w:rStyle w:val="FootnoteReference1"/>
        </w:rPr>
        <w:footnoteRef/>
      </w:r>
      <w:r>
        <w:rPr>
          <w:rtl/>
        </w:rPr>
        <w:t xml:space="preserve"> </w:t>
      </w:r>
      <w:r>
        <w:rPr>
          <w:rtl/>
        </w:rPr>
        <w:tab/>
      </w:r>
      <w:r>
        <w:rPr>
          <w:rFonts w:hint="cs"/>
          <w:rtl/>
        </w:rPr>
        <w:t>בחלק מהרשויות המקומיות פועלת מינהלת התחדשות אזורית, האחראית לכמה רשויות מקומיות בעת ובעונה אחת.</w:t>
      </w:r>
    </w:p>
  </w:footnote>
  <w:footnote w:id="90">
    <w:p w:rsidR="00151194" w:rsidP="00DC5B13">
      <w:pPr>
        <w:pStyle w:val="FootnoteText"/>
        <w:rPr>
          <w:rtl/>
        </w:rPr>
      </w:pPr>
      <w:r>
        <w:rPr>
          <w:rStyle w:val="FootnoteReference1"/>
        </w:rPr>
        <w:footnoteRef/>
      </w:r>
      <w:r>
        <w:rPr>
          <w:rtl/>
        </w:rPr>
        <w:t xml:space="preserve"> </w:t>
      </w:r>
      <w:r>
        <w:rPr>
          <w:rtl/>
        </w:rPr>
        <w:tab/>
      </w:r>
      <w:r>
        <w:rPr>
          <w:rFonts w:hint="cs"/>
          <w:rtl/>
        </w:rPr>
        <w:t xml:space="preserve">יצוין כי שבע רשויות מקומיות הגישו בקשות לקול הקורא 7/2022 ולא זכו במימון להקמת מינהלת. </w:t>
      </w:r>
    </w:p>
  </w:footnote>
  <w:footnote w:id="91">
    <w:p w:rsidR="00151194" w:rsidP="00DC5B13">
      <w:pPr>
        <w:pStyle w:val="FootnoteText"/>
        <w:rPr>
          <w:rtl/>
        </w:rPr>
      </w:pPr>
      <w:r>
        <w:rPr>
          <w:rStyle w:val="FootnoteReference1"/>
        </w:rPr>
        <w:footnoteRef/>
      </w:r>
      <w:r>
        <w:rPr>
          <w:rtl/>
        </w:rPr>
        <w:t xml:space="preserve"> </w:t>
      </w:r>
      <w:r>
        <w:rPr>
          <w:rtl/>
        </w:rPr>
        <w:tab/>
      </w:r>
      <w:r>
        <w:rPr>
          <w:rFonts w:hint="cs"/>
          <w:rtl/>
        </w:rPr>
        <w:t>היחס בין יח"ד במצב הקיים לבין מספר התושבים (בכחול) חושב בנפרד עבור כל סוג מינהלת וכך גם היחס בין יח"ד במצב המוצע לבין מספר התושבים (באדום).</w:t>
      </w:r>
    </w:p>
  </w:footnote>
  <w:footnote w:id="92">
    <w:p w:rsidR="00151194" w:rsidRPr="00137D0C" w:rsidP="00DC5B13">
      <w:pPr>
        <w:pStyle w:val="FootnoteText"/>
        <w:rPr>
          <w:rtl/>
        </w:rPr>
      </w:pPr>
      <w:r>
        <w:rPr>
          <w:rStyle w:val="FootnoteReference1"/>
        </w:rPr>
        <w:footnoteRef/>
      </w:r>
      <w:r>
        <w:rPr>
          <w:rtl/>
        </w:rPr>
        <w:t xml:space="preserve"> </w:t>
      </w:r>
      <w:r>
        <w:rPr>
          <w:rtl/>
        </w:rPr>
        <w:tab/>
      </w:r>
      <w:r>
        <w:rPr>
          <w:rFonts w:hint="cs"/>
          <w:rtl/>
        </w:rPr>
        <w:t>למרות הקיצוץ, הרשות להתחדשות הפיצה קול קורא בנובמבר 2025 להקמת "מיני-מינהלות" ברשויות המקומיות.</w:t>
      </w:r>
    </w:p>
  </w:footnote>
  <w:footnote w:id="93">
    <w:p w:rsidR="00151194" w:rsidP="00DC5B13">
      <w:pPr>
        <w:pStyle w:val="FootnoteText"/>
        <w:rPr>
          <w:rtl/>
        </w:rPr>
      </w:pPr>
      <w:r>
        <w:rPr>
          <w:rStyle w:val="FootnoteReference1"/>
        </w:rPr>
        <w:footnoteRef/>
      </w:r>
      <w:r>
        <w:rPr>
          <w:rtl/>
        </w:rPr>
        <w:t xml:space="preserve"> </w:t>
      </w:r>
      <w:r>
        <w:rPr>
          <w:rtl/>
        </w:rPr>
        <w:tab/>
      </w:r>
      <w:r>
        <w:rPr>
          <w:rFonts w:hint="cs"/>
          <w:rtl/>
        </w:rPr>
        <w:t xml:space="preserve">בקול קורא 7/2022 נקבע כי הרשות להתחדשות לא תישא בתשלום תקורות, במע"מ או במס עובדים אם מאושרת כפיפות ארגונית למינהלת לתאגיד עירוני, וזאת כדי לוודא </w:t>
      </w:r>
      <w:r w:rsidRPr="00C36594">
        <w:rPr>
          <w:rtl/>
        </w:rPr>
        <w:t xml:space="preserve">שהרשות </w:t>
      </w:r>
      <w:r>
        <w:rPr>
          <w:rFonts w:hint="cs"/>
          <w:rtl/>
        </w:rPr>
        <w:t>להתחדשות</w:t>
      </w:r>
      <w:r w:rsidRPr="00C36594">
        <w:rPr>
          <w:rtl/>
        </w:rPr>
        <w:t xml:space="preserve"> תממן רק את ליבת הפעילות ולא עלויות תפעול כלליות של גוף </w:t>
      </w:r>
      <w:r>
        <w:rPr>
          <w:rFonts w:hint="cs"/>
          <w:rtl/>
        </w:rPr>
        <w:t>עסקי.</w:t>
      </w:r>
    </w:p>
  </w:footnote>
  <w:footnote w:id="94">
    <w:p w:rsidR="00151194" w:rsidRPr="00E9410F" w:rsidP="00DC5B13">
      <w:pPr>
        <w:pStyle w:val="FootnoteText"/>
      </w:pPr>
      <w:r>
        <w:rPr>
          <w:rStyle w:val="FootnoteReference1"/>
        </w:rPr>
        <w:footnoteRef/>
      </w:r>
      <w:r>
        <w:rPr>
          <w:rtl/>
        </w:rPr>
        <w:t xml:space="preserve"> </w:t>
      </w:r>
      <w:r>
        <w:rPr>
          <w:rtl/>
        </w:rPr>
        <w:tab/>
      </w:r>
      <w:r>
        <w:rPr>
          <w:rFonts w:hint="cs"/>
          <w:rtl/>
        </w:rPr>
        <w:t xml:space="preserve">הרשות להתחדשות מציגה תפיסה בדוחות השנתיים שהיא מפרסמת, שלפיה מנהל מיזמים במסלול רשויות מקומיות חיוני לזיהוי חסמים ולהסרתם לשם קידום ההתחדשות. </w:t>
      </w:r>
    </w:p>
  </w:footnote>
  <w:footnote w:id="95">
    <w:p w:rsidR="00151194" w:rsidP="00DC5B13">
      <w:pPr>
        <w:pStyle w:val="FootnoteText"/>
        <w:rPr>
          <w:rtl/>
        </w:rPr>
      </w:pPr>
      <w:r>
        <w:rPr>
          <w:rStyle w:val="FootnoteReference1"/>
        </w:rPr>
        <w:footnoteRef/>
      </w:r>
      <w:r>
        <w:rPr>
          <w:rtl/>
        </w:rPr>
        <w:t xml:space="preserve"> </w:t>
      </w:r>
      <w:r>
        <w:rPr>
          <w:rtl/>
        </w:rPr>
        <w:tab/>
      </w:r>
      <w:r>
        <w:rPr>
          <w:rFonts w:hint="cs"/>
          <w:rtl/>
        </w:rPr>
        <w:t xml:space="preserve">על פי נתוני משרד השיכון והבינוי בנושא </w:t>
      </w:r>
      <w:r w:rsidRPr="00AA5B46">
        <w:rPr>
          <w:rtl/>
        </w:rPr>
        <w:t xml:space="preserve">מתחמי התחדשות עירונית במסלולי רשויות </w:t>
      </w:r>
      <w:r>
        <w:rPr>
          <w:rFonts w:hint="cs"/>
          <w:rtl/>
        </w:rPr>
        <w:t>ויזמים</w:t>
      </w:r>
      <w:r w:rsidRPr="00AA5B46">
        <w:rPr>
          <w:rtl/>
        </w:rPr>
        <w:t xml:space="preserve"> אשר עברו הכרזה</w:t>
      </w:r>
      <w:r>
        <w:rPr>
          <w:rFonts w:hint="cs"/>
          <w:rtl/>
        </w:rPr>
        <w:t xml:space="preserve">, עדכניים ל-9.11.25, </w:t>
      </w:r>
      <w:r w:rsidRPr="004A3F77">
        <w:t>https://data.gov.il/dataset/urban_renewal</w:t>
      </w:r>
      <w:r>
        <w:rPr>
          <w:rFonts w:hint="cs"/>
          <w:rtl/>
        </w:rPr>
        <w:t xml:space="preserve">. </w:t>
      </w:r>
    </w:p>
  </w:footnote>
  <w:footnote w:id="96">
    <w:p w:rsidR="00151194" w:rsidP="00DC5B13">
      <w:pPr>
        <w:pStyle w:val="FootnoteText"/>
        <w:rPr>
          <w:rtl/>
        </w:rPr>
      </w:pPr>
      <w:r>
        <w:rPr>
          <w:rStyle w:val="FootnoteReference1"/>
        </w:rPr>
        <w:footnoteRef/>
      </w:r>
      <w:r>
        <w:rPr>
          <w:rtl/>
        </w:rPr>
        <w:t xml:space="preserve"> </w:t>
      </w:r>
      <w:r>
        <w:rPr>
          <w:rtl/>
        </w:rPr>
        <w:tab/>
      </w:r>
      <w:r>
        <w:rPr>
          <w:rFonts w:hint="cs"/>
          <w:rtl/>
        </w:rPr>
        <w:t>"</w:t>
      </w:r>
      <w:r w:rsidRPr="004A3F77">
        <w:rPr>
          <w:rFonts w:hint="cs"/>
          <w:rtl/>
        </w:rPr>
        <w:t>מסמך מדיניות להתחדשות המרקם העירוני הותיק בלוד</w:t>
      </w:r>
      <w:r>
        <w:rPr>
          <w:rFonts w:hint="cs"/>
          <w:rtl/>
        </w:rPr>
        <w:t xml:space="preserve">". מסמך זה עודכן בשנת 2025 וכולל נוהל עבודה ליזמים ותנאי סף בתכנון תוכניות התחדשות עירונית. </w:t>
      </w:r>
    </w:p>
  </w:footnote>
  <w:footnote w:id="97">
    <w:p w:rsidR="00151194" w:rsidP="00DC5B13">
      <w:pPr>
        <w:pStyle w:val="FootnoteText"/>
      </w:pPr>
      <w:r>
        <w:rPr>
          <w:rStyle w:val="FootnoteReference1"/>
        </w:rPr>
        <w:footnoteRef/>
      </w:r>
      <w:r>
        <w:rPr>
          <w:rtl/>
        </w:rPr>
        <w:t xml:space="preserve"> </w:t>
      </w:r>
      <w:r>
        <w:rPr>
          <w:rtl/>
        </w:rPr>
        <w:tab/>
      </w:r>
      <w:r w:rsidRPr="0095293D">
        <w:rPr>
          <w:rFonts w:hint="cs"/>
          <w:rtl/>
        </w:rPr>
        <w:t>מעמד ה</w:t>
      </w:r>
      <w:r w:rsidRPr="0095293D">
        <w:rPr>
          <w:rtl/>
        </w:rPr>
        <w:t>מקנה לה עצמאות</w:t>
      </w:r>
      <w:r w:rsidRPr="0095293D">
        <w:rPr>
          <w:rFonts w:hint="cs"/>
          <w:rtl/>
        </w:rPr>
        <w:t xml:space="preserve"> רבה יותר</w:t>
      </w:r>
      <w:r w:rsidRPr="0095293D">
        <w:rPr>
          <w:rtl/>
        </w:rPr>
        <w:t xml:space="preserve"> בתכנון</w:t>
      </w:r>
      <w:r w:rsidRPr="0095293D">
        <w:rPr>
          <w:rFonts w:hint="cs"/>
          <w:rtl/>
        </w:rPr>
        <w:t>,</w:t>
      </w:r>
      <w:r w:rsidRPr="0095293D">
        <w:rPr>
          <w:rtl/>
        </w:rPr>
        <w:t xml:space="preserve"> שכן מתוקף ההסמכה</w:t>
      </w:r>
      <w:r w:rsidRPr="0095293D">
        <w:rPr>
          <w:rFonts w:hint="cs"/>
          <w:rtl/>
        </w:rPr>
        <w:t xml:space="preserve"> היא רשאית</w:t>
      </w:r>
      <w:r w:rsidRPr="0095293D">
        <w:rPr>
          <w:rtl/>
        </w:rPr>
        <w:t xml:space="preserve"> לאשר תוכניות </w:t>
      </w:r>
      <w:r w:rsidRPr="0095293D">
        <w:rPr>
          <w:rFonts w:hint="cs"/>
          <w:rtl/>
        </w:rPr>
        <w:t>פינוי</w:t>
      </w:r>
      <w:r>
        <w:rPr>
          <w:rFonts w:hint="cs"/>
          <w:rtl/>
        </w:rPr>
        <w:t>-</w:t>
      </w:r>
      <w:r w:rsidRPr="0095293D">
        <w:rPr>
          <w:rFonts w:hint="cs"/>
          <w:rtl/>
        </w:rPr>
        <w:t>בינוי, סמכות שנתונה ככלל ל</w:t>
      </w:r>
      <w:r w:rsidRPr="0095293D">
        <w:rPr>
          <w:rtl/>
        </w:rPr>
        <w:t>וועדה המחוזית</w:t>
      </w:r>
      <w:r w:rsidRPr="0095293D">
        <w:rPr>
          <w:rFonts w:hint="cs"/>
          <w:rtl/>
        </w:rPr>
        <w:t xml:space="preserve"> ולוותמ"ל</w:t>
      </w:r>
      <w:r w:rsidRPr="0095293D">
        <w:rPr>
          <w:rtl/>
        </w:rPr>
        <w:t>)</w:t>
      </w:r>
      <w:r w:rsidRPr="0095293D">
        <w:rPr>
          <w:rFonts w:hint="cs"/>
          <w:rtl/>
        </w:rPr>
        <w:t>. ראו עמוד הסמכת ועדות מקומיות של מינהלת התכנון, אשר פורסם ב-6.12.18 ועדכני ליום 30.6.25.</w:t>
      </w:r>
    </w:p>
  </w:footnote>
  <w:footnote w:id="98">
    <w:p w:rsidR="00151194" w:rsidP="00DC5B13">
      <w:pPr>
        <w:pStyle w:val="FootnoteText"/>
      </w:pPr>
      <w:r>
        <w:rPr>
          <w:rStyle w:val="FootnoteReference1"/>
        </w:rPr>
        <w:footnoteRef/>
      </w:r>
      <w:r>
        <w:rPr>
          <w:rtl/>
        </w:rPr>
        <w:t xml:space="preserve"> </w:t>
      </w:r>
      <w:r>
        <w:rPr>
          <w:rtl/>
        </w:rPr>
        <w:tab/>
      </w:r>
      <w:r>
        <w:rPr>
          <w:rFonts w:hint="cs"/>
          <w:rtl/>
        </w:rPr>
        <w:t>ראו: עיריית נתניה, "</w:t>
      </w:r>
      <w:r w:rsidRPr="004A3F77">
        <w:rPr>
          <w:rFonts w:hint="cs"/>
          <w:rtl/>
        </w:rPr>
        <w:t>נוהל קידום מיזם למתחם התחדשות עירונית במסלול מיסוי</w:t>
      </w:r>
      <w:r>
        <w:rPr>
          <w:rFonts w:hint="cs"/>
          <w:rtl/>
        </w:rPr>
        <w:t xml:space="preserve">", ספטמבר 2020. </w:t>
      </w:r>
    </w:p>
  </w:footnote>
  <w:footnote w:id="99">
    <w:p w:rsidR="00151194" w:rsidP="00DC5B13">
      <w:pPr>
        <w:pStyle w:val="FootnoteText"/>
        <w:rPr>
          <w:rtl/>
        </w:rPr>
      </w:pPr>
      <w:r>
        <w:rPr>
          <w:rStyle w:val="FootnoteReference1"/>
        </w:rPr>
        <w:footnoteRef/>
      </w:r>
      <w:r>
        <w:rPr>
          <w:rtl/>
        </w:rPr>
        <w:t xml:space="preserve"> </w:t>
      </w:r>
      <w:r>
        <w:rPr>
          <w:rtl/>
        </w:rPr>
        <w:tab/>
      </w:r>
      <w:r>
        <w:rPr>
          <w:rFonts w:hint="cs"/>
          <w:rtl/>
        </w:rPr>
        <w:t xml:space="preserve">לדוגמה המינהלת בנתניה פרסמה מנשרים </w:t>
      </w:r>
      <w:r w:rsidRPr="004A3F77">
        <w:rPr>
          <w:rFonts w:hint="cs"/>
          <w:rtl/>
        </w:rPr>
        <w:t>ברוסית</w:t>
      </w:r>
      <w:r>
        <w:rPr>
          <w:rFonts w:hint="cs"/>
          <w:rtl/>
        </w:rPr>
        <w:t xml:space="preserve"> </w:t>
      </w:r>
      <w:r w:rsidRPr="004A3F77">
        <w:rPr>
          <w:rFonts w:hint="cs"/>
          <w:rtl/>
        </w:rPr>
        <w:t>ובצרפתית</w:t>
      </w:r>
      <w:r>
        <w:rPr>
          <w:rFonts w:hint="cs"/>
          <w:rtl/>
        </w:rPr>
        <w:t>.</w:t>
      </w:r>
    </w:p>
  </w:footnote>
  <w:footnote w:id="100">
    <w:p w:rsidR="00151194" w:rsidP="00DC5B13">
      <w:pPr>
        <w:pStyle w:val="FootnoteText"/>
      </w:pPr>
      <w:r>
        <w:rPr>
          <w:rStyle w:val="FootnoteReference1"/>
        </w:rPr>
        <w:footnoteRef/>
      </w:r>
      <w:r>
        <w:rPr>
          <w:rtl/>
        </w:rPr>
        <w:t xml:space="preserve"> </w:t>
      </w:r>
      <w:r>
        <w:rPr>
          <w:rtl/>
        </w:rPr>
        <w:tab/>
      </w:r>
      <w:r>
        <w:rPr>
          <w:rFonts w:hint="cs"/>
          <w:rtl/>
        </w:rPr>
        <w:t xml:space="preserve">עיריית נתניה, </w:t>
      </w:r>
      <w:r w:rsidRPr="00662DA3">
        <w:rPr>
          <w:rtl/>
        </w:rPr>
        <w:t>אגף התחדשות עירונית</w:t>
      </w:r>
      <w:r>
        <w:rPr>
          <w:rFonts w:hint="cs"/>
          <w:rtl/>
        </w:rPr>
        <w:t>, "</w:t>
      </w:r>
      <w:r w:rsidRPr="004A3F77">
        <w:rPr>
          <w:rFonts w:hint="cs"/>
          <w:rtl/>
        </w:rPr>
        <w:t xml:space="preserve">חוברת מידע - זכויות דיירים </w:t>
      </w:r>
      <w:r w:rsidR="005941B0">
        <w:rPr>
          <w:rFonts w:hint="cs"/>
          <w:rtl/>
        </w:rPr>
        <w:t>-</w:t>
      </w:r>
      <w:r w:rsidRPr="004A3F77">
        <w:rPr>
          <w:rFonts w:hint="cs"/>
          <w:rtl/>
        </w:rPr>
        <w:t xml:space="preserve"> בדגש רווחה בתהליכי התחדשות עירונית</w:t>
      </w:r>
      <w:r>
        <w:rPr>
          <w:rFonts w:hint="cs"/>
          <w:rtl/>
        </w:rPr>
        <w:t>"</w:t>
      </w:r>
      <w:bookmarkStart w:id="29" w:name="_Hlk217796962"/>
      <w:r>
        <w:rPr>
          <w:rFonts w:hint="cs"/>
          <w:rtl/>
        </w:rPr>
        <w:t>.</w:t>
      </w:r>
    </w:p>
    <w:bookmarkEnd w:id="29"/>
  </w:footnote>
  <w:footnote w:id="101">
    <w:p w:rsidR="00151194" w:rsidP="00DC5B13">
      <w:pPr>
        <w:pStyle w:val="FootnoteText"/>
      </w:pPr>
      <w:r>
        <w:rPr>
          <w:rStyle w:val="FootnoteReference1"/>
        </w:rPr>
        <w:footnoteRef/>
      </w:r>
      <w:r>
        <w:rPr>
          <w:rtl/>
        </w:rPr>
        <w:t xml:space="preserve"> </w:t>
      </w:r>
      <w:r>
        <w:rPr>
          <w:rtl/>
        </w:rPr>
        <w:tab/>
      </w:r>
      <w:r>
        <w:rPr>
          <w:rFonts w:hint="cs"/>
          <w:rtl/>
        </w:rPr>
        <w:t>מינהל הנדסה, התחדשות עירונית, "</w:t>
      </w:r>
      <w:r w:rsidRPr="004A3F77">
        <w:rPr>
          <w:rFonts w:hint="cs"/>
          <w:rtl/>
        </w:rPr>
        <w:t>הנחיות לסקר חברתי - התחדשות עירונית עיריית נתניה</w:t>
      </w:r>
      <w:r>
        <w:rPr>
          <w:rFonts w:hint="cs"/>
          <w:rtl/>
        </w:rPr>
        <w:t xml:space="preserve">", מהדורה 2, דצמבר 2023. </w:t>
      </w:r>
    </w:p>
  </w:footnote>
  <w:footnote w:id="102">
    <w:p w:rsidR="00151194" w:rsidP="00DC5B13">
      <w:pPr>
        <w:pStyle w:val="FootnoteText"/>
      </w:pPr>
      <w:r>
        <w:rPr>
          <w:rStyle w:val="FootnoteReference1"/>
        </w:rPr>
        <w:footnoteRef/>
      </w:r>
      <w:r>
        <w:rPr>
          <w:rtl/>
        </w:rPr>
        <w:t xml:space="preserve"> </w:t>
      </w:r>
      <w:r>
        <w:rPr>
          <w:rtl/>
        </w:rPr>
        <w:tab/>
      </w:r>
      <w:r>
        <w:rPr>
          <w:rFonts w:hint="cs"/>
          <w:rtl/>
        </w:rPr>
        <w:t>ראו: הוועדה המקומית לתכנון ובנייה נתניה, "</w:t>
      </w:r>
      <w:r w:rsidRPr="004A3F77">
        <w:rPr>
          <w:rtl/>
        </w:rPr>
        <w:t>פרוטוקול הועדה המקומית מס' 2</w:t>
      </w:r>
      <w:r w:rsidRPr="004A3F77">
        <w:rPr>
          <w:rFonts w:hint="cs"/>
          <w:rtl/>
        </w:rPr>
        <w:t>6</w:t>
      </w:r>
      <w:r w:rsidRPr="004A3F77">
        <w:rPr>
          <w:rtl/>
        </w:rPr>
        <w:t xml:space="preserve"> בתאריך: </w:t>
      </w:r>
      <w:r w:rsidRPr="004A3F77">
        <w:rPr>
          <w:rFonts w:hint="cs"/>
          <w:rtl/>
        </w:rPr>
        <w:t>30/06/2021</w:t>
      </w:r>
      <w:r w:rsidRPr="004A3F77">
        <w:rPr>
          <w:rtl/>
        </w:rPr>
        <w:t xml:space="preserve"> </w:t>
      </w:r>
      <w:r w:rsidRPr="004A3F77">
        <w:rPr>
          <w:rFonts w:hint="cs"/>
          <w:rtl/>
        </w:rPr>
        <w:t>כ</w:t>
      </w:r>
      <w:r w:rsidRPr="004A3F77">
        <w:rPr>
          <w:rtl/>
        </w:rPr>
        <w:t xml:space="preserve">' </w:t>
      </w:r>
      <w:r w:rsidRPr="004A3F77">
        <w:rPr>
          <w:rFonts w:hint="cs"/>
          <w:rtl/>
        </w:rPr>
        <w:t>בתמוז</w:t>
      </w:r>
      <w:r w:rsidRPr="004A3F77">
        <w:rPr>
          <w:rtl/>
        </w:rPr>
        <w:t xml:space="preserve"> תשפ"</w:t>
      </w:r>
      <w:r w:rsidRPr="004A3F77">
        <w:rPr>
          <w:rFonts w:hint="cs"/>
          <w:rtl/>
        </w:rPr>
        <w:t>א</w:t>
      </w:r>
      <w:r>
        <w:rPr>
          <w:rFonts w:hint="cs"/>
          <w:rtl/>
        </w:rPr>
        <w:t xml:space="preserve">", עמ' 182 - 184. </w:t>
      </w:r>
    </w:p>
  </w:footnote>
  <w:footnote w:id="103">
    <w:p w:rsidR="00151194" w:rsidP="00DC5B13">
      <w:pPr>
        <w:pStyle w:val="FootnoteText"/>
        <w:rPr>
          <w:rtl/>
        </w:rPr>
      </w:pPr>
      <w:r>
        <w:rPr>
          <w:rStyle w:val="FootnoteReference1"/>
        </w:rPr>
        <w:footnoteRef/>
      </w:r>
      <w:r>
        <w:rPr>
          <w:rtl/>
        </w:rPr>
        <w:t xml:space="preserve"> </w:t>
      </w:r>
      <w:r>
        <w:rPr>
          <w:rtl/>
        </w:rPr>
        <w:tab/>
      </w:r>
      <w:r>
        <w:rPr>
          <w:rFonts w:hint="cs"/>
          <w:rtl/>
        </w:rPr>
        <w:t xml:space="preserve">על פי רשימת החשבים המלווים כפי שפורסמה ב-1.7.21 באתר המרשתת של משרד הפנים </w:t>
      </w:r>
      <w:r w:rsidRPr="004A3F77">
        <w:t>https://www.gov.il/he/pages/computer-escorts-1?chapterIndex=8</w:t>
      </w:r>
      <w:r>
        <w:rPr>
          <w:rFonts w:hint="cs"/>
          <w:rtl/>
        </w:rPr>
        <w:t>.</w:t>
      </w:r>
    </w:p>
  </w:footnote>
  <w:footnote w:id="104">
    <w:p w:rsidR="00151194" w:rsidP="00DC5B13">
      <w:pPr>
        <w:pStyle w:val="FootnoteText"/>
      </w:pPr>
      <w:r>
        <w:rPr>
          <w:rStyle w:val="FootnoteReference1"/>
        </w:rPr>
        <w:footnoteRef/>
      </w:r>
      <w:r>
        <w:rPr>
          <w:rtl/>
        </w:rPr>
        <w:t xml:space="preserve"> </w:t>
      </w:r>
      <w:r>
        <w:rPr>
          <w:rtl/>
        </w:rPr>
        <w:tab/>
      </w:r>
      <w:r>
        <w:rPr>
          <w:rFonts w:hint="cs"/>
          <w:rtl/>
        </w:rPr>
        <w:t>ראו הגדרות התפקידים הייעודיים במינהלת העירונית כפי שמופיעים באוגדן תיאורי תפקידים באתר המרשתת של משרד הפנים:</w:t>
      </w:r>
      <w:r>
        <w:rPr>
          <w:rFonts w:hint="cs"/>
        </w:rPr>
        <w:t xml:space="preserve"> </w:t>
      </w:r>
      <w:r w:rsidRPr="004A3F77">
        <w:t>https://www.gov.il/he/departments/dynamiccollectors/role-descriptions?skip=0</w:t>
      </w:r>
      <w:r>
        <w:rPr>
          <w:rFonts w:hint="cs"/>
          <w:rtl/>
        </w:rPr>
        <w:t xml:space="preserve">. </w:t>
      </w:r>
    </w:p>
  </w:footnote>
  <w:footnote w:id="105">
    <w:p w:rsidR="00151194" w:rsidP="00DC5B13">
      <w:pPr>
        <w:pStyle w:val="FootnoteText"/>
        <w:rPr>
          <w:rtl/>
        </w:rPr>
      </w:pPr>
      <w:r>
        <w:rPr>
          <w:rStyle w:val="FootnoteReference1"/>
        </w:rPr>
        <w:footnoteRef/>
      </w:r>
      <w:r>
        <w:rPr>
          <w:rtl/>
        </w:rPr>
        <w:t xml:space="preserve"> </w:t>
      </w:r>
      <w:r>
        <w:rPr>
          <w:rtl/>
        </w:rPr>
        <w:tab/>
      </w:r>
      <w:r w:rsidRPr="004A3F77">
        <w:rPr>
          <w:rFonts w:hint="cs"/>
          <w:rtl/>
        </w:rPr>
        <w:t>מהחלט</w:t>
      </w:r>
      <w:r>
        <w:rPr>
          <w:rFonts w:hint="cs"/>
          <w:rtl/>
        </w:rPr>
        <w:t>ת הממשלה</w:t>
      </w:r>
      <w:r w:rsidRPr="004A3F77">
        <w:rPr>
          <w:rFonts w:hint="cs"/>
          <w:rtl/>
        </w:rPr>
        <w:t xml:space="preserve"> 1244 </w:t>
      </w:r>
      <w:r>
        <w:rPr>
          <w:rFonts w:hint="cs"/>
          <w:rtl/>
        </w:rPr>
        <w:t>(17.10.21)</w:t>
      </w:r>
      <w:r w:rsidRPr="004A3F77">
        <w:rPr>
          <w:rFonts w:hint="cs"/>
          <w:rtl/>
        </w:rPr>
        <w:t xml:space="preserve"> </w:t>
      </w:r>
      <w:r>
        <w:rPr>
          <w:rFonts w:hint="cs"/>
          <w:rtl/>
        </w:rPr>
        <w:t xml:space="preserve">עולה כי בנושא צוערים לשירות המדינה, צוערים במסגרת ארבע שנות המחויבות לאחר סיום שלב ההכשרה יועסקו בתקן של עובדי מדינה. </w:t>
      </w:r>
    </w:p>
  </w:footnote>
  <w:footnote w:id="106">
    <w:p w:rsidR="00151194" w:rsidP="00DC5B13">
      <w:pPr>
        <w:pStyle w:val="FootnoteText"/>
      </w:pPr>
      <w:r>
        <w:rPr>
          <w:rStyle w:val="FootnoteReference1"/>
        </w:rPr>
        <w:footnoteRef/>
      </w:r>
      <w:r>
        <w:rPr>
          <w:rtl/>
        </w:rPr>
        <w:t xml:space="preserve"> </w:t>
      </w:r>
      <w:r>
        <w:rPr>
          <w:rtl/>
        </w:rPr>
        <w:tab/>
      </w:r>
      <w:r>
        <w:rPr>
          <w:rFonts w:hint="cs"/>
          <w:rtl/>
        </w:rPr>
        <w:t>כגון תוכנית אב לחנייה, תוכנית אב לניידות, תוכנית אב לצורכי ציבור וכן סקר תעופתי.</w:t>
      </w:r>
    </w:p>
  </w:footnote>
  <w:footnote w:id="107">
    <w:p w:rsidR="00151194" w:rsidP="00DC5B13">
      <w:pPr>
        <w:pStyle w:val="FootnoteText"/>
      </w:pPr>
      <w:r>
        <w:rPr>
          <w:rStyle w:val="FootnoteReference1"/>
        </w:rPr>
        <w:footnoteRef/>
      </w:r>
      <w:r>
        <w:rPr>
          <w:rtl/>
        </w:rPr>
        <w:t xml:space="preserve"> </w:t>
      </w:r>
      <w:r>
        <w:rPr>
          <w:rtl/>
        </w:rPr>
        <w:tab/>
      </w:r>
      <w:r>
        <w:rPr>
          <w:rFonts w:hint="cs"/>
          <w:rtl/>
        </w:rPr>
        <w:t>ראו: עיריית קריית ים, "</w:t>
      </w:r>
      <w:r w:rsidRPr="004A3F77">
        <w:rPr>
          <w:rFonts w:hint="cs"/>
          <w:rtl/>
        </w:rPr>
        <w:t>הליך קליטת הצעה תכנונית במסלול יזמי למתחם התחדשות עירונית</w:t>
      </w:r>
      <w:r>
        <w:rPr>
          <w:rFonts w:hint="cs"/>
          <w:rtl/>
        </w:rPr>
        <w:t xml:space="preserve">", יוני 2020. </w:t>
      </w:r>
    </w:p>
  </w:footnote>
  <w:footnote w:id="108">
    <w:p w:rsidR="00151194" w:rsidP="00DC5B13">
      <w:pPr>
        <w:pStyle w:val="FootnoteText"/>
      </w:pPr>
      <w:r>
        <w:rPr>
          <w:rStyle w:val="FootnoteReference1"/>
        </w:rPr>
        <w:footnoteRef/>
      </w:r>
      <w:r>
        <w:rPr>
          <w:rtl/>
        </w:rPr>
        <w:t xml:space="preserve"> </w:t>
      </w:r>
      <w:r>
        <w:rPr>
          <w:rtl/>
        </w:rPr>
        <w:tab/>
      </w:r>
      <w:r>
        <w:rPr>
          <w:rFonts w:hint="cs"/>
          <w:rtl/>
        </w:rPr>
        <w:t>ראו לדוגמה: מינהלת עירונית קריית ים, "</w:t>
      </w:r>
      <w:r w:rsidRPr="004A3F77">
        <w:rPr>
          <w:rFonts w:hint="cs"/>
          <w:rtl/>
        </w:rPr>
        <w:t>מדריך לדיירים לעקרונות התקשרות עם יזם - רוסית</w:t>
      </w:r>
      <w:r>
        <w:rPr>
          <w:rFonts w:hint="cs"/>
          <w:rtl/>
        </w:rPr>
        <w:t>".</w:t>
      </w:r>
    </w:p>
  </w:footnote>
  <w:footnote w:id="109">
    <w:p w:rsidR="00151194" w:rsidP="00DC5B13">
      <w:pPr>
        <w:pStyle w:val="FootnoteText"/>
        <w:rPr>
          <w:rtl/>
        </w:rPr>
      </w:pPr>
      <w:r>
        <w:rPr>
          <w:rStyle w:val="FootnoteReference1"/>
        </w:rPr>
        <w:footnoteRef/>
      </w:r>
      <w:r>
        <w:rPr>
          <w:rtl/>
        </w:rPr>
        <w:t xml:space="preserve"> </w:t>
      </w:r>
      <w:r>
        <w:rPr>
          <w:rtl/>
        </w:rPr>
        <w:tab/>
      </w:r>
      <w:r>
        <w:rPr>
          <w:rFonts w:hint="cs"/>
          <w:rtl/>
        </w:rPr>
        <w:t xml:space="preserve">כמתואר לעיל בתת-הפרק "הקמת מערך המינהלות ופריסתן הארצית" בדוח הביקורת. החברות במינהלת האזורית הן </w:t>
      </w:r>
      <w:r>
        <w:rPr>
          <w:rFonts w:hint="cs"/>
        </w:rPr>
        <w:t>P</w:t>
      </w:r>
      <w:r>
        <w:t>eople</w:t>
      </w:r>
      <w:r>
        <w:rPr>
          <w:rFonts w:hint="cs"/>
          <w:rtl/>
        </w:rPr>
        <w:t xml:space="preserve"> לייעוץ בפן החברתי ו-</w:t>
      </w:r>
      <w:r>
        <w:t>AVIV AMCG</w:t>
      </w:r>
      <w:r>
        <w:rPr>
          <w:rFonts w:hint="cs"/>
          <w:rtl/>
        </w:rPr>
        <w:t xml:space="preserve"> לייעוץ בפן התכנון.</w:t>
      </w:r>
    </w:p>
  </w:footnote>
  <w:footnote w:id="110">
    <w:p w:rsidR="00151194" w:rsidRPr="00DE3377" w:rsidP="00DC5B13">
      <w:pPr>
        <w:pStyle w:val="FootnoteText"/>
        <w:rPr>
          <w:rtl/>
        </w:rPr>
      </w:pPr>
      <w:r>
        <w:rPr>
          <w:rStyle w:val="FootnoteReference1"/>
        </w:rPr>
        <w:footnoteRef/>
      </w:r>
      <w:r>
        <w:rPr>
          <w:rtl/>
        </w:rPr>
        <w:t xml:space="preserve"> </w:t>
      </w:r>
      <w:r>
        <w:rPr>
          <w:rtl/>
        </w:rPr>
        <w:tab/>
      </w:r>
      <w:r>
        <w:rPr>
          <w:rFonts w:hint="cs"/>
          <w:rtl/>
        </w:rPr>
        <w:t>ראו</w:t>
      </w:r>
      <w:r w:rsidR="00C357E1">
        <w:rPr>
          <w:rFonts w:hint="cs"/>
          <w:rtl/>
        </w:rPr>
        <w:t>:</w:t>
      </w:r>
      <w:r>
        <w:rPr>
          <w:rFonts w:hint="cs"/>
          <w:rtl/>
        </w:rPr>
        <w:t xml:space="preserve"> </w:t>
      </w:r>
      <w:r w:rsidRPr="004A3F77">
        <w:rPr>
          <w:rtl/>
        </w:rPr>
        <w:t>החלט</w:t>
      </w:r>
      <w:r w:rsidRPr="004A3F77">
        <w:rPr>
          <w:rFonts w:hint="cs"/>
          <w:rtl/>
        </w:rPr>
        <w:t>ת הממשלה</w:t>
      </w:r>
      <w:r w:rsidRPr="004A3F77">
        <w:rPr>
          <w:rtl/>
        </w:rPr>
        <w:t xml:space="preserve"> 3740 </w:t>
      </w:r>
      <w:r w:rsidRPr="004A3F77">
        <w:rPr>
          <w:rFonts w:hint="cs"/>
          <w:rtl/>
        </w:rPr>
        <w:t>(</w:t>
      </w:r>
      <w:r w:rsidRPr="004A3F77">
        <w:rPr>
          <w:rtl/>
        </w:rPr>
        <w:t>15.4.18</w:t>
      </w:r>
      <w:r w:rsidRPr="004A3F77">
        <w:rPr>
          <w:rFonts w:hint="cs"/>
          <w:rtl/>
        </w:rPr>
        <w:t>),</w:t>
      </w:r>
      <w:r w:rsidRPr="004A3F77">
        <w:rPr>
          <w:rtl/>
        </w:rPr>
        <w:t xml:space="preserve"> </w:t>
      </w:r>
      <w:r w:rsidRPr="004A3F77">
        <w:rPr>
          <w:rFonts w:hint="cs"/>
          <w:rtl/>
        </w:rPr>
        <w:t>"</w:t>
      </w:r>
      <w:r w:rsidRPr="004A3F77">
        <w:rPr>
          <w:rtl/>
        </w:rPr>
        <w:t>תכנית להעצמה ולפיתוח היישובים קריית שמונה, שלומי ומטולה</w:t>
      </w:r>
      <w:r>
        <w:rPr>
          <w:rFonts w:hint="cs"/>
          <w:rtl/>
        </w:rPr>
        <w:t>", עמ' 6.</w:t>
      </w:r>
    </w:p>
  </w:footnote>
  <w:footnote w:id="111">
    <w:p w:rsidR="00151194" w:rsidP="00DC5B13">
      <w:pPr>
        <w:pStyle w:val="FootnoteText"/>
      </w:pPr>
      <w:r>
        <w:rPr>
          <w:rStyle w:val="FootnoteReference1"/>
        </w:rPr>
        <w:footnoteRef/>
      </w:r>
      <w:r>
        <w:rPr>
          <w:rtl/>
        </w:rPr>
        <w:t xml:space="preserve"> </w:t>
      </w:r>
      <w:r>
        <w:rPr>
          <w:rtl/>
        </w:rPr>
        <w:tab/>
      </w:r>
      <w:r>
        <w:rPr>
          <w:rFonts w:hint="cs"/>
          <w:rtl/>
        </w:rPr>
        <w:t>ראו: עיריית קריית שמונה, "</w:t>
      </w:r>
      <w:r w:rsidRPr="004A3F77">
        <w:rPr>
          <w:rFonts w:hint="cs"/>
          <w:rtl/>
        </w:rPr>
        <w:t>נוהל לקידום התחדשות עירונית - בינוי-פינוי-בינוי</w:t>
      </w:r>
      <w:r>
        <w:rPr>
          <w:rFonts w:hint="cs"/>
          <w:rtl/>
        </w:rPr>
        <w:t xml:space="preserve">", מאי 2023. </w:t>
      </w:r>
    </w:p>
  </w:footnote>
  <w:footnote w:id="112">
    <w:p w:rsidR="00151194" w:rsidP="00DC5B13">
      <w:pPr>
        <w:pStyle w:val="FootnoteText"/>
      </w:pPr>
      <w:r w:rsidRPr="000E67AC">
        <w:rPr>
          <w:rStyle w:val="FootnoteReference1"/>
        </w:rPr>
        <w:footnoteRef/>
      </w:r>
      <w:r w:rsidRPr="000E67AC">
        <w:rPr>
          <w:rtl/>
        </w:rPr>
        <w:t xml:space="preserve"> </w:t>
      </w:r>
      <w:r w:rsidRPr="000E67AC">
        <w:rPr>
          <w:rtl/>
        </w:rPr>
        <w:tab/>
      </w:r>
      <w:r w:rsidRPr="000E67AC">
        <w:rPr>
          <w:rFonts w:hint="cs"/>
          <w:rtl/>
        </w:rPr>
        <w:t>הרשות הממשלתית להתחדשות עירונית, "</w:t>
      </w:r>
      <w:r w:rsidRPr="004A3F77">
        <w:rPr>
          <w:rtl/>
        </w:rPr>
        <w:t>עקרונות לבניית נציגות דיירים</w:t>
      </w:r>
      <w:r w:rsidRPr="004A3F77">
        <w:rPr>
          <w:rFonts w:hint="cs"/>
          <w:rtl/>
        </w:rPr>
        <w:t xml:space="preserve"> </w:t>
      </w:r>
      <w:r w:rsidRPr="004A3F77">
        <w:rPr>
          <w:rtl/>
        </w:rPr>
        <w:t>לארגון תהליך התחדשות עירונית ולקידומו</w:t>
      </w:r>
      <w:r w:rsidRPr="000E67AC">
        <w:rPr>
          <w:rFonts w:hint="cs"/>
          <w:rtl/>
        </w:rPr>
        <w:t>", עמ' 5.</w:t>
      </w:r>
    </w:p>
  </w:footnote>
  <w:footnote w:id="113">
    <w:p w:rsidR="00151194" w:rsidP="00DC5B13">
      <w:pPr>
        <w:pStyle w:val="FootnoteText"/>
        <w:rPr>
          <w:rtl/>
        </w:rPr>
      </w:pPr>
      <w:r>
        <w:rPr>
          <w:rStyle w:val="FootnoteReference1"/>
        </w:rPr>
        <w:footnoteRef/>
      </w:r>
      <w:r>
        <w:rPr>
          <w:rtl/>
        </w:rPr>
        <w:t xml:space="preserve"> </w:t>
      </w:r>
      <w:r>
        <w:rPr>
          <w:rtl/>
        </w:rPr>
        <w:tab/>
      </w:r>
      <w:r>
        <w:rPr>
          <w:rFonts w:hint="cs"/>
          <w:rtl/>
        </w:rPr>
        <w:t>ראו "</w:t>
      </w:r>
      <w:r w:rsidRPr="004A3F77">
        <w:rPr>
          <w:rFonts w:hint="cs"/>
          <w:rtl/>
        </w:rPr>
        <w:t>רע/1010ב' - תכנית להתחדשות בניינית, רעננה</w:t>
      </w:r>
      <w:r>
        <w:rPr>
          <w:rFonts w:hint="cs"/>
          <w:rtl/>
        </w:rPr>
        <w:t>" אשר אושרה ב-11.12.24 בוועדה המחוזית לתכנון ולבנייה מרכז.</w:t>
      </w:r>
    </w:p>
  </w:footnote>
  <w:footnote w:id="114">
    <w:p w:rsidR="00151194" w:rsidP="00DC5B13">
      <w:pPr>
        <w:pStyle w:val="FootnoteText"/>
      </w:pPr>
      <w:r>
        <w:rPr>
          <w:rStyle w:val="FootnoteReference1"/>
        </w:rPr>
        <w:footnoteRef/>
      </w:r>
      <w:r>
        <w:rPr>
          <w:rtl/>
        </w:rPr>
        <w:t xml:space="preserve"> </w:t>
      </w:r>
      <w:r>
        <w:rPr>
          <w:rtl/>
        </w:rPr>
        <w:tab/>
      </w:r>
      <w:r>
        <w:rPr>
          <w:rFonts w:hint="cs"/>
          <w:rtl/>
        </w:rPr>
        <w:t xml:space="preserve">הפעולות הנ"ל נעשו במסגרת </w:t>
      </w:r>
      <w:r w:rsidRPr="002026F9">
        <w:rPr>
          <w:rtl/>
        </w:rPr>
        <w:t xml:space="preserve">יוזמה </w:t>
      </w:r>
      <w:r>
        <w:rPr>
          <w:rFonts w:hint="cs"/>
          <w:rtl/>
        </w:rPr>
        <w:t>של אגף הרווחה</w:t>
      </w:r>
      <w:r w:rsidRPr="002026F9">
        <w:rPr>
          <w:rtl/>
        </w:rPr>
        <w:t>, שהסתמכה בעיקר על רתימתם של מתנדבים</w:t>
      </w:r>
      <w:r>
        <w:rPr>
          <w:rFonts w:hint="cs"/>
          <w:rtl/>
        </w:rPr>
        <w:t xml:space="preserve"> במ</w:t>
      </w:r>
      <w:r w:rsidRPr="002026F9">
        <w:rPr>
          <w:rtl/>
        </w:rPr>
        <w:t>הלך השנים</w:t>
      </w:r>
      <w:r>
        <w:rPr>
          <w:rFonts w:hint="cs"/>
          <w:rtl/>
        </w:rPr>
        <w:t xml:space="preserve"> 2022 - 2023, </w:t>
      </w:r>
      <w:r w:rsidRPr="002026F9">
        <w:rPr>
          <w:rtl/>
        </w:rPr>
        <w:t>אך חדלה בשל היעדר זמינות של בעלי התפקידים ש</w:t>
      </w:r>
      <w:r>
        <w:rPr>
          <w:rFonts w:hint="cs"/>
          <w:rtl/>
        </w:rPr>
        <w:t>הו</w:t>
      </w:r>
      <w:r w:rsidRPr="002026F9">
        <w:rPr>
          <w:rtl/>
        </w:rPr>
        <w:t>עסקו בה.</w:t>
      </w:r>
      <w:r>
        <w:rPr>
          <w:rFonts w:hint="cs"/>
          <w:rtl/>
        </w:rPr>
        <w:t xml:space="preserve"> </w:t>
      </w:r>
    </w:p>
  </w:footnote>
  <w:footnote w:id="115">
    <w:p w:rsidR="00151194" w:rsidP="00DC5B13">
      <w:pPr>
        <w:pStyle w:val="FootnoteText"/>
        <w:spacing w:before="240"/>
      </w:pPr>
      <w:r>
        <w:rPr>
          <w:rStyle w:val="FootnoteReference1"/>
        </w:rPr>
        <w:footnoteRef/>
      </w:r>
      <w:r>
        <w:rPr>
          <w:rtl/>
        </w:rPr>
        <w:t xml:space="preserve"> </w:t>
      </w:r>
      <w:r>
        <w:rPr>
          <w:rtl/>
        </w:rPr>
        <w:tab/>
      </w:r>
      <w:r>
        <w:rPr>
          <w:rFonts w:hint="cs"/>
          <w:rtl/>
        </w:rPr>
        <w:t xml:space="preserve">אומדן זה מתבסס על החלטת הממשלה 2457 (דר/131) (מרץ 2017), "תוכנית אסטרטגית לדיור לשנים 2021 - 2025". בהחלטה נקבע כי בשנים 2021 - 2025 יהיה צורך בבניית כ-55,000 דירות חדשות בכל שנה. כן נקבע בהחלטה ששיעור הדירות שייבנו בתהליך התחדשות עירונית יעמוד על 25% מכל הדירות שייבנו במהלך התקופה. בחישוב שנתי, עלה צורך בבניית 13,750 דירות בהתחדשות עירונית בכל שנה בין 2021 ל-2025. במרץ 2025 פורסמה </w:t>
      </w:r>
      <w:r w:rsidRPr="00407636">
        <w:rPr>
          <w:rFonts w:hint="cs"/>
          <w:rtl/>
        </w:rPr>
        <w:t>תוכנית אסטרטגית</w:t>
      </w:r>
      <w:r>
        <w:rPr>
          <w:rFonts w:hint="cs"/>
          <w:rtl/>
        </w:rPr>
        <w:t xml:space="preserve"> לדיור עד לשנת 2050. התוכנית החדשה לא שינתה את הנחות היסוד לגבי שיעור הדירות שייבנו במסגרת התחדשות עירונית מכלל הדירות שייבנו. עם זאת, תחזית הביקוש לדירות חדשות עודכנה ולפיה יהיה צורך בבניית כ-16,000 דירות בהתחדשות עירונית בכל שנה.</w:t>
      </w:r>
    </w:p>
  </w:footnote>
  <w:footnote w:id="116">
    <w:p w:rsidR="00151194" w:rsidRPr="004A30B0" w:rsidP="00DC5B13">
      <w:pPr>
        <w:pStyle w:val="FootnoteText"/>
      </w:pPr>
      <w:r>
        <w:rPr>
          <w:rStyle w:val="FootnoteReference1"/>
        </w:rPr>
        <w:footnoteRef/>
      </w:r>
      <w:r>
        <w:rPr>
          <w:rtl/>
        </w:rPr>
        <w:t xml:space="preserve"> </w:t>
      </w:r>
      <w:r>
        <w:rPr>
          <w:rtl/>
        </w:rPr>
        <w:tab/>
      </w:r>
      <w:r w:rsidRPr="00407636">
        <w:rPr>
          <w:rFonts w:hint="cs"/>
          <w:rtl/>
        </w:rPr>
        <w:t>החלטת הממשלה 203</w:t>
      </w:r>
      <w:r>
        <w:rPr>
          <w:rFonts w:hint="cs"/>
          <w:rtl/>
        </w:rPr>
        <w:t xml:space="preserve"> מאוגוסט 2021. התשתיות שצוינו בהחלטה כוללות תשתיות תחבורה, לרבות חניונים ציבוריים; תשתיות מים וביוב; מוסדות חינוך; מוסדות ציבור; תשתיות צמודות; שטחי ציבור פתוחים ותשתיות חשמל.</w:t>
      </w:r>
    </w:p>
  </w:footnote>
  <w:footnote w:id="117">
    <w:p w:rsidR="00151194" w:rsidP="00DC5B13">
      <w:pPr>
        <w:pStyle w:val="FootnoteText"/>
        <w:rPr>
          <w:rtl/>
        </w:rPr>
      </w:pPr>
      <w:r>
        <w:rPr>
          <w:rStyle w:val="FootnoteReference1"/>
        </w:rPr>
        <w:footnoteRef/>
      </w:r>
      <w:r>
        <w:rPr>
          <w:rtl/>
        </w:rPr>
        <w:t xml:space="preserve"> </w:t>
      </w:r>
      <w:r>
        <w:rPr>
          <w:rtl/>
        </w:rPr>
        <w:tab/>
      </w:r>
      <w:r>
        <w:rPr>
          <w:rFonts w:hint="cs"/>
          <w:rtl/>
        </w:rPr>
        <w:t>בהחלטת הממשלה צוין כי תיבחן אפשרות גם למימון מקדים לצורך תכנון התשתיות בהתחשב ביכולתה של הרשות המקומית לעמוד בביצוע המיזמים טרם קבלת התקציב.</w:t>
      </w:r>
    </w:p>
  </w:footnote>
  <w:footnote w:id="118">
    <w:p w:rsidR="00151194" w:rsidP="00DC5B13">
      <w:pPr>
        <w:pStyle w:val="FootnoteText"/>
      </w:pPr>
      <w:r>
        <w:rPr>
          <w:rStyle w:val="FootnoteReference1"/>
        </w:rPr>
        <w:footnoteRef/>
      </w:r>
      <w:r>
        <w:rPr>
          <w:rtl/>
        </w:rPr>
        <w:t xml:space="preserve"> </w:t>
      </w:r>
      <w:r>
        <w:rPr>
          <w:rtl/>
        </w:rPr>
        <w:tab/>
      </w:r>
      <w:r>
        <w:rPr>
          <w:rFonts w:hint="cs"/>
          <w:rtl/>
        </w:rPr>
        <w:t>מסמך הסכמי המסגרת, ס' 7.1.</w:t>
      </w:r>
    </w:p>
  </w:footnote>
  <w:footnote w:id="119">
    <w:p w:rsidR="00151194" w:rsidP="00DC5B13">
      <w:pPr>
        <w:pStyle w:val="FootnoteText"/>
        <w:rPr>
          <w:rtl/>
        </w:rPr>
      </w:pPr>
      <w:r>
        <w:rPr>
          <w:rStyle w:val="FootnoteReference1"/>
        </w:rPr>
        <w:footnoteRef/>
      </w:r>
      <w:r>
        <w:rPr>
          <w:rtl/>
        </w:rPr>
        <w:t xml:space="preserve"> </w:t>
      </w:r>
      <w:r>
        <w:rPr>
          <w:rtl/>
        </w:rPr>
        <w:tab/>
      </w:r>
      <w:r>
        <w:rPr>
          <w:rFonts w:hint="cs"/>
          <w:rtl/>
        </w:rPr>
        <w:t>מספר יחידות הדיור, שהוא ההפרש בין מספר יחידות הדיור הקיימות ובין מספר יחידות הדיור שאושרו במסגרת תוכנית ההתחדשות שהוגשה. תמורה כספית בגובה 20 אלף ש"ח תינתן גם עבור כל דירה תוספתית בתוכניות של חיזוק מבנים (עד לסף של 100 יחידות דיור בשנה).</w:t>
      </w:r>
    </w:p>
  </w:footnote>
  <w:footnote w:id="120">
    <w:p w:rsidR="00151194" w:rsidP="00DC5B13">
      <w:pPr>
        <w:pStyle w:val="FootnoteText"/>
        <w:rPr>
          <w:rtl/>
        </w:rPr>
      </w:pPr>
      <w:r>
        <w:rPr>
          <w:rStyle w:val="FootnoteReference1"/>
        </w:rPr>
        <w:footnoteRef/>
      </w:r>
      <w:r>
        <w:rPr>
          <w:rtl/>
        </w:rPr>
        <w:t xml:space="preserve"> </w:t>
      </w:r>
      <w:r>
        <w:rPr>
          <w:rtl/>
        </w:rPr>
        <w:tab/>
      </w:r>
      <w:r>
        <w:rPr>
          <w:rFonts w:hint="cs"/>
          <w:rtl/>
        </w:rPr>
        <w:t>הרשות להתחדשות, "</w:t>
      </w:r>
      <w:r w:rsidRPr="001C7754">
        <w:rPr>
          <w:rtl/>
        </w:rPr>
        <w:t>עקרונות למימון תשתיות תומכות התחדשות עירונית לרשויות מקומיות</w:t>
      </w:r>
      <w:r>
        <w:rPr>
          <w:rFonts w:hint="cs"/>
          <w:rtl/>
        </w:rPr>
        <w:t>" (2022), ס' 5.12.</w:t>
      </w:r>
    </w:p>
  </w:footnote>
  <w:footnote w:id="121">
    <w:p w:rsidR="00151194" w:rsidP="00DC5B13">
      <w:pPr>
        <w:pStyle w:val="FootnoteText"/>
        <w:rPr>
          <w:rtl/>
        </w:rPr>
      </w:pPr>
      <w:r>
        <w:rPr>
          <w:rStyle w:val="FootnoteReference1"/>
        </w:rPr>
        <w:footnoteRef/>
      </w:r>
      <w:r>
        <w:rPr>
          <w:rtl/>
        </w:rPr>
        <w:t xml:space="preserve"> </w:t>
      </w:r>
      <w:r>
        <w:rPr>
          <w:rtl/>
        </w:rPr>
        <w:tab/>
      </w:r>
      <w:r>
        <w:rPr>
          <w:rFonts w:hint="cs"/>
          <w:rtl/>
        </w:rPr>
        <w:t>כל העיריות החתומות על הסכם הגג עדיין רשאיות להגיש בקשות נוספות למימוש יתרת התקציב בהתאם למועדים הקבועים בהסכם.</w:t>
      </w:r>
    </w:p>
  </w:footnote>
  <w:footnote w:id="122">
    <w:p w:rsidR="00151194" w:rsidP="00DC5B13">
      <w:pPr>
        <w:pStyle w:val="FootnoteText"/>
        <w:rPr>
          <w:rtl/>
        </w:rPr>
      </w:pPr>
      <w:r>
        <w:rPr>
          <w:rStyle w:val="FootnoteReference1"/>
        </w:rPr>
        <w:footnoteRef/>
      </w:r>
      <w:r>
        <w:rPr>
          <w:rtl/>
        </w:rPr>
        <w:t xml:space="preserve"> </w:t>
      </w:r>
      <w:r>
        <w:rPr>
          <w:rtl/>
        </w:rPr>
        <w:tab/>
      </w:r>
      <w:r>
        <w:rPr>
          <w:rFonts w:hint="cs"/>
          <w:rtl/>
        </w:rPr>
        <w:t>בשלב אישור תוכנית המתאר מוגשים נספחים המתארים את התשתיות הדרושות לצורך התחדשות עירונית. על פי רוב, תוכניות אלה מקבלות מעמד של נספח מנחה, ורמת הפירוט בהן אינה מספיקה לשם הצאת היתרי בנייה מהן. התכנון המפורט של התשתיות נעשה לאחר אישורה של תוכנית המתאר.</w:t>
      </w:r>
    </w:p>
  </w:footnote>
  <w:footnote w:id="123">
    <w:p w:rsidR="00151194" w:rsidP="00DC5B13">
      <w:pPr>
        <w:pStyle w:val="FootnoteText"/>
        <w:rPr>
          <w:rtl/>
        </w:rPr>
      </w:pPr>
      <w:r>
        <w:rPr>
          <w:rStyle w:val="FootnoteReference1"/>
        </w:rPr>
        <w:footnoteRef/>
      </w:r>
      <w:r>
        <w:rPr>
          <w:rtl/>
        </w:rPr>
        <w:t xml:space="preserve"> </w:t>
      </w:r>
      <w:r>
        <w:rPr>
          <w:rtl/>
        </w:rPr>
        <w:tab/>
      </w:r>
      <w:r>
        <w:rPr>
          <w:rFonts w:hint="cs"/>
          <w:rtl/>
        </w:rPr>
        <w:t>היתרי דיפון ניתנים לצורך חפירת מרתפים שישמשו להקמת חניון תת-קרקעי לבניין חדש. הרשות להתחדשות עירונית הכירה בהיתרי הריסה ודיפון לצורך עמידה ביעדים המזעריים לזכאות לתקצוב בהסכם המסגרת.</w:t>
      </w:r>
    </w:p>
  </w:footnote>
  <w:footnote w:id="124">
    <w:p w:rsidR="00151194" w:rsidP="00DC5B13">
      <w:pPr>
        <w:pStyle w:val="FootnoteText"/>
        <w:rPr>
          <w:rtl/>
        </w:rPr>
      </w:pPr>
      <w:r>
        <w:rPr>
          <w:rStyle w:val="FootnoteReference1"/>
        </w:rPr>
        <w:footnoteRef/>
      </w:r>
      <w:r>
        <w:rPr>
          <w:rtl/>
        </w:rPr>
        <w:t xml:space="preserve"> </w:t>
      </w:r>
      <w:r>
        <w:rPr>
          <w:rtl/>
        </w:rPr>
        <w:tab/>
      </w:r>
      <w:r w:rsidRPr="00407636">
        <w:rPr>
          <w:rFonts w:hint="cs"/>
          <w:rtl/>
        </w:rPr>
        <w:t>ראו</w:t>
      </w:r>
      <w:r>
        <w:rPr>
          <w:rFonts w:hint="cs"/>
          <w:rtl/>
        </w:rPr>
        <w:t xml:space="preserve"> הנחיות היועץ המשפטי לממשלה, </w:t>
      </w:r>
      <w:r w:rsidRPr="000C6161">
        <w:rPr>
          <w:rFonts w:hint="cs"/>
          <w:b/>
          <w:bCs/>
          <w:rtl/>
        </w:rPr>
        <w:t>הנחיה 1.0002 (60.013) - הנחיות מנהליות</w:t>
      </w:r>
      <w:r>
        <w:rPr>
          <w:rFonts w:hint="cs"/>
          <w:rtl/>
        </w:rPr>
        <w:t xml:space="preserve"> (1986, עודכנה ב-2002). הנחיה מינהלית היא כלל גמיש שרשות מנהלית קובעת לעצמה כדי שתדריך אותה בהפעלת סמכותה. הנחיות מינהליות נועדו לסייע בגיבוש המדיניות, בקבלת ההחלטות, בהפחתת הסיכוי לקבלת החלטות סותרות, ליצירת ודאות לגבי אפיקי פעולה של הרשויות ושל אזרחים ולמניעת קיפוח.</w:t>
      </w:r>
    </w:p>
  </w:footnote>
  <w:footnote w:id="125">
    <w:p w:rsidR="00151194" w:rsidP="00DC5B13">
      <w:pPr>
        <w:pStyle w:val="FootnoteText"/>
        <w:rPr>
          <w:rtl/>
        </w:rPr>
      </w:pPr>
      <w:r>
        <w:rPr>
          <w:rStyle w:val="FootnoteReference1"/>
        </w:rPr>
        <w:footnoteRef/>
      </w:r>
      <w:r>
        <w:rPr>
          <w:rtl/>
        </w:rPr>
        <w:t xml:space="preserve"> </w:t>
      </w:r>
      <w:r>
        <w:rPr>
          <w:rtl/>
        </w:rPr>
        <w:tab/>
      </w:r>
      <w:r>
        <w:rPr>
          <w:rFonts w:hint="cs"/>
          <w:rtl/>
        </w:rPr>
        <w:t xml:space="preserve">יואב </w:t>
      </w:r>
      <w:r w:rsidRPr="00D07793">
        <w:rPr>
          <w:rtl/>
        </w:rPr>
        <w:t>דותן</w:t>
      </w:r>
      <w:r>
        <w:rPr>
          <w:rFonts w:hint="cs"/>
          <w:rtl/>
        </w:rPr>
        <w:t>,</w:t>
      </w:r>
      <w:r w:rsidRPr="00D07793">
        <w:rPr>
          <w:rtl/>
        </w:rPr>
        <w:t xml:space="preserve"> </w:t>
      </w:r>
      <w:r w:rsidRPr="00D07793">
        <w:rPr>
          <w:b/>
          <w:bCs/>
          <w:rtl/>
        </w:rPr>
        <w:t>הנחיות מינהליות</w:t>
      </w:r>
      <w:r>
        <w:rPr>
          <w:rFonts w:hint="cs"/>
          <w:rtl/>
        </w:rPr>
        <w:t xml:space="preserve">, </w:t>
      </w:r>
      <w:r>
        <w:rPr>
          <w:rtl/>
        </w:rPr>
        <w:t>המכון למחקרי חקיקה ולמשפט השוואתי ע״ש הרי ומיכאל סאקר</w:t>
      </w:r>
      <w:r>
        <w:rPr>
          <w:rFonts w:hint="cs"/>
          <w:rtl/>
        </w:rPr>
        <w:t xml:space="preserve">, </w:t>
      </w:r>
      <w:r w:rsidRPr="00BC20F3">
        <w:rPr>
          <w:rtl/>
        </w:rPr>
        <w:t>הפקולטה למשפטים, האוניברסיטה העברית בירושלים</w:t>
      </w:r>
      <w:r>
        <w:rPr>
          <w:rFonts w:hint="cs"/>
          <w:rtl/>
        </w:rPr>
        <w:t>, 1996, עמ'</w:t>
      </w:r>
      <w:r w:rsidRPr="00D07793">
        <w:rPr>
          <w:rtl/>
        </w:rPr>
        <w:t xml:space="preserve"> 28</w:t>
      </w:r>
      <w:r>
        <w:rPr>
          <w:rFonts w:hint="cs"/>
          <w:rtl/>
        </w:rPr>
        <w:t>. בחוות דעת באתר המרשתת של משרד המשפטים מוגדר מעמדם של מסמכי מדיניות כמעמד של הנחיות מינהליות, שרשות מינהלית רשאית לקבוע לעצמה, בין היתר מכוח סמכויות העזר לפי חוק הפרשנות, התשמ"א-1981,</w:t>
      </w:r>
    </w:p>
    <w:p w:rsidR="00151194" w:rsidP="00DC5B13">
      <w:pPr>
        <w:pStyle w:val="FootnoteText"/>
        <w:rPr>
          <w:rtl/>
        </w:rPr>
      </w:pPr>
      <w:r>
        <w:rPr>
          <w:rtl/>
        </w:rPr>
        <w:tab/>
      </w:r>
      <w:r>
        <w:rPr>
          <w:rFonts w:hint="cs"/>
          <w:rtl/>
        </w:rPr>
        <w:t xml:space="preserve"> </w:t>
      </w:r>
      <w:r w:rsidRPr="00407636">
        <w:t>https://www.gov.il/he/pages/19812022</w:t>
      </w:r>
      <w:r>
        <w:rPr>
          <w:rFonts w:hint="cs"/>
          <w:rtl/>
        </w:rPr>
        <w:t>.</w:t>
      </w:r>
    </w:p>
  </w:footnote>
  <w:footnote w:id="126">
    <w:p w:rsidR="00151194" w:rsidRPr="00516AE1" w:rsidP="00DC5B13">
      <w:pPr>
        <w:pStyle w:val="FootnoteText"/>
        <w:rPr>
          <w:rtl/>
        </w:rPr>
      </w:pPr>
      <w:r>
        <w:rPr>
          <w:rStyle w:val="FootnoteReference1"/>
        </w:rPr>
        <w:footnoteRef/>
      </w:r>
      <w:r>
        <w:rPr>
          <w:rtl/>
        </w:rPr>
        <w:t xml:space="preserve"> </w:t>
      </w:r>
      <w:r>
        <w:rPr>
          <w:rtl/>
        </w:rPr>
        <w:tab/>
      </w:r>
      <w:r>
        <w:rPr>
          <w:rFonts w:hint="cs"/>
          <w:rtl/>
        </w:rPr>
        <w:t xml:space="preserve">נציבות שירות המדינה, </w:t>
      </w:r>
      <w:r>
        <w:rPr>
          <w:rFonts w:hint="cs"/>
          <w:b/>
          <w:bCs/>
          <w:rtl/>
        </w:rPr>
        <w:t xml:space="preserve">כתיבת מסמכי מדיניות: מדריך לכותב, </w:t>
      </w:r>
      <w:r>
        <w:rPr>
          <w:rFonts w:hint="cs"/>
          <w:rtl/>
        </w:rPr>
        <w:t xml:space="preserve">עמ' 13 (באתר המרשתת הממשלתי </w:t>
      </w:r>
      <w:r w:rsidRPr="00407636">
        <w:t>www.gov.il</w:t>
      </w:r>
      <w:r>
        <w:rPr>
          <w:rFonts w:hint="cs"/>
          <w:rtl/>
        </w:rPr>
        <w:t>).</w:t>
      </w:r>
    </w:p>
  </w:footnote>
  <w:footnote w:id="127">
    <w:p w:rsidR="00151194" w:rsidP="00DC5B13">
      <w:pPr>
        <w:pStyle w:val="FootnoteText"/>
      </w:pPr>
      <w:r w:rsidRPr="00C83DCF">
        <w:rPr>
          <w:rStyle w:val="FootnoteReference1"/>
        </w:rPr>
        <w:footnoteRef/>
      </w:r>
      <w:r w:rsidRPr="00C83DCF">
        <w:rPr>
          <w:rtl/>
        </w:rPr>
        <w:t xml:space="preserve"> </w:t>
      </w:r>
      <w:r w:rsidRPr="00C83DCF">
        <w:rPr>
          <w:rtl/>
        </w:rPr>
        <w:tab/>
      </w:r>
      <w:r w:rsidRPr="00C83DCF">
        <w:rPr>
          <w:rFonts w:hint="cs"/>
          <w:rtl/>
        </w:rPr>
        <w:t xml:space="preserve">הנחיות ליצירת מסמך מדיניות מקוון (פורסם ב-13.4.22) </w:t>
      </w:r>
      <w:r w:rsidRPr="00407636">
        <w:rPr>
          <w:rFonts w:hint="cs"/>
          <w:rtl/>
        </w:rPr>
        <w:t>באתר</w:t>
      </w:r>
      <w:r w:rsidRPr="00C83DCF">
        <w:rPr>
          <w:rFonts w:hint="cs"/>
          <w:rtl/>
        </w:rPr>
        <w:t xml:space="preserve"> המרשתת של מינהל התכנון. מסמך מדיניות הוגדר כך: "</w:t>
      </w:r>
      <w:r w:rsidRPr="00C83DCF">
        <w:rPr>
          <w:rtl/>
        </w:rPr>
        <w:t>כלי שאינו סטטוטורי המאפשר לגבש ראיה תכנונית כוללת כשלב מקדים לקידום תכניות</w:t>
      </w:r>
      <w:r w:rsidRPr="00C83DCF">
        <w:rPr>
          <w:rFonts w:hint="cs"/>
          <w:rtl/>
        </w:rPr>
        <w:t>".</w:t>
      </w:r>
    </w:p>
  </w:footnote>
  <w:footnote w:id="128">
    <w:p w:rsidR="00151194" w:rsidP="00DC5B13">
      <w:pPr>
        <w:pStyle w:val="FootnoteText"/>
        <w:rPr>
          <w:rtl/>
        </w:rPr>
      </w:pPr>
      <w:r>
        <w:rPr>
          <w:rStyle w:val="FootnoteReference1"/>
        </w:rPr>
        <w:footnoteRef/>
      </w:r>
      <w:r>
        <w:rPr>
          <w:rtl/>
        </w:rPr>
        <w:t xml:space="preserve"> </w:t>
      </w:r>
      <w:r>
        <w:rPr>
          <w:rtl/>
        </w:rPr>
        <w:tab/>
      </w:r>
      <w:r>
        <w:rPr>
          <w:rFonts w:hint="cs"/>
          <w:rtl/>
        </w:rPr>
        <w:t>חוות הדעת של משרד המשפטים מבחינה בין חמישה סוגים של מסמכי מדיניות במוסדות התכנון: מדיניות לעניין רישוי, מדיניות מכוח הוראה בתוכנית עליונה, מדיניות המתווה שיקול דעת תכנוני, מדיניות שהיא "גשר" לתכנון מתארי סטטוטורי ומדיניות ליישום הוראות בתוכנית מאושרת. כל הסוגים של מסמכי המדיניות הללו קשורים לתהליכי התחדשות עירונית.</w:t>
      </w:r>
    </w:p>
  </w:footnote>
  <w:footnote w:id="129">
    <w:p w:rsidR="00151194" w:rsidP="00DC5B13">
      <w:pPr>
        <w:pStyle w:val="FootnoteText"/>
        <w:rPr>
          <w:rtl/>
        </w:rPr>
      </w:pPr>
      <w:r>
        <w:rPr>
          <w:rStyle w:val="FootnoteReference1"/>
        </w:rPr>
        <w:footnoteRef/>
      </w:r>
      <w:r>
        <w:rPr>
          <w:rtl/>
        </w:rPr>
        <w:t xml:space="preserve"> </w:t>
      </w:r>
      <w:r>
        <w:rPr>
          <w:rtl/>
        </w:rPr>
        <w:tab/>
      </w:r>
      <w:r>
        <w:rPr>
          <w:rFonts w:hint="cs"/>
          <w:rtl/>
        </w:rPr>
        <w:t>קול קורא 3/2018 וקול קורא 7/2022, בהתאמה.</w:t>
      </w:r>
    </w:p>
  </w:footnote>
  <w:footnote w:id="130">
    <w:p w:rsidR="00151194" w:rsidP="00DC5B13">
      <w:pPr>
        <w:pStyle w:val="FootnoteText"/>
        <w:rPr>
          <w:rtl/>
        </w:rPr>
      </w:pPr>
      <w:r>
        <w:rPr>
          <w:rStyle w:val="FootnoteReference1"/>
        </w:rPr>
        <w:footnoteRef/>
      </w:r>
      <w:r>
        <w:rPr>
          <w:rtl/>
        </w:rPr>
        <w:t xml:space="preserve"> </w:t>
      </w:r>
      <w:r>
        <w:rPr>
          <w:rtl/>
        </w:rPr>
        <w:tab/>
      </w:r>
      <w:r>
        <w:rPr>
          <w:rFonts w:hint="cs"/>
          <w:rtl/>
        </w:rPr>
        <w:t xml:space="preserve">בקול הקורא 3/2018 הוקצב פרק זמן של 15 חודשים להכנת מסמך המדיניות ולפרסומו באתר המרשתת של הרשות המקומית. בקול הקורא 7/2022 הוקצב לשם כך פרק זמן של 18 חודשים. </w:t>
      </w:r>
    </w:p>
  </w:footnote>
  <w:footnote w:id="131">
    <w:p w:rsidR="00151194" w:rsidP="00DC5B13">
      <w:pPr>
        <w:pStyle w:val="FootnoteText"/>
      </w:pPr>
      <w:r>
        <w:rPr>
          <w:rStyle w:val="FootnoteReference1"/>
        </w:rPr>
        <w:footnoteRef/>
      </w:r>
      <w:r>
        <w:rPr>
          <w:rtl/>
        </w:rPr>
        <w:t xml:space="preserve"> </w:t>
      </w:r>
      <w:r>
        <w:rPr>
          <w:rtl/>
        </w:rPr>
        <w:tab/>
      </w:r>
      <w:r>
        <w:rPr>
          <w:rFonts w:hint="cs"/>
          <w:rtl/>
        </w:rPr>
        <w:t>תוכנית כוללת להתחדשות עירונית היא תוכנית מתאר מקומית, החלה על כל מרחב התכנון של הוועדה המקומית או על כל שטח היישוב שהתוכנית חלה בתחומו. בתוכנית ייקבעו בין השאר מתחמים המיועדים לפינוי ובינוי או להתחדשות עירונית בדרכים אחרות (חיזוק או עיבוי); היקף שטחי הציבור במתחמים אלה והיקף שטחי הבנייה, ייעודי הקרקע והשימושים המותרים בהם.</w:t>
      </w:r>
    </w:p>
  </w:footnote>
  <w:footnote w:id="132">
    <w:p w:rsidR="00151194" w:rsidP="00DC5B13">
      <w:pPr>
        <w:pStyle w:val="FootnoteText"/>
        <w:rPr>
          <w:rtl/>
        </w:rPr>
      </w:pPr>
      <w:r>
        <w:rPr>
          <w:rStyle w:val="FootnoteReference1"/>
        </w:rPr>
        <w:footnoteRef/>
      </w:r>
      <w:r>
        <w:rPr>
          <w:rtl/>
        </w:rPr>
        <w:t xml:space="preserve"> </w:t>
      </w:r>
      <w:r>
        <w:rPr>
          <w:rtl/>
        </w:rPr>
        <w:tab/>
      </w:r>
      <w:r>
        <w:rPr>
          <w:rFonts w:hint="cs"/>
          <w:rtl/>
        </w:rPr>
        <w:t xml:space="preserve">ראו: </w:t>
      </w:r>
      <w:r w:rsidRPr="00407636">
        <w:rPr>
          <w:rFonts w:hint="cs"/>
          <w:rtl/>
        </w:rPr>
        <w:t>עת"מ</w:t>
      </w:r>
      <w:r>
        <w:rPr>
          <w:rFonts w:hint="cs"/>
          <w:rtl/>
        </w:rPr>
        <w:t xml:space="preserve"> 15694-06-20 </w:t>
      </w:r>
      <w:r w:rsidR="005941B0">
        <w:rPr>
          <w:rFonts w:hint="cs"/>
          <w:rtl/>
        </w:rPr>
        <w:t>-</w:t>
      </w:r>
      <w:r>
        <w:rPr>
          <w:rFonts w:hint="cs"/>
          <w:rtl/>
        </w:rPr>
        <w:t xml:space="preserve"> </w:t>
      </w:r>
      <w:r w:rsidRPr="00AF5406">
        <w:rPr>
          <w:rFonts w:hint="cs"/>
          <w:b/>
          <w:bCs/>
          <w:rtl/>
        </w:rPr>
        <w:t xml:space="preserve">שומרי הסף ואח' נגד עיריית חיפה, הוועדה מהמקומית לתכנון ולבנייה חיפה, הרשות הממשלתית להתחדשות עירונית ומדינת ישראל </w:t>
      </w:r>
      <w:r w:rsidR="005941B0">
        <w:rPr>
          <w:rFonts w:hint="cs"/>
          <w:b/>
          <w:bCs/>
          <w:rtl/>
        </w:rPr>
        <w:t>-</w:t>
      </w:r>
      <w:r w:rsidRPr="00AF5406">
        <w:rPr>
          <w:rFonts w:hint="cs"/>
          <w:b/>
          <w:bCs/>
          <w:rtl/>
        </w:rPr>
        <w:t xml:space="preserve"> משרד הבינוי והשיכון</w:t>
      </w:r>
      <w:r>
        <w:rPr>
          <w:rFonts w:hint="cs"/>
          <w:rtl/>
        </w:rPr>
        <w:t xml:space="preserve"> (פורסם במאגר ממוחשב, 23.12.20). בשנת 2020 ביטל בית המשפט המחוזי בחיפה מסמך מדיניות של עיריית חיפה שקבע תמורות אחידות לבעלי דירות במסגרת תהליכי התחדשות עירונית. ב</w:t>
      </w:r>
      <w:r w:rsidRPr="00F962AD">
        <w:rPr>
          <w:rFonts w:hint="eastAsia"/>
          <w:rtl/>
        </w:rPr>
        <w:t>פסק</w:t>
      </w:r>
      <w:r w:rsidRPr="00F962AD">
        <w:rPr>
          <w:rtl/>
        </w:rPr>
        <w:t xml:space="preserve"> </w:t>
      </w:r>
      <w:r w:rsidRPr="00F962AD">
        <w:rPr>
          <w:rFonts w:hint="eastAsia"/>
          <w:rtl/>
        </w:rPr>
        <w:t>הדין</w:t>
      </w:r>
      <w:r>
        <w:rPr>
          <w:rFonts w:hint="cs"/>
          <w:rtl/>
        </w:rPr>
        <w:t xml:space="preserve"> בעתירה נקבע כי מסמך המדיניות יבוטל, וזאת מפני שבעת הכנתו לא נערך הליך ראוי של שיתוף הציבור בשים לב לכך שהוא כלל הוראות שמקומן בתוכנית סטטוטורית ולא הונחה תשתית עובדתית הולמת בפני הוועדה לתכנון ובנייה אשר אישרה את המסמך. </w:t>
      </w:r>
    </w:p>
  </w:footnote>
  <w:footnote w:id="133">
    <w:p w:rsidR="00151194" w:rsidP="00DC5B13">
      <w:pPr>
        <w:pStyle w:val="FootnoteText"/>
      </w:pPr>
      <w:r>
        <w:rPr>
          <w:rStyle w:val="FootnoteReference1"/>
        </w:rPr>
        <w:footnoteRef/>
      </w:r>
      <w:r>
        <w:rPr>
          <w:rtl/>
        </w:rPr>
        <w:t xml:space="preserve"> </w:t>
      </w:r>
      <w:r>
        <w:rPr>
          <w:rtl/>
        </w:rPr>
        <w:tab/>
      </w:r>
      <w:r>
        <w:rPr>
          <w:rFonts w:hint="cs"/>
          <w:rtl/>
        </w:rPr>
        <w:t xml:space="preserve">תוכנית כוללנית היא תוכנית מתאר מקומית, החלה על כל שטח מרחב התכנון המקומי או היישוב, או על חלק ניכר מהם המתווה את מדיניות התכנון לטווח ארוך וכיווני </w:t>
      </w:r>
      <w:r w:rsidRPr="00F671AC">
        <w:rPr>
          <w:rtl/>
        </w:rPr>
        <w:t>התפתחות עתידית</w:t>
      </w:r>
      <w:r>
        <w:rPr>
          <w:rFonts w:hint="cs"/>
          <w:rtl/>
        </w:rPr>
        <w:t xml:space="preserve"> של מרחב הרשות המקומית. המושג "תכנית כוללנית" נוסף לחוק התכנון והבנייה במסגרת תיקון 101 משנת 2014 במסגרת הרחבת סמכויות הוועדות המקומיות, ולכן תוכניות שהן במהותן כאלה אך אושרו קודם לתיקון 101 לא נקראות כך.</w:t>
      </w:r>
    </w:p>
  </w:footnote>
  <w:footnote w:id="134">
    <w:p w:rsidR="00151194" w:rsidP="00DC5B13">
      <w:pPr>
        <w:pStyle w:val="FootnoteText"/>
        <w:rPr>
          <w:rtl/>
        </w:rPr>
      </w:pPr>
      <w:r>
        <w:rPr>
          <w:rStyle w:val="FootnoteReference1"/>
        </w:rPr>
        <w:footnoteRef/>
      </w:r>
      <w:r>
        <w:rPr>
          <w:rtl/>
        </w:rPr>
        <w:t xml:space="preserve"> </w:t>
      </w:r>
      <w:r>
        <w:rPr>
          <w:rtl/>
        </w:rPr>
        <w:tab/>
      </w:r>
      <w:r>
        <w:rPr>
          <w:rFonts w:hint="cs"/>
          <w:rtl/>
        </w:rPr>
        <w:t xml:space="preserve">המבואה לוד - המינהלת העירונית להתחדשות, </w:t>
      </w:r>
      <w:r w:rsidRPr="009C726B">
        <w:rPr>
          <w:rFonts w:hint="cs"/>
          <w:b/>
          <w:bCs/>
          <w:rtl/>
        </w:rPr>
        <w:t>מסמך מדיניות להתחדשות המרקם העירוני הוותיק</w:t>
      </w:r>
      <w:r>
        <w:rPr>
          <w:rFonts w:hint="cs"/>
          <w:rtl/>
        </w:rPr>
        <w:t xml:space="preserve"> </w:t>
      </w:r>
      <w:r w:rsidRPr="009455EF">
        <w:rPr>
          <w:rFonts w:hint="eastAsia"/>
          <w:b/>
          <w:bCs/>
          <w:rtl/>
        </w:rPr>
        <w:t>בלוד</w:t>
      </w:r>
      <w:r>
        <w:rPr>
          <w:rFonts w:hint="cs"/>
          <w:rtl/>
        </w:rPr>
        <w:t xml:space="preserve"> (2019), החברה הכלכלית לוד, עמ' 83 - 84.</w:t>
      </w:r>
    </w:p>
  </w:footnote>
  <w:footnote w:id="135">
    <w:p w:rsidR="00151194" w:rsidP="00DC5B13">
      <w:pPr>
        <w:pStyle w:val="FootnoteText"/>
        <w:rPr>
          <w:rtl/>
        </w:rPr>
      </w:pPr>
      <w:r>
        <w:rPr>
          <w:rStyle w:val="FootnoteReference1"/>
        </w:rPr>
        <w:footnoteRef/>
      </w:r>
      <w:r>
        <w:rPr>
          <w:rtl/>
        </w:rPr>
        <w:t xml:space="preserve"> </w:t>
      </w:r>
      <w:r>
        <w:rPr>
          <w:rtl/>
        </w:rPr>
        <w:tab/>
      </w:r>
      <w:r>
        <w:rPr>
          <w:rFonts w:hint="cs"/>
          <w:rtl/>
        </w:rPr>
        <w:t xml:space="preserve">קרן כספית שאליה מפריש יזם במיזמים להתחדשות עירונית בעבור תחזוקה שוטפת של המבנה לכמה שנים (כפוף להסכם שנחתם בין היזם ובין בעלי הדירות). </w:t>
      </w:r>
      <w:r w:rsidRPr="00120886">
        <w:rPr>
          <w:rtl/>
        </w:rPr>
        <w:t xml:space="preserve">הרשות </w:t>
      </w:r>
      <w:r>
        <w:rPr>
          <w:rFonts w:hint="cs"/>
          <w:rtl/>
        </w:rPr>
        <w:t>להתחדשות עירונית ממליצה</w:t>
      </w:r>
      <w:r w:rsidRPr="00120886">
        <w:rPr>
          <w:rtl/>
        </w:rPr>
        <w:t xml:space="preserve"> לעגן</w:t>
      </w:r>
      <w:r>
        <w:rPr>
          <w:rFonts w:hint="cs"/>
          <w:rtl/>
        </w:rPr>
        <w:t xml:space="preserve"> </w:t>
      </w:r>
      <w:r w:rsidRPr="00120886">
        <w:rPr>
          <w:rtl/>
        </w:rPr>
        <w:t>בהסכם עם היזם את מחויבותו להעמיד לבעלי הדירות קרן שתשמש לתחזוקת הבניין למשך שנים</w:t>
      </w:r>
      <w:r>
        <w:rPr>
          <w:rFonts w:hint="cs"/>
          <w:rtl/>
        </w:rPr>
        <w:t xml:space="preserve"> אחדות</w:t>
      </w:r>
      <w:r w:rsidRPr="00120886">
        <w:rPr>
          <w:rtl/>
        </w:rPr>
        <w:t xml:space="preserve">. סעיף 19 לחוק הרשות הממשלתית להתחדשות עירונית קובע </w:t>
      </w:r>
      <w:r>
        <w:rPr>
          <w:rFonts w:hint="cs"/>
          <w:rtl/>
        </w:rPr>
        <w:t xml:space="preserve">כי היזם חייב </w:t>
      </w:r>
      <w:r w:rsidRPr="00120886">
        <w:rPr>
          <w:rtl/>
        </w:rPr>
        <w:t xml:space="preserve">להעמיד קרן כאמור עבור בעלי דירות שהגיעו לגיל פרישה במועד קבלת הדירה החדשה. קרן עבור תחזוקה קצרת הטווח במימון היזם, אם נקבעה בהסכם, ניתנת לשקלול במסגרת הוצאות היזם </w:t>
      </w:r>
      <w:r>
        <w:rPr>
          <w:rFonts w:hint="cs"/>
          <w:rtl/>
        </w:rPr>
        <w:t>בחישובי הכלכליות של המיזם (</w:t>
      </w:r>
      <w:r w:rsidRPr="00120886">
        <w:rPr>
          <w:rtl/>
        </w:rPr>
        <w:t>תקן 21</w:t>
      </w:r>
      <w:r>
        <w:rPr>
          <w:rFonts w:hint="cs"/>
          <w:rtl/>
        </w:rPr>
        <w:t xml:space="preserve">). </w:t>
      </w:r>
      <w:r w:rsidRPr="00407636">
        <w:rPr>
          <w:rFonts w:hint="cs"/>
          <w:rtl/>
        </w:rPr>
        <w:t>ראו</w:t>
      </w:r>
      <w:r>
        <w:rPr>
          <w:rFonts w:hint="cs"/>
          <w:rtl/>
        </w:rPr>
        <w:t xml:space="preserve"> אתר המרשתת של הרשות להתחדשות עירונית</w:t>
      </w:r>
      <w:r w:rsidRPr="00120886">
        <w:rPr>
          <w:rtl/>
        </w:rPr>
        <w:t>.</w:t>
      </w:r>
    </w:p>
  </w:footnote>
  <w:footnote w:id="136">
    <w:p w:rsidR="00151194" w:rsidP="00DC5B13">
      <w:pPr>
        <w:pStyle w:val="FootnoteText"/>
      </w:pPr>
      <w:r w:rsidRPr="001B7242">
        <w:rPr>
          <w:rStyle w:val="FootnoteReference1"/>
        </w:rPr>
        <w:footnoteRef/>
      </w:r>
      <w:r w:rsidRPr="001B7242">
        <w:rPr>
          <w:rtl/>
        </w:rPr>
        <w:t xml:space="preserve"> </w:t>
      </w:r>
      <w:r w:rsidRPr="001B7242">
        <w:rPr>
          <w:rtl/>
        </w:rPr>
        <w:tab/>
      </w:r>
      <w:r w:rsidRPr="001B7242">
        <w:rPr>
          <w:rFonts w:hint="cs"/>
          <w:rtl/>
        </w:rPr>
        <w:t>מסמך המדיניות להתחדשות עירונית של מרכז העיר נתניה אושר בוועדה המקומית נתניה ב-24.3.25. המסמך מתבסס על תוכנית המתאר הכוללנית המוצעת לנתניה (נת/2035), שטרם קיבלה תוקף.</w:t>
      </w:r>
    </w:p>
  </w:footnote>
  <w:footnote w:id="137">
    <w:p w:rsidR="00151194" w:rsidP="00DC5B13">
      <w:pPr>
        <w:pStyle w:val="FootnoteText"/>
      </w:pPr>
      <w:r>
        <w:rPr>
          <w:rStyle w:val="FootnoteReference1"/>
        </w:rPr>
        <w:footnoteRef/>
      </w:r>
      <w:r>
        <w:rPr>
          <w:rtl/>
        </w:rPr>
        <w:t xml:space="preserve"> </w:t>
      </w:r>
      <w:r>
        <w:rPr>
          <w:rtl/>
        </w:rPr>
        <w:tab/>
      </w:r>
      <w:r>
        <w:rPr>
          <w:rFonts w:hint="cs"/>
          <w:rtl/>
        </w:rPr>
        <w:t xml:space="preserve">"תוכנית מתאר מקומית נת/401/נורדאו התחדשות עירונית" היא תוכנית מפורטת, שמכוחה ניתן להוציא היתרי בנייה למבנים המיועדים להתחדשות בדרך של עיבוי הבינוי הקיים. התוכנית כוללת גם מתחמים המיועדים לפינוי ובינוי, שלהם נדרש תכנון מפורט שיאפשר הוצאת היתרי בנייה. </w:t>
      </w:r>
    </w:p>
  </w:footnote>
  <w:footnote w:id="138">
    <w:p w:rsidR="00151194" w:rsidRPr="00270B19" w:rsidP="00DC5B13">
      <w:pPr>
        <w:pStyle w:val="FootnoteText"/>
        <w:rPr>
          <w:rtl/>
        </w:rPr>
      </w:pPr>
      <w:r>
        <w:rPr>
          <w:rStyle w:val="FootnoteReference1"/>
        </w:rPr>
        <w:footnoteRef/>
      </w:r>
      <w:r>
        <w:rPr>
          <w:rtl/>
        </w:rPr>
        <w:t xml:space="preserve"> </w:t>
      </w:r>
      <w:r>
        <w:rPr>
          <w:rtl/>
        </w:rPr>
        <w:tab/>
      </w:r>
      <w:r>
        <w:rPr>
          <w:rFonts w:hint="cs"/>
          <w:rtl/>
        </w:rPr>
        <w:t xml:space="preserve">עיריית קריית שמונה ומינהל התכנון, </w:t>
      </w:r>
      <w:r>
        <w:rPr>
          <w:rFonts w:hint="cs"/>
          <w:b/>
          <w:bCs/>
          <w:rtl/>
        </w:rPr>
        <w:t>מסמך מדיניות קריית שמונה</w:t>
      </w:r>
      <w:r>
        <w:rPr>
          <w:rFonts w:hint="cs"/>
          <w:rtl/>
        </w:rPr>
        <w:t>, 2021, עמ' 5.</w:t>
      </w:r>
    </w:p>
  </w:footnote>
  <w:footnote w:id="139">
    <w:p w:rsidR="00151194" w:rsidP="00DC5B13">
      <w:pPr>
        <w:pStyle w:val="FootnoteText"/>
      </w:pPr>
      <w:r w:rsidRPr="007B28F4">
        <w:rPr>
          <w:rStyle w:val="FootnoteReference1"/>
        </w:rPr>
        <w:footnoteRef/>
      </w:r>
      <w:r w:rsidRPr="007B28F4">
        <w:rPr>
          <w:rtl/>
        </w:rPr>
        <w:t xml:space="preserve"> </w:t>
      </w:r>
      <w:r w:rsidRPr="007B28F4">
        <w:rPr>
          <w:rtl/>
        </w:rPr>
        <w:tab/>
      </w:r>
      <w:r w:rsidRPr="007B28F4">
        <w:rPr>
          <w:rFonts w:hint="cs"/>
          <w:rtl/>
        </w:rPr>
        <w:t>שם, עמ' 90.</w:t>
      </w:r>
    </w:p>
  </w:footnote>
  <w:footnote w:id="140">
    <w:p w:rsidR="00151194" w:rsidP="00DC5B13">
      <w:pPr>
        <w:pStyle w:val="FootnoteText"/>
      </w:pPr>
      <w:r>
        <w:rPr>
          <w:rStyle w:val="FootnoteReference1"/>
        </w:rPr>
        <w:footnoteRef/>
      </w:r>
      <w:r>
        <w:rPr>
          <w:rtl/>
        </w:rPr>
        <w:t xml:space="preserve"> </w:t>
      </w:r>
      <w:r>
        <w:rPr>
          <w:rtl/>
        </w:rPr>
        <w:tab/>
      </w:r>
      <w:r>
        <w:rPr>
          <w:rFonts w:hint="cs"/>
          <w:rtl/>
        </w:rPr>
        <w:t>על פי מסמך המדיניות, כיום יש במרכז העיר כ-300 יחידות דיור ופוטנציאל לבניית כ-70,000 מ"ר לייעוד מסחרי, ולגביהם נטען במסמך שחלקם טרם נבנה או נבנה ואינו בשימוש. המדיניות מציבה מטרה של הכפלת מספרן של יחידות הדיור פי שמונה בקירוב והכפלה של השטחים הבנויים המיועדים למסחר. כרבע משטח הקרקעות במתחם מיועד כיום להקמת מבנים מסחריים (כ-103 דונם מתוך שטח כולל של כ-390 דונם). המדיניות לא ציינה במפורש אם יש כוונה להגדיל גם את שטח הקרקע המיועד למסחר או רק את שטח הבנייה. ב-2023 היו בקריית שמונה כולה כ-153,000 מ"ר למשרדים, לשירותים ולמסחר, ולפיכך תוספת שטחי המסחר המוצעת גדולה ממחצית השטחים הבנויים כיום (</w:t>
      </w:r>
      <w:r w:rsidRPr="00407636">
        <w:rPr>
          <w:rFonts w:hint="cs"/>
          <w:rtl/>
        </w:rPr>
        <w:t>ראו</w:t>
      </w:r>
      <w:r>
        <w:rPr>
          <w:rFonts w:hint="cs"/>
          <w:rtl/>
        </w:rPr>
        <w:t xml:space="preserve"> הלשכה המרכזית לסטטיסטיקה, </w:t>
      </w:r>
      <w:r w:rsidRPr="005E0B2F">
        <w:rPr>
          <w:rFonts w:hint="eastAsia"/>
          <w:b/>
          <w:bCs/>
          <w:rtl/>
        </w:rPr>
        <w:t>קובץ</w:t>
      </w:r>
      <w:r w:rsidRPr="005E0B2F">
        <w:rPr>
          <w:b/>
          <w:bCs/>
          <w:rtl/>
        </w:rPr>
        <w:t xml:space="preserve"> </w:t>
      </w:r>
      <w:r w:rsidRPr="005E0B2F">
        <w:rPr>
          <w:rFonts w:hint="eastAsia"/>
          <w:b/>
          <w:bCs/>
          <w:rtl/>
        </w:rPr>
        <w:t>הרשויות</w:t>
      </w:r>
      <w:r w:rsidRPr="005E0B2F">
        <w:rPr>
          <w:b/>
          <w:bCs/>
          <w:rtl/>
        </w:rPr>
        <w:t xml:space="preserve"> </w:t>
      </w:r>
      <w:r w:rsidRPr="005E0B2F">
        <w:rPr>
          <w:rFonts w:hint="eastAsia"/>
          <w:b/>
          <w:bCs/>
          <w:rtl/>
        </w:rPr>
        <w:t>המקומיות</w:t>
      </w:r>
      <w:r>
        <w:rPr>
          <w:rFonts w:hint="cs"/>
          <w:rtl/>
        </w:rPr>
        <w:t>, 2023).</w:t>
      </w:r>
    </w:p>
  </w:footnote>
  <w:footnote w:id="141">
    <w:p w:rsidR="00151194" w:rsidP="00DC5B13">
      <w:pPr>
        <w:pStyle w:val="FootnoteText"/>
      </w:pPr>
      <w:r>
        <w:rPr>
          <w:rStyle w:val="FootnoteReference1"/>
        </w:rPr>
        <w:footnoteRef/>
      </w:r>
      <w:r>
        <w:rPr>
          <w:rtl/>
        </w:rPr>
        <w:t xml:space="preserve"> </w:t>
      </w:r>
      <w:r>
        <w:rPr>
          <w:rtl/>
        </w:rPr>
        <w:tab/>
      </w:r>
      <w:r w:rsidRPr="00407636">
        <w:rPr>
          <w:rFonts w:hint="cs"/>
          <w:rtl/>
        </w:rPr>
        <w:t>הסכם</w:t>
      </w:r>
      <w:r>
        <w:rPr>
          <w:rFonts w:hint="cs"/>
          <w:rtl/>
        </w:rPr>
        <w:t xml:space="preserve"> להשתתפות במימון ובהפעלת מינהלת התחדשות עירונית בקריית שמונה נחתם בין הרשות הממשלתית להתחדשות עירונית ובין עיריית קריית שמונה בדצמבר 2024. בין השאר מצוין בהסכם כי הקמת המינהלת העירונית נעשתה בהמשך להחלטת הממשלה 1786 ממאי 2024 בנושא קידום מתווה </w:t>
      </w:r>
      <w:r w:rsidR="00683F7D">
        <w:rPr>
          <w:rtl/>
        </w:rPr>
        <w:br/>
      </w:r>
      <w:r>
        <w:rPr>
          <w:rFonts w:hint="cs"/>
          <w:rtl/>
        </w:rPr>
        <w:t>רב-שנתי לשיקום ופיתוח הצפון. לפני החתימה על ההסכם להקמת המינהלת העירונית בקריית שמונה פעלה בעיר מינהלת התחדשות אזורית, האחראית לקידום התחדשות עירונית בכמה רשויות מקומיות.</w:t>
      </w:r>
    </w:p>
  </w:footnote>
  <w:footnote w:id="142">
    <w:p w:rsidR="00151194" w:rsidP="00DC5B13">
      <w:pPr>
        <w:pStyle w:val="FootnoteText"/>
      </w:pPr>
      <w:r>
        <w:rPr>
          <w:rStyle w:val="FootnoteReference1"/>
        </w:rPr>
        <w:footnoteRef/>
      </w:r>
      <w:r>
        <w:rPr>
          <w:rtl/>
        </w:rPr>
        <w:t xml:space="preserve"> </w:t>
      </w:r>
      <w:r>
        <w:rPr>
          <w:rtl/>
        </w:rPr>
        <w:tab/>
      </w:r>
      <w:r w:rsidRPr="00407636">
        <w:rPr>
          <w:rFonts w:hint="cs"/>
          <w:rtl/>
        </w:rPr>
        <w:t>ראו</w:t>
      </w:r>
      <w:r>
        <w:rPr>
          <w:rFonts w:hint="cs"/>
          <w:rtl/>
        </w:rPr>
        <w:t xml:space="preserve">: מרחב התנועה לעירוניות בישראל, </w:t>
      </w:r>
      <w:r w:rsidRPr="00F1638D">
        <w:rPr>
          <w:rFonts w:hint="cs"/>
          <w:b/>
          <w:bCs/>
          <w:rtl/>
        </w:rPr>
        <w:t>ישראל עירונית 2050</w:t>
      </w:r>
      <w:r>
        <w:rPr>
          <w:rFonts w:hint="cs"/>
          <w:rtl/>
        </w:rPr>
        <w:t xml:space="preserve">, 2015, עמ' 18. יצירת רשת רחובות צפופה, המכילה מספר גבוה של צמתים לכל תא שטח נמדד, היא מרכיב התורם לשיפור המרחב העירוני, לחיזוק העירוניות ולשיפור מערכת התנועה הרגלית והרכובה. המדדים המפורטים במסמך מציינים יעד של רשת דרכים ובה 100 - 200 צמתים לקמ"ר. מומלץ כי המרחק בין הצמתים ינוע בין 60 מ' ל-120 מ'. </w:t>
      </w:r>
    </w:p>
  </w:footnote>
  <w:footnote w:id="143">
    <w:p w:rsidR="00151194" w:rsidP="00DC5B13">
      <w:pPr>
        <w:pStyle w:val="FootnoteText"/>
        <w:rPr>
          <w:rtl/>
        </w:rPr>
      </w:pPr>
      <w:r>
        <w:rPr>
          <w:rStyle w:val="FootnoteReference1"/>
        </w:rPr>
        <w:footnoteRef/>
      </w:r>
      <w:r>
        <w:rPr>
          <w:rtl/>
        </w:rPr>
        <w:t xml:space="preserve"> </w:t>
      </w:r>
      <w:r>
        <w:rPr>
          <w:rtl/>
        </w:rPr>
        <w:tab/>
      </w:r>
      <w:r>
        <w:rPr>
          <w:rFonts w:hint="cs"/>
          <w:rtl/>
        </w:rPr>
        <w:t xml:space="preserve">הנושא הועלה על ידי נציגי עיריית רעננה </w:t>
      </w:r>
      <w:r w:rsidRPr="00407636">
        <w:rPr>
          <w:rFonts w:hint="cs"/>
          <w:rtl/>
        </w:rPr>
        <w:t>בפגישה</w:t>
      </w:r>
      <w:r>
        <w:rPr>
          <w:rFonts w:hint="cs"/>
          <w:rtl/>
        </w:rPr>
        <w:t xml:space="preserve"> עם צוות הביקורת ב-24.7.25.</w:t>
      </w:r>
    </w:p>
  </w:footnote>
  <w:footnote w:id="144">
    <w:p w:rsidR="00151194" w:rsidP="00DC5B13">
      <w:pPr>
        <w:pStyle w:val="FootnoteText"/>
      </w:pPr>
      <w:r>
        <w:rPr>
          <w:rStyle w:val="FootnoteReference1"/>
        </w:rPr>
        <w:footnoteRef/>
      </w:r>
      <w:r>
        <w:rPr>
          <w:rtl/>
        </w:rPr>
        <w:t xml:space="preserve"> </w:t>
      </w:r>
      <w:r>
        <w:rPr>
          <w:rtl/>
        </w:rPr>
        <w:tab/>
      </w:r>
      <w:r>
        <w:rPr>
          <w:rFonts w:hint="cs"/>
          <w:rtl/>
        </w:rPr>
        <w:t>תוכנית רע/1010ב' (416-1060052) - תוכנית להתחדשות בניינית רעננה, עמ' 9 (2024).</w:t>
      </w:r>
    </w:p>
  </w:footnote>
  <w:footnote w:id="145">
    <w:p w:rsidR="00151194" w:rsidP="00DC5B13">
      <w:pPr>
        <w:pStyle w:val="FootnoteText"/>
      </w:pPr>
      <w:r w:rsidRPr="00A009DE">
        <w:rPr>
          <w:rStyle w:val="FootnoteReference1"/>
        </w:rPr>
        <w:footnoteRef/>
      </w:r>
      <w:r w:rsidRPr="00A009DE">
        <w:rPr>
          <w:rtl/>
        </w:rPr>
        <w:t xml:space="preserve"> </w:t>
      </w:r>
      <w:r w:rsidRPr="00A009DE">
        <w:rPr>
          <w:rtl/>
        </w:rPr>
        <w:tab/>
      </w:r>
      <w:r w:rsidRPr="00A009DE">
        <w:rPr>
          <w:rFonts w:hint="cs"/>
          <w:rtl/>
        </w:rPr>
        <w:t>שם, עמ' 2.</w:t>
      </w:r>
    </w:p>
  </w:footnote>
  <w:footnote w:id="146">
    <w:p w:rsidR="00151194" w:rsidP="00DC5B13">
      <w:pPr>
        <w:pStyle w:val="FootnoteText"/>
        <w:rPr>
          <w:rtl/>
        </w:rPr>
      </w:pPr>
      <w:r>
        <w:rPr>
          <w:rStyle w:val="FootnoteReference1"/>
        </w:rPr>
        <w:footnoteRef/>
      </w:r>
      <w:r>
        <w:rPr>
          <w:rtl/>
        </w:rPr>
        <w:t xml:space="preserve"> </w:t>
      </w:r>
      <w:r>
        <w:rPr>
          <w:rtl/>
        </w:rPr>
        <w:tab/>
      </w:r>
      <w:r>
        <w:rPr>
          <w:rFonts w:hint="cs"/>
          <w:rtl/>
        </w:rPr>
        <w:t>אזורים 105 - 108 ו-110 - 113, תשעה אזורי התייחסות מתוך 15 אזורי התייחסות שהוגדרו בתוכנית המתאר. המע"ר חוצה את כל אזורי ההתייחסות האלה מלבד את אזור 108.</w:t>
      </w:r>
    </w:p>
  </w:footnote>
  <w:footnote w:id="147">
    <w:p w:rsidR="00151194" w:rsidP="00DC5B13">
      <w:pPr>
        <w:pStyle w:val="FootnoteText"/>
      </w:pPr>
      <w:r>
        <w:rPr>
          <w:rStyle w:val="FootnoteReference1"/>
        </w:rPr>
        <w:footnoteRef/>
      </w:r>
      <w:r>
        <w:rPr>
          <w:rtl/>
        </w:rPr>
        <w:t xml:space="preserve"> </w:t>
      </w:r>
      <w:r>
        <w:rPr>
          <w:rtl/>
        </w:rPr>
        <w:tab/>
      </w:r>
      <w:r>
        <w:rPr>
          <w:rFonts w:hint="cs"/>
          <w:rtl/>
        </w:rPr>
        <w:t>מערכת התנועה כוללת את רשת הכבישים, את הרחובות, את שבילי האופניים וכל נתיב אחר המשמש לתנועת בני אדם וכלי רכב.</w:t>
      </w:r>
    </w:p>
  </w:footnote>
  <w:footnote w:id="148">
    <w:p w:rsidR="00151194" w:rsidP="00DC5B13">
      <w:pPr>
        <w:pStyle w:val="FootnoteText"/>
        <w:rPr>
          <w:rtl/>
        </w:rPr>
      </w:pPr>
      <w:r>
        <w:rPr>
          <w:rStyle w:val="FootnoteReference1"/>
        </w:rPr>
        <w:footnoteRef/>
      </w:r>
      <w:r>
        <w:rPr>
          <w:rtl/>
        </w:rPr>
        <w:t xml:space="preserve"> </w:t>
      </w:r>
      <w:r>
        <w:rPr>
          <w:rtl/>
        </w:rPr>
        <w:tab/>
      </w:r>
      <w:r>
        <w:rPr>
          <w:rFonts w:hint="cs"/>
          <w:rtl/>
        </w:rPr>
        <w:t xml:space="preserve">עיריית רעננה, </w:t>
      </w:r>
      <w:r w:rsidRPr="00C36E4B">
        <w:rPr>
          <w:rFonts w:hint="eastAsia"/>
          <w:b/>
          <w:bCs/>
          <w:rtl/>
        </w:rPr>
        <w:t>מסמך</w:t>
      </w:r>
      <w:r w:rsidRPr="00C36E4B">
        <w:rPr>
          <w:b/>
          <w:bCs/>
          <w:rtl/>
        </w:rPr>
        <w:t xml:space="preserve"> מדיניות </w:t>
      </w:r>
      <w:r w:rsidRPr="00C36E4B">
        <w:rPr>
          <w:rFonts w:hint="eastAsia"/>
          <w:b/>
          <w:bCs/>
          <w:rtl/>
        </w:rPr>
        <w:t>לאזור</w:t>
      </w:r>
      <w:r w:rsidRPr="00C36E4B">
        <w:rPr>
          <w:b/>
          <w:bCs/>
          <w:rtl/>
        </w:rPr>
        <w:t xml:space="preserve"> </w:t>
      </w:r>
      <w:r w:rsidRPr="00C36E4B">
        <w:rPr>
          <w:rFonts w:hint="eastAsia"/>
          <w:b/>
          <w:bCs/>
          <w:rtl/>
        </w:rPr>
        <w:t>התייחסות</w:t>
      </w:r>
      <w:r w:rsidRPr="00C36E4B">
        <w:rPr>
          <w:b/>
          <w:bCs/>
          <w:rtl/>
        </w:rPr>
        <w:t xml:space="preserve"> 104</w:t>
      </w:r>
      <w:r>
        <w:rPr>
          <w:rFonts w:hint="cs"/>
          <w:rtl/>
        </w:rPr>
        <w:t>, 2025, עמ' 3: "כל תכנון באזור ההתייחסות יתבסס על מסמך זה באמצעות הכנת תב"ע מתחמית בסמכות מקומית, שתגלם את הוראותיו ואת עקרונותיו".</w:t>
      </w:r>
    </w:p>
  </w:footnote>
  <w:footnote w:id="149">
    <w:p w:rsidR="00151194" w:rsidP="00DC5B13">
      <w:pPr>
        <w:pStyle w:val="FootnoteText"/>
      </w:pPr>
      <w:r>
        <w:rPr>
          <w:rStyle w:val="FootnoteReference1"/>
        </w:rPr>
        <w:footnoteRef/>
      </w:r>
      <w:r>
        <w:rPr>
          <w:rtl/>
        </w:rPr>
        <w:t xml:space="preserve"> </w:t>
      </w:r>
      <w:r>
        <w:rPr>
          <w:rtl/>
        </w:rPr>
        <w:tab/>
      </w:r>
      <w:r>
        <w:rPr>
          <w:rFonts w:hint="cs"/>
          <w:rtl/>
        </w:rPr>
        <w:t>הנחיות מרחביות הן מסמך תכנון, המפורסם על ידי ועדות מקומיות לתכנון ולבנייה. מסמך זה מגדיר עקרונות עיצוב ופיתוח, תשתיות וחומרי גמר להקמת מבנים באזורים בעלי ייחוד או במתחמים מוגדרים בתחום השיפוט של הוועדה. ההנחיות המרחביות מאפשרות לוועדות המקומיות לייצר ודאות עבור מתכננים בשלב התכנון, והן מחייבות בשלב הגשת הבקשות להיתרי בנייה. עם זאת, ההנחיות המרחביות אינן יכולות לסתור הוראות תוכנית בניין עיר או את חוק התכנון והבנייה. ההנחיות המרחביות נקבעות בכפוף לאמור בסעיף 145 לחוק התכנון והבנייה.</w:t>
      </w:r>
    </w:p>
  </w:footnote>
  <w:footnote w:id="150">
    <w:p w:rsidR="00151194" w:rsidRPr="00F85E8A" w:rsidP="00DC5B13">
      <w:pPr>
        <w:pStyle w:val="FootnoteText"/>
        <w:rPr>
          <w:rtl/>
        </w:rPr>
      </w:pPr>
      <w:r w:rsidRPr="00F85E8A">
        <w:rPr>
          <w:rStyle w:val="FootnoteReference1"/>
        </w:rPr>
        <w:footnoteRef/>
      </w:r>
      <w:r w:rsidRPr="00F85E8A">
        <w:rPr>
          <w:rtl/>
        </w:rPr>
        <w:t xml:space="preserve"> </w:t>
      </w:r>
      <w:r w:rsidRPr="00F85E8A">
        <w:rPr>
          <w:rtl/>
        </w:rPr>
        <w:tab/>
      </w:r>
      <w:r w:rsidRPr="00F85E8A">
        <w:rPr>
          <w:rFonts w:hint="cs"/>
          <w:rtl/>
        </w:rPr>
        <w:t>"</w:t>
      </w:r>
      <w:r w:rsidRPr="00407636">
        <w:rPr>
          <w:rtl/>
        </w:rPr>
        <w:t xml:space="preserve">חוות דעת לתב"ע להתחדשות עירונית מתחם כצנלסון 2 </w:t>
      </w:r>
      <w:r w:rsidRPr="00407636">
        <w:rPr>
          <w:rFonts w:hint="cs"/>
          <w:rtl/>
        </w:rPr>
        <w:t>ו-4</w:t>
      </w:r>
      <w:r w:rsidRPr="00407636">
        <w:rPr>
          <w:rtl/>
        </w:rPr>
        <w:t>, לוד</w:t>
      </w:r>
      <w:r w:rsidRPr="00F85E8A">
        <w:rPr>
          <w:rFonts w:hint="cs"/>
          <w:rtl/>
        </w:rPr>
        <w:t xml:space="preserve">", מינהלת התחדשות עירונית לוד, </w:t>
      </w:r>
      <w:r>
        <w:rPr>
          <w:rFonts w:hint="cs"/>
          <w:rtl/>
        </w:rPr>
        <w:t>נובמבר 2019</w:t>
      </w:r>
      <w:r w:rsidRPr="00F85E8A">
        <w:rPr>
          <w:rFonts w:hint="cs"/>
          <w:rtl/>
        </w:rPr>
        <w:t xml:space="preserve">, עמ' 5; וכן </w:t>
      </w:r>
      <w:r w:rsidRPr="00407636">
        <w:rPr>
          <w:rFonts w:hint="cs"/>
          <w:rtl/>
        </w:rPr>
        <w:t xml:space="preserve">ת"א </w:t>
      </w:r>
      <w:r w:rsidRPr="00407636">
        <w:rPr>
          <w:rtl/>
        </w:rPr>
        <w:t>63837-03-22</w:t>
      </w:r>
      <w:r w:rsidRPr="00F85E8A">
        <w:rPr>
          <w:rFonts w:hint="cs"/>
          <w:rtl/>
        </w:rPr>
        <w:t xml:space="preserve"> </w:t>
      </w:r>
      <w:r w:rsidRPr="00F85E8A">
        <w:rPr>
          <w:b/>
          <w:bCs/>
          <w:rtl/>
        </w:rPr>
        <w:t>איצקוביץ' ואח' נ' נווה ואח' בבית המשפט המחוזי בלו</w:t>
      </w:r>
      <w:r w:rsidRPr="00F85E8A">
        <w:rPr>
          <w:rFonts w:hint="eastAsia"/>
          <w:b/>
          <w:bCs/>
          <w:rtl/>
        </w:rPr>
        <w:t>ד</w:t>
      </w:r>
      <w:r w:rsidRPr="00F85E8A">
        <w:rPr>
          <w:rFonts w:hint="cs"/>
          <w:rtl/>
        </w:rPr>
        <w:t xml:space="preserve"> (פורסם במאגר ממוחשב, 11.7.2025). </w:t>
      </w:r>
    </w:p>
  </w:footnote>
  <w:footnote w:id="151">
    <w:p w:rsidR="00151194" w:rsidP="00DC5B13">
      <w:pPr>
        <w:pStyle w:val="FootnoteText"/>
      </w:pPr>
      <w:r w:rsidRPr="00F85E8A">
        <w:rPr>
          <w:rStyle w:val="FootnoteReference1"/>
        </w:rPr>
        <w:footnoteRef/>
      </w:r>
      <w:r w:rsidRPr="00F85E8A">
        <w:rPr>
          <w:rtl/>
        </w:rPr>
        <w:t xml:space="preserve"> </w:t>
      </w:r>
      <w:r w:rsidRPr="00F85E8A">
        <w:rPr>
          <w:rtl/>
        </w:rPr>
        <w:tab/>
      </w:r>
      <w:r w:rsidRPr="00407636">
        <w:rPr>
          <w:rFonts w:hint="cs"/>
          <w:rtl/>
        </w:rPr>
        <w:t xml:space="preserve">הוראות </w:t>
      </w:r>
      <w:r w:rsidRPr="00407636">
        <w:rPr>
          <w:rtl/>
        </w:rPr>
        <w:t xml:space="preserve">תכנית </w:t>
      </w:r>
      <w:r w:rsidRPr="00407636">
        <w:rPr>
          <w:rFonts w:hint="cs"/>
          <w:rtl/>
        </w:rPr>
        <w:t>מספר</w:t>
      </w:r>
      <w:r w:rsidRPr="00407636">
        <w:rPr>
          <w:rtl/>
        </w:rPr>
        <w:t xml:space="preserve"> 406-0699488</w:t>
      </w:r>
      <w:r w:rsidRPr="00F85E8A">
        <w:rPr>
          <w:rFonts w:hint="cs"/>
          <w:rtl/>
        </w:rPr>
        <w:t xml:space="preserve"> מתחם כצנלסון</w:t>
      </w:r>
      <w:r w:rsidRPr="00F85E8A">
        <w:rPr>
          <w:rtl/>
        </w:rPr>
        <w:t xml:space="preserve"> - התחדשות עירונית</w:t>
      </w:r>
      <w:r w:rsidRPr="00F85E8A">
        <w:rPr>
          <w:rFonts w:hint="cs"/>
          <w:rtl/>
        </w:rPr>
        <w:t>, אשר פורסמה למתן תוקף בנובמבר 2021.</w:t>
      </w:r>
      <w:r>
        <w:rPr>
          <w:rFonts w:hint="cs"/>
          <w:rtl/>
        </w:rPr>
        <w:t xml:space="preserve"> </w:t>
      </w:r>
    </w:p>
  </w:footnote>
  <w:footnote w:id="152">
    <w:p w:rsidR="00151194" w:rsidP="00DC5B13">
      <w:pPr>
        <w:pStyle w:val="FootnoteText"/>
        <w:rPr>
          <w:rtl/>
        </w:rPr>
      </w:pPr>
      <w:r>
        <w:rPr>
          <w:rStyle w:val="FootnoteReference1"/>
        </w:rPr>
        <w:footnoteRef/>
      </w:r>
      <w:r>
        <w:rPr>
          <w:rtl/>
        </w:rPr>
        <w:t xml:space="preserve"> </w:t>
      </w:r>
      <w:r>
        <w:rPr>
          <w:rtl/>
        </w:rPr>
        <w:tab/>
      </w:r>
      <w:r>
        <w:rPr>
          <w:rFonts w:hint="cs"/>
          <w:rtl/>
        </w:rPr>
        <w:t>פורום מקצועי שמטרתו לדון ולבחון בשלב מקדים את היתכנות הפרויקטים להתחדשות עירונית בהיבטים כלכליים, חברתיים ותכנוניים. בפורום משתתפים: ראש המינהלת, מהנדס או אדריכל העיר, נציג משרד השיכון, נציגת הוועדה המחוזית לתכנון ולבנייה, נציג האגף לשילוב חברתי בעיריית לוד, נציג המחלקה לתרבות הדיור ונציגים מקצועיים מהמינהלת.</w:t>
      </w:r>
    </w:p>
  </w:footnote>
  <w:footnote w:id="153">
    <w:p w:rsidR="00151194" w:rsidP="00DC5B13">
      <w:pPr>
        <w:pStyle w:val="FootnoteText"/>
        <w:rPr>
          <w:rtl/>
        </w:rPr>
      </w:pPr>
      <w:r>
        <w:rPr>
          <w:rStyle w:val="FootnoteReference1"/>
        </w:rPr>
        <w:footnoteRef/>
      </w:r>
      <w:r>
        <w:rPr>
          <w:rtl/>
        </w:rPr>
        <w:t xml:space="preserve"> </w:t>
      </w:r>
      <w:r>
        <w:rPr>
          <w:rtl/>
        </w:rPr>
        <w:tab/>
      </w:r>
      <w:r>
        <w:rPr>
          <w:rFonts w:hint="cs"/>
          <w:rtl/>
        </w:rPr>
        <w:t>"</w:t>
      </w:r>
      <w:r w:rsidRPr="00407636">
        <w:rPr>
          <w:rtl/>
        </w:rPr>
        <w:t xml:space="preserve">חוות דעת לתב"ע להתחדשות עירונית מתחם כצנלסון 2 </w:t>
      </w:r>
      <w:r w:rsidRPr="00407636">
        <w:rPr>
          <w:rFonts w:hint="cs"/>
          <w:rtl/>
        </w:rPr>
        <w:t>ו-4</w:t>
      </w:r>
      <w:r w:rsidRPr="00407636">
        <w:rPr>
          <w:rtl/>
        </w:rPr>
        <w:t>, לוד</w:t>
      </w:r>
      <w:r>
        <w:rPr>
          <w:rFonts w:hint="cs"/>
          <w:rtl/>
        </w:rPr>
        <w:t xml:space="preserve">", מינהלת התחדשות עירונית לוד, נובמבר 2019. </w:t>
      </w:r>
    </w:p>
  </w:footnote>
  <w:footnote w:id="154">
    <w:p w:rsidR="00151194" w:rsidP="00DC5B13">
      <w:pPr>
        <w:pStyle w:val="FootnoteText"/>
        <w:rPr>
          <w:rtl/>
        </w:rPr>
      </w:pPr>
      <w:r>
        <w:rPr>
          <w:rStyle w:val="FootnoteReference1"/>
        </w:rPr>
        <w:footnoteRef/>
      </w:r>
      <w:r>
        <w:rPr>
          <w:rtl/>
        </w:rPr>
        <w:t xml:space="preserve"> </w:t>
      </w:r>
      <w:r>
        <w:rPr>
          <w:rtl/>
        </w:rPr>
        <w:tab/>
      </w:r>
      <w:r w:rsidRPr="00407636">
        <w:rPr>
          <w:rFonts w:hint="cs"/>
          <w:rtl/>
        </w:rPr>
        <w:t>סעיף</w:t>
      </w:r>
      <w:r>
        <w:rPr>
          <w:rFonts w:hint="cs"/>
          <w:rtl/>
        </w:rPr>
        <w:t xml:space="preserve"> 5.6.15 להחלטות מועצת רמ"י קובע הסדרים לייעוד ולהקצאה של מגרשים בבעלות רמ"י בפטור ממכרז כמגרשי השלמה למתחמי התחדשות עירונית. בסעיף נקבע כי הנהלת רמ"י תוכל לשריין את הקרקע המשלימה למען המיזם כדי לאפשר ליזם ולבעלי הזכויות ודאות מרבית במהלך קידם התוכנית. ההקצאה בפועל תיעשה לאחר אישור התוכנית וההתקשרויות עם בעלי הזכויות. עוד נקבע כי מגרש ההשלמה יוקצה בהנחה של עד 80% משוויה המקורי - זאת כדי לאפשר את הכדאיות הכלכלית של המיזם כולו.</w:t>
      </w:r>
    </w:p>
  </w:footnote>
  <w:footnote w:id="155">
    <w:p w:rsidR="00151194" w:rsidP="00DC5B13">
      <w:pPr>
        <w:pStyle w:val="FootnoteText"/>
        <w:rPr>
          <w:rtl/>
        </w:rPr>
      </w:pPr>
      <w:r>
        <w:rPr>
          <w:rStyle w:val="FootnoteReference1"/>
        </w:rPr>
        <w:footnoteRef/>
      </w:r>
      <w:r>
        <w:rPr>
          <w:rtl/>
        </w:rPr>
        <w:t xml:space="preserve"> </w:t>
      </w:r>
      <w:r>
        <w:rPr>
          <w:rtl/>
        </w:rPr>
        <w:tab/>
      </w:r>
      <w:r w:rsidRPr="00407636">
        <w:rPr>
          <w:rFonts w:hint="cs"/>
          <w:rtl/>
        </w:rPr>
        <w:t>החלטה מספר 4781</w:t>
      </w:r>
      <w:r>
        <w:rPr>
          <w:rFonts w:hint="cs"/>
          <w:rtl/>
        </w:rPr>
        <w:t xml:space="preserve"> של רשות מקרקעי ישראל בנושא </w:t>
      </w:r>
      <w:r w:rsidRPr="00E472D1">
        <w:rPr>
          <w:rtl/>
        </w:rPr>
        <w:t>מתחם כצנלסון לוד - יעוד קרקע משלימה צמודת דופן</w:t>
      </w:r>
      <w:r>
        <w:rPr>
          <w:rFonts w:hint="cs"/>
          <w:rtl/>
        </w:rPr>
        <w:t>, ממרץ 2020.</w:t>
      </w:r>
    </w:p>
  </w:footnote>
  <w:footnote w:id="156">
    <w:p w:rsidR="00151194" w:rsidP="00DC5B13">
      <w:pPr>
        <w:pStyle w:val="FootnoteText"/>
        <w:rPr>
          <w:rtl/>
        </w:rPr>
      </w:pPr>
      <w:r>
        <w:rPr>
          <w:rStyle w:val="FootnoteReference1"/>
        </w:rPr>
        <w:footnoteRef/>
      </w:r>
      <w:r>
        <w:rPr>
          <w:rtl/>
        </w:rPr>
        <w:t xml:space="preserve"> </w:t>
      </w:r>
      <w:r>
        <w:rPr>
          <w:rtl/>
        </w:rPr>
        <w:tab/>
      </w:r>
      <w:r>
        <w:rPr>
          <w:rFonts w:hint="cs"/>
          <w:rtl/>
        </w:rPr>
        <w:t xml:space="preserve">עמוד התכנית באתר מינהל התכנון: </w:t>
      </w:r>
      <w:r w:rsidRPr="00407636">
        <w:t>https://mavat.iplan.gov.il/SV4/1/4000971911/310</w:t>
      </w:r>
    </w:p>
  </w:footnote>
  <w:footnote w:id="157">
    <w:p w:rsidR="00151194" w:rsidP="00DC5B13">
      <w:pPr>
        <w:pStyle w:val="FootnoteText"/>
        <w:rPr>
          <w:rtl/>
        </w:rPr>
      </w:pPr>
      <w:r>
        <w:rPr>
          <w:rStyle w:val="FootnoteReference1"/>
        </w:rPr>
        <w:footnoteRef/>
      </w:r>
      <w:r>
        <w:rPr>
          <w:rtl/>
        </w:rPr>
        <w:t xml:space="preserve"> </w:t>
      </w:r>
      <w:r>
        <w:rPr>
          <w:rtl/>
        </w:rPr>
        <w:tab/>
      </w:r>
      <w:r w:rsidRPr="00407636">
        <w:rPr>
          <w:rFonts w:hint="cs"/>
          <w:rtl/>
        </w:rPr>
        <w:t>השווי נקבע בהתבסס על דוח שמאות ממאי 2023, שנערך לבקשת רמ"י.</w:t>
      </w:r>
    </w:p>
  </w:footnote>
  <w:footnote w:id="158">
    <w:p w:rsidR="00151194" w:rsidP="00DC5B13">
      <w:pPr>
        <w:pStyle w:val="FootnoteText"/>
        <w:rPr>
          <w:rtl/>
        </w:rPr>
      </w:pPr>
      <w:r>
        <w:rPr>
          <w:rStyle w:val="FootnoteReference1"/>
        </w:rPr>
        <w:footnoteRef/>
      </w:r>
      <w:r>
        <w:rPr>
          <w:rtl/>
        </w:rPr>
        <w:t xml:space="preserve"> </w:t>
      </w:r>
      <w:r>
        <w:rPr>
          <w:rtl/>
        </w:rPr>
        <w:tab/>
      </w:r>
      <w:r>
        <w:rPr>
          <w:rFonts w:hint="cs"/>
          <w:rtl/>
        </w:rPr>
        <w:t>"</w:t>
      </w:r>
      <w:r w:rsidRPr="00407636">
        <w:rPr>
          <w:rtl/>
        </w:rPr>
        <w:t>הכרעה בהשגה ראשונה - אומדן שווי קרקע משלימה במסגרת בדיקת</w:t>
      </w:r>
      <w:r w:rsidRPr="00407636">
        <w:rPr>
          <w:rFonts w:hint="cs"/>
          <w:rtl/>
        </w:rPr>
        <w:t xml:space="preserve"> </w:t>
      </w:r>
      <w:r w:rsidRPr="00407636">
        <w:rPr>
          <w:rtl/>
        </w:rPr>
        <w:t>כדאיות כלכלית לפרויקט פינוי-בינוי</w:t>
      </w:r>
      <w:r w:rsidRPr="00407636">
        <w:rPr>
          <w:rFonts w:hint="cs"/>
          <w:rtl/>
        </w:rPr>
        <w:t xml:space="preserve"> - </w:t>
      </w:r>
      <w:r w:rsidRPr="00407636">
        <w:rPr>
          <w:rtl/>
        </w:rPr>
        <w:t>מתחם כצנלסון, שכונת רמת אלישיב, לוד</w:t>
      </w:r>
      <w:r>
        <w:rPr>
          <w:rFonts w:hint="cs"/>
          <w:rtl/>
        </w:rPr>
        <w:t>", משרד המשפטים - אגף שומת מקרקעין, 28.9.25, עמ' 31.</w:t>
      </w:r>
    </w:p>
  </w:footnote>
  <w:footnote w:id="159">
    <w:p w:rsidR="00151194" w:rsidP="00DC5B13">
      <w:pPr>
        <w:pStyle w:val="FootnoteText"/>
        <w:rPr>
          <w:rtl/>
        </w:rPr>
      </w:pPr>
      <w:r>
        <w:rPr>
          <w:rStyle w:val="FootnoteReference1"/>
        </w:rPr>
        <w:footnoteRef/>
      </w:r>
      <w:r>
        <w:rPr>
          <w:rtl/>
        </w:rPr>
        <w:t xml:space="preserve"> </w:t>
      </w:r>
      <w:r>
        <w:rPr>
          <w:rtl/>
        </w:rPr>
        <w:tab/>
      </w:r>
      <w:r>
        <w:rPr>
          <w:rFonts w:hint="cs"/>
          <w:rtl/>
        </w:rPr>
        <w:t>מסמך העקרונות המשותף עוגן באמצעות החלטת הנהלת רמ"י מס' 5748, שעסקה בעקרונות ובמדיניות של הליך שריון והקצאת מגרשי השלמה בפטור ממכרז בתוכניות התחדשות עירונית. ראו סעיף 7 להחלטה זו בנוגע לקביעת מסד הזמנים לטיפול בהשגות.</w:t>
      </w:r>
    </w:p>
  </w:footnote>
  <w:footnote w:id="160">
    <w:p w:rsidR="00151194" w:rsidP="00DC5B13">
      <w:pPr>
        <w:pStyle w:val="FootnoteText"/>
      </w:pPr>
      <w:r>
        <w:rPr>
          <w:rStyle w:val="FootnoteReference1"/>
        </w:rPr>
        <w:footnoteRef/>
      </w:r>
      <w:r>
        <w:rPr>
          <w:rtl/>
        </w:rPr>
        <w:t xml:space="preserve"> </w:t>
      </w:r>
      <w:r>
        <w:rPr>
          <w:rtl/>
        </w:rPr>
        <w:tab/>
      </w:r>
      <w:r w:rsidRPr="00407636">
        <w:rPr>
          <w:rFonts w:hint="cs"/>
          <w:rtl/>
        </w:rPr>
        <w:t xml:space="preserve">תוכנית תמל/2039, </w:t>
      </w:r>
      <w:r w:rsidRPr="00407636">
        <w:rPr>
          <w:rtl/>
        </w:rPr>
        <w:t>התחדשות עירונית - מתחם יוספטל - קריית ים</w:t>
      </w:r>
      <w:r>
        <w:rPr>
          <w:rFonts w:hint="cs"/>
          <w:rtl/>
        </w:rPr>
        <w:t>, מדברי ההסבר לתוכנית.</w:t>
      </w:r>
    </w:p>
  </w:footnote>
  <w:footnote w:id="161">
    <w:p w:rsidR="00151194" w:rsidP="00DC5B13">
      <w:pPr>
        <w:pStyle w:val="FootnoteText"/>
        <w:rPr>
          <w:rtl/>
        </w:rPr>
      </w:pPr>
      <w:r>
        <w:rPr>
          <w:rStyle w:val="FootnoteReference1"/>
        </w:rPr>
        <w:footnoteRef/>
      </w:r>
      <w:r>
        <w:rPr>
          <w:rtl/>
        </w:rPr>
        <w:t xml:space="preserve"> </w:t>
      </w:r>
      <w:r>
        <w:rPr>
          <w:rtl/>
        </w:rPr>
        <w:tab/>
        <w:t>הבדיקה נערכה בהתייחסות לתקן מס' 21.1 של מועצת שמאי המקרקעין</w:t>
      </w:r>
      <w:r>
        <w:rPr>
          <w:rFonts w:hint="cs"/>
          <w:rtl/>
        </w:rPr>
        <w:t>,</w:t>
      </w:r>
      <w:r>
        <w:rPr>
          <w:rtl/>
        </w:rPr>
        <w:t xml:space="preserve"> "פ</w:t>
      </w:r>
      <w:r>
        <w:rPr>
          <w:rFonts w:hint="cs"/>
          <w:rtl/>
        </w:rPr>
        <w:t>י</w:t>
      </w:r>
      <w:r>
        <w:rPr>
          <w:rtl/>
        </w:rPr>
        <w:t>רוט מזערי נדרש</w:t>
      </w:r>
      <w:r>
        <w:rPr>
          <w:rFonts w:hint="cs"/>
          <w:rtl/>
        </w:rPr>
        <w:t xml:space="preserve"> </w:t>
      </w:r>
      <w:r>
        <w:rPr>
          <w:rtl/>
        </w:rPr>
        <w:t>בשומות מקרקעין המבוצעות לצורך בדיקה שמאית כלכלית לתכנית פינוי בינוי".</w:t>
      </w:r>
      <w:r>
        <w:rPr>
          <w:rFonts w:hint="cs"/>
          <w:rtl/>
        </w:rPr>
        <w:t xml:space="preserve"> הבדיקה נערכה לפי הנתונים הקיימים ולא כללה מענק להגברת הכדאיות הכלכלית.</w:t>
      </w:r>
    </w:p>
  </w:footnote>
  <w:footnote w:id="162">
    <w:p w:rsidR="00151194" w:rsidP="00DC5B13">
      <w:pPr>
        <w:pStyle w:val="FootnoteText"/>
      </w:pPr>
      <w:r>
        <w:rPr>
          <w:rStyle w:val="FootnoteReference1"/>
        </w:rPr>
        <w:footnoteRef/>
      </w:r>
      <w:r>
        <w:rPr>
          <w:rtl/>
        </w:rPr>
        <w:t xml:space="preserve"> </w:t>
      </w:r>
      <w:r>
        <w:rPr>
          <w:rtl/>
        </w:rPr>
        <w:tab/>
      </w:r>
      <w:r>
        <w:rPr>
          <w:rFonts w:hint="cs"/>
          <w:rtl/>
        </w:rPr>
        <w:t xml:space="preserve">תקן 21 המעודכן (להלן - תקן 21.1) </w:t>
      </w:r>
      <w:r>
        <w:rPr>
          <w:rtl/>
        </w:rPr>
        <w:t xml:space="preserve">אינו כולל קביעות לשיעורי הרווח </w:t>
      </w:r>
      <w:r>
        <w:rPr>
          <w:rFonts w:hint="cs"/>
          <w:rtl/>
        </w:rPr>
        <w:t xml:space="preserve">של </w:t>
      </w:r>
      <w:r>
        <w:rPr>
          <w:rtl/>
        </w:rPr>
        <w:t>היזמי</w:t>
      </w:r>
      <w:r>
        <w:rPr>
          <w:rFonts w:hint="cs"/>
          <w:rtl/>
        </w:rPr>
        <w:t>ם</w:t>
      </w:r>
      <w:r>
        <w:rPr>
          <w:rtl/>
        </w:rPr>
        <w:t>, מתוך הבנה ששיעורים אלו משתנים</w:t>
      </w:r>
      <w:r>
        <w:rPr>
          <w:rFonts w:hint="cs"/>
          <w:rtl/>
        </w:rPr>
        <w:t xml:space="preserve"> </w:t>
      </w:r>
      <w:r>
        <w:rPr>
          <w:rtl/>
        </w:rPr>
        <w:t>ממקום למקום ומ</w:t>
      </w:r>
      <w:r>
        <w:rPr>
          <w:rFonts w:hint="cs"/>
          <w:rtl/>
        </w:rPr>
        <w:t xml:space="preserve">פעם </w:t>
      </w:r>
      <w:r>
        <w:rPr>
          <w:rtl/>
        </w:rPr>
        <w:t>ל</w:t>
      </w:r>
      <w:r>
        <w:rPr>
          <w:rFonts w:hint="cs"/>
          <w:rtl/>
        </w:rPr>
        <w:t>פעם</w:t>
      </w:r>
      <w:r>
        <w:rPr>
          <w:rtl/>
        </w:rPr>
        <w:t>.</w:t>
      </w:r>
      <w:r>
        <w:rPr>
          <w:rFonts w:hint="cs"/>
          <w:rtl/>
        </w:rPr>
        <w:t xml:space="preserve"> </w:t>
      </w:r>
      <w:r>
        <w:rPr>
          <w:rtl/>
        </w:rPr>
        <w:t>השמאי הממשלתי הראשי יפרסם מ</w:t>
      </w:r>
      <w:r>
        <w:rPr>
          <w:rFonts w:hint="cs"/>
          <w:rtl/>
        </w:rPr>
        <w:t>פעם לפעם</w:t>
      </w:r>
      <w:r>
        <w:rPr>
          <w:rtl/>
        </w:rPr>
        <w:t xml:space="preserve"> מסמך </w:t>
      </w:r>
      <w:r>
        <w:rPr>
          <w:rFonts w:hint="cs"/>
          <w:rtl/>
        </w:rPr>
        <w:t xml:space="preserve">הכולל את </w:t>
      </w:r>
      <w:r>
        <w:rPr>
          <w:rtl/>
        </w:rPr>
        <w:t xml:space="preserve">ערכי </w:t>
      </w:r>
      <w:r>
        <w:rPr>
          <w:rFonts w:hint="cs"/>
          <w:rtl/>
        </w:rPr>
        <w:t>ה</w:t>
      </w:r>
      <w:r>
        <w:rPr>
          <w:rtl/>
        </w:rPr>
        <w:t xml:space="preserve">רווח </w:t>
      </w:r>
      <w:r>
        <w:rPr>
          <w:rFonts w:hint="cs"/>
          <w:rtl/>
        </w:rPr>
        <w:t>ה</w:t>
      </w:r>
      <w:r>
        <w:rPr>
          <w:rtl/>
        </w:rPr>
        <w:t xml:space="preserve">יזמי </w:t>
      </w:r>
      <w:r>
        <w:rPr>
          <w:rFonts w:hint="cs"/>
          <w:rtl/>
        </w:rPr>
        <w:t>ה</w:t>
      </w:r>
      <w:r>
        <w:rPr>
          <w:rtl/>
        </w:rPr>
        <w:t>מזערי, שעל בסיסם תיבחן הכדאיות הכלכלית של ת</w:t>
      </w:r>
      <w:r>
        <w:rPr>
          <w:rFonts w:hint="cs"/>
          <w:rtl/>
        </w:rPr>
        <w:t>ו</w:t>
      </w:r>
      <w:r>
        <w:rPr>
          <w:rtl/>
        </w:rPr>
        <w:t>כניות פינוי</w:t>
      </w:r>
      <w:r>
        <w:rPr>
          <w:rFonts w:hint="cs"/>
          <w:rtl/>
        </w:rPr>
        <w:t>-</w:t>
      </w:r>
      <w:r>
        <w:rPr>
          <w:rtl/>
        </w:rPr>
        <w:t>בינוי</w:t>
      </w:r>
      <w:r>
        <w:rPr>
          <w:rFonts w:hint="cs"/>
          <w:rtl/>
        </w:rPr>
        <w:t>.</w:t>
      </w:r>
    </w:p>
  </w:footnote>
  <w:footnote w:id="163">
    <w:p w:rsidR="00151194" w:rsidP="00DC5B13">
      <w:pPr>
        <w:pStyle w:val="FootnoteText"/>
        <w:rPr>
          <w:rtl/>
        </w:rPr>
      </w:pPr>
      <w:r>
        <w:rPr>
          <w:rStyle w:val="FootnoteReference1"/>
        </w:rPr>
        <w:footnoteRef/>
      </w:r>
      <w:r>
        <w:rPr>
          <w:rtl/>
        </w:rPr>
        <w:t xml:space="preserve"> </w:t>
      </w:r>
      <w:r>
        <w:rPr>
          <w:rtl/>
        </w:rPr>
        <w:tab/>
      </w:r>
      <w:r w:rsidRPr="007F53C9">
        <w:rPr>
          <w:rtl/>
        </w:rPr>
        <w:t>הוועדה למתחמים מועדפים לדיור הוקמה בשנת 2014 ככלי לפתרון משבר הדיור. מטרתה להביא ל</w:t>
      </w:r>
      <w:r>
        <w:rPr>
          <w:rFonts w:hint="cs"/>
          <w:rtl/>
        </w:rPr>
        <w:t xml:space="preserve">ידי </w:t>
      </w:r>
      <w:r w:rsidRPr="007F53C9">
        <w:rPr>
          <w:rtl/>
        </w:rPr>
        <w:t>הגדלת היצע יחידות הדיור וליצירת היצע של יחידות דיור להשכרה לטווח ארוך במחיר מופחת.</w:t>
      </w:r>
      <w:r>
        <w:rPr>
          <w:rFonts w:hint="cs"/>
          <w:rtl/>
        </w:rPr>
        <w:t xml:space="preserve"> בין היתר </w:t>
      </w:r>
      <w:r w:rsidRPr="007F53C9">
        <w:rPr>
          <w:rtl/>
        </w:rPr>
        <w:t xml:space="preserve">הוועדה </w:t>
      </w:r>
      <w:r>
        <w:rPr>
          <w:rFonts w:hint="cs"/>
          <w:rtl/>
        </w:rPr>
        <w:t>פועלת בלוח זמנים קשיח, מבצעת תכנון בהיקף נרחב, ו</w:t>
      </w:r>
      <w:r w:rsidRPr="007F53C9">
        <w:rPr>
          <w:rtl/>
        </w:rPr>
        <w:t>פועלת ב</w:t>
      </w:r>
      <w:r>
        <w:rPr>
          <w:rFonts w:hint="cs"/>
          <w:rtl/>
        </w:rPr>
        <w:t>כמה</w:t>
      </w:r>
      <w:r w:rsidRPr="007F53C9">
        <w:rPr>
          <w:rtl/>
        </w:rPr>
        <w:t xml:space="preserve"> מסלולים: מסלול קרקע שרובה מקרקעי ישראל, מסלול יישובי מיעוטים, מסלול קרקע פרטית מרובת בעלים ומסלול פינוי-בינוי</w:t>
      </w:r>
      <w:r>
        <w:rPr>
          <w:rFonts w:hint="cs"/>
          <w:rtl/>
        </w:rPr>
        <w:t>.</w:t>
      </w:r>
    </w:p>
  </w:footnote>
  <w:footnote w:id="164">
    <w:p w:rsidR="00151194" w:rsidP="00DC5B13">
      <w:pPr>
        <w:pStyle w:val="FootnoteText"/>
        <w:rPr>
          <w:rtl/>
        </w:rPr>
      </w:pPr>
      <w:r>
        <w:rPr>
          <w:rStyle w:val="FootnoteReference1"/>
        </w:rPr>
        <w:footnoteRef/>
      </w:r>
      <w:r>
        <w:rPr>
          <w:rtl/>
        </w:rPr>
        <w:t xml:space="preserve"> </w:t>
      </w:r>
      <w:r>
        <w:rPr>
          <w:rtl/>
        </w:rPr>
        <w:tab/>
      </w:r>
      <w:r w:rsidRPr="00407636">
        <w:rPr>
          <w:rFonts w:hint="cs"/>
          <w:rtl/>
        </w:rPr>
        <w:t xml:space="preserve">כתב ערעור של הוועדה הארצית לתכנון ולבנייה של מתחמים מועדפים לדיור, </w:t>
      </w:r>
      <w:r w:rsidRPr="00407636">
        <w:rPr>
          <w:rFonts w:hint="eastAsia"/>
          <w:b/>
          <w:bCs/>
          <w:rtl/>
        </w:rPr>
        <w:t>רמ</w:t>
      </w:r>
      <w:r w:rsidRPr="00407636">
        <w:rPr>
          <w:b/>
          <w:bCs/>
          <w:rtl/>
        </w:rPr>
        <w:t xml:space="preserve">"י והרשות להתחדשות נ' </w:t>
      </w:r>
      <w:r w:rsidRPr="00407636">
        <w:rPr>
          <w:rFonts w:hint="eastAsia"/>
          <w:b/>
          <w:bCs/>
          <w:rtl/>
        </w:rPr>
        <w:t>החברה</w:t>
      </w:r>
      <w:r w:rsidRPr="00407636">
        <w:rPr>
          <w:b/>
          <w:bCs/>
          <w:rtl/>
        </w:rPr>
        <w:t xml:space="preserve"> </w:t>
      </w:r>
      <w:r w:rsidRPr="00407636">
        <w:rPr>
          <w:rFonts w:hint="eastAsia"/>
          <w:b/>
          <w:bCs/>
          <w:rtl/>
        </w:rPr>
        <w:t>היזמית</w:t>
      </w:r>
      <w:r w:rsidRPr="00407636">
        <w:rPr>
          <w:b/>
          <w:bCs/>
          <w:rtl/>
        </w:rPr>
        <w:t xml:space="preserve">, </w:t>
      </w:r>
      <w:r w:rsidRPr="00407636">
        <w:rPr>
          <w:rFonts w:hint="eastAsia"/>
          <w:b/>
          <w:bCs/>
          <w:rtl/>
        </w:rPr>
        <w:t>חלק</w:t>
      </w:r>
      <w:r w:rsidRPr="00407636">
        <w:rPr>
          <w:b/>
          <w:bCs/>
          <w:rtl/>
        </w:rPr>
        <w:t xml:space="preserve"> </w:t>
      </w:r>
      <w:r w:rsidRPr="00407636">
        <w:rPr>
          <w:rFonts w:hint="eastAsia"/>
          <w:b/>
          <w:bCs/>
          <w:rtl/>
        </w:rPr>
        <w:t>מדיירי</w:t>
      </w:r>
      <w:r w:rsidRPr="00407636">
        <w:rPr>
          <w:b/>
          <w:bCs/>
          <w:rtl/>
        </w:rPr>
        <w:t xml:space="preserve"> </w:t>
      </w:r>
      <w:r w:rsidRPr="00407636">
        <w:rPr>
          <w:rFonts w:hint="eastAsia"/>
          <w:b/>
          <w:bCs/>
          <w:rtl/>
        </w:rPr>
        <w:t>המתחם</w:t>
      </w:r>
      <w:r w:rsidRPr="00407636">
        <w:rPr>
          <w:b/>
          <w:bCs/>
          <w:rtl/>
        </w:rPr>
        <w:t xml:space="preserve"> </w:t>
      </w:r>
      <w:r w:rsidRPr="00407636">
        <w:rPr>
          <w:rFonts w:hint="eastAsia"/>
          <w:b/>
          <w:bCs/>
          <w:rtl/>
        </w:rPr>
        <w:t>ועיריית</w:t>
      </w:r>
      <w:r w:rsidRPr="00407636">
        <w:rPr>
          <w:b/>
          <w:bCs/>
          <w:rtl/>
        </w:rPr>
        <w:t xml:space="preserve"> </w:t>
      </w:r>
      <w:r w:rsidRPr="00407636">
        <w:rPr>
          <w:rFonts w:hint="eastAsia"/>
          <w:b/>
          <w:bCs/>
          <w:rtl/>
        </w:rPr>
        <w:t>קריית</w:t>
      </w:r>
      <w:r w:rsidRPr="00407636">
        <w:rPr>
          <w:b/>
          <w:bCs/>
          <w:rtl/>
        </w:rPr>
        <w:t xml:space="preserve"> </w:t>
      </w:r>
      <w:r w:rsidRPr="00407636">
        <w:rPr>
          <w:rFonts w:hint="eastAsia"/>
          <w:b/>
          <w:bCs/>
          <w:rtl/>
        </w:rPr>
        <w:t>ים</w:t>
      </w:r>
      <w:r w:rsidRPr="00407636">
        <w:rPr>
          <w:rFonts w:hint="cs"/>
          <w:rtl/>
        </w:rPr>
        <w:t>, 18.7.24.</w:t>
      </w:r>
    </w:p>
  </w:footnote>
  <w:footnote w:id="165">
    <w:p w:rsidR="00151194" w:rsidRPr="00003ACF" w:rsidP="00DC5B13">
      <w:pPr>
        <w:pStyle w:val="FootnoteText"/>
      </w:pPr>
      <w:r w:rsidRPr="00003ACF">
        <w:rPr>
          <w:rStyle w:val="FootnoteReference1"/>
        </w:rPr>
        <w:footnoteRef/>
      </w:r>
      <w:r w:rsidRPr="00003ACF">
        <w:rPr>
          <w:rtl/>
        </w:rPr>
        <w:t xml:space="preserve"> </w:t>
      </w:r>
      <w:r w:rsidRPr="00003ACF">
        <w:rPr>
          <w:rtl/>
        </w:rPr>
        <w:tab/>
        <w:t>תוכנית 217-0898288</w:t>
      </w:r>
      <w:r>
        <w:rPr>
          <w:rFonts w:hint="cs"/>
          <w:rtl/>
        </w:rPr>
        <w:t>,</w:t>
      </w:r>
      <w:r w:rsidRPr="00003ACF">
        <w:rPr>
          <w:rFonts w:hint="cs"/>
          <w:rtl/>
        </w:rPr>
        <w:t xml:space="preserve"> </w:t>
      </w:r>
      <w:r w:rsidRPr="00003ACF">
        <w:rPr>
          <w:rtl/>
        </w:rPr>
        <w:t>התחדשות עירונית</w:t>
      </w:r>
      <w:r w:rsidRPr="00003ACF">
        <w:rPr>
          <w:rFonts w:hint="cs"/>
          <w:rtl/>
        </w:rPr>
        <w:t xml:space="preserve"> </w:t>
      </w:r>
      <w:r w:rsidRPr="00003ACF">
        <w:rPr>
          <w:rtl/>
        </w:rPr>
        <w:t>- יעקב מלול</w:t>
      </w:r>
      <w:r w:rsidRPr="00003ACF">
        <w:rPr>
          <w:rFonts w:hint="cs"/>
          <w:rtl/>
        </w:rPr>
        <w:t xml:space="preserve"> </w:t>
      </w:r>
      <w:r w:rsidRPr="00003ACF">
        <w:rPr>
          <w:rtl/>
        </w:rPr>
        <w:t>- קרי</w:t>
      </w:r>
      <w:r w:rsidRPr="00003ACF">
        <w:rPr>
          <w:rFonts w:hint="cs"/>
          <w:rtl/>
        </w:rPr>
        <w:t>י</w:t>
      </w:r>
      <w:r w:rsidRPr="00003ACF">
        <w:rPr>
          <w:rtl/>
        </w:rPr>
        <w:t>ת שמונה</w:t>
      </w:r>
      <w:r w:rsidRPr="00003ACF">
        <w:rPr>
          <w:rFonts w:hint="cs"/>
          <w:rtl/>
        </w:rPr>
        <w:t xml:space="preserve">, אושרה </w:t>
      </w:r>
      <w:r>
        <w:rPr>
          <w:rFonts w:hint="cs"/>
          <w:rtl/>
        </w:rPr>
        <w:t>בדצמבר 2022.</w:t>
      </w:r>
    </w:p>
  </w:footnote>
  <w:footnote w:id="166">
    <w:p w:rsidR="00151194" w:rsidP="00DC5B13">
      <w:pPr>
        <w:pStyle w:val="FootnoteText"/>
        <w:rPr>
          <w:rtl/>
        </w:rPr>
      </w:pPr>
      <w:r w:rsidRPr="00003ACF">
        <w:rPr>
          <w:rStyle w:val="FootnoteReference1"/>
        </w:rPr>
        <w:footnoteRef/>
      </w:r>
      <w:r w:rsidRPr="00003ACF">
        <w:rPr>
          <w:rtl/>
        </w:rPr>
        <w:t xml:space="preserve"> </w:t>
      </w:r>
      <w:r w:rsidRPr="00003ACF">
        <w:rPr>
          <w:rtl/>
        </w:rPr>
        <w:tab/>
      </w:r>
      <w:r w:rsidRPr="00003ACF">
        <w:rPr>
          <w:rFonts w:hint="cs"/>
          <w:rtl/>
        </w:rPr>
        <w:t>מדברי ההסבר לתוכנית.</w:t>
      </w:r>
      <w:r>
        <w:rPr>
          <w:rFonts w:hint="cs"/>
          <w:rtl/>
        </w:rPr>
        <w:t xml:space="preserve"> </w:t>
      </w:r>
    </w:p>
  </w:footnote>
  <w:footnote w:id="167">
    <w:p w:rsidR="00151194" w:rsidP="00DC5B13">
      <w:pPr>
        <w:pStyle w:val="FootnoteText"/>
      </w:pPr>
      <w:r>
        <w:rPr>
          <w:rStyle w:val="FootnoteReference1"/>
        </w:rPr>
        <w:footnoteRef/>
      </w:r>
      <w:r>
        <w:rPr>
          <w:rtl/>
        </w:rPr>
        <w:t xml:space="preserve"> </w:t>
      </w:r>
      <w:r>
        <w:rPr>
          <w:rtl/>
        </w:rPr>
        <w:tab/>
      </w:r>
      <w:r w:rsidRPr="00407636">
        <w:rPr>
          <w:rFonts w:hint="cs"/>
          <w:rtl/>
        </w:rPr>
        <w:t>החלטת הממשלה 875, "קידום התחדשות עירונית בפריפריה" (30.12.21).</w:t>
      </w:r>
    </w:p>
  </w:footnote>
  <w:footnote w:id="168">
    <w:p w:rsidR="00151194" w:rsidP="00DC5B13">
      <w:pPr>
        <w:pStyle w:val="FootnoteText"/>
        <w:rPr>
          <w:rtl/>
        </w:rPr>
      </w:pPr>
      <w:r>
        <w:rPr>
          <w:rStyle w:val="FootnoteReference1"/>
        </w:rPr>
        <w:footnoteRef/>
      </w:r>
      <w:r>
        <w:rPr>
          <w:rtl/>
        </w:rPr>
        <w:t xml:space="preserve"> </w:t>
      </w:r>
      <w:r>
        <w:rPr>
          <w:rtl/>
        </w:rPr>
        <w:tab/>
      </w:r>
      <w:r w:rsidRPr="00407636">
        <w:rPr>
          <w:rFonts w:hint="cs"/>
          <w:rtl/>
        </w:rPr>
        <w:t>קול קורא מס' 5/2022 לקידום התחדשות עירונית בפריפריה, 31.5.22.</w:t>
      </w:r>
    </w:p>
  </w:footnote>
  <w:footnote w:id="169">
    <w:p w:rsidR="00151194" w:rsidP="00DC5B13">
      <w:pPr>
        <w:pStyle w:val="FootnoteText"/>
      </w:pPr>
      <w:r>
        <w:rPr>
          <w:rStyle w:val="FootnoteReference1"/>
        </w:rPr>
        <w:footnoteRef/>
      </w:r>
      <w:r>
        <w:rPr>
          <w:rtl/>
        </w:rPr>
        <w:t xml:space="preserve"> </w:t>
      </w:r>
      <w:r>
        <w:rPr>
          <w:rtl/>
        </w:rPr>
        <w:tab/>
      </w:r>
      <w:r>
        <w:rPr>
          <w:rFonts w:hint="cs"/>
          <w:rtl/>
        </w:rPr>
        <w:t>בין היתר נקבע בתנאי הסף בקול הקורא שהרשות המקומית היא עירייה או מועצה מקומית המצויה בנגב או בגליל, שהיא יישוב בסיכון סייסמי או ביטחוני ומדורגת בדרגה 6 ומטה בדירוג החברתי-כלכלי של הלשכה המרכזית לסטטיסטיקה.</w:t>
      </w:r>
    </w:p>
  </w:footnote>
  <w:footnote w:id="170">
    <w:p w:rsidR="00151194" w:rsidRPr="00B95EA3" w:rsidP="00DC5B13">
      <w:pPr>
        <w:pStyle w:val="FootnoteText"/>
      </w:pPr>
      <w:r>
        <w:rPr>
          <w:rStyle w:val="FootnoteReference1"/>
        </w:rPr>
        <w:footnoteRef/>
      </w:r>
      <w:r>
        <w:rPr>
          <w:rtl/>
        </w:rPr>
        <w:t xml:space="preserve"> </w:t>
      </w:r>
      <w:r>
        <w:rPr>
          <w:rtl/>
        </w:rPr>
        <w:tab/>
      </w:r>
      <w:r w:rsidRPr="00407636">
        <w:rPr>
          <w:rFonts w:hint="cs"/>
          <w:rtl/>
        </w:rPr>
        <w:t xml:space="preserve">מבקר המדינה, </w:t>
      </w:r>
      <w:r w:rsidRPr="00407636">
        <w:rPr>
          <w:rFonts w:hint="eastAsia"/>
          <w:b/>
          <w:bCs/>
          <w:rtl/>
        </w:rPr>
        <w:t>מקבץ</w:t>
      </w:r>
      <w:r w:rsidRPr="00407636">
        <w:rPr>
          <w:b/>
          <w:bCs/>
          <w:rtl/>
        </w:rPr>
        <w:t xml:space="preserve"> </w:t>
      </w:r>
      <w:r w:rsidRPr="00407636">
        <w:rPr>
          <w:rFonts w:hint="eastAsia"/>
          <w:b/>
          <w:bCs/>
          <w:rtl/>
        </w:rPr>
        <w:t>דוחות</w:t>
      </w:r>
      <w:r w:rsidRPr="00407636">
        <w:rPr>
          <w:b/>
          <w:bCs/>
          <w:rtl/>
        </w:rPr>
        <w:t xml:space="preserve"> </w:t>
      </w:r>
      <w:r w:rsidRPr="00407636">
        <w:rPr>
          <w:rFonts w:hint="eastAsia"/>
          <w:b/>
          <w:bCs/>
          <w:rtl/>
        </w:rPr>
        <w:t>מיוחדים</w:t>
      </w:r>
      <w:r w:rsidRPr="00407636">
        <w:rPr>
          <w:b/>
          <w:bCs/>
          <w:rtl/>
        </w:rPr>
        <w:t xml:space="preserve"> - </w:t>
      </w:r>
      <w:r w:rsidRPr="00407636">
        <w:rPr>
          <w:rFonts w:hint="eastAsia"/>
          <w:b/>
          <w:bCs/>
          <w:rtl/>
        </w:rPr>
        <w:t>היערכו</w:t>
      </w:r>
      <w:r w:rsidRPr="00407636">
        <w:rPr>
          <w:rFonts w:hint="cs"/>
          <w:b/>
          <w:bCs/>
          <w:rtl/>
        </w:rPr>
        <w:t>ת הרשויות המקומיות לרעידות אדמה</w:t>
      </w:r>
      <w:r w:rsidRPr="00407636">
        <w:rPr>
          <w:rFonts w:hint="cs"/>
          <w:rtl/>
        </w:rPr>
        <w:t xml:space="preserve"> (מרץ 2023).</w:t>
      </w:r>
    </w:p>
  </w:footnote>
  <w:footnote w:id="171">
    <w:p w:rsidR="00151194" w:rsidP="00DC5B13">
      <w:pPr>
        <w:pStyle w:val="FootnoteText"/>
      </w:pPr>
      <w:r>
        <w:rPr>
          <w:rStyle w:val="FootnoteReference1"/>
        </w:rPr>
        <w:footnoteRef/>
      </w:r>
      <w:r>
        <w:rPr>
          <w:rtl/>
        </w:rPr>
        <w:t xml:space="preserve"> </w:t>
      </w:r>
      <w:r>
        <w:rPr>
          <w:rtl/>
        </w:rPr>
        <w:tab/>
      </w:r>
      <w:r>
        <w:rPr>
          <w:rFonts w:hint="cs"/>
          <w:rtl/>
        </w:rPr>
        <w:t xml:space="preserve">על פי חוק התכנון והבנייה וכמובהר במילון המונחים של מינהל התכנון, </w:t>
      </w:r>
      <w:r w:rsidRPr="008A23EB">
        <w:rPr>
          <w:rtl/>
        </w:rPr>
        <w:t>ת</w:t>
      </w:r>
      <w:r>
        <w:rPr>
          <w:rFonts w:hint="cs"/>
          <w:rtl/>
        </w:rPr>
        <w:t>ו</w:t>
      </w:r>
      <w:r w:rsidRPr="008A23EB">
        <w:rPr>
          <w:rtl/>
        </w:rPr>
        <w:t xml:space="preserve">כניות </w:t>
      </w:r>
      <w:r>
        <w:rPr>
          <w:rFonts w:hint="cs"/>
          <w:rtl/>
        </w:rPr>
        <w:t xml:space="preserve">עשויות </w:t>
      </w:r>
      <w:r w:rsidRPr="008A23EB">
        <w:rPr>
          <w:rtl/>
        </w:rPr>
        <w:t xml:space="preserve">לשנות את חלוקת החלקות הקיימת </w:t>
      </w:r>
      <w:r>
        <w:rPr>
          <w:rFonts w:hint="cs"/>
          <w:rtl/>
        </w:rPr>
        <w:t xml:space="preserve">באמצעות </w:t>
      </w:r>
      <w:r w:rsidRPr="008A23EB">
        <w:rPr>
          <w:rtl/>
        </w:rPr>
        <w:t xml:space="preserve">תהליך של איחוד החלקות הקיימות לחלקה אחת גדולה וחלוקה (פרצלציה) של החלקה לחלקות חדשות או </w:t>
      </w:r>
      <w:r>
        <w:rPr>
          <w:rFonts w:hint="cs"/>
          <w:rtl/>
        </w:rPr>
        <w:t xml:space="preserve">באמצעות </w:t>
      </w:r>
      <w:r w:rsidRPr="008A23EB">
        <w:rPr>
          <w:rtl/>
        </w:rPr>
        <w:t>איחודן או חלוקתן מחדש באופן אחר (רה-פרצלציה). בתהליך איחוד וחלוקה תיתכן גם הפרשה של חלק מהשטח לצ</w:t>
      </w:r>
      <w:r>
        <w:rPr>
          <w:rFonts w:hint="cs"/>
          <w:rtl/>
        </w:rPr>
        <w:t>ו</w:t>
      </w:r>
      <w:r w:rsidRPr="008A23EB">
        <w:rPr>
          <w:rtl/>
        </w:rPr>
        <w:t>רכי ציבור.</w:t>
      </w:r>
    </w:p>
  </w:footnote>
  <w:footnote w:id="172">
    <w:p w:rsidR="00151194" w:rsidP="00DC5B13">
      <w:pPr>
        <w:pStyle w:val="FootnoteText"/>
        <w:rPr>
          <w:rtl/>
        </w:rPr>
      </w:pPr>
      <w:r>
        <w:rPr>
          <w:rStyle w:val="FootnoteReference1"/>
        </w:rPr>
        <w:footnoteRef/>
      </w:r>
      <w:r>
        <w:rPr>
          <w:rtl/>
        </w:rPr>
        <w:t xml:space="preserve"> </w:t>
      </w:r>
      <w:r>
        <w:rPr>
          <w:rtl/>
        </w:rPr>
        <w:tab/>
      </w:r>
      <w:r>
        <w:rPr>
          <w:rFonts w:hint="cs"/>
          <w:rtl/>
        </w:rPr>
        <w:t xml:space="preserve">תוכנית מס' </w:t>
      </w:r>
      <w:r w:rsidRPr="00B8673E">
        <w:rPr>
          <w:rtl/>
        </w:rPr>
        <w:t>217-1186329</w:t>
      </w:r>
      <w:r>
        <w:rPr>
          <w:rFonts w:hint="cs"/>
          <w:rtl/>
        </w:rPr>
        <w:t xml:space="preserve"> שהוגשה ב-22.5.23.</w:t>
      </w:r>
    </w:p>
  </w:footnote>
  <w:footnote w:id="173">
    <w:p w:rsidR="00151194" w:rsidRPr="00DB03F2" w:rsidP="00DC5B13">
      <w:pPr>
        <w:pStyle w:val="FootnoteText"/>
        <w:rPr>
          <w:rtl/>
        </w:rPr>
      </w:pPr>
      <w:r>
        <w:rPr>
          <w:rStyle w:val="FootnoteReference1"/>
        </w:rPr>
        <w:footnoteRef/>
      </w:r>
      <w:r>
        <w:rPr>
          <w:rtl/>
        </w:rPr>
        <w:t xml:space="preserve"> </w:t>
      </w:r>
      <w:r>
        <w:rPr>
          <w:rtl/>
        </w:rPr>
        <w:tab/>
      </w:r>
      <w:r w:rsidRPr="00470417">
        <w:rPr>
          <w:rtl/>
        </w:rPr>
        <w:t xml:space="preserve">תקן מספר 21 בדבר פירוט מזערי נדרש בשומות מקרקעין </w:t>
      </w:r>
      <w:r>
        <w:rPr>
          <w:rFonts w:hint="cs"/>
          <w:rtl/>
        </w:rPr>
        <w:t xml:space="preserve">שנעשות </w:t>
      </w:r>
      <w:r w:rsidRPr="00470417">
        <w:rPr>
          <w:rtl/>
        </w:rPr>
        <w:t>לצורך בדיקה שמאית כלכלית לת</w:t>
      </w:r>
      <w:r>
        <w:rPr>
          <w:rFonts w:hint="cs"/>
          <w:rtl/>
        </w:rPr>
        <w:t>ו</w:t>
      </w:r>
      <w:r w:rsidRPr="00470417">
        <w:rPr>
          <w:rtl/>
        </w:rPr>
        <w:t>כנית פינוי-בינוי</w:t>
      </w:r>
      <w:r>
        <w:rPr>
          <w:rFonts w:hint="cs"/>
          <w:rtl/>
        </w:rPr>
        <w:t xml:space="preserve">. </w:t>
      </w:r>
      <w:r w:rsidRPr="00470417">
        <w:rPr>
          <w:rtl/>
        </w:rPr>
        <w:t xml:space="preserve">התקן נקבע בשנת 2012 על ידי מועצת השמאים </w:t>
      </w:r>
      <w:r>
        <w:rPr>
          <w:rFonts w:hint="cs"/>
          <w:rtl/>
        </w:rPr>
        <w:t xml:space="preserve">כדי </w:t>
      </w:r>
      <w:r w:rsidRPr="00470417">
        <w:rPr>
          <w:rtl/>
        </w:rPr>
        <w:t xml:space="preserve">לבחון את כדאיותם הכלכלית של </w:t>
      </w:r>
      <w:r>
        <w:rPr>
          <w:rFonts w:hint="cs"/>
          <w:rtl/>
        </w:rPr>
        <w:t xml:space="preserve">מיזמים </w:t>
      </w:r>
      <w:r w:rsidRPr="00470417">
        <w:rPr>
          <w:rtl/>
        </w:rPr>
        <w:t>להתחדשות עירונית ועודכן בחודש יוני 2022</w:t>
      </w:r>
      <w:r>
        <w:rPr>
          <w:rFonts w:hint="cs"/>
          <w:rtl/>
        </w:rPr>
        <w:t>.</w:t>
      </w:r>
    </w:p>
  </w:footnote>
  <w:footnote w:id="174">
    <w:p w:rsidR="00151194" w:rsidP="00DC5B13">
      <w:pPr>
        <w:pStyle w:val="FootnoteText"/>
      </w:pPr>
      <w:r>
        <w:rPr>
          <w:rStyle w:val="FootnoteReference1"/>
        </w:rPr>
        <w:footnoteRef/>
      </w:r>
      <w:r>
        <w:rPr>
          <w:rtl/>
        </w:rPr>
        <w:t xml:space="preserve"> </w:t>
      </w:r>
      <w:r>
        <w:rPr>
          <w:rtl/>
        </w:rPr>
        <w:tab/>
      </w:r>
      <w:r>
        <w:rPr>
          <w:rFonts w:hint="cs"/>
          <w:rtl/>
        </w:rPr>
        <w:t xml:space="preserve">בהחלטת הממשלה 875 מדצמבר 2021 </w:t>
      </w:r>
      <w:r>
        <w:rPr>
          <w:rtl/>
        </w:rPr>
        <w:t>נקבע כי שר הבינוי והשיכון ימנה ועדה בין</w:t>
      </w:r>
      <w:r>
        <w:rPr>
          <w:rFonts w:hint="cs"/>
          <w:rtl/>
        </w:rPr>
        <w:t>-</w:t>
      </w:r>
      <w:r>
        <w:rPr>
          <w:rtl/>
        </w:rPr>
        <w:t>משרדית</w:t>
      </w:r>
      <w:r>
        <w:rPr>
          <w:rFonts w:hint="cs"/>
          <w:rtl/>
        </w:rPr>
        <w:t xml:space="preserve"> </w:t>
      </w:r>
      <w:r>
        <w:rPr>
          <w:rtl/>
        </w:rPr>
        <w:t>לשם בחינה וגיבוש של המלצות בדבר הכלים הנדרשים לעידוד התחדשות עירונית</w:t>
      </w:r>
      <w:r>
        <w:rPr>
          <w:rFonts w:hint="cs"/>
          <w:rtl/>
        </w:rPr>
        <w:t xml:space="preserve"> </w:t>
      </w:r>
      <w:r>
        <w:rPr>
          <w:rtl/>
        </w:rPr>
        <w:t>במבנים המצויים ביישובי פריפריה</w:t>
      </w:r>
      <w:r>
        <w:rPr>
          <w:rFonts w:hint="cs"/>
          <w:rtl/>
        </w:rPr>
        <w:t>.</w:t>
      </w:r>
    </w:p>
  </w:footnote>
  <w:footnote w:id="175">
    <w:p w:rsidR="00151194" w:rsidP="00DC5B13">
      <w:pPr>
        <w:pStyle w:val="FootnoteText"/>
      </w:pPr>
      <w:r>
        <w:rPr>
          <w:rStyle w:val="FootnoteReference1"/>
        </w:rPr>
        <w:footnoteRef/>
      </w:r>
      <w:r>
        <w:rPr>
          <w:rtl/>
        </w:rPr>
        <w:t xml:space="preserve"> </w:t>
      </w:r>
      <w:r>
        <w:rPr>
          <w:rtl/>
        </w:rPr>
        <w:tab/>
      </w:r>
      <w:r w:rsidRPr="00407636">
        <w:rPr>
          <w:rFonts w:hint="cs"/>
          <w:rtl/>
        </w:rPr>
        <w:t>דו</w:t>
      </w:r>
      <w:r w:rsidRPr="00407636">
        <w:rPr>
          <w:rtl/>
        </w:rPr>
        <w:t>ח המלצות הוועדה</w:t>
      </w:r>
      <w:r w:rsidRPr="00407636">
        <w:rPr>
          <w:rFonts w:hint="cs"/>
          <w:rtl/>
        </w:rPr>
        <w:t xml:space="preserve"> </w:t>
      </w:r>
      <w:r w:rsidRPr="00407636">
        <w:rPr>
          <w:rtl/>
        </w:rPr>
        <w:t>הבין-משרדית לעידוד</w:t>
      </w:r>
      <w:r w:rsidRPr="00407636">
        <w:rPr>
          <w:rFonts w:hint="cs"/>
          <w:rtl/>
        </w:rPr>
        <w:t xml:space="preserve"> </w:t>
      </w:r>
      <w:r w:rsidRPr="00407636">
        <w:rPr>
          <w:rtl/>
        </w:rPr>
        <w:t>התחדשות עירונית</w:t>
      </w:r>
      <w:r w:rsidRPr="00407636">
        <w:rPr>
          <w:rFonts w:hint="cs"/>
          <w:rtl/>
        </w:rPr>
        <w:t xml:space="preserve"> </w:t>
      </w:r>
      <w:r w:rsidRPr="00407636">
        <w:rPr>
          <w:rtl/>
        </w:rPr>
        <w:t>בפריפריה</w:t>
      </w:r>
      <w:r w:rsidRPr="00407636">
        <w:rPr>
          <w:rFonts w:hint="cs"/>
          <w:rtl/>
        </w:rPr>
        <w:t>, ספטמבר 2022.</w:t>
      </w:r>
    </w:p>
  </w:footnote>
  <w:footnote w:id="176">
    <w:p w:rsidR="003B5771" w:rsidRPr="00B3142D" w:rsidP="003B5771">
      <w:pPr>
        <w:pStyle w:val="FootnoteText"/>
        <w:rPr>
          <w:rtl/>
        </w:rPr>
      </w:pPr>
      <w:r>
        <w:rPr>
          <w:rStyle w:val="FootnoteReference1"/>
        </w:rPr>
        <w:footnoteRef/>
      </w:r>
      <w:r>
        <w:rPr>
          <w:rtl/>
        </w:rPr>
        <w:t xml:space="preserve"> </w:t>
      </w:r>
      <w:r>
        <w:rPr>
          <w:rtl/>
        </w:rPr>
        <w:tab/>
        <w:t>נוצר בסיוע כלי בינה מלאכותית מסוג</w:t>
      </w:r>
      <w:r>
        <w:t xml:space="preserve">Napkin </w:t>
      </w:r>
      <w:r>
        <w:rPr>
          <w:rFonts w:hint="cs"/>
          <w:rtl/>
        </w:rPr>
        <w:t>.</w:t>
      </w:r>
    </w:p>
  </w:footnote>
  <w:footnote w:id="177">
    <w:p w:rsidR="00151194" w:rsidP="00DC5B13">
      <w:pPr>
        <w:pStyle w:val="FootnoteText"/>
      </w:pPr>
      <w:r>
        <w:rPr>
          <w:rStyle w:val="FootnoteReference1"/>
        </w:rPr>
        <w:footnoteRef/>
      </w:r>
      <w:r>
        <w:rPr>
          <w:rtl/>
        </w:rPr>
        <w:t xml:space="preserve"> </w:t>
      </w:r>
      <w:r>
        <w:rPr>
          <w:rtl/>
        </w:rPr>
        <w:tab/>
      </w:r>
      <w:r>
        <w:rPr>
          <w:rFonts w:hint="cs"/>
          <w:rtl/>
        </w:rPr>
        <w:t xml:space="preserve">קו השבר הסורי-אפריקאי הוא קו </w:t>
      </w:r>
      <w:r>
        <w:rPr>
          <w:rtl/>
        </w:rPr>
        <w:t xml:space="preserve">הֶעְתֵּק </w:t>
      </w:r>
      <w:r>
        <w:rPr>
          <w:rFonts w:hint="cs"/>
          <w:rtl/>
        </w:rPr>
        <w:t>ה</w:t>
      </w:r>
      <w:r>
        <w:rPr>
          <w:rtl/>
        </w:rPr>
        <w:t>קרוי גם שבר</w:t>
      </w:r>
      <w:r>
        <w:rPr>
          <w:rFonts w:hint="cs"/>
          <w:rtl/>
        </w:rPr>
        <w:t>.</w:t>
      </w:r>
      <w:r>
        <w:rPr>
          <w:rtl/>
        </w:rPr>
        <w:t xml:space="preserve"> </w:t>
      </w:r>
      <w:r>
        <w:rPr>
          <w:rFonts w:hint="cs"/>
          <w:rtl/>
        </w:rPr>
        <w:t>מדובר ב</w:t>
      </w:r>
      <w:r>
        <w:rPr>
          <w:rtl/>
        </w:rPr>
        <w:t>מונח בגיאולוגיה מבנית, המתאר סדק שנוצר בסלעים של קרום כדור הארץ עקב לחצים</w:t>
      </w:r>
      <w:r>
        <w:rPr>
          <w:rFonts w:hint="cs"/>
          <w:rtl/>
        </w:rPr>
        <w:t xml:space="preserve"> </w:t>
      </w:r>
      <w:r>
        <w:rPr>
          <w:rtl/>
        </w:rPr>
        <w:t>הגורמים בין השאר לתזוזה בגושי הסלע שמשני צידי הסדק זה לעומת זה.</w:t>
      </w:r>
    </w:p>
  </w:footnote>
  <w:footnote w:id="178">
    <w:p w:rsidR="00151194" w:rsidP="00DC5B13">
      <w:pPr>
        <w:pStyle w:val="FootnoteText"/>
      </w:pPr>
      <w:r>
        <w:rPr>
          <w:rStyle w:val="FootnoteReference1"/>
        </w:rPr>
        <w:footnoteRef/>
      </w:r>
      <w:r>
        <w:rPr>
          <w:rtl/>
        </w:rPr>
        <w:t xml:space="preserve"> </w:t>
      </w:r>
      <w:r>
        <w:rPr>
          <w:rtl/>
        </w:rPr>
        <w:tab/>
      </w:r>
      <w:r>
        <w:rPr>
          <w:rFonts w:hint="cs"/>
          <w:rtl/>
        </w:rPr>
        <w:t xml:space="preserve">תוכנית שמכוחה שניתן להוציא היתרי בנייה. התוכנית אושרה על ידי הוועדה המחוזית לתכנון ובנייה. </w:t>
      </w:r>
    </w:p>
  </w:footnote>
  <w:footnote w:id="179">
    <w:p w:rsidR="00151194" w:rsidP="00DC5B13">
      <w:pPr>
        <w:pStyle w:val="FootnoteText"/>
      </w:pPr>
      <w:r>
        <w:rPr>
          <w:rStyle w:val="FootnoteReference1"/>
        </w:rPr>
        <w:footnoteRef/>
      </w:r>
      <w:r>
        <w:rPr>
          <w:rtl/>
        </w:rPr>
        <w:t xml:space="preserve"> </w:t>
      </w:r>
      <w:r>
        <w:rPr>
          <w:rtl/>
        </w:rPr>
        <w:tab/>
      </w:r>
      <w:r>
        <w:rPr>
          <w:rFonts w:hint="cs"/>
          <w:rtl/>
        </w:rPr>
        <w:t xml:space="preserve">בנוהל מבא"ת (מבנה אחיד תכנון) נכתב כי מגורים ג' הוא ייעוד קרקע המתיר בניית מבני מגורים בשטח כולל של 201% - 350% משטח המגרש המותר לבנייה. מגורים ד' הוא ייעוד קרקע המתיר בנייה של מבני מגורים בשטח כולל של 351% - 700% משטח המגרש המותר לבנייה. ראו: נוהל מבא"ת 2024, עמ' 1 </w:t>
      </w:r>
      <w:r w:rsidRPr="00407636">
        <w:rPr>
          <w:rFonts w:hint="cs"/>
          <w:rtl/>
        </w:rPr>
        <w:t>באתר</w:t>
      </w:r>
      <w:r>
        <w:rPr>
          <w:rFonts w:hint="cs"/>
          <w:rtl/>
        </w:rPr>
        <w:t xml:space="preserve"> המרשתת של מינהל התכנון.</w:t>
      </w:r>
    </w:p>
  </w:footnote>
  <w:footnote w:id="180">
    <w:p w:rsidR="00151194" w:rsidP="00DC5B13">
      <w:pPr>
        <w:pStyle w:val="FootnoteText"/>
        <w:rPr>
          <w:rtl/>
        </w:rPr>
      </w:pPr>
      <w:r>
        <w:rPr>
          <w:rStyle w:val="FootnoteReference1"/>
        </w:rPr>
        <w:footnoteRef/>
      </w:r>
      <w:r>
        <w:rPr>
          <w:rtl/>
        </w:rPr>
        <w:t xml:space="preserve"> </w:t>
      </w:r>
      <w:r>
        <w:rPr>
          <w:rtl/>
        </w:rPr>
        <w:tab/>
      </w:r>
      <w:r>
        <w:rPr>
          <w:rFonts w:hint="cs"/>
          <w:rtl/>
        </w:rPr>
        <w:t xml:space="preserve">ראו </w:t>
      </w:r>
      <w:r w:rsidRPr="00407636">
        <w:rPr>
          <w:rFonts w:hint="cs"/>
          <w:rtl/>
        </w:rPr>
        <w:t>אתר</w:t>
      </w:r>
      <w:r>
        <w:rPr>
          <w:rFonts w:hint="cs"/>
          <w:rtl/>
        </w:rPr>
        <w:t xml:space="preserve"> המרשתת של מינהל התכנון.</w:t>
      </w:r>
    </w:p>
  </w:footnote>
  <w:footnote w:id="181">
    <w:p w:rsidR="00151194" w:rsidP="00DC5B13">
      <w:pPr>
        <w:pStyle w:val="FootnoteText"/>
      </w:pPr>
      <w:r>
        <w:rPr>
          <w:rStyle w:val="FootnoteReference1"/>
        </w:rPr>
        <w:footnoteRef/>
      </w:r>
      <w:r>
        <w:rPr>
          <w:rtl/>
        </w:rPr>
        <w:t xml:space="preserve"> </w:t>
      </w:r>
      <w:r>
        <w:rPr>
          <w:rtl/>
        </w:rPr>
        <w:tab/>
      </w:r>
      <w:r>
        <w:rPr>
          <w:rFonts w:hint="cs"/>
          <w:rtl/>
        </w:rPr>
        <w:t>הוועדה המחוזית מרכז - ועדת משנה להתנגדויות, פרוטוקול ישיבה מספר 2005003, 26.1.05, עמ' 2.</w:t>
      </w:r>
    </w:p>
  </w:footnote>
  <w:footnote w:id="182">
    <w:p w:rsidR="00151194" w:rsidP="00DC5B13">
      <w:pPr>
        <w:pStyle w:val="FootnoteText"/>
        <w:rPr>
          <w:rtl/>
        </w:rPr>
      </w:pPr>
      <w:r>
        <w:rPr>
          <w:rStyle w:val="FootnoteReference1"/>
        </w:rPr>
        <w:footnoteRef/>
      </w:r>
      <w:r>
        <w:rPr>
          <w:rtl/>
        </w:rPr>
        <w:t xml:space="preserve"> </w:t>
      </w:r>
      <w:r>
        <w:rPr>
          <w:rtl/>
        </w:rPr>
        <w:tab/>
      </w:r>
      <w:r>
        <w:rPr>
          <w:rFonts w:hint="cs"/>
          <w:rtl/>
        </w:rPr>
        <w:t>המועצה הארצית לתכנון ובנייה - ועדת המשנה לעררים, החלטה בערר 48/05, תכנית רע/511/1, 24.8.08, ס</w:t>
      </w:r>
      <w:r w:rsidR="00643C04">
        <w:rPr>
          <w:rFonts w:hint="cs"/>
          <w:rtl/>
        </w:rPr>
        <w:t>עיף</w:t>
      </w:r>
      <w:r>
        <w:rPr>
          <w:rFonts w:hint="cs"/>
          <w:rtl/>
        </w:rPr>
        <w:t xml:space="preserve"> 2.</w:t>
      </w:r>
    </w:p>
  </w:footnote>
  <w:footnote w:id="183">
    <w:p w:rsidR="00151194" w:rsidRPr="005D573B" w:rsidP="00DC5B13">
      <w:pPr>
        <w:pStyle w:val="FootnoteText"/>
        <w:rPr>
          <w:rtl/>
        </w:rPr>
      </w:pPr>
      <w:r>
        <w:rPr>
          <w:rStyle w:val="FootnoteReference1"/>
        </w:rPr>
        <w:footnoteRef/>
      </w:r>
      <w:r>
        <w:rPr>
          <w:rtl/>
        </w:rPr>
        <w:t xml:space="preserve"> </w:t>
      </w:r>
      <w:r>
        <w:rPr>
          <w:rtl/>
        </w:rPr>
        <w:tab/>
      </w:r>
      <w:r>
        <w:rPr>
          <w:rFonts w:hint="cs"/>
          <w:rtl/>
        </w:rPr>
        <w:t>הוועדה המחוזית מרכז, פרוטוקול ישיבה מספר 2008021, 29.12.08, עמ' 9-8.</w:t>
      </w:r>
    </w:p>
  </w:footnote>
  <w:footnote w:id="184">
    <w:p w:rsidR="00151194" w:rsidP="00DC5B13">
      <w:pPr>
        <w:pStyle w:val="FootnoteText"/>
        <w:rPr>
          <w:rtl/>
        </w:rPr>
      </w:pPr>
      <w:r>
        <w:rPr>
          <w:rStyle w:val="FootnoteReference1"/>
        </w:rPr>
        <w:footnoteRef/>
      </w:r>
      <w:r>
        <w:rPr>
          <w:rtl/>
        </w:rPr>
        <w:t xml:space="preserve"> </w:t>
      </w:r>
      <w:r>
        <w:rPr>
          <w:rtl/>
        </w:rPr>
        <w:tab/>
      </w:r>
      <w:r>
        <w:rPr>
          <w:rFonts w:hint="cs"/>
          <w:rtl/>
        </w:rPr>
        <w:t>הוראות תוכנית רע/מק/843, עמ' 2. תוכניות ההתחדשות למתחם תואמות את מסמכי המדיניות שהוכנו לאזור בהמשך לאישור תוכנית המתאר רע/3000.</w:t>
      </w:r>
    </w:p>
  </w:footnote>
  <w:footnote w:id="185">
    <w:p w:rsidR="00151194" w:rsidP="00DC5B13">
      <w:pPr>
        <w:pStyle w:val="FootnoteText"/>
        <w:rPr>
          <w:rtl/>
        </w:rPr>
      </w:pPr>
      <w:r>
        <w:rPr>
          <w:rStyle w:val="FootnoteReference1"/>
        </w:rPr>
        <w:footnoteRef/>
      </w:r>
      <w:r>
        <w:rPr>
          <w:rtl/>
        </w:rPr>
        <w:t xml:space="preserve"> </w:t>
      </w:r>
      <w:r>
        <w:rPr>
          <w:rtl/>
        </w:rPr>
        <w:tab/>
      </w:r>
      <w:r>
        <w:rPr>
          <w:rFonts w:hint="cs"/>
          <w:rtl/>
        </w:rPr>
        <w:t>הוראות תוכנית רע/מק/843, עמ' 2.</w:t>
      </w:r>
    </w:p>
  </w:footnote>
  <w:footnote w:id="186">
    <w:p w:rsidR="00151194" w:rsidP="00DC5B13">
      <w:pPr>
        <w:pStyle w:val="FootnoteText"/>
      </w:pPr>
      <w:r>
        <w:rPr>
          <w:rStyle w:val="FootnoteReference1"/>
        </w:rPr>
        <w:footnoteRef/>
      </w:r>
      <w:r>
        <w:rPr>
          <w:rtl/>
        </w:rPr>
        <w:t xml:space="preserve"> </w:t>
      </w:r>
      <w:r>
        <w:rPr>
          <w:rtl/>
        </w:rPr>
        <w:tab/>
      </w:r>
      <w:r w:rsidRPr="00407636">
        <w:rPr>
          <w:rFonts w:hint="cs"/>
          <w:rtl/>
        </w:rPr>
        <w:t>אתר</w:t>
      </w:r>
      <w:r>
        <w:rPr>
          <w:rFonts w:hint="cs"/>
          <w:rtl/>
        </w:rPr>
        <w:t xml:space="preserve"> המרשתת של מינהל התכנון. התוכנית פורסמה לאישור ברשומות באוגוסט 2019. </w:t>
      </w:r>
      <w:r w:rsidRPr="00407636">
        <w:rPr>
          <w:rFonts w:hint="cs"/>
          <w:rtl/>
        </w:rPr>
        <w:t>היתר</w:t>
      </w:r>
      <w:r>
        <w:rPr>
          <w:rFonts w:hint="cs"/>
          <w:rtl/>
        </w:rPr>
        <w:t xml:space="preserve"> בנייה התקבל מעיריית רעננה ביולי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1194" w:rsidRPr="0062451B" w:rsidP="00512A2D">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45205" cy="285750"/>
                      </a:xfrm>
                      <a:prstGeom prst="rect">
                        <a:avLst/>
                      </a:prstGeom>
                      <a:noFill/>
                      <a:ln w="9525">
                        <a:noFill/>
                        <a:miter lim="800000"/>
                        <a:headEnd/>
                        <a:tailEnd/>
                      </a:ln>
                    </wps:spPr>
                    <wps:txbx>
                      <w:txbxContent>
                        <w:p w:rsidR="00151194" w:rsidRPr="001E204F" w:rsidP="0099692E">
                          <w:pPr>
                            <w:ind w:left="460"/>
                            <w:rPr>
                              <w:rFonts w:ascii="Calibri" w:hAnsi="Calibri" w:cs="Calibri"/>
                              <w:color w:val="002060"/>
                              <w:szCs w:val="20"/>
                              <w:rtl/>
                            </w:rPr>
                          </w:pPr>
                          <w:r w:rsidRPr="00DC5B13">
                            <w:rPr>
                              <w:rFonts w:ascii="Calibri" w:hAnsi="Calibri" w:cs="Calibri"/>
                              <w:color w:val="002060"/>
                              <w:szCs w:val="20"/>
                              <w:rtl/>
                            </w:rPr>
                            <w:t>תכנון וקידום של התחדשות עירונית ברשויות המקומיות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279.15pt;height:22.5pt;margin-top:17.05pt;margin-left:199.7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151194" w:rsidRPr="001E204F" w:rsidP="0099692E">
                    <w:pPr>
                      <w:ind w:left="460"/>
                      <w:rPr>
                        <w:rFonts w:ascii="Calibri" w:hAnsi="Calibri" w:cs="Calibri"/>
                        <w:color w:val="002060"/>
                        <w:szCs w:val="20"/>
                        <w:rtl/>
                      </w:rPr>
                    </w:pPr>
                    <w:r w:rsidRPr="00DC5B13">
                      <w:rPr>
                        <w:rFonts w:ascii="Calibri" w:hAnsi="Calibri" w:cs="Calibri"/>
                        <w:color w:val="002060"/>
                        <w:szCs w:val="20"/>
                        <w:rtl/>
                      </w:rPr>
                      <w:t>תכנון וקידום של התחדשות עירונית ברשויות המקומיות</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151194"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151194"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151194"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151194"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1194">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xmlns:wps="http://schemas.microsoft.com/office/word/2010/wordprocessingShape">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12526" y="2021109"/>
                            <a:ext cx="2959100" cy="456026"/>
                          </a:xfrm>
                          <a:prstGeom prst="rect">
                            <a:avLst/>
                          </a:prstGeom>
                          <a:noFill/>
                          <a:ln w="6350">
                            <a:noFill/>
                          </a:ln>
                        </wps:spPr>
                        <wps:txbx>
                          <w:txbxContent>
                            <w:p w:rsidR="00151194"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151194" w:rsidRPr="00CE3828"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151194"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קבוצה 52" o:spid="_x0000_s2053" style="width:233pt;height:886.7pt;margin-top:-81.2pt;margin-left:96.45pt;mso-height-relative:margin;mso-position-horizontal-relative:margin;mso-width-relative:margin;position:absolute;z-index:251659264" coordorigin="-125,-5708" coordsize="29591,112610">
              <v:group id="קבוצה 53" o:spid="_x0000_s2054" style="width:29590;height:35807;left:-125;position:absolute;top:-5708" coordorigin="-125,-5708" coordsize="29591,35807">
                <v:rect id="מלבן 54" o:spid="_x0000_s2055" style="width:16910;height:24637;left:6286;mso-wrap-style:square;position:absolute;top:-5708;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8;left:10382;mso-wrap-style:square;position:absolute;top:8674;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4560;left:-125;mso-wrap-style:square;position:absolute;top:20211;visibility:visible;v-text-anchor:top" filled="f" stroked="f" strokeweight="0.5pt">
                  <v:textbox>
                    <w:txbxContent>
                      <w:p w:rsidR="00151194"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151194" w:rsidRPr="00CE3828" w:rsidP="0062451B">
                        <w:pPr>
                          <w:jc w:val="center"/>
                          <w:rPr>
                            <w:rFonts w:ascii="Calibri" w:hAnsi="Calibri" w:cs="Calibri"/>
                            <w:color w:val="002060"/>
                            <w:spacing w:val="80"/>
                            <w:sz w:val="28"/>
                            <w:szCs w:val="36"/>
                          </w:rPr>
                        </w:pP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151194"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xmlns:wps="http://schemas.microsoft.com/office/word/2010/wordprocessingShape">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12" o:spid="_x0000_s2063" style="mso-width-percent:0;mso-width-relative:margin;mso-wrap-distance-bottom:0;mso-wrap-distance-left:9pt;mso-wrap-distance-right:9pt;mso-wrap-distance-top:0;mso-wrap-style:square;position:absolute;visibility:visible;z-index:251673600" from="147.8pt,158.85pt" to="279.85pt,158.85pt" strokecolor="#002060" strokeweight="2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6270" cy="281305"/>
                      </a:xfrm>
                      <a:prstGeom prst="rect">
                        <a:avLst/>
                      </a:prstGeom>
                      <a:noFill/>
                      <a:ln w="6350">
                        <a:noFill/>
                      </a:ln>
                    </wps:spPr>
                    <wps:txbx>
                      <w:txbxContent>
                        <w:p w:rsidR="00151194"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תיבת טקסט 14" o:spid="_x0000_s2064" type="#_x0000_t202" style="width:150.1pt;height:22.15pt;margin-top:167.75pt;margin-left:142.8pt;mso-height-percent:0;mso-height-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151194"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6026"/>
                      </a:xfrm>
                      <a:prstGeom prst="rect">
                        <a:avLst/>
                      </a:prstGeom>
                      <a:noFill/>
                      <a:ln w="6350">
                        <a:noFill/>
                      </a:ln>
                    </wps:spPr>
                    <wps:txbx>
                      <w:txbxContent>
                        <w:p w:rsidR="00151194"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151194" w:rsidRPr="00CE3828"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3" o:spid="_x0000_s2065" type="#_x0000_t202" style="width:233pt;height:35.9pt;margin-top:-81.5pt;margin-left:119.7pt;mso-wrap-distance-bottom:0;mso-wrap-distance-left:9pt;mso-wrap-distance-right:9pt;mso-wrap-distance-top:0;mso-wrap-style:square;position:absolute;visibility:visible;v-text-anchor:top;z-index:251675648" filled="f" stroked="f" strokeweight="0.5pt">
              <v:textbox>
                <w:txbxContent>
                  <w:p w:rsidR="00151194"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151194" w:rsidRPr="00CE3828"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1" o:spid="_x0000_s2066" style="mso-wrap-distance-bottom:0;mso-wrap-distance-left:9pt;mso-wrap-distance-right:9pt;mso-wrap-distance-top:0;mso-wrap-style:square;position:absolute;visibility:visible;z-index:251671552" from="131.85pt,-69.8pt" to="263.85pt,-69.8pt" strokecolor="#002060"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 o:spid="_x0000_s2067" style="mso-wrap-distance-bottom:0;mso-wrap-distance-left:9pt;mso-wrap-distance-right:9pt;mso-wrap-distance-top:0;mso-wrap-style:square;position:absolute;visibility:visible;z-index:251669504" from="119.85pt,-81.8pt" to="251.85pt,-81.8pt"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1194" w:rsidRPr="00DC5B13" w:rsidP="007E53C6">
    <w:pPr>
      <w:pStyle w:val="Header"/>
      <w:ind w:right="-567"/>
      <w:jc w:val="right"/>
      <w:rPr>
        <w:rFonts w:ascii="Calibri" w:hAnsi="Calibri" w:cs="Calibri"/>
        <w:color w:val="002060"/>
        <w:szCs w:val="20"/>
      </w:rPr>
    </w:pPr>
    <w:r w:rsidRPr="00DC5B13">
      <w:rPr>
        <w:rFonts w:ascii="Calibri" w:hAnsi="Calibri" w:cs="Calibri"/>
        <w:noProof/>
        <w:color w:val="002060"/>
        <w:szCs w:val="20"/>
        <w:rtl/>
        <w:lang w:val="he-IL"/>
      </w:rPr>
      <mc:AlternateContent>
        <mc:Choice Requires="wps">
          <w:drawing>
            <wp:anchor distT="0" distB="0" distL="114300" distR="114300" simplePos="0" relativeHeight="25167872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69" style="flip:y;mso-height-percent:0;mso-height-relative:margin;mso-width-percent:0;mso-width-relative:margin;mso-wrap-distance-bottom:0;mso-wrap-distance-left:9pt;mso-wrap-distance-right:9pt;mso-wrap-distance-top:0;mso-wrap-style:square;position:absolute;visibility:visible;z-index:251679744" from="-26.55pt,16.3pt" to="451.2pt,16.3pt" strokecolor="#4579b8"/>
          </w:pict>
        </mc:Fallback>
      </mc:AlternateContent>
    </w:r>
    <w:r w:rsidRPr="00DC5B13">
      <w:rPr>
        <w:rFonts w:ascii="Calibri" w:hAnsi="Calibri" w:cs="Times New Roman"/>
        <w:noProof/>
        <w:color w:val="002060"/>
        <w:szCs w:val="20"/>
        <w:rtl/>
      </w:rPr>
      <mc:AlternateContent>
        <mc:Choice Requires="wps">
          <w:drawing>
            <wp:anchor distT="45720" distB="45720" distL="114300" distR="114300" simplePos="0" relativeHeight="25168076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151194"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70"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81792" filled="f" stroked="f">
              <v:textbox>
                <w:txbxContent>
                  <w:p w:rsidR="00151194"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DC5B13">
      <w:rPr>
        <w:rFonts w:ascii="Calibri" w:hAnsi="Calibri" w:cs="Times New Roman"/>
        <w:noProof/>
        <w:color w:val="002060"/>
        <w:szCs w:val="20"/>
        <w:rtl/>
      </w:rPr>
      <mc:AlternateContent>
        <mc:Choice Requires="wps">
          <w:drawing>
            <wp:anchor distT="45720" distB="45720" distL="114300" distR="114300" simplePos="0" relativeHeight="25168281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151194"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DC5B13">
                            <w:rPr>
                              <w:rFonts w:ascii="Calibri" w:hAnsi="Calibri" w:cs="Calibri"/>
                              <w:color w:val="002060"/>
                              <w:spacing w:val="20"/>
                              <w:sz w:val="22"/>
                              <w:szCs w:val="22"/>
                            </w:rPr>
                            <w:t xml:space="preserve"> </w:t>
                          </w:r>
                          <w:r w:rsidRPr="00DC5B13">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32640" filled="f" stroked="f">
              <v:textbox>
                <w:txbxContent>
                  <w:p w:rsidR="00151194"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DC5B13">
                      <w:rPr>
                        <w:rFonts w:ascii="Calibri" w:hAnsi="Calibri" w:cs="Calibri"/>
                        <w:color w:val="002060"/>
                        <w:spacing w:val="20"/>
                        <w:sz w:val="22"/>
                        <w:szCs w:val="22"/>
                      </w:rPr>
                      <w:t xml:space="preserve"> </w:t>
                    </w:r>
                    <w:r w:rsidRPr="00DC5B13">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DC5B13">
      <w:rPr>
        <w:rFonts w:ascii="Calibri" w:hAnsi="Calibri" w:cs="Calibri" w:hint="cs"/>
        <w:color w:val="002060"/>
        <w:szCs w:val="20"/>
        <w:rtl/>
      </w:rPr>
      <w:t xml:space="preserve"> </w:t>
    </w:r>
    <w:r w:rsidRPr="00DC5B13">
      <w:rPr>
        <w:rFonts w:ascii="Calibri" w:hAnsi="Calibri" w:cs="Calibri"/>
        <w:color w:val="002060"/>
        <w:szCs w:val="20"/>
        <w:rtl/>
      </w:rPr>
      <w:fldChar w:fldCharType="begin"/>
    </w:r>
    <w:r w:rsidRPr="00DC5B13">
      <w:rPr>
        <w:rFonts w:ascii="Calibri" w:hAnsi="Calibri" w:cs="Calibri"/>
        <w:color w:val="002060"/>
        <w:szCs w:val="20"/>
        <w:rtl/>
      </w:rPr>
      <w:instrText xml:space="preserve"> </w:instrText>
    </w:r>
    <w:r w:rsidRPr="00DC5B13">
      <w:rPr>
        <w:rFonts w:ascii="Calibri" w:hAnsi="Calibri" w:cs="Calibri"/>
        <w:color w:val="002060"/>
        <w:szCs w:val="20"/>
      </w:rPr>
      <w:instrText>PAGE</w:instrText>
    </w:r>
    <w:r w:rsidRPr="00DC5B13">
      <w:rPr>
        <w:rFonts w:ascii="Calibri" w:hAnsi="Calibri" w:cs="Calibri"/>
        <w:color w:val="002060"/>
        <w:szCs w:val="20"/>
        <w:rtl/>
      </w:rPr>
      <w:instrText xml:space="preserve">  \* </w:instrText>
    </w:r>
    <w:r w:rsidRPr="00DC5B13">
      <w:rPr>
        <w:rFonts w:ascii="Calibri" w:hAnsi="Calibri" w:cs="Calibri"/>
        <w:color w:val="002060"/>
        <w:szCs w:val="20"/>
      </w:rPr>
      <w:instrText>MERGEFORMAT</w:instrText>
    </w:r>
    <w:r w:rsidRPr="00DC5B13">
      <w:rPr>
        <w:rFonts w:ascii="Calibri" w:hAnsi="Calibri" w:cs="Calibri"/>
        <w:color w:val="002060"/>
        <w:szCs w:val="20"/>
        <w:rtl/>
      </w:rPr>
      <w:instrText xml:space="preserve"> </w:instrText>
    </w:r>
    <w:r w:rsidRPr="00DC5B13">
      <w:rPr>
        <w:rFonts w:ascii="Calibri" w:hAnsi="Calibri" w:cs="Calibri"/>
        <w:color w:val="002060"/>
        <w:szCs w:val="20"/>
        <w:rtl/>
      </w:rPr>
      <w:fldChar w:fldCharType="separate"/>
    </w:r>
    <w:r w:rsidRPr="00DC5B13">
      <w:rPr>
        <w:rFonts w:ascii="Calibri" w:hAnsi="Calibri" w:cs="Calibri"/>
        <w:color w:val="002060"/>
        <w:szCs w:val="20"/>
        <w:rtl/>
      </w:rPr>
      <w:t>3</w:t>
    </w:r>
    <w:r w:rsidRPr="00DC5B13">
      <w:rPr>
        <w:rFonts w:ascii="Calibri" w:hAnsi="Calibri" w:cs="Calibri"/>
        <w:color w:val="002060"/>
        <w:szCs w:val="20"/>
        <w:rtl/>
      </w:rPr>
      <w:fldChar w:fldCharType="end"/>
    </w:r>
    <w:r w:rsidRPr="00DC5B13">
      <w:rPr>
        <w:rFonts w:ascii="Calibri" w:hAnsi="Calibri" w:cs="Calibri"/>
        <w:color w:val="002060"/>
        <w:szCs w:val="20"/>
        <w:rtl/>
      </w:rPr>
      <w:t xml:space="preserve"> </w:t>
    </w:r>
  </w:p>
  <w:p w:rsidR="00151194" w:rsidRPr="007E53C6" w:rsidP="007E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894D9D"/>
    <w:multiLevelType w:val="hybridMultilevel"/>
    <w:tmpl w:val="6DBC2C12"/>
    <w:lvl w:ilvl="0">
      <w:start w:val="1"/>
      <w:numFmt w:val="bullet"/>
      <w:lvlText w:val=""/>
      <w:lvlJc w:val="left"/>
      <w:pPr>
        <w:ind w:left="2279" w:hanging="360"/>
      </w:pPr>
      <w:rPr>
        <w:rFonts w:ascii="Symbol" w:hAnsi="Symbol" w:hint="default"/>
      </w:rPr>
    </w:lvl>
    <w:lvl w:ilvl="1" w:tentative="1">
      <w:start w:val="1"/>
      <w:numFmt w:val="bullet"/>
      <w:lvlText w:val="o"/>
      <w:lvlJc w:val="left"/>
      <w:pPr>
        <w:ind w:left="2999" w:hanging="360"/>
      </w:pPr>
      <w:rPr>
        <w:rFonts w:ascii="Courier New" w:hAnsi="Courier New" w:cs="Courier New" w:hint="default"/>
      </w:rPr>
    </w:lvl>
    <w:lvl w:ilvl="2" w:tentative="1">
      <w:start w:val="1"/>
      <w:numFmt w:val="bullet"/>
      <w:lvlText w:val=""/>
      <w:lvlJc w:val="left"/>
      <w:pPr>
        <w:ind w:left="3719" w:hanging="360"/>
      </w:pPr>
      <w:rPr>
        <w:rFonts w:ascii="Wingdings" w:hAnsi="Wingdings" w:hint="default"/>
      </w:rPr>
    </w:lvl>
    <w:lvl w:ilvl="3" w:tentative="1">
      <w:start w:val="1"/>
      <w:numFmt w:val="bullet"/>
      <w:lvlText w:val=""/>
      <w:lvlJc w:val="left"/>
      <w:pPr>
        <w:ind w:left="4439" w:hanging="360"/>
      </w:pPr>
      <w:rPr>
        <w:rFonts w:ascii="Symbol" w:hAnsi="Symbol" w:hint="default"/>
      </w:rPr>
    </w:lvl>
    <w:lvl w:ilvl="4" w:tentative="1">
      <w:start w:val="1"/>
      <w:numFmt w:val="bullet"/>
      <w:lvlText w:val="o"/>
      <w:lvlJc w:val="left"/>
      <w:pPr>
        <w:ind w:left="5159" w:hanging="360"/>
      </w:pPr>
      <w:rPr>
        <w:rFonts w:ascii="Courier New" w:hAnsi="Courier New" w:cs="Courier New" w:hint="default"/>
      </w:rPr>
    </w:lvl>
    <w:lvl w:ilvl="5" w:tentative="1">
      <w:start w:val="1"/>
      <w:numFmt w:val="bullet"/>
      <w:lvlText w:val=""/>
      <w:lvlJc w:val="left"/>
      <w:pPr>
        <w:ind w:left="5879" w:hanging="360"/>
      </w:pPr>
      <w:rPr>
        <w:rFonts w:ascii="Wingdings" w:hAnsi="Wingdings" w:hint="default"/>
      </w:rPr>
    </w:lvl>
    <w:lvl w:ilvl="6" w:tentative="1">
      <w:start w:val="1"/>
      <w:numFmt w:val="bullet"/>
      <w:lvlText w:val=""/>
      <w:lvlJc w:val="left"/>
      <w:pPr>
        <w:ind w:left="6599" w:hanging="360"/>
      </w:pPr>
      <w:rPr>
        <w:rFonts w:ascii="Symbol" w:hAnsi="Symbol" w:hint="default"/>
      </w:rPr>
    </w:lvl>
    <w:lvl w:ilvl="7" w:tentative="1">
      <w:start w:val="1"/>
      <w:numFmt w:val="bullet"/>
      <w:lvlText w:val="o"/>
      <w:lvlJc w:val="left"/>
      <w:pPr>
        <w:ind w:left="7319" w:hanging="360"/>
      </w:pPr>
      <w:rPr>
        <w:rFonts w:ascii="Courier New" w:hAnsi="Courier New" w:cs="Courier New" w:hint="default"/>
      </w:rPr>
    </w:lvl>
    <w:lvl w:ilvl="8" w:tentative="1">
      <w:start w:val="1"/>
      <w:numFmt w:val="bullet"/>
      <w:lvlText w:val=""/>
      <w:lvlJc w:val="left"/>
      <w:pPr>
        <w:ind w:left="8039" w:hanging="360"/>
      </w:pPr>
      <w:rPr>
        <w:rFonts w:ascii="Wingdings" w:hAnsi="Wingdings" w:hint="default"/>
      </w:rPr>
    </w:lvl>
  </w:abstractNum>
  <w:abstractNum w:abstractNumId="1">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
    <w:nsid w:val="0B80584D"/>
    <w:multiLevelType w:val="hybridMultilevel"/>
    <w:tmpl w:val="A0E4F0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1C6088"/>
    <w:multiLevelType w:val="hybridMultilevel"/>
    <w:tmpl w:val="772AEEB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D1436FB"/>
    <w:multiLevelType w:val="hybridMultilevel"/>
    <w:tmpl w:val="A1DC1D0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D172AA2"/>
    <w:multiLevelType w:val="hybridMultilevel"/>
    <w:tmpl w:val="DC38D9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0A31BC3"/>
    <w:multiLevelType w:val="hybridMultilevel"/>
    <w:tmpl w:val="7EEEDE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9">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0">
    <w:nsid w:val="33464678"/>
    <w:multiLevelType w:val="hybridMultilevel"/>
    <w:tmpl w:val="96560F6C"/>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339D5ACC"/>
    <w:multiLevelType w:val="hybridMultilevel"/>
    <w:tmpl w:val="5B88DC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3">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4">
    <w:nsid w:val="40D9083F"/>
    <w:multiLevelType w:val="hybridMultilevel"/>
    <w:tmpl w:val="BB10E7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6">
    <w:nsid w:val="42B37D57"/>
    <w:multiLevelType w:val="hybridMultilevel"/>
    <w:tmpl w:val="8496F37E"/>
    <w:lvl w:ilvl="0">
      <w:start w:val="1"/>
      <w:numFmt w:val="bullet"/>
      <w:lvlText w:val=""/>
      <w:lvlJc w:val="left"/>
      <w:pPr>
        <w:ind w:left="360" w:hanging="360"/>
      </w:pPr>
      <w:rPr>
        <w:rFonts w:ascii="Symbol" w:hAnsi="Symbol" w:hint="default"/>
        <w:b/>
        <w:i w:val="0"/>
        <w:caps w:val="0"/>
        <w:strike w:val="0"/>
        <w:dstrike w:val="0"/>
        <w:vanish w:val="0"/>
        <w:color w:val="auto"/>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8">
    <w:nsid w:val="459B0748"/>
    <w:multiLevelType w:val="hybridMultilevel"/>
    <w:tmpl w:val="6CB6FB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C7A3166"/>
    <w:multiLevelType w:val="hybridMultilevel"/>
    <w:tmpl w:val="87FE97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1">
    <w:nsid w:val="52C1038B"/>
    <w:multiLevelType w:val="hybridMultilevel"/>
    <w:tmpl w:val="7E32CCD6"/>
    <w:lvl w:ilvl="0">
      <w:start w:val="1"/>
      <w:numFmt w:val="decimal"/>
      <w:lvlText w:val="%1."/>
      <w:lvlJc w:val="left"/>
      <w:pPr>
        <w:ind w:left="700" w:hanging="360"/>
      </w:pPr>
      <w:rPr>
        <w:rFonts w:hint="default"/>
        <w:b/>
        <w:bCs/>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2">
    <w:nsid w:val="52D32A30"/>
    <w:multiLevelType w:val="hybridMultilevel"/>
    <w:tmpl w:val="C2B881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3437CD8"/>
    <w:multiLevelType w:val="hybridMultilevel"/>
    <w:tmpl w:val="D4E4B9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3EE0ACA"/>
    <w:multiLevelType w:val="hybridMultilevel"/>
    <w:tmpl w:val="3200B7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59454A7"/>
    <w:multiLevelType w:val="hybridMultilevel"/>
    <w:tmpl w:val="778E11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62691DEF"/>
    <w:multiLevelType w:val="hybridMultilevel"/>
    <w:tmpl w:val="1CD0A1F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63213DA7"/>
    <w:multiLevelType w:val="hybridMultilevel"/>
    <w:tmpl w:val="9E6C0C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0">
    <w:nsid w:val="66621754"/>
    <w:multiLevelType w:val="hybridMultilevel"/>
    <w:tmpl w:val="778E11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699458C"/>
    <w:multiLevelType w:val="hybridMultilevel"/>
    <w:tmpl w:val="A6F8E9B4"/>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69955798"/>
    <w:multiLevelType w:val="hybridMultilevel"/>
    <w:tmpl w:val="850ED3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9D14068"/>
    <w:multiLevelType w:val="hybridMultilevel"/>
    <w:tmpl w:val="2C36A07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262752D"/>
    <w:multiLevelType w:val="multilevel"/>
    <w:tmpl w:val="3C1ED3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8B91CB9"/>
    <w:multiLevelType w:val="hybridMultilevel"/>
    <w:tmpl w:val="FB048A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36"/>
  </w:num>
  <w:num w:numId="2">
    <w:abstractNumId w:val="20"/>
  </w:num>
  <w:num w:numId="3">
    <w:abstractNumId w:val="15"/>
  </w:num>
  <w:num w:numId="4">
    <w:abstractNumId w:val="1"/>
  </w:num>
  <w:num w:numId="5">
    <w:abstractNumId w:val="17"/>
  </w:num>
  <w:num w:numId="6">
    <w:abstractNumId w:val="29"/>
  </w:num>
  <w:num w:numId="7">
    <w:abstractNumId w:val="13"/>
  </w:num>
  <w:num w:numId="8">
    <w:abstractNumId w:val="9"/>
  </w:num>
  <w:num w:numId="9">
    <w:abstractNumId w:val="8"/>
  </w:num>
  <w:num w:numId="10">
    <w:abstractNumId w:val="12"/>
  </w:num>
  <w:num w:numId="11">
    <w:abstractNumId w:val="6"/>
  </w:num>
  <w:num w:numId="12">
    <w:abstractNumId w:val="0"/>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4"/>
  </w:num>
  <w:num w:numId="17">
    <w:abstractNumId w:val="11"/>
  </w:num>
  <w:num w:numId="18">
    <w:abstractNumId w:val="34"/>
  </w:num>
  <w:num w:numId="19">
    <w:abstractNumId w:val="19"/>
  </w:num>
  <w:num w:numId="20">
    <w:abstractNumId w:val="18"/>
  </w:num>
  <w:num w:numId="21">
    <w:abstractNumId w:val="2"/>
  </w:num>
  <w:num w:numId="22">
    <w:abstractNumId w:val="5"/>
  </w:num>
  <w:num w:numId="23">
    <w:abstractNumId w:val="16"/>
  </w:num>
  <w:num w:numId="24">
    <w:abstractNumId w:val="10"/>
  </w:num>
  <w:num w:numId="25">
    <w:abstractNumId w:val="31"/>
  </w:num>
  <w:num w:numId="26">
    <w:abstractNumId w:val="27"/>
  </w:num>
  <w:num w:numId="27">
    <w:abstractNumId w:val="26"/>
  </w:num>
  <w:num w:numId="28">
    <w:abstractNumId w:val="33"/>
  </w:num>
  <w:num w:numId="29">
    <w:abstractNumId w:val="25"/>
  </w:num>
  <w:num w:numId="30">
    <w:abstractNumId w:val="3"/>
  </w:num>
  <w:num w:numId="31">
    <w:abstractNumId w:val="30"/>
  </w:num>
  <w:num w:numId="32">
    <w:abstractNumId w:val="14"/>
  </w:num>
  <w:num w:numId="33">
    <w:abstractNumId w:val="22"/>
  </w:num>
  <w:num w:numId="34">
    <w:abstractNumId w:val="28"/>
  </w:num>
  <w:num w:numId="35">
    <w:abstractNumId w:val="35"/>
  </w:num>
  <w:num w:numId="36">
    <w:abstractNumId w:val="23"/>
  </w:num>
  <w:num w:numId="37">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200C"/>
    <w:rsid w:val="00003ACF"/>
    <w:rsid w:val="00003B77"/>
    <w:rsid w:val="00016DEE"/>
    <w:rsid w:val="0001735B"/>
    <w:rsid w:val="00023BAC"/>
    <w:rsid w:val="00032454"/>
    <w:rsid w:val="00035E5B"/>
    <w:rsid w:val="00037943"/>
    <w:rsid w:val="00042837"/>
    <w:rsid w:val="000501A4"/>
    <w:rsid w:val="000532AA"/>
    <w:rsid w:val="00056FDC"/>
    <w:rsid w:val="000B1102"/>
    <w:rsid w:val="000C6161"/>
    <w:rsid w:val="000C7459"/>
    <w:rsid w:val="000D1E6D"/>
    <w:rsid w:val="000D49C2"/>
    <w:rsid w:val="000E013E"/>
    <w:rsid w:val="000E4CC0"/>
    <w:rsid w:val="000E67AC"/>
    <w:rsid w:val="000F4E99"/>
    <w:rsid w:val="000F7725"/>
    <w:rsid w:val="00101D0F"/>
    <w:rsid w:val="001132D6"/>
    <w:rsid w:val="00113E28"/>
    <w:rsid w:val="00114325"/>
    <w:rsid w:val="00120886"/>
    <w:rsid w:val="00137D0C"/>
    <w:rsid w:val="00151194"/>
    <w:rsid w:val="00166477"/>
    <w:rsid w:val="00172D2A"/>
    <w:rsid w:val="001730B0"/>
    <w:rsid w:val="00195E14"/>
    <w:rsid w:val="001960B4"/>
    <w:rsid w:val="001A613C"/>
    <w:rsid w:val="001B2821"/>
    <w:rsid w:val="001B4A1F"/>
    <w:rsid w:val="001B7242"/>
    <w:rsid w:val="001C057E"/>
    <w:rsid w:val="001C6185"/>
    <w:rsid w:val="001C7754"/>
    <w:rsid w:val="001E204F"/>
    <w:rsid w:val="001E31FA"/>
    <w:rsid w:val="001E5EE6"/>
    <w:rsid w:val="002026F9"/>
    <w:rsid w:val="00203604"/>
    <w:rsid w:val="002064F7"/>
    <w:rsid w:val="00240887"/>
    <w:rsid w:val="00247118"/>
    <w:rsid w:val="00256611"/>
    <w:rsid w:val="00263521"/>
    <w:rsid w:val="00270B19"/>
    <w:rsid w:val="002A75F9"/>
    <w:rsid w:val="002A799B"/>
    <w:rsid w:val="002A7D21"/>
    <w:rsid w:val="002C0FD0"/>
    <w:rsid w:val="002C1EE0"/>
    <w:rsid w:val="002C4139"/>
    <w:rsid w:val="002F6C92"/>
    <w:rsid w:val="00301153"/>
    <w:rsid w:val="00313DEA"/>
    <w:rsid w:val="00323027"/>
    <w:rsid w:val="00326400"/>
    <w:rsid w:val="00344D82"/>
    <w:rsid w:val="00353993"/>
    <w:rsid w:val="0037370B"/>
    <w:rsid w:val="0037752E"/>
    <w:rsid w:val="00380052"/>
    <w:rsid w:val="00386E9B"/>
    <w:rsid w:val="0039415D"/>
    <w:rsid w:val="003B0287"/>
    <w:rsid w:val="003B5771"/>
    <w:rsid w:val="003D61C6"/>
    <w:rsid w:val="003E58C2"/>
    <w:rsid w:val="00407636"/>
    <w:rsid w:val="00443A77"/>
    <w:rsid w:val="00470417"/>
    <w:rsid w:val="004779AA"/>
    <w:rsid w:val="004A0385"/>
    <w:rsid w:val="004A30B0"/>
    <w:rsid w:val="004A3F77"/>
    <w:rsid w:val="004C0A43"/>
    <w:rsid w:val="004C7D9F"/>
    <w:rsid w:val="005006C5"/>
    <w:rsid w:val="00512A2D"/>
    <w:rsid w:val="00516AE1"/>
    <w:rsid w:val="00545E30"/>
    <w:rsid w:val="00546B94"/>
    <w:rsid w:val="00551B42"/>
    <w:rsid w:val="00551FF7"/>
    <w:rsid w:val="00574579"/>
    <w:rsid w:val="00576D73"/>
    <w:rsid w:val="00580C5C"/>
    <w:rsid w:val="005941B0"/>
    <w:rsid w:val="005A021D"/>
    <w:rsid w:val="005D573B"/>
    <w:rsid w:val="005E0B2F"/>
    <w:rsid w:val="0062199F"/>
    <w:rsid w:val="0062451B"/>
    <w:rsid w:val="00634DAD"/>
    <w:rsid w:val="00640B60"/>
    <w:rsid w:val="00643C04"/>
    <w:rsid w:val="006457EB"/>
    <w:rsid w:val="006531CB"/>
    <w:rsid w:val="00662DA3"/>
    <w:rsid w:val="00683F7D"/>
    <w:rsid w:val="006D4161"/>
    <w:rsid w:val="006D786C"/>
    <w:rsid w:val="006E1414"/>
    <w:rsid w:val="006F285F"/>
    <w:rsid w:val="0072219B"/>
    <w:rsid w:val="0073661E"/>
    <w:rsid w:val="007474F0"/>
    <w:rsid w:val="00753508"/>
    <w:rsid w:val="00753ADE"/>
    <w:rsid w:val="00764253"/>
    <w:rsid w:val="00773F61"/>
    <w:rsid w:val="007A4468"/>
    <w:rsid w:val="007A4EBD"/>
    <w:rsid w:val="007B112B"/>
    <w:rsid w:val="007B28F4"/>
    <w:rsid w:val="007B45C5"/>
    <w:rsid w:val="007B5B26"/>
    <w:rsid w:val="007B691A"/>
    <w:rsid w:val="007C1FF6"/>
    <w:rsid w:val="007C40D1"/>
    <w:rsid w:val="007C4685"/>
    <w:rsid w:val="007D61B8"/>
    <w:rsid w:val="007E0B98"/>
    <w:rsid w:val="007E53C6"/>
    <w:rsid w:val="007F53C9"/>
    <w:rsid w:val="007F7FF2"/>
    <w:rsid w:val="00805B42"/>
    <w:rsid w:val="008102AD"/>
    <w:rsid w:val="00812808"/>
    <w:rsid w:val="008238B4"/>
    <w:rsid w:val="00837997"/>
    <w:rsid w:val="008463E5"/>
    <w:rsid w:val="00867FC5"/>
    <w:rsid w:val="008903B3"/>
    <w:rsid w:val="00892F80"/>
    <w:rsid w:val="008A23EB"/>
    <w:rsid w:val="008B4F41"/>
    <w:rsid w:val="008C574A"/>
    <w:rsid w:val="008C6F75"/>
    <w:rsid w:val="009015B2"/>
    <w:rsid w:val="0090171F"/>
    <w:rsid w:val="00906E90"/>
    <w:rsid w:val="0091051D"/>
    <w:rsid w:val="009132C8"/>
    <w:rsid w:val="00936F84"/>
    <w:rsid w:val="00940851"/>
    <w:rsid w:val="009455EF"/>
    <w:rsid w:val="0094653A"/>
    <w:rsid w:val="0095293D"/>
    <w:rsid w:val="00961F69"/>
    <w:rsid w:val="009679D9"/>
    <w:rsid w:val="0099692E"/>
    <w:rsid w:val="009B30B4"/>
    <w:rsid w:val="009C6066"/>
    <w:rsid w:val="009C726B"/>
    <w:rsid w:val="009D73F5"/>
    <w:rsid w:val="009E1A3F"/>
    <w:rsid w:val="009E2768"/>
    <w:rsid w:val="009E53CF"/>
    <w:rsid w:val="009F0BD3"/>
    <w:rsid w:val="00A009DE"/>
    <w:rsid w:val="00A04FF1"/>
    <w:rsid w:val="00A222E2"/>
    <w:rsid w:val="00A25F67"/>
    <w:rsid w:val="00A57D15"/>
    <w:rsid w:val="00A61AD5"/>
    <w:rsid w:val="00A73038"/>
    <w:rsid w:val="00A76C99"/>
    <w:rsid w:val="00A81EBE"/>
    <w:rsid w:val="00A92970"/>
    <w:rsid w:val="00AA3F2B"/>
    <w:rsid w:val="00AA5B46"/>
    <w:rsid w:val="00AA7B34"/>
    <w:rsid w:val="00AB118E"/>
    <w:rsid w:val="00AC6B95"/>
    <w:rsid w:val="00AE0DA2"/>
    <w:rsid w:val="00AF5406"/>
    <w:rsid w:val="00B00E5C"/>
    <w:rsid w:val="00B3142D"/>
    <w:rsid w:val="00B4321D"/>
    <w:rsid w:val="00B54284"/>
    <w:rsid w:val="00B666B9"/>
    <w:rsid w:val="00B76DC1"/>
    <w:rsid w:val="00B862C0"/>
    <w:rsid w:val="00B8673E"/>
    <w:rsid w:val="00B95EA3"/>
    <w:rsid w:val="00B96230"/>
    <w:rsid w:val="00B973D0"/>
    <w:rsid w:val="00BC20F3"/>
    <w:rsid w:val="00BD183F"/>
    <w:rsid w:val="00BD24B4"/>
    <w:rsid w:val="00BE0E8F"/>
    <w:rsid w:val="00BE2DD8"/>
    <w:rsid w:val="00BE68F2"/>
    <w:rsid w:val="00BF0666"/>
    <w:rsid w:val="00C2305A"/>
    <w:rsid w:val="00C23CC9"/>
    <w:rsid w:val="00C30B3D"/>
    <w:rsid w:val="00C33AE2"/>
    <w:rsid w:val="00C34B23"/>
    <w:rsid w:val="00C357E1"/>
    <w:rsid w:val="00C36594"/>
    <w:rsid w:val="00C36E4B"/>
    <w:rsid w:val="00C8096C"/>
    <w:rsid w:val="00C8100B"/>
    <w:rsid w:val="00C83DCF"/>
    <w:rsid w:val="00C91050"/>
    <w:rsid w:val="00CA41D2"/>
    <w:rsid w:val="00CA4F20"/>
    <w:rsid w:val="00CA5236"/>
    <w:rsid w:val="00CB7503"/>
    <w:rsid w:val="00CE26FA"/>
    <w:rsid w:val="00CE3828"/>
    <w:rsid w:val="00D07793"/>
    <w:rsid w:val="00D22748"/>
    <w:rsid w:val="00D26918"/>
    <w:rsid w:val="00D26EBE"/>
    <w:rsid w:val="00D338A9"/>
    <w:rsid w:val="00D37121"/>
    <w:rsid w:val="00D746C2"/>
    <w:rsid w:val="00D779F7"/>
    <w:rsid w:val="00D82C9D"/>
    <w:rsid w:val="00D87542"/>
    <w:rsid w:val="00D95C20"/>
    <w:rsid w:val="00D97C16"/>
    <w:rsid w:val="00DB03F2"/>
    <w:rsid w:val="00DC5B13"/>
    <w:rsid w:val="00DE1DAB"/>
    <w:rsid w:val="00DE20A2"/>
    <w:rsid w:val="00DE3377"/>
    <w:rsid w:val="00DF0B89"/>
    <w:rsid w:val="00DF39C7"/>
    <w:rsid w:val="00E17860"/>
    <w:rsid w:val="00E35682"/>
    <w:rsid w:val="00E41B98"/>
    <w:rsid w:val="00E4283E"/>
    <w:rsid w:val="00E44B96"/>
    <w:rsid w:val="00E46EA3"/>
    <w:rsid w:val="00E472D1"/>
    <w:rsid w:val="00E51C1B"/>
    <w:rsid w:val="00E52F27"/>
    <w:rsid w:val="00E53DA7"/>
    <w:rsid w:val="00E9410F"/>
    <w:rsid w:val="00EC6B44"/>
    <w:rsid w:val="00EE37A3"/>
    <w:rsid w:val="00EF32F0"/>
    <w:rsid w:val="00F1638D"/>
    <w:rsid w:val="00F22931"/>
    <w:rsid w:val="00F403B0"/>
    <w:rsid w:val="00F4385E"/>
    <w:rsid w:val="00F627EB"/>
    <w:rsid w:val="00F671AC"/>
    <w:rsid w:val="00F75A10"/>
    <w:rsid w:val="00F77276"/>
    <w:rsid w:val="00F85E8A"/>
    <w:rsid w:val="00F86F27"/>
    <w:rsid w:val="00F95853"/>
    <w:rsid w:val="00F962AD"/>
    <w:rsid w:val="00FA7500"/>
    <w:rsid w:val="00FB2AD8"/>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09505381"/>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table" w:customStyle="1" w:styleId="5-11">
    <w:name w:val="טבלת רשת 5 כהה - הדגשה 11"/>
    <w:basedOn w:val="TableNormal"/>
    <w:next w:val="GridTable5DarkAccent1"/>
    <w:uiPriority w:val="50"/>
    <w:rsid w:val="00DC5B1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4-61">
    <w:name w:val="טבלת רשימה 4 - הדגשה 61"/>
    <w:basedOn w:val="TableNormal"/>
    <w:next w:val="ListTable4Accent6"/>
    <w:uiPriority w:val="49"/>
    <w:rsid w:val="00DC5B13"/>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citation-530">
    <w:name w:val="citation-530"/>
    <w:basedOn w:val="DefaultParagraphFont"/>
    <w:rsid w:val="00DC5B13"/>
  </w:style>
  <w:style w:type="character" w:customStyle="1" w:styleId="citation-529">
    <w:name w:val="citation-529"/>
    <w:basedOn w:val="DefaultParagraphFont"/>
    <w:rsid w:val="00DC5B13"/>
  </w:style>
  <w:style w:type="paragraph" w:styleId="EndnoteText">
    <w:name w:val="endnote text"/>
    <w:basedOn w:val="Normal"/>
    <w:link w:val="a50"/>
    <w:uiPriority w:val="99"/>
    <w:semiHidden/>
    <w:unhideWhenUsed/>
    <w:rsid w:val="00DC5B13"/>
    <w:pPr>
      <w:spacing w:line="240" w:lineRule="auto"/>
    </w:pPr>
    <w:rPr>
      <w:szCs w:val="20"/>
    </w:rPr>
  </w:style>
  <w:style w:type="character" w:customStyle="1" w:styleId="a50">
    <w:name w:val="טקסט הערת סיום תו"/>
    <w:basedOn w:val="DefaultParagraphFont"/>
    <w:link w:val="EndnoteText"/>
    <w:uiPriority w:val="99"/>
    <w:semiHidden/>
    <w:rsid w:val="00DC5B13"/>
    <w:rPr>
      <w:szCs w:val="20"/>
    </w:rPr>
  </w:style>
  <w:style w:type="character" w:styleId="EndnoteReference">
    <w:name w:val="endnote reference"/>
    <w:basedOn w:val="DefaultParagraphFont"/>
    <w:uiPriority w:val="99"/>
    <w:semiHidden/>
    <w:unhideWhenUsed/>
    <w:rsid w:val="00DC5B13"/>
    <w:rPr>
      <w:vertAlign w:val="superscript"/>
    </w:rPr>
  </w:style>
  <w:style w:type="table" w:customStyle="1" w:styleId="4-11">
    <w:name w:val="טבלת רשת 4 - הדגשה 11"/>
    <w:basedOn w:val="TableNormal"/>
    <w:next w:val="GridTable4Accent1"/>
    <w:uiPriority w:val="49"/>
    <w:rsid w:val="00DC5B13"/>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00">
    <w:name w:val="p00"/>
    <w:basedOn w:val="Normal"/>
    <w:rsid w:val="00DC5B13"/>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DC5B13"/>
  </w:style>
  <w:style w:type="table" w:styleId="GridTable5DarkAccent1">
    <w:name w:val="Grid Table 5 Dark Accent 1"/>
    <w:basedOn w:val="TableNormal"/>
    <w:uiPriority w:val="50"/>
    <w:rsid w:val="00DC5B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6">
    <w:name w:val="List Table 4 Accent 6"/>
    <w:basedOn w:val="TableNormal"/>
    <w:uiPriority w:val="49"/>
    <w:rsid w:val="00DC5B1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DC5B1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hyperlink" Target="https://www.netanya.muni.il/Documents/%D7%9E%D7%A1%D7%9E%D7%9B%D7%99%D7%9D%20%D7%9B%D7%9C%D7%9C%D7%99%D7%9D/%D7%94%D7%A0%D7%93%D7%A1%D7%94%20%D7%95%D7%A2%D7%93%D7%94%20%D7%9E%D7%A7%D7%95%D7%9E%D7%99%D7%AA/med236a.pdf" TargetMode="External"/><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mvdocd2app.mevaker.loc/D2/?docbase=NM_PRD&amp;locateId=090bc09b84b5aaa7" TargetMode="External"/><Relationship Id="rId37" Type="http://schemas.openxmlformats.org/officeDocument/2006/relationships/hyperlink" Target="http://mvdocd2app.mevaker.loc/D2/?docbase=NM_PRD&amp;locateId=090bc09b84aa14bd"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customXml" Target="../customXml/item3.xml"/><Relationship Id="rId5" Type="http://schemas.openxmlformats.org/officeDocument/2006/relationships/customXml" Target="../customXml/item1.xml"/><Relationship Id="rId61" Type="http://schemas.openxmlformats.org/officeDocument/2006/relationships/header" Target="header3.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japan.kantei.go.jp/policy/tosi/kettei/040416kihon_e.html" TargetMode="External"/><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7.emf"/><Relationship Id="rId56" Type="http://schemas.openxmlformats.org/officeDocument/2006/relationships/image" Target="media/image45.jpeg"/><Relationship Id="rId64" Type="http://schemas.openxmlformats.org/officeDocument/2006/relationships/styles" Target="styles.xml"/><Relationship Id="rId51" Type="http://schemas.openxmlformats.org/officeDocument/2006/relationships/image" Target="media/image40.jpeg"/><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8.jpeg"/><Relationship Id="rId67" Type="http://schemas.openxmlformats.org/officeDocument/2006/relationships/customXml" Target="../customXml/item4.xml"/><Relationship Id="rId20" Type="http://schemas.openxmlformats.org/officeDocument/2006/relationships/hyperlink" Target="http://mvdocd2app.mevaker.loc/D2/?docbase=NM_PRD&amp;locateId=090bc09b84835370" TargetMode="External"/><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jpeg"/><Relationship Id="rId49" Type="http://schemas.openxmlformats.org/officeDocument/2006/relationships/image" Target="media/image38.emf"/><Relationship Id="rId57" Type="http://schemas.openxmlformats.org/officeDocument/2006/relationships/image" Target="media/image46.jpeg"/><Relationship Id="rId10" Type="http://schemas.openxmlformats.org/officeDocument/2006/relationships/image" Target="media/image5.jpeg"/><Relationship Id="rId31" Type="http://schemas.openxmlformats.org/officeDocument/2006/relationships/hyperlink" Target="https://www.nevo.co.il/law_html/law00/74599.htm" TargetMode="External"/><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customXml" Target="../customXml/item2.xml"/><Relationship Id="rId4" Type="http://schemas.openxmlformats.org/officeDocument/2006/relationships/fontTable" Target="fontTable.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9.jpeg"/></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B512023-2706-4C74-9AAB-38885EE6D8A1}">
  <ds:schemaRefs>
    <ds:schemaRef ds:uri="http://schemas.openxmlformats.org/officeDocument/2006/bibliography"/>
  </ds:schemaRefs>
</ds:datastoreItem>
</file>

<file path=customXml/itemProps2.xml><?xml version="1.0" encoding="utf-8"?>
<ds:datastoreItem xmlns:ds="http://schemas.openxmlformats.org/officeDocument/2006/customXml" ds:itemID="{6C89D18A-3F58-4AAC-961F-71F6C7808D51}"/>
</file>

<file path=customXml/itemProps3.xml><?xml version="1.0" encoding="utf-8"?>
<ds:datastoreItem xmlns:ds="http://schemas.openxmlformats.org/officeDocument/2006/customXml" ds:itemID="{8DBA3784-F2BD-4A40-9B13-1B9D9C650CD2}"/>
</file>

<file path=customXml/itemProps4.xml><?xml version="1.0" encoding="utf-8"?>
<ds:datastoreItem xmlns:ds="http://schemas.openxmlformats.org/officeDocument/2006/customXml" ds:itemID="{6D36D934-51E9-4A91-95C5-B017C32F10C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