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12EA7" w:rsidP="001D7DDC">
      <w:pPr>
        <w:spacing w:before="3480" w:line="800" w:lineRule="exact"/>
        <w:jc w:val="center"/>
        <w:rPr>
          <w:rFonts w:ascii="Calibri" w:hAnsi="Calibri" w:cs="Calibri"/>
          <w:b/>
          <w:bCs/>
          <w:color w:val="002060"/>
          <w:sz w:val="80"/>
          <w:szCs w:val="80"/>
          <w:rtl/>
        </w:rPr>
        <w:sectPr w:rsidSect="00FB414E">
          <w:headerReference w:type="default" r:id="rId6"/>
          <w:headerReference w:type="first" r:id="rId7"/>
          <w:footerReference w:type="first" r:id="rId8"/>
          <w:pgSz w:w="11340" w:h="14175" w:code="9"/>
          <w:pgMar w:top="2268" w:right="1276" w:bottom="1588" w:left="1134" w:header="709" w:footer="709" w:gutter="0"/>
          <w:cols w:space="708"/>
          <w:titlePg/>
          <w:bidi/>
          <w:rtlGutter/>
          <w:docGrid w:linePitch="360"/>
        </w:sectPr>
      </w:pPr>
      <w:bookmarkStart w:id="0" w:name="_GoBack"/>
      <w:r w:rsidRPr="002D4D55">
        <w:rPr>
          <w:rFonts w:ascii="Calibri" w:hAnsi="Calibri" w:cs="Calibri"/>
          <w:b/>
          <w:bCs/>
          <w:color w:val="002060"/>
          <w:sz w:val="80"/>
          <w:szCs w:val="80"/>
          <w:rtl/>
        </w:rPr>
        <w:drawing>
          <wp:anchor distT="0" distB="0" distL="114300" distR="114300" simplePos="0" relativeHeight="251667456" behindDoc="0" locked="0" layoutInCell="1" allowOverlap="1">
            <wp:simplePos x="0" y="0"/>
            <wp:positionH relativeFrom="margin">
              <wp:align>center</wp:align>
            </wp:positionH>
            <wp:positionV relativeFrom="paragraph">
              <wp:posOffset>1922758</wp:posOffset>
            </wp:positionV>
            <wp:extent cx="5630868" cy="2263302"/>
            <wp:effectExtent l="0" t="0" r="8255" b="3810"/>
            <wp:wrapNone/>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מתוקן - השיקום הרפואי של פצועי מלחמת חרבות ברזל.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0868" cy="226330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2D4D55">
        <w:rPr>
          <w:rFonts w:ascii="Calibri" w:hAnsi="Calibri" w:cs="Calibri"/>
          <w:b/>
          <w:bCs/>
          <w:color w:val="002060"/>
          <w:sz w:val="80"/>
          <w:szCs w:val="80"/>
          <w:rtl/>
        </w:rPr>
        <mc:AlternateContent>
          <mc:Choice Requires="wps">
            <w:drawing>
              <wp:anchor distT="45720" distB="45720" distL="114300" distR="114300" simplePos="0" relativeHeight="251665408" behindDoc="0" locked="0" layoutInCell="1" allowOverlap="1">
                <wp:simplePos x="0" y="0"/>
                <wp:positionH relativeFrom="margin">
                  <wp:align>center</wp:align>
                </wp:positionH>
                <wp:positionV relativeFrom="paragraph">
                  <wp:posOffset>5577840</wp:posOffset>
                </wp:positionV>
                <wp:extent cx="5555615" cy="972000"/>
                <wp:effectExtent l="0" t="0" r="6985" b="0"/>
                <wp:wrapSquare wrapText="bothSides"/>
                <wp:docPr id="1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555615" cy="972000"/>
                        </a:xfrm>
                        <a:prstGeom prst="rect">
                          <a:avLst/>
                        </a:prstGeom>
                        <a:solidFill>
                          <a:srgbClr val="FFFFFF"/>
                        </a:solidFill>
                        <a:ln w="9525">
                          <a:noFill/>
                          <a:miter lim="800000"/>
                          <a:headEnd/>
                          <a:tailEnd/>
                        </a:ln>
                      </wps:spPr>
                      <wps:txbx>
                        <w:txbxContent>
                          <w:p w:rsidR="002D4D55" w:rsidRPr="009137E5" w:rsidP="002D4D55">
                            <w:pPr>
                              <w:spacing w:after="200" w:line="276" w:lineRule="auto"/>
                              <w:jc w:val="center"/>
                              <w:rPr>
                                <w:rFonts w:asciiTheme="minorBidi" w:hAnsiTheme="minorBidi" w:cstheme="minorBidi"/>
                                <w:color w:val="0F243E" w:themeColor="text2" w:themeShade="80"/>
                                <w:sz w:val="22"/>
                                <w:szCs w:val="22"/>
                              </w:rPr>
                            </w:pPr>
                            <w:r w:rsidRPr="00C06E02">
                              <w:rPr>
                                <w:rFonts w:asciiTheme="minorBidi" w:hAnsiTheme="minorBidi" w:cs="Calibri"/>
                                <w:color w:val="0F243E" w:themeColor="text2" w:themeShade="80"/>
                                <w:sz w:val="22"/>
                                <w:szCs w:val="22"/>
                                <w:rtl/>
                              </w:rPr>
                              <w:t xml:space="preserve">גופן הכותרת מעוצב בכתב ידו של רס”ב (במיל') </w:t>
                            </w:r>
                            <w:r w:rsidRPr="00C06E02">
                              <w:rPr>
                                <w:rFonts w:asciiTheme="minorBidi" w:hAnsiTheme="minorBidi" w:cs="Calibri"/>
                                <w:b/>
                                <w:bCs/>
                                <w:color w:val="0F243E" w:themeColor="text2" w:themeShade="80"/>
                                <w:sz w:val="22"/>
                                <w:szCs w:val="22"/>
                                <w:rtl/>
                              </w:rPr>
                              <w:t>אילון ויס</w:t>
                            </w:r>
                            <w:r w:rsidRPr="00C06E02">
                              <w:rPr>
                                <w:rFonts w:asciiTheme="minorBidi" w:hAnsiTheme="minorBidi" w:cs="Calibri"/>
                                <w:color w:val="0F243E" w:themeColor="text2" w:themeShade="80"/>
                                <w:sz w:val="22"/>
                                <w:szCs w:val="22"/>
                                <w:rtl/>
                              </w:rPr>
                              <w:t xml:space="preserve"> ז”ל, אשר ביום שמחת תורה קם ונסע להגן על המולדת. ב-15 ביוני 2024, בעיצומה של מתקפה של מחבלי החמאס, הטנק של אילון, איתן, ניר ונתנאל עלה על מוקש. אילון היה איש משפחה, בעל אוהב ואבא קשור ומחובר, איש חינוך שאהב את תלמידיו כאילו היו ילדיו. הוא היה מחובר לעבודת ה' בכל מאודו והתמיד בשליחות ציבורית מתוך אהבת האדם והארץ.</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7" type="#_x0000_t202" style="width:437.45pt;height:76.55pt;margin-top:439.2pt;margin-left:0;flip:x;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6432" stroked="f">
                <v:textbox>
                  <w:txbxContent>
                    <w:p w:rsidR="002D4D55" w:rsidRPr="009137E5" w:rsidP="002D4D55">
                      <w:pPr>
                        <w:spacing w:after="200" w:line="276" w:lineRule="auto"/>
                        <w:jc w:val="center"/>
                        <w:rPr>
                          <w:rFonts w:asciiTheme="minorBidi" w:hAnsiTheme="minorBidi" w:cstheme="minorBidi"/>
                          <w:color w:val="0F243E" w:themeColor="text2" w:themeShade="80"/>
                          <w:sz w:val="22"/>
                          <w:szCs w:val="22"/>
                        </w:rPr>
                      </w:pPr>
                      <w:r w:rsidRPr="00C06E02">
                        <w:rPr>
                          <w:rFonts w:asciiTheme="minorBidi" w:hAnsiTheme="minorBidi" w:cs="Calibri"/>
                          <w:color w:val="0F243E" w:themeColor="text2" w:themeShade="80"/>
                          <w:sz w:val="22"/>
                          <w:szCs w:val="22"/>
                          <w:rtl/>
                        </w:rPr>
                        <w:t xml:space="preserve">גופן הכותרת מעוצב בכתב ידו של רס”ב (במיל') </w:t>
                      </w:r>
                      <w:r w:rsidRPr="00C06E02">
                        <w:rPr>
                          <w:rFonts w:asciiTheme="minorBidi" w:hAnsiTheme="minorBidi" w:cs="Calibri"/>
                          <w:b/>
                          <w:bCs/>
                          <w:color w:val="0F243E" w:themeColor="text2" w:themeShade="80"/>
                          <w:sz w:val="22"/>
                          <w:szCs w:val="22"/>
                          <w:rtl/>
                        </w:rPr>
                        <w:t>אילון ויס</w:t>
                      </w:r>
                      <w:r w:rsidRPr="00C06E02">
                        <w:rPr>
                          <w:rFonts w:asciiTheme="minorBidi" w:hAnsiTheme="minorBidi" w:cs="Calibri"/>
                          <w:color w:val="0F243E" w:themeColor="text2" w:themeShade="80"/>
                          <w:sz w:val="22"/>
                          <w:szCs w:val="22"/>
                          <w:rtl/>
                        </w:rPr>
                        <w:t xml:space="preserve"> ז”ל, אשר ביום שמחת תורה קם ונסע להגן על המולדת. ב-15 ביוני 2024, בעיצומה של מתקפה של מחבלי החמאס, הטנק של אילון, איתן, ניר ונתנאל עלה על מוקש. אילון היה איש משפחה, בעל אוהב ואבא קשור ומחובר, איש חינוך שאהב את תלמידיו כאילו היו ילדיו. הוא היה מחובר לעבודת ה' בכל מאודו והתמיד בשליחות ציבורית מתוך אהבת האדם והארץ.</w:t>
                      </w:r>
                    </w:p>
                  </w:txbxContent>
                </v:textbox>
                <w10:wrap type="square"/>
              </v:shape>
            </w:pict>
          </mc:Fallback>
        </mc:AlternateContent>
      </w:r>
      <w:r w:rsidRPr="00EF2E24" w:rsidR="00EF2E24">
        <w:rPr>
          <w:rFonts w:ascii="Calibri" w:hAnsi="Calibri" w:cs="Calibri"/>
          <w:b/>
          <w:bCs/>
          <w:color w:val="002060"/>
          <w:sz w:val="80"/>
          <w:szCs w:val="80"/>
          <w:rtl/>
        </w:rPr>
        <w:t>התיאום בין המערכת הממשלתית לבין גופים תורמים והתנדבותיים במלחמת חרבות ברזל</w:t>
      </w:r>
    </w:p>
    <w:p w:rsidR="00E927FF" w:rsidP="001D7DDC">
      <w:pPr>
        <w:spacing w:before="3480" w:line="800" w:lineRule="exact"/>
        <w:jc w:val="center"/>
        <w:rPr>
          <w:rFonts w:ascii="Calibri" w:hAnsi="Calibri" w:cs="Calibri"/>
          <w:b/>
          <w:bCs/>
          <w:color w:val="002060"/>
          <w:sz w:val="80"/>
          <w:szCs w:val="80"/>
          <w:rtl/>
        </w:rPr>
      </w:pPr>
    </w:p>
    <w:p w:rsidR="00EF2E24" w:rsidP="00EF2E24">
      <w:pPr>
        <w:spacing w:line="800" w:lineRule="exact"/>
        <w:jc w:val="center"/>
        <w:rPr>
          <w:rFonts w:ascii="Calibri" w:hAnsi="Calibri" w:cs="Calibri"/>
          <w:b/>
          <w:bCs/>
          <w:color w:val="002060"/>
          <w:sz w:val="80"/>
          <w:szCs w:val="80"/>
          <w:rtl/>
        </w:rPr>
      </w:pPr>
    </w:p>
    <w:p w:rsidR="00291629" w:rsidP="00A30B00">
      <w:pPr>
        <w:spacing w:after="160" w:line="259" w:lineRule="auto"/>
        <w:jc w:val="left"/>
        <w:rPr>
          <w:rFonts w:ascii="Tahoma" w:hAnsi="Tahoma" w:cs="Tahoma"/>
          <w:sz w:val="19"/>
          <w:szCs w:val="19"/>
          <w:rtl/>
        </w:rPr>
      </w:pPr>
      <w:bookmarkStart w:id="1" w:name="_Hlk192594390"/>
      <w:r w:rsidRPr="00AB465B">
        <w:rPr>
          <w:rFonts w:ascii="Tahoma" w:hAnsi="Tahoma" w:cs="Tahoma"/>
          <w:sz w:val="19"/>
          <w:szCs w:val="19"/>
          <w:rtl/>
        </w:rPr>
        <w:br w:type="page"/>
      </w:r>
    </w:p>
    <w:p w:rsidR="00C4789A" w:rsidP="00A30B00">
      <w:pPr>
        <w:spacing w:after="160" w:line="259" w:lineRule="auto"/>
        <w:jc w:val="left"/>
        <w:rPr>
          <w:rFonts w:ascii="Tahoma" w:hAnsi="Tahoma" w:cs="Tahoma"/>
          <w:sz w:val="19"/>
          <w:szCs w:val="19"/>
          <w:rtl/>
        </w:rPr>
        <w:sectPr w:rsidSect="008654CB">
          <w:headerReference w:type="even" r:id="rId10"/>
          <w:headerReference w:type="default" r:id="rId11"/>
          <w:headerReference w:type="first" r:id="rId12"/>
          <w:footerReference w:type="first" r:id="rId13"/>
          <w:pgSz w:w="11340" w:h="14175" w:code="9"/>
          <w:pgMar w:top="2268" w:right="1276" w:bottom="1588" w:left="1134" w:header="709" w:footer="709" w:gutter="0"/>
          <w:cols w:space="708"/>
          <w:titlePg/>
          <w:bidi/>
          <w:rtlGutter/>
          <w:docGrid w:linePitch="360"/>
        </w:sectPr>
      </w:pPr>
    </w:p>
    <w:bookmarkEnd w:id="1"/>
    <w:tbl>
      <w:tblPr>
        <w:tblStyle w:val="TableGrid"/>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6"/>
      </w:tblGrid>
      <w:tr w:rsidTr="00493AB8">
        <w:tblPrEx>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9076" w:type="dxa"/>
          </w:tcPr>
          <w:p w:rsidR="00C4789A" w:rsidRPr="005F4A6D" w:rsidP="00493AB8">
            <w:pPr>
              <w:tabs>
                <w:tab w:val="left" w:pos="1122"/>
              </w:tabs>
              <w:spacing w:line="288" w:lineRule="auto"/>
              <w:jc w:val="left"/>
              <w:rPr>
                <w:sz w:val="2"/>
                <w:szCs w:val="4"/>
                <w:rtl/>
              </w:rPr>
            </w:pPr>
          </w:p>
        </w:tc>
      </w:tr>
      <w:tr w:rsidTr="00493AB8">
        <w:tblPrEx>
          <w:tblW w:w="9076" w:type="dxa"/>
          <w:tblLook w:val="04A0"/>
        </w:tblPrEx>
        <w:trPr>
          <w:trHeight w:val="1644"/>
        </w:trPr>
        <w:tc>
          <w:tcPr>
            <w:tcW w:w="9076" w:type="dxa"/>
          </w:tcPr>
          <w:p w:rsidR="00C4789A" w:rsidP="0008273E">
            <w:pPr>
              <w:spacing w:before="120" w:line="240" w:lineRule="auto"/>
              <w:jc w:val="left"/>
              <w:rPr>
                <w:rFonts w:ascii="Tahoma" w:hAnsi="Tahoma" w:cs="Tahoma"/>
                <w:b/>
                <w:bCs/>
                <w:sz w:val="40"/>
                <w:szCs w:val="40"/>
                <w:rtl/>
              </w:rPr>
            </w:pPr>
            <w:r w:rsidRPr="00FC7491">
              <w:rPr>
                <w:rFonts w:ascii="Tahoma" w:hAnsi="Tahoma" w:cs="Tahoma"/>
                <w:b/>
                <w:bCs/>
                <w:sz w:val="40"/>
                <w:szCs w:val="40"/>
                <w:rtl/>
              </w:rPr>
              <w:t>התיאום בין המערכת הממשלתית לבין גופים תורמים והתנדבותיים במלחמת חרבות ברזל</w:t>
            </w:r>
          </w:p>
          <w:p w:rsidR="00C4789A" w:rsidP="00493AB8">
            <w:pPr>
              <w:spacing w:before="120" w:line="288" w:lineRule="auto"/>
              <w:jc w:val="left"/>
            </w:pPr>
            <w:r>
              <w:rPr>
                <w:rFonts w:ascii="Tahoma" w:hAnsi="Tahoma" w:cs="Tahoma"/>
                <w:sz w:val="36"/>
                <w:szCs w:val="36"/>
                <w:rtl/>
              </w:rPr>
              <w:t>תקציר</w:t>
            </w:r>
          </w:p>
          <w:p w:rsidR="00C4789A" w:rsidRPr="006C4033" w:rsidP="00493AB8">
            <w:pPr>
              <w:spacing w:line="288" w:lineRule="auto"/>
              <w:ind w:left="-851"/>
              <w:jc w:val="left"/>
              <w:rPr>
                <w:rtl/>
              </w:rPr>
            </w:pPr>
          </w:p>
        </w:tc>
      </w:tr>
    </w:tbl>
    <w:p w:rsidR="00C4789A" w:rsidRPr="006C4033"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E07FE3" w:rsidRPr="00E07FE3" w:rsidP="00424A30">
      <w:pPr>
        <w:pStyle w:val="739"/>
        <w:spacing w:after="100"/>
        <w:rPr>
          <w:rFonts w:eastAsia="Calibri"/>
          <w:sz w:val="19"/>
          <w:szCs w:val="19"/>
          <w:rtl/>
        </w:rPr>
      </w:pPr>
      <w:r w:rsidRPr="00E07FE3">
        <w:rPr>
          <w:rFonts w:eastAsia="Calibri"/>
          <w:sz w:val="19"/>
          <w:szCs w:val="19"/>
          <w:rtl/>
        </w:rPr>
        <w:t>אחד מסימני ההיכר של</w:t>
      </w:r>
      <w:r w:rsidRPr="00E07FE3">
        <w:rPr>
          <w:rFonts w:eastAsia="Calibri"/>
          <w:sz w:val="19"/>
          <w:szCs w:val="19"/>
          <w:rtl/>
        </w:rPr>
        <w:t xml:space="preserve"> מלחמת חרבות ברזל</w:t>
      </w:r>
      <w:r>
        <w:rPr>
          <w:rFonts w:eastAsia="Calibri"/>
          <w:sz w:val="19"/>
          <w:szCs w:val="19"/>
          <w:vertAlign w:val="superscript"/>
          <w:rtl/>
        </w:rPr>
        <w:footnoteReference w:id="2"/>
      </w:r>
      <w:r w:rsidRPr="00E07FE3">
        <w:rPr>
          <w:rFonts w:eastAsia="Calibri"/>
          <w:sz w:val="19"/>
          <w:szCs w:val="19"/>
          <w:rtl/>
        </w:rPr>
        <w:t xml:space="preserve">, שפרצה בעקבות מתקפת הטרור בשבעה באוקטובר 2023, הוא גל רחב היקף של התגייסות </w:t>
      </w:r>
      <w:r w:rsidRPr="00E07FE3">
        <w:rPr>
          <w:sz w:val="19"/>
          <w:szCs w:val="19"/>
          <w:rtl/>
        </w:rPr>
        <w:t>אזרחית</w:t>
      </w:r>
      <w:r w:rsidRPr="00E07FE3">
        <w:rPr>
          <w:rFonts w:eastAsia="Calibri"/>
          <w:sz w:val="19"/>
          <w:szCs w:val="19"/>
          <w:rtl/>
        </w:rPr>
        <w:t xml:space="preserve"> מכל שכבות החברה למילוי הצרכים המשקיים והפרטניים שנוצרו. מהר מאוד בסמוך לפרוץ המלחמה</w:t>
      </w:r>
      <w:r w:rsidRPr="00E07FE3">
        <w:rPr>
          <w:rFonts w:eastAsia="Calibri" w:hint="cs"/>
          <w:sz w:val="19"/>
          <w:szCs w:val="19"/>
          <w:rtl/>
        </w:rPr>
        <w:t xml:space="preserve"> עלתה</w:t>
      </w:r>
      <w:r w:rsidRPr="00E07FE3">
        <w:rPr>
          <w:rFonts w:eastAsia="Calibri"/>
          <w:sz w:val="19"/>
          <w:szCs w:val="19"/>
          <w:rtl/>
        </w:rPr>
        <w:t xml:space="preserve"> מכלי תקשורת רשמיים ומהרשתות החברתיות תמונה ברורה של התנדבות ונתינה</w:t>
      </w:r>
      <w:r w:rsidRPr="00E07FE3">
        <w:rPr>
          <w:rFonts w:eastAsia="Calibri"/>
          <w:sz w:val="19"/>
          <w:szCs w:val="19"/>
          <w:rtl/>
        </w:rPr>
        <w:t xml:space="preserve"> נרחב</w:t>
      </w:r>
      <w:r w:rsidRPr="00E07FE3">
        <w:rPr>
          <w:rFonts w:eastAsia="Calibri" w:hint="cs"/>
          <w:sz w:val="19"/>
          <w:szCs w:val="19"/>
          <w:rtl/>
        </w:rPr>
        <w:t>ו</w:t>
      </w:r>
      <w:r w:rsidRPr="00E07FE3">
        <w:rPr>
          <w:rFonts w:eastAsia="Calibri"/>
          <w:sz w:val="19"/>
          <w:szCs w:val="19"/>
          <w:rtl/>
        </w:rPr>
        <w:t xml:space="preserve">ת ביותר של גופים תורמים והתנדבותיים מהמגזר השלישי ומהמגזר העסקי, </w:t>
      </w:r>
      <w:r w:rsidRPr="00E07FE3">
        <w:rPr>
          <w:rFonts w:eastAsia="Calibri" w:hint="cs"/>
          <w:sz w:val="19"/>
          <w:szCs w:val="19"/>
          <w:rtl/>
        </w:rPr>
        <w:t xml:space="preserve">של </w:t>
      </w:r>
      <w:r w:rsidRPr="00E07FE3">
        <w:rPr>
          <w:rFonts w:eastAsia="Calibri"/>
          <w:sz w:val="19"/>
          <w:szCs w:val="19"/>
          <w:rtl/>
        </w:rPr>
        <w:t xml:space="preserve">אזרחים בעלי רצון טוב שאינם משתייכים לגופים אלה וכן </w:t>
      </w:r>
      <w:r w:rsidRPr="00E07FE3">
        <w:rPr>
          <w:rFonts w:eastAsia="Calibri" w:hint="cs"/>
          <w:sz w:val="19"/>
          <w:szCs w:val="19"/>
          <w:rtl/>
        </w:rPr>
        <w:t xml:space="preserve">של </w:t>
      </w:r>
      <w:r w:rsidRPr="00E07FE3">
        <w:rPr>
          <w:rFonts w:eastAsia="Calibri"/>
          <w:sz w:val="19"/>
          <w:szCs w:val="19"/>
          <w:rtl/>
        </w:rPr>
        <w:t xml:space="preserve">מתנדבים ותורמים מחו"ל, שפעלו במגוון תחומים. פעולות אלה לא היו רק תגובה </w:t>
      </w:r>
      <w:r w:rsidRPr="00E07FE3">
        <w:rPr>
          <w:rFonts w:eastAsia="Calibri" w:hint="cs"/>
          <w:sz w:val="19"/>
          <w:szCs w:val="19"/>
          <w:rtl/>
        </w:rPr>
        <w:t xml:space="preserve">על </w:t>
      </w:r>
      <w:r w:rsidRPr="00E07FE3">
        <w:rPr>
          <w:rFonts w:eastAsia="Calibri"/>
          <w:sz w:val="19"/>
          <w:szCs w:val="19"/>
          <w:rtl/>
        </w:rPr>
        <w:t>צרכים מיידי</w:t>
      </w:r>
      <w:r w:rsidRPr="00E07FE3">
        <w:rPr>
          <w:rFonts w:eastAsia="Calibri" w:hint="cs"/>
          <w:sz w:val="19"/>
          <w:szCs w:val="19"/>
          <w:rtl/>
        </w:rPr>
        <w:t>י</w:t>
      </w:r>
      <w:r w:rsidRPr="00E07FE3">
        <w:rPr>
          <w:rFonts w:eastAsia="Calibri"/>
          <w:sz w:val="19"/>
          <w:szCs w:val="19"/>
          <w:rtl/>
        </w:rPr>
        <w:t>ם אלא גם ביטוי לערכים עמוקים של ערבות הדדי</w:t>
      </w:r>
      <w:r w:rsidRPr="00E07FE3">
        <w:rPr>
          <w:rFonts w:eastAsia="Calibri"/>
          <w:sz w:val="19"/>
          <w:szCs w:val="19"/>
          <w:rtl/>
        </w:rPr>
        <w:t xml:space="preserve">ת וסולידריות </w:t>
      </w:r>
      <w:r w:rsidRPr="00E07FE3">
        <w:rPr>
          <w:rFonts w:eastAsia="Calibri" w:hint="cs"/>
          <w:sz w:val="19"/>
          <w:szCs w:val="19"/>
          <w:rtl/>
        </w:rPr>
        <w:t xml:space="preserve">אזרחית </w:t>
      </w:r>
      <w:r w:rsidRPr="00E07FE3">
        <w:rPr>
          <w:rFonts w:eastAsia="Calibri"/>
          <w:sz w:val="19"/>
          <w:szCs w:val="19"/>
          <w:rtl/>
        </w:rPr>
        <w:t>שמאפיינ</w:t>
      </w:r>
      <w:r w:rsidRPr="00E07FE3">
        <w:rPr>
          <w:rFonts w:eastAsia="Calibri" w:hint="cs"/>
          <w:sz w:val="19"/>
          <w:szCs w:val="19"/>
          <w:rtl/>
        </w:rPr>
        <w:t>ות</w:t>
      </w:r>
      <w:r w:rsidRPr="00E07FE3">
        <w:rPr>
          <w:rFonts w:eastAsia="Calibri"/>
          <w:sz w:val="19"/>
          <w:szCs w:val="19"/>
          <w:rtl/>
        </w:rPr>
        <w:t xml:space="preserve"> את החברה הישראלית בשעת חירום. </w:t>
      </w:r>
    </w:p>
    <w:p w:rsidR="00E07FE3" w:rsidRPr="00E07FE3" w:rsidP="00424A30">
      <w:pPr>
        <w:pStyle w:val="739"/>
        <w:spacing w:after="100"/>
        <w:rPr>
          <w:rFonts w:eastAsia="Calibri"/>
          <w:sz w:val="19"/>
          <w:szCs w:val="19"/>
          <w:rtl/>
        </w:rPr>
      </w:pPr>
      <w:r w:rsidRPr="00E07FE3">
        <w:rPr>
          <w:rFonts w:eastAsia="Calibri"/>
          <w:sz w:val="19"/>
          <w:szCs w:val="19"/>
          <w:rtl/>
        </w:rPr>
        <w:t xml:space="preserve">בשנת 2007, בסמוך </w:t>
      </w:r>
      <w:r w:rsidRPr="00E07FE3">
        <w:rPr>
          <w:sz w:val="19"/>
          <w:szCs w:val="19"/>
          <w:rtl/>
        </w:rPr>
        <w:t>לאחר</w:t>
      </w:r>
      <w:r w:rsidRPr="00E07FE3">
        <w:rPr>
          <w:rFonts w:eastAsia="Calibri"/>
          <w:sz w:val="19"/>
          <w:szCs w:val="19"/>
          <w:rtl/>
        </w:rPr>
        <w:t xml:space="preserve"> סיום מלחמת לבנון השנייה, פרסם מבקר המדינה דוח ובו ליקויים משמעותיים בהיערכות רשויות השלטון ותפקודן במלחמה האמורה בכל הנוגע לתיאום בינן לבין מאות גופים תורמים והתנדבותיים שנר</w:t>
      </w:r>
      <w:r w:rsidRPr="00E07FE3">
        <w:rPr>
          <w:rFonts w:eastAsia="Calibri"/>
          <w:sz w:val="19"/>
          <w:szCs w:val="19"/>
          <w:rtl/>
        </w:rPr>
        <w:t xml:space="preserve">תמו לסייע לתושבי הצפון שנזקקו לעזרה בעקבות המלחמה, וכך פיצו, ולו במידה חלקית, על מחדלי רשויות השלטון שלא היו ערוכות לספק מענה הולם </w:t>
      </w:r>
      <w:r w:rsidRPr="00E07FE3">
        <w:rPr>
          <w:rFonts w:eastAsia="Calibri" w:hint="cs"/>
          <w:sz w:val="19"/>
          <w:szCs w:val="19"/>
          <w:rtl/>
        </w:rPr>
        <w:t xml:space="preserve">על </w:t>
      </w:r>
      <w:r w:rsidRPr="00E07FE3">
        <w:rPr>
          <w:rFonts w:eastAsia="Calibri"/>
          <w:sz w:val="19"/>
          <w:szCs w:val="19"/>
          <w:rtl/>
        </w:rPr>
        <w:t>צורכי תושבים אלה במלחמה זו (דוח מבקר המדינה משנת 2007)</w:t>
      </w:r>
      <w:r>
        <w:rPr>
          <w:rFonts w:eastAsia="Calibri"/>
          <w:sz w:val="19"/>
          <w:szCs w:val="19"/>
          <w:vertAlign w:val="superscript"/>
          <w:rtl/>
        </w:rPr>
        <w:footnoteReference w:id="3"/>
      </w:r>
      <w:r w:rsidRPr="00E07FE3">
        <w:rPr>
          <w:rFonts w:eastAsia="Calibri"/>
          <w:sz w:val="19"/>
          <w:szCs w:val="19"/>
          <w:rtl/>
        </w:rPr>
        <w:t xml:space="preserve">. </w:t>
      </w:r>
    </w:p>
    <w:p w:rsidR="0008273E" w:rsidP="00E07FE3">
      <w:pPr>
        <w:pStyle w:val="739"/>
        <w:spacing w:after="120"/>
        <w:rPr>
          <w:rFonts w:eastAsia="Calibri"/>
          <w:sz w:val="19"/>
          <w:szCs w:val="19"/>
          <w:rtl/>
        </w:rPr>
        <w:sectPr w:rsidSect="00030DCF">
          <w:headerReference w:type="default" r:id="rId15"/>
          <w:headerReference w:type="first" r:id="rId16"/>
          <w:type w:val="continuous"/>
          <w:pgSz w:w="11340" w:h="14175" w:code="9"/>
          <w:pgMar w:top="2268" w:right="1276" w:bottom="1588" w:left="1134" w:header="709" w:footer="709" w:gutter="0"/>
          <w:cols w:space="708"/>
          <w:bidi/>
          <w:rtlGutter/>
          <w:docGrid w:linePitch="360"/>
        </w:sectPr>
      </w:pPr>
      <w:r w:rsidRPr="00E07FE3">
        <w:rPr>
          <w:rFonts w:eastAsia="Calibri"/>
          <w:sz w:val="19"/>
          <w:szCs w:val="19"/>
          <w:rtl/>
        </w:rPr>
        <w:t xml:space="preserve">בהמשך לדוח מבקר המדינה משנת 2007, ולעבודת מטה שהוביל משרד ראש הממשלה </w:t>
      </w:r>
      <w:r w:rsidRPr="00E07FE3">
        <w:rPr>
          <w:rFonts w:eastAsia="Calibri" w:hint="cs"/>
          <w:sz w:val="19"/>
          <w:szCs w:val="19"/>
          <w:rtl/>
        </w:rPr>
        <w:t xml:space="preserve">(משרד </w:t>
      </w:r>
      <w:r w:rsidRPr="00E07FE3">
        <w:rPr>
          <w:rFonts w:eastAsia="Calibri"/>
          <w:sz w:val="19"/>
          <w:szCs w:val="19"/>
          <w:rtl/>
        </w:rPr>
        <w:t>רה"ם</w:t>
      </w:r>
      <w:r w:rsidRPr="00E07FE3">
        <w:rPr>
          <w:rFonts w:eastAsia="Calibri" w:hint="cs"/>
          <w:sz w:val="19"/>
          <w:szCs w:val="19"/>
          <w:rtl/>
        </w:rPr>
        <w:t xml:space="preserve">) </w:t>
      </w:r>
      <w:r w:rsidRPr="00E07FE3">
        <w:rPr>
          <w:rFonts w:eastAsia="Calibri"/>
          <w:sz w:val="19"/>
          <w:szCs w:val="19"/>
          <w:rtl/>
        </w:rPr>
        <w:t xml:space="preserve">לגיבוש מדיניות ממשלתית בנושא "יחסי </w:t>
      </w:r>
      <w:r w:rsidRPr="00E07FE3">
        <w:rPr>
          <w:sz w:val="19"/>
          <w:szCs w:val="19"/>
          <w:rtl/>
        </w:rPr>
        <w:t>הממשלה</w:t>
      </w:r>
      <w:r w:rsidRPr="00E07FE3">
        <w:rPr>
          <w:rFonts w:eastAsia="Calibri"/>
          <w:sz w:val="19"/>
          <w:szCs w:val="19"/>
          <w:rtl/>
        </w:rPr>
        <w:t>, החברה האזרחית והמגזר העסקי התורם להשגת מטרות ציבוריות", אישרה ממשלת ישראל בשנת 2008 החלטה שבמסגרתה הכירה הממשלה בחשיבות פעילותם של הגופים התורמים וההתנדבותיים ובצורך בחיזוק השותפות עימם כדי לבנות חוסן לאומי,</w:t>
      </w:r>
      <w:r w:rsidRPr="00E07FE3">
        <w:rPr>
          <w:rFonts w:eastAsia="Calibri"/>
          <w:sz w:val="19"/>
          <w:szCs w:val="19"/>
          <w:rtl/>
        </w:rPr>
        <w:t xml:space="preserve"> מתוך שמירה על עצמאותם ובלא ל</w:t>
      </w:r>
      <w:r w:rsidRPr="00E07FE3">
        <w:rPr>
          <w:rFonts w:eastAsia="Calibri" w:hint="cs"/>
          <w:sz w:val="19"/>
          <w:szCs w:val="19"/>
          <w:rtl/>
        </w:rPr>
        <w:t>גרוע</w:t>
      </w:r>
      <w:r w:rsidRPr="00E07FE3">
        <w:rPr>
          <w:rFonts w:eastAsia="Calibri"/>
          <w:sz w:val="19"/>
          <w:szCs w:val="19"/>
          <w:rtl/>
        </w:rPr>
        <w:t xml:space="preserve"> מאחריות הממשלה לאספקת שירותי ליבה</w:t>
      </w:r>
      <w:r w:rsidRPr="00E07FE3">
        <w:rPr>
          <w:rFonts w:eastAsia="Calibri" w:hint="cs"/>
          <w:sz w:val="19"/>
          <w:szCs w:val="19"/>
          <w:rtl/>
        </w:rPr>
        <w:t xml:space="preserve"> (</w:t>
      </w:r>
      <w:r w:rsidRPr="00E07FE3">
        <w:rPr>
          <w:rFonts w:eastAsia="Calibri"/>
          <w:sz w:val="19"/>
          <w:szCs w:val="19"/>
          <w:rtl/>
        </w:rPr>
        <w:t>החלטת הממשלה משנת 2008)</w:t>
      </w:r>
      <w:r>
        <w:rPr>
          <w:rFonts w:eastAsia="Calibri"/>
          <w:sz w:val="19"/>
          <w:szCs w:val="19"/>
          <w:vertAlign w:val="superscript"/>
          <w:rtl/>
        </w:rPr>
        <w:footnoteReference w:id="4"/>
      </w:r>
      <w:r w:rsidRPr="00E07FE3">
        <w:rPr>
          <w:rFonts w:eastAsia="Calibri"/>
          <w:sz w:val="19"/>
          <w:szCs w:val="19"/>
          <w:rtl/>
        </w:rPr>
        <w:t>. בשנים 2008 - 2023 שבו והדגישו גופי ממשל העוסקים בהיערכות לחירום - ובהם משרד רה"ם ו</w:t>
      </w:r>
      <w:r w:rsidRPr="00E07FE3">
        <w:rPr>
          <w:rFonts w:eastAsia="Calibri" w:hint="cs"/>
          <w:sz w:val="19"/>
          <w:szCs w:val="19"/>
          <w:rtl/>
        </w:rPr>
        <w:t>רשות החירום הלאומית ב</w:t>
      </w:r>
      <w:r w:rsidRPr="00E07FE3">
        <w:rPr>
          <w:rFonts w:eastAsia="Calibri"/>
          <w:sz w:val="19"/>
          <w:szCs w:val="19"/>
          <w:rtl/>
        </w:rPr>
        <w:t>משרד הביטחון (רח"ל) - את הסיוע של גופים תורמים והתנדבותיים</w:t>
      </w:r>
      <w:r w:rsidRPr="00E07FE3">
        <w:rPr>
          <w:rFonts w:eastAsia="Calibri"/>
          <w:sz w:val="19"/>
          <w:szCs w:val="19"/>
          <w:rtl/>
        </w:rPr>
        <w:t xml:space="preserve"> להתמודדות רשויות השלטון עם אתגרים ב</w:t>
      </w:r>
      <w:r w:rsidRPr="00E07FE3">
        <w:rPr>
          <w:rFonts w:eastAsia="Calibri" w:hint="cs"/>
          <w:sz w:val="19"/>
          <w:szCs w:val="19"/>
          <w:rtl/>
        </w:rPr>
        <w:t xml:space="preserve">עיתות </w:t>
      </w:r>
      <w:r w:rsidRPr="00E07FE3">
        <w:rPr>
          <w:rFonts w:eastAsia="Calibri"/>
          <w:sz w:val="19"/>
          <w:szCs w:val="19"/>
          <w:rtl/>
        </w:rPr>
        <w:t>שגרה ובמצבי חירום ואת חשיבות התיאום הממשלתי עימם.</w:t>
      </w:r>
    </w:p>
    <w:p w:rsidR="00E07FE3" w:rsidRPr="00E07FE3" w:rsidP="00E07FE3">
      <w:pPr>
        <w:pStyle w:val="739"/>
        <w:spacing w:after="120"/>
        <w:rPr>
          <w:rFonts w:eastAsia="Calibri"/>
          <w:sz w:val="19"/>
          <w:szCs w:val="19"/>
          <w:rtl/>
        </w:rPr>
      </w:pPr>
      <w:r w:rsidRPr="00E07FE3">
        <w:rPr>
          <w:rFonts w:eastAsia="Calibri"/>
          <w:sz w:val="19"/>
          <w:szCs w:val="19"/>
          <w:rtl/>
        </w:rPr>
        <w:t>ממידע שאסף וריכז משרד מבקר המדינה עלה כי פעילות תיאום והכוונה מצד רשויות השלטון לגופים תורמים והתנדבותיים במלחמ</w:t>
      </w:r>
      <w:r w:rsidRPr="00E07FE3">
        <w:rPr>
          <w:rFonts w:eastAsia="Calibri" w:hint="cs"/>
          <w:sz w:val="19"/>
          <w:szCs w:val="19"/>
          <w:rtl/>
        </w:rPr>
        <w:t xml:space="preserve">ת חרבות ברזל </w:t>
      </w:r>
      <w:r w:rsidRPr="00E07FE3">
        <w:rPr>
          <w:rFonts w:eastAsia="Calibri"/>
          <w:sz w:val="19"/>
          <w:szCs w:val="19"/>
          <w:rtl/>
        </w:rPr>
        <w:t>הייתה בבחינת צורך ממשי ומהותי, בעיקר בחו</w:t>
      </w:r>
      <w:r w:rsidRPr="00E07FE3">
        <w:rPr>
          <w:rFonts w:eastAsia="Calibri"/>
          <w:sz w:val="19"/>
          <w:szCs w:val="19"/>
          <w:rtl/>
        </w:rPr>
        <w:t xml:space="preserve">דשי המלחמה הראשונים, בשל שני </w:t>
      </w:r>
      <w:r w:rsidRPr="00E07FE3">
        <w:rPr>
          <w:rFonts w:eastAsia="Calibri" w:hint="cs"/>
          <w:sz w:val="19"/>
          <w:szCs w:val="19"/>
          <w:rtl/>
        </w:rPr>
        <w:t>מאפיינים עיקריים בפעילותם של גופים אלה, שבאו לידי ביטוי גם במצבי חירום קודמים במדינה</w:t>
      </w:r>
      <w:r w:rsidRPr="00E07FE3">
        <w:rPr>
          <w:rFonts w:eastAsia="Calibri"/>
          <w:sz w:val="19"/>
          <w:szCs w:val="19"/>
          <w:rtl/>
        </w:rPr>
        <w:t xml:space="preserve">: </w:t>
      </w:r>
      <w:r w:rsidR="00AA2BE1">
        <w:rPr>
          <w:rFonts w:eastAsia="Calibri"/>
          <w:sz w:val="19"/>
          <w:szCs w:val="19"/>
          <w:rtl/>
        </w:rPr>
        <w:br/>
      </w:r>
      <w:r w:rsidRPr="00E07FE3">
        <w:rPr>
          <w:rFonts w:eastAsia="Calibri"/>
          <w:sz w:val="19"/>
          <w:szCs w:val="19"/>
          <w:rtl/>
        </w:rPr>
        <w:t>(</w:t>
      </w:r>
      <w:r>
        <w:rPr>
          <w:rFonts w:eastAsia="Calibri" w:hint="cs"/>
          <w:sz w:val="19"/>
          <w:szCs w:val="19"/>
          <w:rtl/>
        </w:rPr>
        <w:t>א</w:t>
      </w:r>
      <w:r w:rsidRPr="00E07FE3">
        <w:rPr>
          <w:rFonts w:eastAsia="Calibri"/>
          <w:sz w:val="19"/>
          <w:szCs w:val="19"/>
          <w:rtl/>
        </w:rPr>
        <w:t>) שיעורי התנדבות ותרומות גבוהים</w:t>
      </w:r>
      <w:r w:rsidRPr="00E07FE3">
        <w:rPr>
          <w:rFonts w:eastAsia="Calibri" w:hint="cs"/>
          <w:sz w:val="19"/>
          <w:szCs w:val="19"/>
          <w:rtl/>
        </w:rPr>
        <w:t xml:space="preserve"> מאוד</w:t>
      </w:r>
      <w:r w:rsidRPr="00E07FE3">
        <w:rPr>
          <w:rFonts w:eastAsia="Calibri"/>
          <w:sz w:val="19"/>
          <w:szCs w:val="19"/>
          <w:rtl/>
        </w:rPr>
        <w:t>;</w:t>
      </w:r>
      <w:r w:rsidRPr="00E07FE3">
        <w:rPr>
          <w:rFonts w:eastAsia="Calibri" w:hint="cs"/>
          <w:sz w:val="19"/>
          <w:szCs w:val="19"/>
          <w:rtl/>
        </w:rPr>
        <w:t xml:space="preserve"> </w:t>
      </w:r>
      <w:r w:rsidRPr="00E07FE3">
        <w:rPr>
          <w:rFonts w:eastAsia="Calibri"/>
          <w:sz w:val="19"/>
          <w:szCs w:val="19"/>
          <w:rtl/>
        </w:rPr>
        <w:t>(</w:t>
      </w:r>
      <w:r>
        <w:rPr>
          <w:rFonts w:eastAsia="Calibri" w:hint="cs"/>
          <w:sz w:val="19"/>
          <w:szCs w:val="19"/>
          <w:rtl/>
        </w:rPr>
        <w:t>ב</w:t>
      </w:r>
      <w:r w:rsidRPr="00E07FE3">
        <w:rPr>
          <w:rFonts w:eastAsia="Calibri"/>
          <w:sz w:val="19"/>
          <w:szCs w:val="19"/>
          <w:rtl/>
        </w:rPr>
        <w:t xml:space="preserve">) חפיפה בין תחומי פעילותם של הגופים התורמים </w:t>
      </w:r>
      <w:r w:rsidRPr="00E07FE3">
        <w:rPr>
          <w:sz w:val="19"/>
          <w:szCs w:val="19"/>
          <w:rtl/>
        </w:rPr>
        <w:t>וההתנדבותיים</w:t>
      </w:r>
      <w:r w:rsidRPr="00E07FE3">
        <w:rPr>
          <w:rFonts w:eastAsia="Calibri"/>
          <w:sz w:val="19"/>
          <w:szCs w:val="19"/>
          <w:rtl/>
        </w:rPr>
        <w:t xml:space="preserve"> לבין תחומים שהטיפול בהם מצוי באחריות רשוי</w:t>
      </w:r>
      <w:r w:rsidRPr="00E07FE3">
        <w:rPr>
          <w:rFonts w:eastAsia="Calibri"/>
          <w:sz w:val="19"/>
          <w:szCs w:val="19"/>
          <w:rtl/>
        </w:rPr>
        <w:t>ות השלטון, ובראשם פינוי תושבים מאזורים מותקפים</w:t>
      </w:r>
      <w:r w:rsidRPr="00E07FE3">
        <w:rPr>
          <w:rFonts w:eastAsia="Calibri" w:hint="cs"/>
          <w:sz w:val="19"/>
          <w:szCs w:val="19"/>
          <w:rtl/>
        </w:rPr>
        <w:t xml:space="preserve"> </w:t>
      </w:r>
      <w:r w:rsidRPr="00E07FE3">
        <w:rPr>
          <w:rFonts w:eastAsia="Calibri"/>
          <w:sz w:val="19"/>
          <w:szCs w:val="19"/>
          <w:rtl/>
        </w:rPr>
        <w:t>ואספקה של מזון וציוד בסיסי לאוכלוסייה אזרחית שנפגעה במלחמה ולכוחות הביטחון ההצלה.</w:t>
      </w:r>
    </w:p>
    <w:p w:rsidR="00E07FE3" w:rsidRPr="00E07FE3" w:rsidP="00E07FE3">
      <w:pPr>
        <w:pStyle w:val="739"/>
        <w:spacing w:after="120"/>
        <w:rPr>
          <w:rFonts w:eastAsia="Calibri"/>
          <w:sz w:val="19"/>
          <w:szCs w:val="19"/>
          <w:rtl/>
        </w:rPr>
      </w:pPr>
      <w:r w:rsidRPr="00E07FE3">
        <w:rPr>
          <w:rFonts w:eastAsia="Calibri" w:hint="cs"/>
          <w:sz w:val="19"/>
          <w:szCs w:val="19"/>
          <w:rtl/>
        </w:rPr>
        <w:t>מטרותיה של הביקורת הנוכחית היא לבחון כיצד נערכה המערכת הממשלתית לפני מלחמת חרבות ברזל לבניית תשתית לתיאום עם גופים תורמים והתנד</w:t>
      </w:r>
      <w:r w:rsidRPr="00E07FE3">
        <w:rPr>
          <w:rFonts w:eastAsia="Calibri" w:hint="cs"/>
          <w:sz w:val="19"/>
          <w:szCs w:val="19"/>
          <w:rtl/>
        </w:rPr>
        <w:t xml:space="preserve">בותיים שניתן יהיה להפעילה בשעת חירום, וכיצד היא מימשה את המדיניות הממשלתית בנושא הלכה למעשה במהלך המלחמה מול גל </w:t>
      </w:r>
      <w:r w:rsidRPr="00E07FE3">
        <w:rPr>
          <w:rFonts w:hint="cs"/>
          <w:sz w:val="19"/>
          <w:szCs w:val="19"/>
          <w:rtl/>
        </w:rPr>
        <w:t>ההתגייסות</w:t>
      </w:r>
      <w:r w:rsidRPr="00E07FE3">
        <w:rPr>
          <w:rFonts w:eastAsia="Calibri" w:hint="cs"/>
          <w:sz w:val="19"/>
          <w:szCs w:val="19"/>
          <w:rtl/>
        </w:rPr>
        <w:t xml:space="preserve"> האזרחית שהיווה כאמור נדבך מרכזי במענה לצרכי הציבור בשעת חירום קשה זו. </w:t>
      </w:r>
    </w:p>
    <w:p w:rsidR="00424A30">
      <w:pPr>
        <w:bidi w:val="0"/>
        <w:spacing w:after="200" w:line="276" w:lineRule="auto"/>
        <w:rPr>
          <w:rFonts w:ascii="Tahoma" w:hAnsi="Tahoma" w:cs="Tahoma"/>
          <w:color w:val="0D0D0D" w:themeColor="text1" w:themeTint="F2"/>
          <w:sz w:val="18"/>
          <w:szCs w:val="18"/>
          <w:rtl/>
        </w:rPr>
      </w:pPr>
      <w:r>
        <w:rPr>
          <w:rtl/>
        </w:rPr>
        <w:br w:type="page"/>
      </w:r>
    </w:p>
    <w:p w:rsidR="0008273E" w:rsidP="00424A30">
      <w:pPr>
        <w:pStyle w:val="739"/>
        <w:ind w:right="426"/>
        <w:rPr>
          <w:rFonts w:eastAsia="Calibri"/>
          <w:b/>
          <w:bCs/>
          <w:noProof/>
          <w:color w:val="F2F2F2"/>
          <w:sz w:val="22"/>
          <w:szCs w:val="22"/>
          <w:rtl/>
        </w:rPr>
      </w:pPr>
      <w:r w:rsidRPr="0008273E">
        <w:rPr>
          <w:rFonts w:eastAsia="Calibri"/>
          <w:b/>
          <w:bCs/>
          <w:noProof/>
          <w:color w:val="FFFFFF"/>
          <w:sz w:val="22"/>
          <w:szCs w:val="22"/>
          <w:rtl/>
        </w:rPr>
        <w:drawing>
          <wp:anchor distT="0" distB="0" distL="114300" distR="114300" simplePos="0" relativeHeight="251661312" behindDoc="1" locked="0" layoutInCell="1" allowOverlap="1">
            <wp:simplePos x="0" y="0"/>
            <wp:positionH relativeFrom="margin">
              <wp:posOffset>0</wp:posOffset>
            </wp:positionH>
            <wp:positionV relativeFrom="paragraph">
              <wp:posOffset>-38100</wp:posOffset>
            </wp:positionV>
            <wp:extent cx="5847715" cy="641350"/>
            <wp:effectExtent l="0" t="0" r="635" b="6350"/>
            <wp:wrapNone/>
            <wp:docPr id="23" name="תמונה 23"/>
            <wp:cNvGraphicFramePr/>
            <a:graphic xmlns:a="http://schemas.openxmlformats.org/drawingml/2006/main">
              <a:graphicData uri="http://schemas.openxmlformats.org/drawingml/2006/picture">
                <pic:pic xmlns:pic="http://schemas.openxmlformats.org/drawingml/2006/picture">
                  <pic:nvPicPr>
                    <pic:cNvPr id="23"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7715" cy="641350"/>
                    </a:xfrm>
                    <a:prstGeom prst="rect">
                      <a:avLst/>
                    </a:prstGeom>
                  </pic:spPr>
                </pic:pic>
              </a:graphicData>
            </a:graphic>
            <wp14:sizeRelH relativeFrom="page">
              <wp14:pctWidth>0</wp14:pctWidth>
            </wp14:sizeRelH>
            <wp14:sizeRelV relativeFrom="page">
              <wp14:pctHeight>0</wp14:pctHeight>
            </wp14:sizeRelV>
          </wp:anchor>
        </w:drawing>
      </w:r>
      <w:r w:rsidRPr="0008273E">
        <w:rPr>
          <w:rFonts w:eastAsia="Calibri"/>
          <w:b/>
          <w:bCs/>
          <w:noProof/>
          <w:color w:val="F2F2F2"/>
          <w:sz w:val="22"/>
          <w:szCs w:val="22"/>
          <w:rtl/>
        </w:rPr>
        <w:t>תחומי</w:t>
      </w:r>
      <w:r w:rsidRPr="0008273E">
        <w:rPr>
          <w:rFonts w:eastAsia="Calibri" w:hint="cs"/>
          <w:b/>
          <w:bCs/>
          <w:noProof/>
          <w:color w:val="F2F2F2"/>
          <w:sz w:val="22"/>
          <w:szCs w:val="22"/>
          <w:rtl/>
        </w:rPr>
        <w:t xml:space="preserve"> </w:t>
      </w:r>
      <w:r w:rsidRPr="0008273E">
        <w:rPr>
          <w:rFonts w:eastAsia="Calibri"/>
          <w:b/>
          <w:bCs/>
          <w:noProof/>
          <w:color w:val="F2F2F2"/>
          <w:sz w:val="22"/>
          <w:szCs w:val="22"/>
          <w:rtl/>
        </w:rPr>
        <w:t xml:space="preserve">פעילות הגופים התורמים וההתנדבותיים בחודשים הראשונים </w:t>
      </w:r>
      <w:r w:rsidRPr="0008273E">
        <w:rPr>
          <w:rFonts w:eastAsia="Calibri"/>
          <w:b/>
          <w:bCs/>
          <w:noProof/>
          <w:color w:val="F2F2F2"/>
          <w:sz w:val="22"/>
          <w:szCs w:val="22"/>
          <w:rtl/>
        </w:rPr>
        <w:t>למלחמת חרבות ברזל (אוקטובר עד דצמבר 2023)</w:t>
      </w:r>
      <w:r w:rsidRPr="0008273E">
        <w:rPr>
          <w:rFonts w:eastAsia="Calibri" w:hint="cs"/>
          <w:b/>
          <w:bCs/>
          <w:noProof/>
          <w:color w:val="F2F2F2"/>
          <w:sz w:val="22"/>
          <w:szCs w:val="22"/>
          <w:rtl/>
        </w:rPr>
        <w:t>*</w:t>
      </w:r>
    </w:p>
    <w:p w:rsidR="0008273E" w:rsidP="00791BC0">
      <w:pPr>
        <w:pStyle w:val="739"/>
        <w:ind w:right="284"/>
        <w:jc w:val="center"/>
        <w:rPr>
          <w:rtl/>
        </w:rPr>
      </w:pPr>
      <w:r>
        <w:rPr>
          <w:noProof/>
        </w:rPr>
        <w:drawing>
          <wp:inline distT="0" distB="0" distL="0" distR="0">
            <wp:extent cx="4938395" cy="4432300"/>
            <wp:effectExtent l="0" t="0" r="0" b="6350"/>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4938395" cy="4432300"/>
                    </a:xfrm>
                    <a:prstGeom prst="rect">
                      <a:avLst/>
                    </a:prstGeom>
                    <a:noFill/>
                  </pic:spPr>
                </pic:pic>
              </a:graphicData>
            </a:graphic>
          </wp:inline>
        </w:drawing>
      </w:r>
    </w:p>
    <w:p w:rsidR="0008273E" w:rsidRPr="00424A30" w:rsidP="00424A30">
      <w:pPr>
        <w:pStyle w:val="739"/>
        <w:spacing w:after="60"/>
        <w:ind w:right="284"/>
        <w:rPr>
          <w:sz w:val="16"/>
          <w:szCs w:val="16"/>
          <w:rtl/>
        </w:rPr>
      </w:pPr>
      <w:r w:rsidRPr="00424A30">
        <w:rPr>
          <w:sz w:val="16"/>
          <w:szCs w:val="16"/>
          <w:rtl/>
        </w:rPr>
        <w:t>על פי סקרים שביצעו יועצות המתמחות בחקר פעילותם של גופים תורמים והתנדבותיים בישראל ועל פי מידע גלוי שנאסף בביקורת, בעיבוד משרד מבקר המדינה</w:t>
      </w:r>
      <w:r w:rsidR="007D4038">
        <w:rPr>
          <w:rFonts w:hint="cs"/>
          <w:sz w:val="16"/>
          <w:szCs w:val="16"/>
          <w:rtl/>
        </w:rPr>
        <w:t>.</w:t>
      </w:r>
    </w:p>
    <w:p w:rsidR="0008273E" w:rsidP="00424A30">
      <w:pPr>
        <w:pStyle w:val="739"/>
        <w:spacing w:after="60"/>
        <w:ind w:left="284" w:right="284" w:hanging="284"/>
        <w:rPr>
          <w:rtl/>
        </w:rPr>
      </w:pPr>
      <w:r w:rsidRPr="00424A30">
        <w:rPr>
          <w:sz w:val="16"/>
          <w:szCs w:val="16"/>
          <w:rtl/>
        </w:rPr>
        <w:t>*</w:t>
      </w:r>
      <w:r w:rsidRPr="00424A30">
        <w:rPr>
          <w:sz w:val="16"/>
          <w:szCs w:val="16"/>
          <w:rtl/>
        </w:rPr>
        <w:tab/>
        <w:t>התרשים קושר בין גופים תורמים והתנדבותיים (אזרחים ומשקי בית, יוזמות אזר</w:t>
      </w:r>
      <w:r w:rsidRPr="00424A30">
        <w:rPr>
          <w:sz w:val="16"/>
          <w:szCs w:val="16"/>
          <w:rtl/>
        </w:rPr>
        <w:t>חיות וחמ"לים, מגזר עסקי, סיוע מחו"ל) - בטור הימני, לבין תחומי התרומה וההתנדבות עיקריים, בעלי משקל משמעותי ומשני (משמאל) באמצעות קווים מקשרים שרוחבם מבטא את השווי הכספי של הפעילות בהתאם לשיעור הפעילות (המתנדבים והתרומה הממוצעת לחודשים אוקטובר - עד דצמבר 202</w:t>
      </w:r>
      <w:r w:rsidRPr="00424A30">
        <w:rPr>
          <w:sz w:val="16"/>
          <w:szCs w:val="16"/>
          <w:rtl/>
        </w:rPr>
        <w:t>3) בהתאם לשיעורם בסקרים ובמחקרים (קו עבה יותר מבטא תחום שבו פעלו יותר). החפיפה בין חלק מההגדרות של תחומי הפעילות בתרשים, נובעת מהשונות במ</w:t>
      </w:r>
      <w:r w:rsidR="00B01F46">
        <w:rPr>
          <w:rFonts w:hint="cs"/>
          <w:sz w:val="16"/>
          <w:szCs w:val="16"/>
          <w:rtl/>
        </w:rPr>
        <w:t>ו</w:t>
      </w:r>
      <w:r w:rsidRPr="00424A30">
        <w:rPr>
          <w:sz w:val="16"/>
          <w:szCs w:val="16"/>
          <w:rtl/>
        </w:rPr>
        <w:t>נחים שבהם נעשה שימוש בסקרים ובמחקרים.</w:t>
      </w:r>
      <w:r>
        <w:rPr>
          <w:rtl/>
        </w:rPr>
        <w:tab/>
      </w:r>
    </w:p>
    <w:p w:rsidR="0008273E" w:rsidRPr="00424A30" w:rsidP="00424A30">
      <w:pPr>
        <w:pStyle w:val="739"/>
        <w:ind w:left="283" w:right="284" w:hanging="283"/>
        <w:rPr>
          <w:sz w:val="16"/>
          <w:szCs w:val="16"/>
          <w:rtl/>
        </w:rPr>
      </w:pPr>
      <w:r w:rsidRPr="00424A30">
        <w:rPr>
          <w:sz w:val="16"/>
          <w:szCs w:val="16"/>
          <w:rtl/>
        </w:rPr>
        <w:t>**</w:t>
      </w:r>
      <w:r w:rsidRPr="00424A30" w:rsidR="00791BC0">
        <w:rPr>
          <w:sz w:val="16"/>
          <w:szCs w:val="16"/>
          <w:rtl/>
        </w:rPr>
        <w:tab/>
      </w:r>
      <w:r w:rsidRPr="00424A30">
        <w:rPr>
          <w:sz w:val="16"/>
          <w:szCs w:val="16"/>
          <w:rtl/>
        </w:rPr>
        <w:t xml:space="preserve">האייקונים בתרשים נוצרו בסיוע כלי בינה מלאכותית מסוג </w:t>
      </w:r>
      <w:r w:rsidRPr="00424A30">
        <w:rPr>
          <w:sz w:val="16"/>
          <w:szCs w:val="16"/>
        </w:rPr>
        <w:t>NotebookLM</w:t>
      </w:r>
      <w:r w:rsidRPr="00424A30">
        <w:rPr>
          <w:sz w:val="16"/>
          <w:szCs w:val="16"/>
          <w:rtl/>
        </w:rPr>
        <w:t>.</w:t>
      </w:r>
    </w:p>
    <w:p w:rsidR="001D3DA9" w:rsidRPr="007E24BD" w:rsidP="001D3DA9">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9"/>
        <w:gridCol w:w="279"/>
        <w:gridCol w:w="2272"/>
        <w:gridCol w:w="284"/>
        <w:gridCol w:w="2131"/>
        <w:gridCol w:w="278"/>
        <w:gridCol w:w="2129"/>
      </w:tblGrid>
      <w:tr w:rsidTr="007D4038">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269" w:type="dxa"/>
            <w:tcBorders>
              <w:bottom w:val="single" w:sz="12" w:space="0" w:color="auto"/>
            </w:tcBorders>
            <w:shd w:val="clear" w:color="auto" w:fill="auto"/>
            <w:vAlign w:val="bottom"/>
          </w:tcPr>
          <w:p w:rsidR="00791BC0" w:rsidRPr="00791BC0" w:rsidP="00791BC0">
            <w:pPr>
              <w:spacing w:line="240" w:lineRule="auto"/>
              <w:rPr>
                <w:rFonts w:ascii="Tahoma" w:eastAsia="Calibri" w:hAnsi="Tahoma" w:cs="Tahoma"/>
                <w:spacing w:val="-10"/>
                <w:sz w:val="36"/>
                <w:szCs w:val="36"/>
                <w:rtl/>
              </w:rPr>
            </w:pPr>
            <w:bookmarkStart w:id="2" w:name="_Hlk232426003"/>
            <w:r w:rsidRPr="00791BC0">
              <w:rPr>
                <w:rFonts w:ascii="Tahoma" w:eastAsia="Calibri" w:hAnsi="Tahoma" w:cs="Tahoma" w:hint="cs"/>
                <w:spacing w:val="-10"/>
                <w:sz w:val="28"/>
                <w:szCs w:val="28"/>
                <w:rtl/>
              </w:rPr>
              <w:t>כ-</w:t>
            </w:r>
            <w:r w:rsidRPr="00791BC0">
              <w:rPr>
                <w:rFonts w:ascii="Tahoma" w:eastAsia="Calibri" w:hAnsi="Tahoma" w:cs="Tahoma" w:hint="cs"/>
                <w:spacing w:val="-10"/>
                <w:sz w:val="36"/>
                <w:szCs w:val="36"/>
                <w:rtl/>
              </w:rPr>
              <w:t>14.78</w:t>
            </w:r>
          </w:p>
          <w:p w:rsidR="00791BC0" w:rsidRPr="00791BC0" w:rsidP="00791BC0">
            <w:pPr>
              <w:spacing w:after="60" w:line="240" w:lineRule="auto"/>
              <w:rPr>
                <w:rFonts w:ascii="Tahoma" w:eastAsia="Calibri" w:hAnsi="Tahoma" w:cs="Tahoma"/>
                <w:spacing w:val="-10"/>
                <w:sz w:val="36"/>
                <w:szCs w:val="36"/>
                <w:rtl/>
              </w:rPr>
            </w:pPr>
            <w:r w:rsidRPr="00791BC0">
              <w:rPr>
                <w:rFonts w:ascii="Tahoma" w:eastAsia="Calibri" w:hAnsi="Tahoma" w:cs="Tahoma" w:hint="cs"/>
                <w:spacing w:val="-10"/>
                <w:sz w:val="28"/>
                <w:szCs w:val="28"/>
                <w:rtl/>
              </w:rPr>
              <w:t>מיליארד ש"ח</w:t>
            </w:r>
          </w:p>
        </w:tc>
        <w:tc>
          <w:tcPr>
            <w:tcW w:w="279" w:type="dxa"/>
          </w:tcPr>
          <w:p w:rsidR="00791BC0" w:rsidRPr="00791BC0" w:rsidP="00791BC0">
            <w:pPr>
              <w:spacing w:after="120" w:line="240" w:lineRule="auto"/>
              <w:rPr>
                <w:rFonts w:ascii="Tahoma" w:eastAsia="Calibri" w:hAnsi="Tahoma" w:cs="Tahoma"/>
                <w:spacing w:val="-10"/>
              </w:rPr>
            </w:pPr>
          </w:p>
        </w:tc>
        <w:tc>
          <w:tcPr>
            <w:tcW w:w="2272" w:type="dxa"/>
            <w:tcBorders>
              <w:bottom w:val="single" w:sz="12" w:space="0" w:color="auto"/>
            </w:tcBorders>
            <w:vAlign w:val="bottom"/>
          </w:tcPr>
          <w:p w:rsidR="00791BC0" w:rsidRPr="00791BC0" w:rsidP="00791BC0">
            <w:pPr>
              <w:spacing w:line="240" w:lineRule="auto"/>
              <w:rPr>
                <w:rFonts w:ascii="Tahoma" w:eastAsia="Calibri" w:hAnsi="Tahoma" w:cs="Tahoma"/>
                <w:spacing w:val="-10"/>
                <w:sz w:val="28"/>
                <w:szCs w:val="28"/>
                <w:rtl/>
              </w:rPr>
            </w:pPr>
            <w:r w:rsidRPr="00791BC0">
              <w:rPr>
                <w:rFonts w:ascii="Tahoma" w:eastAsia="Calibri" w:hAnsi="Tahoma" w:cs="Tahoma" w:hint="cs"/>
                <w:spacing w:val="-10"/>
                <w:sz w:val="28"/>
                <w:szCs w:val="28"/>
                <w:rtl/>
              </w:rPr>
              <w:t>כ-</w:t>
            </w:r>
            <w:r w:rsidRPr="00791BC0">
              <w:rPr>
                <w:rFonts w:ascii="Tahoma" w:eastAsia="Calibri" w:hAnsi="Tahoma" w:cs="Tahoma" w:hint="cs"/>
                <w:spacing w:val="-10"/>
                <w:sz w:val="36"/>
                <w:szCs w:val="36"/>
                <w:rtl/>
              </w:rPr>
              <w:t>3</w:t>
            </w:r>
            <w:r w:rsidRPr="00791BC0">
              <w:rPr>
                <w:rFonts w:ascii="Tahoma" w:eastAsia="Calibri" w:hAnsi="Tahoma" w:cs="Tahoma" w:hint="cs"/>
                <w:spacing w:val="-10"/>
                <w:sz w:val="28"/>
                <w:szCs w:val="28"/>
                <w:rtl/>
              </w:rPr>
              <w:t xml:space="preserve"> </w:t>
            </w:r>
          </w:p>
          <w:p w:rsidR="00791BC0" w:rsidRPr="00791BC0" w:rsidP="00791BC0">
            <w:pPr>
              <w:spacing w:after="60" w:line="240" w:lineRule="auto"/>
              <w:rPr>
                <w:rFonts w:ascii="Tahoma" w:eastAsia="Calibri" w:hAnsi="Tahoma" w:cs="Tahoma"/>
                <w:spacing w:val="-10"/>
                <w:sz w:val="28"/>
                <w:szCs w:val="28"/>
                <w:rtl/>
              </w:rPr>
            </w:pPr>
            <w:r w:rsidRPr="00791BC0">
              <w:rPr>
                <w:rFonts w:ascii="Tahoma" w:eastAsia="Calibri" w:hAnsi="Tahoma" w:cs="Tahoma" w:hint="cs"/>
                <w:spacing w:val="-10"/>
                <w:sz w:val="28"/>
                <w:szCs w:val="28"/>
                <w:rtl/>
              </w:rPr>
              <w:t xml:space="preserve">מיליארד ש"ח </w:t>
            </w:r>
          </w:p>
        </w:tc>
        <w:tc>
          <w:tcPr>
            <w:tcW w:w="284" w:type="dxa"/>
          </w:tcPr>
          <w:p w:rsidR="00791BC0" w:rsidRPr="00791BC0" w:rsidP="00791BC0">
            <w:pPr>
              <w:spacing w:after="120" w:line="240" w:lineRule="auto"/>
              <w:rPr>
                <w:rFonts w:ascii="Tahoma" w:eastAsia="Calibri" w:hAnsi="Tahoma" w:cs="Tahoma"/>
                <w:spacing w:val="-10"/>
              </w:rPr>
            </w:pPr>
          </w:p>
        </w:tc>
        <w:tc>
          <w:tcPr>
            <w:tcW w:w="2131" w:type="dxa"/>
            <w:tcBorders>
              <w:bottom w:val="single" w:sz="12" w:space="0" w:color="auto"/>
            </w:tcBorders>
          </w:tcPr>
          <w:p w:rsidR="00791BC0" w:rsidRPr="00791BC0" w:rsidP="00791BC0">
            <w:pPr>
              <w:spacing w:after="120" w:line="240" w:lineRule="auto"/>
              <w:rPr>
                <w:rFonts w:ascii="Tahoma" w:eastAsia="Calibri" w:hAnsi="Tahoma" w:cs="Tahoma"/>
                <w:spacing w:val="-10"/>
                <w:sz w:val="28"/>
                <w:szCs w:val="28"/>
                <w:rtl/>
              </w:rPr>
            </w:pPr>
          </w:p>
          <w:p w:rsidR="00791BC0" w:rsidRPr="00791BC0" w:rsidP="00791BC0">
            <w:pPr>
              <w:spacing w:after="60" w:line="240" w:lineRule="auto"/>
              <w:rPr>
                <w:rFonts w:ascii="Tahoma" w:eastAsia="Calibri" w:hAnsi="Tahoma" w:cs="Tahoma"/>
                <w:spacing w:val="-10"/>
                <w:sz w:val="36"/>
                <w:szCs w:val="36"/>
              </w:rPr>
            </w:pPr>
            <w:r w:rsidRPr="00791BC0">
              <w:rPr>
                <w:rFonts w:ascii="Tahoma" w:eastAsia="Calibri" w:hAnsi="Tahoma" w:cs="Tahoma" w:hint="cs"/>
                <w:spacing w:val="-10"/>
                <w:sz w:val="28"/>
                <w:szCs w:val="28"/>
                <w:rtl/>
              </w:rPr>
              <w:t>כמעט כל אזרח שני</w:t>
            </w:r>
          </w:p>
        </w:tc>
        <w:tc>
          <w:tcPr>
            <w:tcW w:w="278" w:type="dxa"/>
          </w:tcPr>
          <w:p w:rsidR="00791BC0" w:rsidRPr="00791BC0" w:rsidP="00791BC0">
            <w:pPr>
              <w:spacing w:after="120" w:line="240" w:lineRule="auto"/>
              <w:rPr>
                <w:rFonts w:ascii="Tahoma" w:eastAsia="Calibri" w:hAnsi="Tahoma" w:cs="Tahoma"/>
                <w:spacing w:val="-10"/>
              </w:rPr>
            </w:pPr>
          </w:p>
        </w:tc>
        <w:tc>
          <w:tcPr>
            <w:tcW w:w="2129" w:type="dxa"/>
            <w:tcBorders>
              <w:bottom w:val="single" w:sz="12" w:space="0" w:color="auto"/>
            </w:tcBorders>
            <w:vAlign w:val="bottom"/>
          </w:tcPr>
          <w:p w:rsidR="00791BC0" w:rsidRPr="00791BC0" w:rsidP="00791BC0">
            <w:pPr>
              <w:spacing w:after="60" w:line="240" w:lineRule="auto"/>
              <w:rPr>
                <w:rFonts w:ascii="Tahoma" w:eastAsia="Calibri" w:hAnsi="Tahoma" w:cs="Tahoma"/>
                <w:spacing w:val="-10"/>
                <w:sz w:val="28"/>
                <w:szCs w:val="28"/>
                <w:rtl/>
              </w:rPr>
            </w:pPr>
            <w:r w:rsidRPr="00791BC0">
              <w:rPr>
                <w:rFonts w:ascii="Tahoma" w:eastAsia="Calibri" w:hAnsi="Tahoma" w:cs="Tahoma" w:hint="cs"/>
                <w:spacing w:val="-10"/>
                <w:sz w:val="28"/>
                <w:szCs w:val="28"/>
                <w:rtl/>
              </w:rPr>
              <w:t xml:space="preserve">יותר </w:t>
            </w:r>
          </w:p>
          <w:p w:rsidR="00791BC0" w:rsidRPr="00791BC0" w:rsidP="00791BC0">
            <w:pPr>
              <w:spacing w:after="60" w:line="240" w:lineRule="auto"/>
              <w:rPr>
                <w:rFonts w:ascii="Tahoma" w:eastAsia="Calibri" w:hAnsi="Tahoma" w:cs="Tahoma"/>
                <w:spacing w:val="-10"/>
                <w:sz w:val="36"/>
                <w:szCs w:val="36"/>
                <w:rtl/>
              </w:rPr>
            </w:pPr>
            <w:r w:rsidRPr="00791BC0">
              <w:rPr>
                <w:rFonts w:ascii="Tahoma" w:eastAsia="Calibri" w:hAnsi="Tahoma" w:cs="Tahoma" w:hint="cs"/>
                <w:spacing w:val="-10"/>
                <w:sz w:val="28"/>
                <w:szCs w:val="28"/>
                <w:rtl/>
              </w:rPr>
              <w:t>מ-</w:t>
            </w:r>
            <w:r w:rsidRPr="00791BC0">
              <w:rPr>
                <w:rFonts w:ascii="Tahoma" w:eastAsia="Calibri" w:hAnsi="Tahoma" w:cs="Tahoma" w:hint="cs"/>
                <w:spacing w:val="-10"/>
                <w:sz w:val="36"/>
                <w:szCs w:val="36"/>
                <w:rtl/>
              </w:rPr>
              <w:t>1,000</w:t>
            </w:r>
          </w:p>
        </w:tc>
      </w:tr>
      <w:tr w:rsidTr="007B72CD">
        <w:tblPrEx>
          <w:tblW w:w="9642" w:type="dxa"/>
          <w:tblLook w:val="04A0"/>
        </w:tblPrEx>
        <w:trPr>
          <w:trHeight w:val="85"/>
        </w:trPr>
        <w:tc>
          <w:tcPr>
            <w:tcW w:w="9642" w:type="dxa"/>
            <w:gridSpan w:val="7"/>
            <w:shd w:val="clear" w:color="auto" w:fill="auto"/>
            <w:vAlign w:val="center"/>
          </w:tcPr>
          <w:p w:rsidR="00791BC0" w:rsidRPr="00791BC0" w:rsidP="00791BC0">
            <w:pPr>
              <w:spacing w:after="120" w:line="288" w:lineRule="auto"/>
              <w:rPr>
                <w:rFonts w:ascii="Tahoma" w:eastAsia="Calibri" w:hAnsi="Tahoma" w:cs="Tahoma"/>
                <w:spacing w:val="-10"/>
                <w:sz w:val="6"/>
                <w:szCs w:val="6"/>
                <w:rtl/>
              </w:rPr>
            </w:pPr>
          </w:p>
        </w:tc>
      </w:tr>
      <w:tr w:rsidTr="007D4038">
        <w:tblPrEx>
          <w:tblW w:w="9642" w:type="dxa"/>
          <w:tblLook w:val="04A0"/>
        </w:tblPrEx>
        <w:trPr>
          <w:trHeight w:val="1155"/>
        </w:trPr>
        <w:tc>
          <w:tcPr>
            <w:tcW w:w="2269" w:type="dxa"/>
          </w:tcPr>
          <w:p w:rsidR="00791BC0" w:rsidRPr="00791BC0" w:rsidP="007D4038">
            <w:pPr>
              <w:spacing w:after="120" w:line="240" w:lineRule="auto"/>
              <w:ind w:right="23"/>
              <w:rPr>
                <w:rFonts w:ascii="Tahoma" w:eastAsia="Calibri" w:hAnsi="Tahoma" w:cs="Tahoma"/>
                <w:sz w:val="18"/>
                <w:szCs w:val="18"/>
                <w:rtl/>
              </w:rPr>
            </w:pPr>
            <w:r w:rsidRPr="00791BC0">
              <w:rPr>
                <w:rFonts w:ascii="Tahoma" w:eastAsia="Calibri" w:hAnsi="Tahoma" w:cs="Tahoma"/>
                <w:sz w:val="18"/>
                <w:szCs w:val="18"/>
                <w:rtl/>
              </w:rPr>
              <w:t xml:space="preserve">השווי הכספי של פעילות ההתנדבות והתרומות בשלושת החודשים הראשונים למלחמה (אוקטובר </w:t>
            </w:r>
            <w:r w:rsidRPr="00791BC0">
              <w:rPr>
                <w:rFonts w:ascii="Tahoma" w:eastAsia="Calibri" w:hAnsi="Tahoma" w:cs="Tahoma" w:hint="cs"/>
                <w:sz w:val="18"/>
                <w:szCs w:val="18"/>
                <w:rtl/>
              </w:rPr>
              <w:t>-</w:t>
            </w:r>
            <w:r w:rsidRPr="00791BC0">
              <w:rPr>
                <w:rFonts w:ascii="Tahoma" w:eastAsia="Calibri" w:hAnsi="Tahoma" w:cs="Tahoma"/>
                <w:sz w:val="18"/>
                <w:szCs w:val="18"/>
                <w:rtl/>
              </w:rPr>
              <w:t xml:space="preserve"> דצמבר 2023)</w:t>
            </w:r>
            <w:r w:rsidRPr="00791BC0">
              <w:rPr>
                <w:rFonts w:ascii="Tahoma" w:eastAsia="Calibri" w:hAnsi="Tahoma" w:cs="Tahoma" w:hint="cs"/>
                <w:sz w:val="18"/>
                <w:szCs w:val="18"/>
                <w:rtl/>
              </w:rPr>
              <w:t xml:space="preserve">, בהערכה שמרנית של משרד מבקר המדינה. מהם, כ-8.56 מיליארד ש"ח משקפים את שוויין של שעות ההתנדבות וכ-6.22 מיליארד ש"ח מקורם בתרומות כסף ובשווה כסף </w:t>
            </w:r>
          </w:p>
        </w:tc>
        <w:tc>
          <w:tcPr>
            <w:tcW w:w="279" w:type="dxa"/>
          </w:tcPr>
          <w:p w:rsidR="00791BC0" w:rsidRPr="00791BC0" w:rsidP="00791BC0">
            <w:pPr>
              <w:spacing w:after="120" w:line="240" w:lineRule="auto"/>
              <w:rPr>
                <w:rFonts w:ascii="Tahoma" w:eastAsia="Calibri" w:hAnsi="Tahoma" w:cs="Tahoma"/>
                <w:sz w:val="18"/>
                <w:szCs w:val="18"/>
                <w:rtl/>
              </w:rPr>
            </w:pPr>
          </w:p>
        </w:tc>
        <w:tc>
          <w:tcPr>
            <w:tcW w:w="2272" w:type="dxa"/>
          </w:tcPr>
          <w:p w:rsidR="00791BC0" w:rsidRPr="00791BC0" w:rsidP="00791BC0">
            <w:pPr>
              <w:spacing w:after="120" w:line="240" w:lineRule="auto"/>
              <w:ind w:right="23"/>
              <w:rPr>
                <w:rFonts w:ascii="Tahoma" w:eastAsia="Calibri" w:hAnsi="Tahoma" w:cs="Tahoma"/>
                <w:sz w:val="18"/>
                <w:szCs w:val="18"/>
                <w:rtl/>
              </w:rPr>
            </w:pPr>
            <w:r w:rsidRPr="00791BC0">
              <w:rPr>
                <w:rFonts w:ascii="Tahoma" w:eastAsia="Calibri" w:hAnsi="Tahoma" w:cs="Tahoma" w:hint="cs"/>
                <w:sz w:val="18"/>
                <w:szCs w:val="18"/>
                <w:rtl/>
              </w:rPr>
              <w:t>הסכום הכספי שבו עלה אומדן שווי התרומות וה</w:t>
            </w:r>
            <w:r w:rsidRPr="00791BC0">
              <w:rPr>
                <w:rFonts w:ascii="Tahoma" w:eastAsia="Calibri" w:hAnsi="Tahoma" w:cs="Tahoma"/>
                <w:sz w:val="18"/>
                <w:szCs w:val="18"/>
                <w:rtl/>
              </w:rPr>
              <w:t xml:space="preserve">פעילות </w:t>
            </w:r>
            <w:r w:rsidRPr="00791BC0">
              <w:rPr>
                <w:rFonts w:ascii="Tahoma" w:eastAsia="Calibri" w:hAnsi="Tahoma" w:cs="Tahoma" w:hint="cs"/>
                <w:sz w:val="18"/>
                <w:szCs w:val="18"/>
                <w:rtl/>
              </w:rPr>
              <w:t>ההתנדבותית על ה</w:t>
            </w:r>
            <w:r w:rsidRPr="00791BC0">
              <w:rPr>
                <w:rFonts w:ascii="Tahoma" w:eastAsia="Calibri" w:hAnsi="Tahoma" w:cs="Tahoma"/>
                <w:sz w:val="18"/>
                <w:szCs w:val="18"/>
                <w:rtl/>
              </w:rPr>
              <w:t>תקציב שהקצתה המדינה</w:t>
            </w:r>
            <w:r w:rsidRPr="00791BC0">
              <w:rPr>
                <w:rFonts w:ascii="Tahoma" w:eastAsia="Calibri" w:hAnsi="Tahoma" w:cs="Tahoma" w:hint="cs"/>
                <w:sz w:val="18"/>
                <w:szCs w:val="18"/>
                <w:rtl/>
              </w:rPr>
              <w:t xml:space="preserve"> </w:t>
            </w:r>
            <w:r w:rsidRPr="00791BC0">
              <w:rPr>
                <w:rFonts w:ascii="Tahoma" w:eastAsia="Calibri" w:hAnsi="Tahoma" w:cs="Tahoma"/>
                <w:sz w:val="18"/>
                <w:szCs w:val="18"/>
                <w:rtl/>
              </w:rPr>
              <w:t>לצרכים אזרחיים</w:t>
            </w:r>
            <w:r w:rsidRPr="00791BC0">
              <w:rPr>
                <w:rFonts w:ascii="Tahoma" w:eastAsia="Calibri" w:hAnsi="Tahoma" w:cs="Tahoma" w:hint="cs"/>
                <w:sz w:val="18"/>
                <w:szCs w:val="18"/>
                <w:rtl/>
              </w:rPr>
              <w:t xml:space="preserve"> (כ-11.8 מילי</w:t>
            </w:r>
            <w:r w:rsidRPr="00791BC0">
              <w:rPr>
                <w:rFonts w:ascii="Tahoma" w:eastAsia="Calibri" w:hAnsi="Tahoma" w:cs="Tahoma" w:hint="cs"/>
                <w:sz w:val="18"/>
                <w:szCs w:val="18"/>
                <w:rtl/>
              </w:rPr>
              <w:t xml:space="preserve">ארד ש"ח) </w:t>
            </w:r>
            <w:r w:rsidRPr="00791BC0">
              <w:rPr>
                <w:rFonts w:ascii="Tahoma" w:eastAsia="Calibri" w:hAnsi="Tahoma" w:cs="Tahoma"/>
                <w:sz w:val="18"/>
                <w:szCs w:val="18"/>
                <w:rtl/>
              </w:rPr>
              <w:t xml:space="preserve">בחודשים </w:t>
            </w:r>
            <w:r w:rsidRPr="00791BC0">
              <w:rPr>
                <w:rFonts w:ascii="Tahoma" w:eastAsia="Calibri" w:hAnsi="Tahoma" w:cs="Tahoma" w:hint="cs"/>
                <w:sz w:val="18"/>
                <w:szCs w:val="18"/>
                <w:rtl/>
              </w:rPr>
              <w:t xml:space="preserve">אוקטובר -דצמבר 2023 </w:t>
            </w:r>
          </w:p>
        </w:tc>
        <w:tc>
          <w:tcPr>
            <w:tcW w:w="284" w:type="dxa"/>
          </w:tcPr>
          <w:p w:rsidR="00791BC0" w:rsidRPr="00791BC0" w:rsidP="00791BC0">
            <w:pPr>
              <w:spacing w:after="120" w:line="240" w:lineRule="auto"/>
              <w:rPr>
                <w:rFonts w:ascii="Tahoma" w:eastAsia="Calibri" w:hAnsi="Tahoma" w:cs="Tahoma"/>
                <w:sz w:val="18"/>
                <w:szCs w:val="18"/>
                <w:rtl/>
              </w:rPr>
            </w:pPr>
          </w:p>
        </w:tc>
        <w:tc>
          <w:tcPr>
            <w:tcW w:w="2131" w:type="dxa"/>
          </w:tcPr>
          <w:p w:rsidR="00791BC0" w:rsidRPr="00791BC0" w:rsidP="00791BC0">
            <w:pPr>
              <w:spacing w:after="120" w:line="240" w:lineRule="auto"/>
              <w:ind w:right="23"/>
              <w:rPr>
                <w:rFonts w:ascii="Tahoma" w:eastAsia="Calibri" w:hAnsi="Tahoma" w:cs="Tahoma"/>
                <w:sz w:val="18"/>
                <w:szCs w:val="18"/>
                <w:rtl/>
              </w:rPr>
            </w:pPr>
            <w:r w:rsidRPr="00791BC0">
              <w:rPr>
                <w:rFonts w:ascii="Tahoma" w:eastAsia="Calibri" w:hAnsi="Tahoma" w:cs="Tahoma" w:hint="cs"/>
                <w:sz w:val="18"/>
                <w:szCs w:val="18"/>
                <w:rtl/>
              </w:rPr>
              <w:t xml:space="preserve">מהאוכלוסייה הבוגרת בישראל התנדב באוקטובר 2023 למילוי צורכי העורף והחזית. </w:t>
            </w:r>
            <w:r w:rsidRPr="007D4038" w:rsidR="007D4038">
              <w:rPr>
                <w:rFonts w:ascii="Tahoma" w:eastAsia="Calibri" w:hAnsi="Tahoma" w:cs="Tahoma"/>
                <w:sz w:val="18"/>
                <w:szCs w:val="18"/>
                <w:rtl/>
              </w:rPr>
              <w:br/>
            </w:r>
            <w:r w:rsidRPr="00791BC0">
              <w:rPr>
                <w:rFonts w:ascii="Tahoma" w:eastAsia="Calibri" w:hAnsi="Tahoma" w:cs="Tahoma" w:hint="cs"/>
                <w:sz w:val="18"/>
                <w:szCs w:val="18"/>
                <w:rtl/>
              </w:rPr>
              <w:t>כ-2.23 מיליון איש בממוצע התנדבו וכ-3.6 מיליון איש בממוצע תרמו מדי חודש בחודשים אוקטובר-דצמבר 2023</w:t>
            </w:r>
          </w:p>
        </w:tc>
        <w:tc>
          <w:tcPr>
            <w:tcW w:w="278" w:type="dxa"/>
          </w:tcPr>
          <w:p w:rsidR="00791BC0" w:rsidRPr="00791BC0" w:rsidP="00791BC0">
            <w:pPr>
              <w:spacing w:after="120" w:line="240" w:lineRule="auto"/>
              <w:rPr>
                <w:rFonts w:ascii="Tahoma" w:eastAsia="Calibri" w:hAnsi="Tahoma" w:cs="Tahoma"/>
                <w:sz w:val="18"/>
                <w:szCs w:val="18"/>
                <w:rtl/>
              </w:rPr>
            </w:pPr>
          </w:p>
        </w:tc>
        <w:tc>
          <w:tcPr>
            <w:tcW w:w="2129" w:type="dxa"/>
          </w:tcPr>
          <w:p w:rsidR="00791BC0" w:rsidRPr="00791BC0" w:rsidP="00791BC0">
            <w:pPr>
              <w:spacing w:after="120" w:line="240" w:lineRule="auto"/>
              <w:ind w:right="23"/>
              <w:rPr>
                <w:rFonts w:ascii="Tahoma" w:eastAsia="Calibri" w:hAnsi="Tahoma" w:cs="Tahoma"/>
                <w:sz w:val="18"/>
                <w:szCs w:val="18"/>
                <w:rtl/>
              </w:rPr>
            </w:pPr>
            <w:r w:rsidRPr="00791BC0">
              <w:rPr>
                <w:rFonts w:ascii="Tahoma" w:eastAsia="Calibri" w:hAnsi="Tahoma" w:cs="Tahoma" w:hint="cs"/>
                <w:sz w:val="18"/>
                <w:szCs w:val="18"/>
                <w:rtl/>
              </w:rPr>
              <w:t xml:space="preserve">מספר היוזמות האזרחיות </w:t>
            </w:r>
            <w:r w:rsidRPr="00791BC0">
              <w:rPr>
                <w:rFonts w:ascii="Tahoma" w:eastAsia="Calibri" w:hAnsi="Tahoma" w:cs="Tahoma"/>
                <w:sz w:val="18"/>
                <w:szCs w:val="18"/>
                <w:rtl/>
              </w:rPr>
              <w:t>(חמ"לים, התארגנויות אז</w:t>
            </w:r>
            <w:r w:rsidRPr="00791BC0">
              <w:rPr>
                <w:rFonts w:ascii="Tahoma" w:eastAsia="Calibri" w:hAnsi="Tahoma" w:cs="Tahoma"/>
                <w:sz w:val="18"/>
                <w:szCs w:val="18"/>
                <w:rtl/>
              </w:rPr>
              <w:t>רחיות וקהילתיות</w:t>
            </w:r>
            <w:r w:rsidRPr="00791BC0">
              <w:rPr>
                <w:rFonts w:ascii="Tahoma" w:eastAsia="Calibri" w:hAnsi="Tahoma" w:cs="Tahoma" w:hint="cs"/>
                <w:sz w:val="18"/>
                <w:szCs w:val="18"/>
                <w:rtl/>
              </w:rPr>
              <w:t>) שפעלו בחודשים אוקטובר - דצמבר 2023 וסייעו בתקופה זו ליותר משני מיליון אזרחים בהיקף סיוע של למעלה מ-250 מיליון ש"ח. כ-80% מהיוזמות הוקמו ספונטנית</w:t>
            </w:r>
          </w:p>
        </w:tc>
      </w:tr>
      <w:bookmarkEnd w:id="2"/>
      <w:tr w:rsidTr="007B72CD">
        <w:tblPrEx>
          <w:tblW w:w="9642" w:type="dxa"/>
          <w:tblLook w:val="04A0"/>
        </w:tblPrEx>
        <w:trPr>
          <w:trHeight w:val="60"/>
        </w:trPr>
        <w:tc>
          <w:tcPr>
            <w:tcW w:w="9642" w:type="dxa"/>
            <w:gridSpan w:val="7"/>
          </w:tcPr>
          <w:p w:rsidR="00791BC0" w:rsidRPr="00791BC0" w:rsidP="00791BC0">
            <w:pPr>
              <w:spacing w:after="120" w:line="288" w:lineRule="auto"/>
              <w:jc w:val="center"/>
              <w:rPr>
                <w:rFonts w:ascii="Tahoma" w:eastAsia="Calibri" w:hAnsi="Tahoma" w:cs="Tahoma"/>
                <w:sz w:val="2"/>
                <w:szCs w:val="2"/>
                <w:rtl/>
              </w:rPr>
            </w:pPr>
          </w:p>
        </w:tc>
      </w:tr>
      <w:tr w:rsidTr="007D4038">
        <w:tblPrEx>
          <w:tblW w:w="9642" w:type="dxa"/>
          <w:tblLook w:val="04A0"/>
        </w:tblPrEx>
        <w:trPr>
          <w:trHeight w:val="983"/>
        </w:trPr>
        <w:tc>
          <w:tcPr>
            <w:tcW w:w="2269" w:type="dxa"/>
            <w:tcBorders>
              <w:bottom w:val="single" w:sz="12" w:space="0" w:color="auto"/>
            </w:tcBorders>
            <w:vAlign w:val="center"/>
          </w:tcPr>
          <w:p w:rsidR="00791BC0" w:rsidRPr="00791BC0" w:rsidP="00791BC0">
            <w:pPr>
              <w:spacing w:after="120" w:line="240" w:lineRule="auto"/>
              <w:rPr>
                <w:rFonts w:ascii="Tahoma" w:eastAsia="Calibri" w:hAnsi="Tahoma" w:cs="Tahoma"/>
                <w:spacing w:val="-10"/>
                <w:sz w:val="28"/>
                <w:szCs w:val="28"/>
                <w:rtl/>
              </w:rPr>
            </w:pPr>
          </w:p>
          <w:p w:rsidR="00791BC0" w:rsidRPr="00791BC0" w:rsidP="00791BC0">
            <w:pPr>
              <w:spacing w:after="120" w:line="240" w:lineRule="auto"/>
              <w:rPr>
                <w:rFonts w:ascii="Tahoma" w:eastAsia="Calibri" w:hAnsi="Tahoma" w:cs="Tahoma"/>
                <w:spacing w:val="-10"/>
                <w:sz w:val="28"/>
                <w:szCs w:val="28"/>
                <w:rtl/>
              </w:rPr>
            </w:pPr>
          </w:p>
          <w:p w:rsidR="00791BC0" w:rsidRPr="00791BC0" w:rsidP="00791BC0">
            <w:pPr>
              <w:spacing w:after="60" w:line="240" w:lineRule="auto"/>
              <w:rPr>
                <w:rFonts w:ascii="Tahoma" w:eastAsia="Calibri" w:hAnsi="Tahoma" w:cs="Tahoma"/>
                <w:spacing w:val="-10"/>
                <w:sz w:val="28"/>
                <w:szCs w:val="28"/>
              </w:rPr>
            </w:pPr>
            <w:r w:rsidRPr="00791BC0">
              <w:rPr>
                <w:rFonts w:ascii="Tahoma" w:eastAsia="Calibri" w:hAnsi="Tahoma" w:cs="Tahoma"/>
                <w:spacing w:val="-10"/>
                <w:sz w:val="28"/>
                <w:szCs w:val="28"/>
                <w:rtl/>
              </w:rPr>
              <w:t xml:space="preserve">לא פעל </w:t>
            </w:r>
          </w:p>
        </w:tc>
        <w:tc>
          <w:tcPr>
            <w:tcW w:w="279" w:type="dxa"/>
          </w:tcPr>
          <w:p w:rsidR="00791BC0" w:rsidRPr="00791BC0" w:rsidP="00791BC0">
            <w:pPr>
              <w:spacing w:after="120" w:line="240" w:lineRule="auto"/>
              <w:rPr>
                <w:rFonts w:ascii="Tahoma" w:eastAsia="Calibri" w:hAnsi="Tahoma" w:cs="Tahoma"/>
                <w:spacing w:val="-10"/>
                <w:sz w:val="28"/>
                <w:szCs w:val="28"/>
              </w:rPr>
            </w:pPr>
          </w:p>
        </w:tc>
        <w:tc>
          <w:tcPr>
            <w:tcW w:w="2272" w:type="dxa"/>
            <w:tcBorders>
              <w:bottom w:val="single" w:sz="12" w:space="0" w:color="auto"/>
            </w:tcBorders>
            <w:vAlign w:val="center"/>
          </w:tcPr>
          <w:p w:rsidR="00791BC0" w:rsidRPr="00791BC0" w:rsidP="00791BC0">
            <w:pPr>
              <w:spacing w:after="120" w:line="240" w:lineRule="auto"/>
              <w:rPr>
                <w:rFonts w:ascii="Tahoma" w:eastAsia="Calibri" w:hAnsi="Tahoma" w:cs="Tahoma"/>
                <w:spacing w:val="-10"/>
                <w:sz w:val="28"/>
                <w:szCs w:val="28"/>
                <w:rtl/>
              </w:rPr>
            </w:pPr>
          </w:p>
          <w:p w:rsidR="00791BC0" w:rsidRPr="00791BC0" w:rsidP="00791BC0">
            <w:pPr>
              <w:spacing w:after="120" w:line="240" w:lineRule="auto"/>
              <w:rPr>
                <w:rFonts w:ascii="Tahoma" w:eastAsia="Calibri" w:hAnsi="Tahoma" w:cs="Tahoma"/>
                <w:spacing w:val="-10"/>
                <w:sz w:val="28"/>
                <w:szCs w:val="28"/>
                <w:rtl/>
              </w:rPr>
            </w:pPr>
          </w:p>
          <w:p w:rsidR="00791BC0" w:rsidRPr="00791BC0" w:rsidP="00791BC0">
            <w:pPr>
              <w:spacing w:after="60" w:line="240" w:lineRule="auto"/>
              <w:rPr>
                <w:rFonts w:ascii="Tahoma" w:eastAsia="Calibri" w:hAnsi="Tahoma" w:cs="Tahoma"/>
                <w:spacing w:val="-10"/>
                <w:sz w:val="28"/>
                <w:szCs w:val="28"/>
              </w:rPr>
            </w:pPr>
            <w:r w:rsidRPr="00791BC0">
              <w:rPr>
                <w:rFonts w:ascii="Tahoma" w:eastAsia="Calibri" w:hAnsi="Tahoma" w:cs="Tahoma"/>
                <w:spacing w:val="-10"/>
                <w:sz w:val="28"/>
                <w:szCs w:val="28"/>
                <w:rtl/>
              </w:rPr>
              <w:t xml:space="preserve">לא </w:t>
            </w:r>
            <w:r w:rsidRPr="00791BC0">
              <w:rPr>
                <w:rFonts w:ascii="Tahoma" w:eastAsia="Calibri" w:hAnsi="Tahoma" w:cs="Tahoma" w:hint="cs"/>
                <w:spacing w:val="-10"/>
                <w:sz w:val="28"/>
                <w:szCs w:val="28"/>
                <w:rtl/>
              </w:rPr>
              <w:t>הוקמו</w:t>
            </w:r>
          </w:p>
        </w:tc>
        <w:tc>
          <w:tcPr>
            <w:tcW w:w="284" w:type="dxa"/>
          </w:tcPr>
          <w:p w:rsidR="00791BC0" w:rsidRPr="00791BC0" w:rsidP="00791BC0">
            <w:pPr>
              <w:spacing w:after="120" w:line="240" w:lineRule="auto"/>
              <w:rPr>
                <w:rFonts w:ascii="Tahoma" w:eastAsia="Calibri" w:hAnsi="Tahoma" w:cs="Tahoma"/>
                <w:spacing w:val="-10"/>
                <w:sz w:val="28"/>
                <w:szCs w:val="28"/>
              </w:rPr>
            </w:pPr>
          </w:p>
        </w:tc>
        <w:tc>
          <w:tcPr>
            <w:tcW w:w="2131" w:type="dxa"/>
            <w:tcBorders>
              <w:bottom w:val="single" w:sz="12" w:space="0" w:color="auto"/>
            </w:tcBorders>
          </w:tcPr>
          <w:p w:rsidR="00791BC0" w:rsidRPr="00791BC0" w:rsidP="00791BC0">
            <w:pPr>
              <w:spacing w:after="120" w:line="240" w:lineRule="auto"/>
              <w:rPr>
                <w:rFonts w:ascii="Tahoma" w:eastAsia="Calibri" w:hAnsi="Tahoma" w:cs="Tahoma"/>
                <w:spacing w:val="-10"/>
                <w:sz w:val="28"/>
                <w:szCs w:val="28"/>
                <w:rtl/>
              </w:rPr>
            </w:pPr>
          </w:p>
          <w:p w:rsidR="00791BC0" w:rsidRPr="00791BC0" w:rsidP="00791BC0">
            <w:pPr>
              <w:spacing w:after="120" w:line="240" w:lineRule="auto"/>
              <w:rPr>
                <w:rFonts w:ascii="Tahoma" w:eastAsia="Calibri" w:hAnsi="Tahoma" w:cs="Tahoma"/>
                <w:spacing w:val="-10"/>
                <w:sz w:val="28"/>
                <w:szCs w:val="28"/>
                <w:rtl/>
              </w:rPr>
            </w:pPr>
            <w:r w:rsidRPr="00791BC0">
              <w:rPr>
                <w:rFonts w:ascii="Tahoma" w:eastAsia="Calibri" w:hAnsi="Tahoma" w:cs="Tahoma"/>
                <w:spacing w:val="-10"/>
                <w:sz w:val="28"/>
                <w:szCs w:val="28"/>
                <w:rtl/>
              </w:rPr>
              <w:t xml:space="preserve"> </w:t>
            </w:r>
          </w:p>
          <w:p w:rsidR="00791BC0" w:rsidRPr="00791BC0" w:rsidP="00791BC0">
            <w:pPr>
              <w:spacing w:after="60" w:line="240" w:lineRule="auto"/>
              <w:rPr>
                <w:rFonts w:ascii="Tahoma" w:eastAsia="Calibri" w:hAnsi="Tahoma" w:cs="Tahoma"/>
                <w:spacing w:val="-10"/>
                <w:sz w:val="28"/>
                <w:szCs w:val="28"/>
              </w:rPr>
            </w:pPr>
            <w:r w:rsidRPr="00791BC0">
              <w:rPr>
                <w:rFonts w:ascii="Tahoma" w:eastAsia="Calibri" w:hAnsi="Tahoma" w:cs="Tahoma"/>
                <w:spacing w:val="-10"/>
                <w:sz w:val="36"/>
                <w:szCs w:val="36"/>
                <w:rtl/>
              </w:rPr>
              <w:t>1</w:t>
            </w:r>
            <w:r w:rsidRPr="00791BC0">
              <w:rPr>
                <w:rFonts w:ascii="Tahoma" w:eastAsia="Calibri" w:hAnsi="Tahoma" w:cs="Tahoma"/>
                <w:spacing w:val="-10"/>
                <w:sz w:val="28"/>
                <w:szCs w:val="28"/>
                <w:rtl/>
              </w:rPr>
              <w:t xml:space="preserve"> עובדת בלבד</w:t>
            </w:r>
          </w:p>
        </w:tc>
        <w:tc>
          <w:tcPr>
            <w:tcW w:w="278" w:type="dxa"/>
          </w:tcPr>
          <w:p w:rsidR="00791BC0" w:rsidRPr="00791BC0" w:rsidP="00791BC0">
            <w:pPr>
              <w:spacing w:after="120" w:line="240" w:lineRule="auto"/>
              <w:rPr>
                <w:rFonts w:ascii="Tahoma" w:eastAsia="Calibri" w:hAnsi="Tahoma" w:cs="Tahoma"/>
                <w:spacing w:val="-10"/>
              </w:rPr>
            </w:pPr>
          </w:p>
        </w:tc>
        <w:tc>
          <w:tcPr>
            <w:tcW w:w="2129" w:type="dxa"/>
            <w:tcBorders>
              <w:bottom w:val="single" w:sz="12" w:space="0" w:color="auto"/>
            </w:tcBorders>
            <w:vAlign w:val="bottom"/>
          </w:tcPr>
          <w:p w:rsidR="00791BC0" w:rsidRPr="00791BC0" w:rsidP="00791BC0">
            <w:pPr>
              <w:spacing w:after="60" w:line="240" w:lineRule="auto"/>
              <w:rPr>
                <w:rFonts w:ascii="Tahoma" w:eastAsia="Calibri" w:hAnsi="Tahoma" w:cs="Tahoma"/>
                <w:spacing w:val="-10"/>
                <w:sz w:val="36"/>
                <w:szCs w:val="36"/>
              </w:rPr>
            </w:pPr>
            <w:r w:rsidRPr="00791BC0">
              <w:rPr>
                <w:rFonts w:ascii="Tahoma" w:eastAsia="Calibri" w:hAnsi="Tahoma" w:cs="Tahoma" w:hint="cs"/>
                <w:spacing w:val="-10"/>
                <w:sz w:val="36"/>
                <w:szCs w:val="36"/>
                <w:rtl/>
              </w:rPr>
              <w:t xml:space="preserve">בכמחצית </w:t>
            </w:r>
            <w:r w:rsidRPr="00791BC0">
              <w:rPr>
                <w:rFonts w:ascii="Tahoma" w:eastAsia="Calibri" w:hAnsi="Tahoma" w:cs="Tahoma" w:hint="cs"/>
                <w:spacing w:val="-10"/>
                <w:sz w:val="28"/>
                <w:szCs w:val="28"/>
                <w:rtl/>
              </w:rPr>
              <w:t>ממשרדי הממשלה</w:t>
            </w:r>
          </w:p>
        </w:tc>
      </w:tr>
      <w:tr w:rsidTr="007B72CD">
        <w:tblPrEx>
          <w:tblW w:w="9642" w:type="dxa"/>
          <w:tblLook w:val="04A0"/>
        </w:tblPrEx>
        <w:trPr>
          <w:trHeight w:val="70"/>
        </w:trPr>
        <w:tc>
          <w:tcPr>
            <w:tcW w:w="9642" w:type="dxa"/>
            <w:gridSpan w:val="7"/>
            <w:vAlign w:val="center"/>
          </w:tcPr>
          <w:p w:rsidR="00791BC0" w:rsidRPr="00791BC0" w:rsidP="00791BC0">
            <w:pPr>
              <w:spacing w:after="120" w:line="288" w:lineRule="auto"/>
              <w:rPr>
                <w:rFonts w:ascii="Tahoma" w:eastAsia="Calibri" w:hAnsi="Tahoma" w:cs="Tahoma"/>
                <w:spacing w:val="-10"/>
                <w:sz w:val="6"/>
                <w:szCs w:val="6"/>
                <w:rtl/>
              </w:rPr>
            </w:pPr>
          </w:p>
        </w:tc>
      </w:tr>
      <w:tr w:rsidTr="007D4038">
        <w:tblPrEx>
          <w:tblW w:w="9642" w:type="dxa"/>
          <w:tblLook w:val="04A0"/>
        </w:tblPrEx>
        <w:trPr>
          <w:trHeight w:val="1153"/>
        </w:trPr>
        <w:tc>
          <w:tcPr>
            <w:tcW w:w="2269" w:type="dxa"/>
          </w:tcPr>
          <w:p w:rsidR="00791BC0" w:rsidRPr="00791BC0" w:rsidP="00791BC0">
            <w:pPr>
              <w:spacing w:after="120" w:line="240" w:lineRule="auto"/>
              <w:ind w:right="23"/>
              <w:rPr>
                <w:rFonts w:ascii="Tahoma" w:eastAsia="Calibri" w:hAnsi="Tahoma" w:cs="Tahoma"/>
                <w:sz w:val="18"/>
                <w:szCs w:val="18"/>
                <w:rtl/>
              </w:rPr>
            </w:pPr>
            <w:r w:rsidRPr="00791BC0">
              <w:rPr>
                <w:rFonts w:ascii="Tahoma" w:eastAsia="Calibri" w:hAnsi="Tahoma" w:cs="Tahoma"/>
                <w:sz w:val="18"/>
                <w:szCs w:val="18"/>
                <w:rtl/>
              </w:rPr>
              <w:t>במהלך מלחמת חרבות ברזל</w:t>
            </w:r>
            <w:r w:rsidRPr="00791BC0">
              <w:rPr>
                <w:rFonts w:eastAsia="Calibri"/>
                <w:sz w:val="18"/>
                <w:szCs w:val="18"/>
                <w:rtl/>
              </w:rPr>
              <w:t xml:space="preserve"> </w:t>
            </w:r>
            <w:r w:rsidRPr="00791BC0">
              <w:rPr>
                <w:rFonts w:ascii="Tahoma" w:eastAsia="Calibri" w:hAnsi="Tahoma" w:cs="Tahoma"/>
                <w:sz w:val="18"/>
                <w:szCs w:val="18"/>
                <w:rtl/>
              </w:rPr>
              <w:t>גוף</w:t>
            </w:r>
            <w:r w:rsidRPr="00791BC0">
              <w:rPr>
                <w:rFonts w:ascii="Tahoma" w:eastAsia="Calibri" w:hAnsi="Tahoma" w:cs="Tahoma"/>
                <w:sz w:val="18"/>
                <w:szCs w:val="18"/>
                <w:rtl/>
              </w:rPr>
              <w:t xml:space="preserve"> ממשלתי מתכלל שיוביל את התיאום בין ה</w:t>
            </w:r>
            <w:r w:rsidRPr="00791BC0">
              <w:rPr>
                <w:rFonts w:ascii="Tahoma" w:eastAsia="Calibri" w:hAnsi="Tahoma" w:cs="Tahoma" w:hint="cs"/>
                <w:sz w:val="18"/>
                <w:szCs w:val="18"/>
                <w:rtl/>
              </w:rPr>
              <w:t xml:space="preserve">מערכת </w:t>
            </w:r>
            <w:r w:rsidRPr="00791BC0">
              <w:rPr>
                <w:rFonts w:ascii="Tahoma" w:eastAsia="Calibri" w:hAnsi="Tahoma" w:cs="Tahoma"/>
                <w:sz w:val="18"/>
                <w:szCs w:val="18"/>
                <w:rtl/>
              </w:rPr>
              <w:t>הממשלתית לגופים תורמים והתנדבותיים</w:t>
            </w:r>
            <w:r w:rsidRPr="00791BC0">
              <w:rPr>
                <w:rFonts w:ascii="Tahoma" w:eastAsia="Calibri" w:hAnsi="Tahoma" w:cs="Tahoma" w:hint="cs"/>
                <w:sz w:val="18"/>
                <w:szCs w:val="18"/>
                <w:rtl/>
              </w:rPr>
              <w:t xml:space="preserve">. </w:t>
            </w:r>
            <w:r w:rsidRPr="00791BC0">
              <w:rPr>
                <w:rFonts w:ascii="Tahoma" w:eastAsia="Calibri" w:hAnsi="Tahoma" w:cs="Tahoma"/>
                <w:sz w:val="18"/>
                <w:szCs w:val="18"/>
                <w:rtl/>
              </w:rPr>
              <w:t>חסר זה הוא בראש ובראשונה תוצאה של היעדר היערכות ממשלתית מוקדמת כנדרש, וכישלון ניסיון ממשלתי להקים מערך תיאום רב-מגזרי מתכלל לאחר פרוץ המלחמה</w:t>
            </w:r>
          </w:p>
        </w:tc>
        <w:tc>
          <w:tcPr>
            <w:tcW w:w="279" w:type="dxa"/>
          </w:tcPr>
          <w:p w:rsidR="00791BC0" w:rsidRPr="00791BC0" w:rsidP="00791BC0">
            <w:pPr>
              <w:spacing w:after="120" w:line="240" w:lineRule="auto"/>
              <w:rPr>
                <w:rFonts w:ascii="Tahoma" w:eastAsia="Calibri" w:hAnsi="Tahoma" w:cs="Tahoma"/>
                <w:sz w:val="18"/>
                <w:szCs w:val="18"/>
                <w:rtl/>
              </w:rPr>
            </w:pPr>
          </w:p>
        </w:tc>
        <w:tc>
          <w:tcPr>
            <w:tcW w:w="2272" w:type="dxa"/>
          </w:tcPr>
          <w:p w:rsidR="00791BC0" w:rsidRPr="00791BC0" w:rsidP="00791BC0">
            <w:pPr>
              <w:spacing w:after="120" w:line="240" w:lineRule="auto"/>
              <w:ind w:right="23"/>
              <w:rPr>
                <w:rFonts w:ascii="Tahoma" w:eastAsia="Calibri" w:hAnsi="Tahoma" w:cs="Tahoma"/>
                <w:sz w:val="18"/>
                <w:szCs w:val="18"/>
                <w:highlight w:val="yellow"/>
                <w:rtl/>
              </w:rPr>
            </w:pPr>
            <w:r w:rsidRPr="00791BC0">
              <w:rPr>
                <w:rFonts w:ascii="Tahoma" w:eastAsia="Calibri" w:hAnsi="Tahoma" w:cs="Tahoma" w:hint="cs"/>
                <w:sz w:val="18"/>
                <w:szCs w:val="18"/>
                <w:rtl/>
              </w:rPr>
              <w:t xml:space="preserve">לפני המלחמה תשתיות ולא בוצעו פעולות </w:t>
            </w:r>
            <w:r w:rsidRPr="00791BC0">
              <w:rPr>
                <w:rFonts w:ascii="Tahoma" w:eastAsia="Calibri" w:hAnsi="Tahoma" w:cs="Tahoma" w:hint="cs"/>
                <w:sz w:val="18"/>
                <w:szCs w:val="18"/>
                <w:rtl/>
              </w:rPr>
              <w:t xml:space="preserve">כלל-ממשלתיות שהיו חיוניות </w:t>
            </w:r>
            <w:r w:rsidRPr="00791BC0">
              <w:rPr>
                <w:rFonts w:ascii="Tahoma" w:eastAsia="Calibri" w:hAnsi="Tahoma" w:cs="Tahoma"/>
                <w:sz w:val="18"/>
                <w:szCs w:val="18"/>
                <w:rtl/>
              </w:rPr>
              <w:t>ל</w:t>
            </w:r>
            <w:r w:rsidRPr="00791BC0">
              <w:rPr>
                <w:rFonts w:ascii="Tahoma" w:eastAsia="Calibri" w:hAnsi="Tahoma" w:cs="Tahoma" w:hint="cs"/>
                <w:sz w:val="18"/>
                <w:szCs w:val="18"/>
                <w:rtl/>
              </w:rPr>
              <w:t>קידום תיאום בין המערכת הממשלתית ל</w:t>
            </w:r>
            <w:r w:rsidRPr="00791BC0">
              <w:rPr>
                <w:rFonts w:ascii="Tahoma" w:eastAsia="Calibri" w:hAnsi="Tahoma" w:cs="Tahoma"/>
                <w:sz w:val="18"/>
                <w:szCs w:val="18"/>
                <w:rtl/>
              </w:rPr>
              <w:t>גופים תורמים והתנדבותיים</w:t>
            </w:r>
            <w:r w:rsidRPr="00791BC0">
              <w:rPr>
                <w:rFonts w:ascii="Tahoma" w:eastAsia="Calibri" w:hAnsi="Tahoma" w:cs="Tahoma" w:hint="cs"/>
                <w:sz w:val="18"/>
                <w:szCs w:val="18"/>
                <w:rtl/>
              </w:rPr>
              <w:t xml:space="preserve"> במצבי חירום, למרות שכבר בשנת 2008 הקימה הממשלה </w:t>
            </w:r>
            <w:r w:rsidRPr="00791BC0">
              <w:rPr>
                <w:rFonts w:ascii="Tahoma" w:eastAsia="Calibri" w:hAnsi="Tahoma" w:cs="Tahoma"/>
                <w:sz w:val="18"/>
                <w:szCs w:val="18"/>
                <w:rtl/>
              </w:rPr>
              <w:t xml:space="preserve">יחידה </w:t>
            </w:r>
            <w:r w:rsidRPr="00791BC0">
              <w:rPr>
                <w:rFonts w:ascii="Tahoma" w:eastAsia="Calibri" w:hAnsi="Tahoma" w:cs="Tahoma" w:hint="cs"/>
                <w:sz w:val="18"/>
                <w:szCs w:val="18"/>
                <w:rtl/>
              </w:rPr>
              <w:t xml:space="preserve">ממשלתית-מקצועית- מייעצת שכל ייעודה לקדם תיאום זה (היחידה </w:t>
            </w:r>
            <w:r w:rsidRPr="00791BC0">
              <w:rPr>
                <w:rFonts w:ascii="Tahoma" w:eastAsia="Calibri" w:hAnsi="Tahoma" w:cs="Tahoma"/>
                <w:sz w:val="18"/>
                <w:szCs w:val="18"/>
                <w:rtl/>
              </w:rPr>
              <w:t>לשיתופי פעולה רב-מגזריים במשרד רה"ם</w:t>
            </w:r>
            <w:r w:rsidRPr="00791BC0">
              <w:rPr>
                <w:rFonts w:ascii="Tahoma" w:eastAsia="Calibri" w:hAnsi="Tahoma" w:cs="Tahoma" w:hint="cs"/>
                <w:sz w:val="18"/>
                <w:szCs w:val="18"/>
                <w:rtl/>
              </w:rPr>
              <w:t>)</w:t>
            </w:r>
          </w:p>
        </w:tc>
        <w:tc>
          <w:tcPr>
            <w:tcW w:w="284" w:type="dxa"/>
          </w:tcPr>
          <w:p w:rsidR="00791BC0" w:rsidRPr="00791BC0" w:rsidP="00791BC0">
            <w:pPr>
              <w:spacing w:after="120" w:line="240" w:lineRule="auto"/>
              <w:rPr>
                <w:rFonts w:ascii="Tahoma" w:eastAsia="Calibri" w:hAnsi="Tahoma" w:cs="Tahoma"/>
                <w:sz w:val="18"/>
                <w:szCs w:val="18"/>
                <w:rtl/>
              </w:rPr>
            </w:pPr>
          </w:p>
        </w:tc>
        <w:tc>
          <w:tcPr>
            <w:tcW w:w="2131" w:type="dxa"/>
          </w:tcPr>
          <w:p w:rsidR="00791BC0" w:rsidRPr="00791BC0" w:rsidP="00791BC0">
            <w:pPr>
              <w:spacing w:after="120" w:line="240" w:lineRule="auto"/>
              <w:ind w:right="23"/>
              <w:rPr>
                <w:rFonts w:ascii="Tahoma" w:eastAsia="Calibri" w:hAnsi="Tahoma" w:cs="Tahoma"/>
                <w:sz w:val="18"/>
                <w:szCs w:val="18"/>
                <w:rtl/>
              </w:rPr>
            </w:pPr>
            <w:r w:rsidRPr="00791BC0">
              <w:rPr>
                <w:rFonts w:ascii="Tahoma" w:eastAsia="Calibri" w:hAnsi="Tahoma" w:cs="Tahoma" w:hint="cs"/>
                <w:sz w:val="18"/>
                <w:szCs w:val="18"/>
                <w:rtl/>
              </w:rPr>
              <w:t>עבדה ביחידה לשיתופי פעו</w:t>
            </w:r>
            <w:r w:rsidRPr="00791BC0">
              <w:rPr>
                <w:rFonts w:ascii="Tahoma" w:eastAsia="Calibri" w:hAnsi="Tahoma" w:cs="Tahoma" w:hint="cs"/>
                <w:sz w:val="18"/>
                <w:szCs w:val="18"/>
                <w:rtl/>
              </w:rPr>
              <w:t xml:space="preserve">לה רב-מגזריים במשרד רה"ם בחודשים הראשונים למלחמה (המדובר במנהלת היחידה). עד לפרוץ המלחמה עבדו ביחידה שתי עובדות בלבד (מנהלת היחידה ורכזת) </w:t>
            </w:r>
          </w:p>
        </w:tc>
        <w:tc>
          <w:tcPr>
            <w:tcW w:w="278" w:type="dxa"/>
          </w:tcPr>
          <w:p w:rsidR="00791BC0" w:rsidRPr="00791BC0" w:rsidP="00791BC0">
            <w:pPr>
              <w:spacing w:after="120" w:line="240" w:lineRule="auto"/>
              <w:rPr>
                <w:rFonts w:ascii="Tahoma" w:eastAsia="Calibri" w:hAnsi="Tahoma" w:cs="Tahoma"/>
                <w:sz w:val="18"/>
                <w:szCs w:val="18"/>
                <w:rtl/>
              </w:rPr>
            </w:pPr>
          </w:p>
        </w:tc>
        <w:tc>
          <w:tcPr>
            <w:tcW w:w="2129" w:type="dxa"/>
          </w:tcPr>
          <w:p w:rsidR="00791BC0" w:rsidRPr="00791BC0" w:rsidP="00791BC0">
            <w:pPr>
              <w:spacing w:after="120" w:line="240" w:lineRule="auto"/>
              <w:ind w:right="23"/>
              <w:rPr>
                <w:rFonts w:ascii="Tahoma" w:eastAsia="Calibri" w:hAnsi="Tahoma" w:cs="Tahoma"/>
                <w:sz w:val="18"/>
                <w:szCs w:val="18"/>
                <w:rtl/>
              </w:rPr>
            </w:pPr>
            <w:r w:rsidRPr="00791BC0">
              <w:rPr>
                <w:rFonts w:ascii="Tahoma" w:eastAsia="Calibri" w:hAnsi="Tahoma" w:cs="Tahoma" w:hint="cs"/>
                <w:sz w:val="18"/>
                <w:szCs w:val="18"/>
                <w:rtl/>
              </w:rPr>
              <w:t xml:space="preserve">שנבדקו בביקורת </w:t>
            </w:r>
            <w:r w:rsidRPr="00791BC0">
              <w:rPr>
                <w:rFonts w:ascii="Tahoma" w:eastAsia="Calibri" w:hAnsi="Tahoma" w:cs="Tahoma"/>
                <w:sz w:val="18"/>
                <w:szCs w:val="18"/>
                <w:rtl/>
              </w:rPr>
              <w:t xml:space="preserve">לא </w:t>
            </w:r>
            <w:r w:rsidRPr="00791BC0">
              <w:rPr>
                <w:rFonts w:ascii="Tahoma" w:eastAsia="Calibri" w:hAnsi="Tahoma" w:cs="Tahoma" w:hint="cs"/>
                <w:sz w:val="18"/>
                <w:szCs w:val="18"/>
                <w:rtl/>
              </w:rPr>
              <w:t xml:space="preserve">היה </w:t>
            </w:r>
            <w:r w:rsidRPr="00791BC0">
              <w:rPr>
                <w:rFonts w:ascii="Tahoma" w:eastAsia="Calibri" w:hAnsi="Tahoma" w:cs="Tahoma"/>
                <w:sz w:val="18"/>
                <w:szCs w:val="18"/>
                <w:rtl/>
              </w:rPr>
              <w:t>ב</w:t>
            </w:r>
            <w:r w:rsidRPr="00791BC0">
              <w:rPr>
                <w:rFonts w:ascii="Tahoma" w:eastAsia="Calibri" w:hAnsi="Tahoma" w:cs="Tahoma" w:hint="cs"/>
                <w:sz w:val="18"/>
                <w:szCs w:val="18"/>
                <w:rtl/>
              </w:rPr>
              <w:t>מלחמה ב</w:t>
            </w:r>
            <w:r w:rsidRPr="00791BC0">
              <w:rPr>
                <w:rFonts w:ascii="Tahoma" w:eastAsia="Calibri" w:hAnsi="Tahoma" w:cs="Tahoma"/>
                <w:sz w:val="18"/>
                <w:szCs w:val="18"/>
                <w:rtl/>
              </w:rPr>
              <w:t xml:space="preserve">על תפקיד </w:t>
            </w:r>
            <w:r w:rsidRPr="00791BC0">
              <w:rPr>
                <w:rFonts w:ascii="Tahoma" w:eastAsia="Calibri" w:hAnsi="Tahoma" w:cs="Tahoma" w:hint="cs"/>
                <w:sz w:val="18"/>
                <w:szCs w:val="18"/>
                <w:rtl/>
              </w:rPr>
              <w:t>י</w:t>
            </w:r>
            <w:r w:rsidRPr="00791BC0">
              <w:rPr>
                <w:rFonts w:ascii="Tahoma" w:eastAsia="Calibri" w:hAnsi="Tahoma" w:cs="Tahoma"/>
                <w:sz w:val="18"/>
                <w:szCs w:val="18"/>
                <w:rtl/>
              </w:rPr>
              <w:t xml:space="preserve">יעודי </w:t>
            </w:r>
            <w:r w:rsidRPr="00791BC0">
              <w:rPr>
                <w:rFonts w:ascii="Tahoma" w:eastAsia="Calibri" w:hAnsi="Tahoma" w:cs="Tahoma" w:hint="cs"/>
                <w:sz w:val="18"/>
                <w:szCs w:val="18"/>
                <w:rtl/>
              </w:rPr>
              <w:t>האחראי על הקשר בין</w:t>
            </w:r>
            <w:r w:rsidRPr="00791BC0">
              <w:rPr>
                <w:rFonts w:ascii="Tahoma" w:eastAsia="Calibri" w:hAnsi="Tahoma" w:cs="Tahoma"/>
                <w:sz w:val="18"/>
                <w:szCs w:val="18"/>
                <w:rtl/>
              </w:rPr>
              <w:t xml:space="preserve"> המשרד ל</w:t>
            </w:r>
            <w:r w:rsidRPr="00791BC0">
              <w:rPr>
                <w:rFonts w:ascii="Tahoma" w:eastAsia="Calibri" w:hAnsi="Tahoma" w:cs="Tahoma" w:hint="cs"/>
                <w:sz w:val="18"/>
                <w:szCs w:val="18"/>
                <w:rtl/>
              </w:rPr>
              <w:t>גופים תורמים והתנדבותיים. המדובר ב-7 מתוך 15</w:t>
            </w:r>
            <w:r w:rsidRPr="00791BC0">
              <w:rPr>
                <w:rFonts w:ascii="Tahoma" w:eastAsia="Calibri" w:hAnsi="Tahoma" w:cs="Tahoma" w:hint="cs"/>
                <w:sz w:val="18"/>
                <w:szCs w:val="18"/>
                <w:rtl/>
              </w:rPr>
              <w:t xml:space="preserve"> </w:t>
            </w:r>
            <w:r w:rsidRPr="00791BC0">
              <w:rPr>
                <w:rFonts w:ascii="Tahoma" w:eastAsia="Calibri" w:hAnsi="Tahoma" w:cs="Tahoma"/>
                <w:sz w:val="18"/>
                <w:szCs w:val="18"/>
                <w:rtl/>
              </w:rPr>
              <w:t>משרדי ממשלה שהיו בקשר עם גופים תורמים ו</w:t>
            </w:r>
            <w:r w:rsidRPr="00791BC0">
              <w:rPr>
                <w:rFonts w:ascii="Tahoma" w:eastAsia="Calibri" w:hAnsi="Tahoma" w:cs="Tahoma" w:hint="cs"/>
                <w:sz w:val="18"/>
                <w:szCs w:val="18"/>
                <w:rtl/>
              </w:rPr>
              <w:t>התנדבותיים</w:t>
            </w:r>
            <w:r w:rsidRPr="00791BC0">
              <w:rPr>
                <w:rFonts w:ascii="Tahoma" w:eastAsia="Calibri" w:hAnsi="Tahoma" w:cs="Tahoma"/>
                <w:sz w:val="18"/>
                <w:szCs w:val="18"/>
                <w:rtl/>
              </w:rPr>
              <w:t xml:space="preserve"> במלחמ</w:t>
            </w:r>
            <w:r w:rsidRPr="00791BC0">
              <w:rPr>
                <w:rFonts w:ascii="Tahoma" w:eastAsia="Calibri" w:hAnsi="Tahoma" w:cs="Tahoma" w:hint="cs"/>
                <w:sz w:val="18"/>
                <w:szCs w:val="18"/>
                <w:rtl/>
              </w:rPr>
              <w:t xml:space="preserve">ה, </w:t>
            </w:r>
            <w:r w:rsidRPr="00791BC0">
              <w:rPr>
                <w:rFonts w:ascii="Tahoma" w:eastAsia="Calibri" w:hAnsi="Tahoma" w:cs="Tahoma"/>
                <w:sz w:val="18"/>
                <w:szCs w:val="18"/>
                <w:rtl/>
              </w:rPr>
              <w:t xml:space="preserve">או שמשרד מבקר המדינה מצא כי בתחומי </w:t>
            </w:r>
            <w:r w:rsidRPr="00791BC0">
              <w:rPr>
                <w:rFonts w:ascii="Tahoma" w:eastAsia="Calibri" w:hAnsi="Tahoma" w:cs="Tahoma" w:hint="cs"/>
                <w:sz w:val="18"/>
                <w:szCs w:val="18"/>
                <w:rtl/>
              </w:rPr>
              <w:t>אחריות</w:t>
            </w:r>
            <w:r w:rsidRPr="00791BC0">
              <w:rPr>
                <w:rFonts w:ascii="Tahoma" w:eastAsia="Calibri" w:hAnsi="Tahoma" w:cs="Tahoma"/>
                <w:sz w:val="18"/>
                <w:szCs w:val="18"/>
                <w:rtl/>
              </w:rPr>
              <w:t xml:space="preserve">ם פעלו גופים </w:t>
            </w:r>
            <w:r w:rsidRPr="00791BC0">
              <w:rPr>
                <w:rFonts w:ascii="Tahoma" w:eastAsia="Calibri" w:hAnsi="Tahoma" w:cs="Tahoma" w:hint="cs"/>
                <w:sz w:val="18"/>
                <w:szCs w:val="18"/>
                <w:rtl/>
              </w:rPr>
              <w:t>כ</w:t>
            </w:r>
            <w:r w:rsidRPr="00791BC0">
              <w:rPr>
                <w:rFonts w:ascii="Tahoma" w:eastAsia="Calibri" w:hAnsi="Tahoma" w:cs="Tahoma"/>
                <w:sz w:val="18"/>
                <w:szCs w:val="18"/>
                <w:rtl/>
              </w:rPr>
              <w:t>אלה</w:t>
            </w:r>
            <w:r w:rsidRPr="00791BC0">
              <w:rPr>
                <w:rFonts w:ascii="Tahoma" w:eastAsia="Calibri" w:hAnsi="Tahoma" w:cs="Tahoma" w:hint="cs"/>
                <w:sz w:val="18"/>
                <w:szCs w:val="18"/>
                <w:rtl/>
              </w:rPr>
              <w:t xml:space="preserve"> </w:t>
            </w:r>
          </w:p>
        </w:tc>
      </w:tr>
    </w:tbl>
    <w:p w:rsidR="001D3DA9" w:rsidRPr="00ED1560" w:rsidP="007D4038">
      <w:pPr>
        <w:rPr>
          <w:sz w:val="4"/>
          <w:szCs w:val="8"/>
        </w:rPr>
      </w:pPr>
    </w:p>
    <w:tbl>
      <w:tblPr>
        <w:tblStyle w:val="TableGrid"/>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65"/>
      </w:tblGrid>
      <w:tr w:rsidTr="000314B9">
        <w:tblPrEx>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8865" w:type="dxa"/>
            <w:vAlign w:val="center"/>
          </w:tcPr>
          <w:p w:rsidR="001D3DA9" w:rsidRPr="006C4033" w:rsidP="00AA2BE1">
            <w:pPr>
              <w:spacing w:line="480" w:lineRule="auto"/>
              <w:rPr>
                <w:rFonts w:ascii="Tahoma" w:hAnsi="Tahoma" w:cs="Tahoma"/>
                <w:sz w:val="17"/>
                <w:szCs w:val="17"/>
                <w:rtl/>
              </w:rPr>
            </w:pPr>
            <w:r w:rsidRPr="006C4033">
              <w:rPr>
                <w:rFonts w:ascii="Tahoma" w:hAnsi="Tahoma" w:cs="Tahoma"/>
                <w:noProof/>
              </w:rPr>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791BC0" w:rsidRPr="00791BC0" w:rsidP="00992D38">
      <w:pPr>
        <w:pStyle w:val="73"/>
        <w:spacing w:after="120"/>
        <w:ind w:left="851" w:right="142"/>
        <w:rPr>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5231130</wp:posOffset>
            </wp:positionH>
            <wp:positionV relativeFrom="paragraph">
              <wp:posOffset>655320</wp:posOffset>
            </wp:positionV>
            <wp:extent cx="304800" cy="350520"/>
            <wp:effectExtent l="0" t="0" r="0" b="0"/>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80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BC0">
        <w:rPr>
          <w:sz w:val="19"/>
          <w:szCs w:val="19"/>
          <w:rtl/>
        </w:rPr>
        <w:t xml:space="preserve">בחודשים ינואר 2024 עד יולי 2025, לסירוגין, בדק משרד מבקר המדינה את התיאום בין המערכת הממשלתית לגופים תורמים והתנדבותיים במלחמת חרבות ברזל (תיאום או שיתוף פעולה </w:t>
      </w:r>
      <w:r w:rsidR="00992D38">
        <w:rPr>
          <w:sz w:val="19"/>
          <w:szCs w:val="19"/>
          <w:rtl/>
        </w:rPr>
        <w:br/>
      </w:r>
      <w:r w:rsidRPr="00791BC0">
        <w:rPr>
          <w:sz w:val="19"/>
          <w:szCs w:val="19"/>
          <w:rtl/>
        </w:rPr>
        <w:t>רב-מגזרי). נבדקו היבטים הנוגעים להיערכות המוקדמת למימוש המדיניות הממשלתית לשיתוף הפעולה עם גופי</w:t>
      </w:r>
      <w:r w:rsidRPr="00791BC0">
        <w:rPr>
          <w:sz w:val="19"/>
          <w:szCs w:val="19"/>
          <w:rtl/>
        </w:rPr>
        <w:t>ם תורמים והתנדבותיים לפני המלחמה, וכן נבדק אופן מימוש מדיניות זו במהלך המלחמה. יובהר כי הבדיקה התמקדה בבחינת התיאום של המערכת הממשלתית עם גופים תורמים והתנדבותיים שסייעו בעיקר לאוכלוסייה בעורף (להבדיל מסיוע לכוחות הביטחון). כמו כן, כדי להעריך את חשיבות התי</w:t>
      </w:r>
      <w:r w:rsidRPr="00791BC0">
        <w:rPr>
          <w:sz w:val="19"/>
          <w:szCs w:val="19"/>
          <w:rtl/>
        </w:rPr>
        <w:t xml:space="preserve">אום עם גופים אלה בחודשים הראשונים הקריטיים של המלחמה מבחינת השפעותיה על החברה והמשק, אסף וריכז משרד מבקר המדינה במסגרת ביקורת זו מידע ונתונים המצביעים על אומדן היקפי פעילותם של גופים תורמים והתנדבותיים ועל מאפייני הפעילות בעיקר בחודשים אלה. </w:t>
      </w:r>
    </w:p>
    <w:p w:rsidR="00791BC0" w:rsidRPr="00791BC0" w:rsidP="00992D38">
      <w:pPr>
        <w:pStyle w:val="73"/>
        <w:ind w:left="851" w:right="142"/>
        <w:rPr>
          <w:sz w:val="19"/>
          <w:szCs w:val="19"/>
          <w:rtl/>
        </w:rPr>
      </w:pPr>
      <w:r w:rsidRPr="00791BC0">
        <w:rPr>
          <w:sz w:val="19"/>
          <w:szCs w:val="19"/>
          <w:rtl/>
        </w:rPr>
        <w:t xml:space="preserve">הביקורת נעשתה </w:t>
      </w:r>
      <w:r w:rsidRPr="00791BC0">
        <w:rPr>
          <w:sz w:val="19"/>
          <w:szCs w:val="19"/>
          <w:rtl/>
        </w:rPr>
        <w:t xml:space="preserve">ביחידה לשיתופי פעולה רב-מגזריים במשרד רה"ם שהוקמה מכוח החלטת הממשלה משנת 2008 (היחידה), ברח"ל ובמשרד האוצר. בדיקות השלמה נעשו במרכז סיוע לאזרח של פיקוד העורף (פקע"ר), באגף ממשל וחברה שבמסגרתו פועלת היחידה לשיתופי פעולה רב-מגזריים במשרד רה"ם, במשרד התפוצות </w:t>
      </w:r>
      <w:r w:rsidRPr="00791BC0">
        <w:rPr>
          <w:sz w:val="19"/>
          <w:szCs w:val="19"/>
          <w:rtl/>
        </w:rPr>
        <w:t xml:space="preserve">והמאבק באנטישמיות ובמשרד הרווחה והביטחון החברתי. </w:t>
      </w:r>
    </w:p>
    <w:p w:rsidR="001D3DA9" w:rsidP="00992D38">
      <w:pPr>
        <w:pStyle w:val="73"/>
        <w:ind w:left="851" w:right="142"/>
        <w:rPr>
          <w:sz w:val="19"/>
          <w:szCs w:val="19"/>
          <w:rtl/>
        </w:rPr>
      </w:pPr>
      <w:r w:rsidRPr="00791BC0">
        <w:rPr>
          <w:sz w:val="19"/>
          <w:szCs w:val="19"/>
          <w:rtl/>
        </w:rPr>
        <w:t xml:space="preserve">נוסף על כך, ביקש וקיבל משרד מבקר המדינה מידע בכתב בנושאים אלה מ-15 משרדי ממשלה אשר מסרו למשרד מבקר המדינה כי קיימו קשר עם גופים תורמים והתנדבותיים במלחמה או שמשרד מבקר המדינה מצא שבתחומי פעילותם פעלו גופים </w:t>
      </w:r>
      <w:r w:rsidRPr="00791BC0">
        <w:rPr>
          <w:sz w:val="19"/>
          <w:szCs w:val="19"/>
          <w:rtl/>
        </w:rPr>
        <w:t>כאמור. בבדיקה של אומדן היקפי הפעילות של הגופים התורמים וההתנדבותיים במלחמה, מאפייני פעילות זו והאתגרים הכרוכים בה הסתייע משרד מבקר המדינה ביועצות המתמחות בחקר פעילותם של גופים תורמים והתנדבותיים בישראל.</w:t>
      </w:r>
    </w:p>
    <w:p w:rsidR="00E25B3B">
      <w:pPr>
        <w:bidi w:val="0"/>
        <w:spacing w:after="200" w:line="276" w:lineRule="auto"/>
        <w:rPr>
          <w:rFonts w:ascii="Tahoma" w:hAnsi="Tahoma" w:cs="Tahoma"/>
          <w:color w:val="0D0D0D" w:themeColor="text1" w:themeTint="F2"/>
          <w:sz w:val="19"/>
          <w:szCs w:val="19"/>
          <w:rtl/>
        </w:rPr>
      </w:pPr>
      <w:r>
        <w:rPr>
          <w:sz w:val="19"/>
          <w:szCs w:val="19"/>
          <w:rtl/>
        </w:rPr>
        <w:br w:type="page"/>
      </w:r>
    </w:p>
    <w:p w:rsidR="001D3DA9" w:rsidRPr="006C4033" w:rsidP="001D3DA9">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P="001D3DA9">
      <w:pPr>
        <w:spacing w:before="240" w:after="240"/>
        <w:rPr>
          <w:rtl/>
        </w:rPr>
      </w:pPr>
      <w:r>
        <w:rPr>
          <w:noProof/>
          <w:rt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791BC0" w:rsidRPr="00791BC0" w:rsidP="00D5540D">
      <w:pPr>
        <w:pStyle w:val="73"/>
        <w:spacing w:after="160"/>
        <w:ind w:left="0"/>
        <w:rPr>
          <w:rFonts w:eastAsia="Calibri"/>
          <w:b/>
          <w:bCs/>
          <w:sz w:val="19"/>
          <w:szCs w:val="19"/>
          <w:rtl/>
        </w:rPr>
      </w:pPr>
      <w:r w:rsidRPr="00791BC0">
        <w:rPr>
          <w:rFonts w:eastAsia="Calibri" w:hint="cs"/>
          <w:b/>
          <w:bCs/>
          <w:sz w:val="19"/>
          <w:szCs w:val="19"/>
          <w:rtl/>
        </w:rPr>
        <w:t xml:space="preserve">היערכות </w:t>
      </w:r>
      <w:r w:rsidRPr="00791BC0">
        <w:rPr>
          <w:rFonts w:eastAsia="Calibri"/>
          <w:b/>
          <w:bCs/>
          <w:sz w:val="19"/>
          <w:szCs w:val="19"/>
          <w:rtl/>
        </w:rPr>
        <w:t xml:space="preserve">משרדי ממשלה לשיתוף פעולה </w:t>
      </w:r>
      <w:r w:rsidRPr="00791BC0">
        <w:rPr>
          <w:rFonts w:eastAsia="Calibri" w:hint="cs"/>
          <w:b/>
          <w:bCs/>
          <w:sz w:val="19"/>
          <w:szCs w:val="19"/>
          <w:rtl/>
        </w:rPr>
        <w:t>עם</w:t>
      </w:r>
      <w:r w:rsidRPr="00791BC0">
        <w:rPr>
          <w:rFonts w:eastAsia="Calibri"/>
          <w:b/>
          <w:bCs/>
          <w:sz w:val="19"/>
          <w:szCs w:val="19"/>
          <w:rtl/>
        </w:rPr>
        <w:t xml:space="preserve"> גופים תורמים והתנדבותיים</w:t>
      </w:r>
      <w:r w:rsidRPr="00791BC0">
        <w:rPr>
          <w:rFonts w:eastAsia="Calibri" w:hint="cs"/>
          <w:b/>
          <w:bCs/>
          <w:sz w:val="19"/>
          <w:szCs w:val="19"/>
          <w:rtl/>
        </w:rPr>
        <w:t xml:space="preserve"> במצבי חירום הייתה חסרה לפני המלחמה</w:t>
      </w:r>
      <w:r w:rsidRPr="00791BC0">
        <w:rPr>
          <w:rFonts w:eastAsia="Calibri" w:hint="cs"/>
          <w:sz w:val="19"/>
          <w:szCs w:val="19"/>
          <w:rtl/>
        </w:rPr>
        <w:t xml:space="preserve"> </w:t>
      </w:r>
    </w:p>
    <w:p w:rsidR="00791BC0" w:rsidRPr="00791BC0" w:rsidP="00E25B3B">
      <w:pPr>
        <w:pStyle w:val="73"/>
        <w:numPr>
          <w:ilvl w:val="0"/>
          <w:numId w:val="25"/>
        </w:numPr>
        <w:rPr>
          <w:rFonts w:eastAsia="Calibri"/>
          <w:sz w:val="19"/>
          <w:szCs w:val="19"/>
        </w:rPr>
      </w:pPr>
      <w:r w:rsidRPr="00791BC0">
        <w:rPr>
          <w:rFonts w:hint="cs"/>
          <w:sz w:val="19"/>
          <w:szCs w:val="19"/>
          <w:rtl/>
        </w:rPr>
        <w:t>בכ</w:t>
      </w:r>
      <w:r w:rsidRPr="00791BC0">
        <w:rPr>
          <w:sz w:val="19"/>
          <w:szCs w:val="19"/>
          <w:rtl/>
        </w:rPr>
        <w:t>מחצית</w:t>
      </w:r>
      <w:r w:rsidRPr="00791BC0">
        <w:rPr>
          <w:rFonts w:eastAsia="Calibri"/>
          <w:sz w:val="19"/>
          <w:szCs w:val="19"/>
          <w:rtl/>
        </w:rPr>
        <w:t xml:space="preserve"> (כ-</w:t>
      </w:r>
      <w:r w:rsidRPr="00791BC0">
        <w:rPr>
          <w:rFonts w:eastAsia="Calibri" w:hint="cs"/>
          <w:sz w:val="19"/>
          <w:szCs w:val="19"/>
          <w:rtl/>
        </w:rPr>
        <w:t>47</w:t>
      </w:r>
      <w:r w:rsidRPr="00791BC0">
        <w:rPr>
          <w:rFonts w:eastAsia="Calibri"/>
          <w:sz w:val="19"/>
          <w:szCs w:val="19"/>
          <w:rtl/>
        </w:rPr>
        <w:t>%</w:t>
      </w:r>
      <w:r w:rsidRPr="00791BC0">
        <w:rPr>
          <w:rFonts w:eastAsia="Calibri" w:hint="cs"/>
          <w:sz w:val="19"/>
          <w:szCs w:val="19"/>
          <w:rtl/>
        </w:rPr>
        <w:t>, 7</w:t>
      </w:r>
      <w:r w:rsidRPr="00791BC0">
        <w:rPr>
          <w:rFonts w:eastAsia="Calibri"/>
          <w:sz w:val="19"/>
          <w:szCs w:val="19"/>
          <w:rtl/>
        </w:rPr>
        <w:t xml:space="preserve"> מתוך 1</w:t>
      </w:r>
      <w:r w:rsidRPr="00791BC0">
        <w:rPr>
          <w:rFonts w:eastAsia="Calibri" w:hint="cs"/>
          <w:sz w:val="19"/>
          <w:szCs w:val="19"/>
          <w:rtl/>
        </w:rPr>
        <w:t>5</w:t>
      </w:r>
      <w:r w:rsidRPr="00791BC0">
        <w:rPr>
          <w:rFonts w:eastAsia="Calibri"/>
          <w:sz w:val="19"/>
          <w:szCs w:val="19"/>
          <w:rtl/>
        </w:rPr>
        <w:t>) ממשרדי הממשלה שמסרו למשרד מבקר המדינה כי קיימו קשר עם גופים תורמים והתנדבותיים במלחמת חרבות ברזל, או שמשרד מבקר המדינה מצא שבתחומי פעילותם פועלים גופים כאלה, לא היה במ</w:t>
      </w:r>
      <w:r w:rsidRPr="00791BC0">
        <w:rPr>
          <w:rFonts w:eastAsia="Calibri"/>
          <w:sz w:val="19"/>
          <w:szCs w:val="19"/>
          <w:rtl/>
        </w:rPr>
        <w:t>הלך המלחמה בעל תפקיד האחראי לקשר עם גופים תורמים והתנדבותיים בעיתות שגרה וחירום</w:t>
      </w:r>
      <w:r w:rsidRPr="00791BC0">
        <w:rPr>
          <w:rFonts w:eastAsia="Calibri" w:hint="cs"/>
          <w:sz w:val="19"/>
          <w:szCs w:val="19"/>
          <w:rtl/>
        </w:rPr>
        <w:t>.</w:t>
      </w:r>
    </w:p>
    <w:p w:rsidR="00791BC0" w:rsidRPr="00791BC0" w:rsidP="00E25B3B">
      <w:pPr>
        <w:pStyle w:val="73"/>
        <w:numPr>
          <w:ilvl w:val="0"/>
          <w:numId w:val="25"/>
        </w:numPr>
        <w:rPr>
          <w:rFonts w:eastAsia="Calibri"/>
          <w:sz w:val="19"/>
          <w:szCs w:val="19"/>
        </w:rPr>
      </w:pPr>
      <w:r w:rsidRPr="00791BC0">
        <w:rPr>
          <w:rFonts w:eastAsia="Calibri"/>
          <w:sz w:val="19"/>
          <w:szCs w:val="19"/>
          <w:rtl/>
        </w:rPr>
        <w:t>מרבית משרדי הממשלה (</w:t>
      </w:r>
      <w:r w:rsidRPr="00791BC0">
        <w:rPr>
          <w:rFonts w:eastAsia="Calibri" w:hint="cs"/>
          <w:sz w:val="19"/>
          <w:szCs w:val="19"/>
          <w:rtl/>
        </w:rPr>
        <w:t xml:space="preserve">כ-67%, </w:t>
      </w:r>
      <w:r w:rsidRPr="00791BC0">
        <w:rPr>
          <w:rFonts w:eastAsia="Calibri"/>
          <w:sz w:val="19"/>
          <w:szCs w:val="19"/>
          <w:rtl/>
        </w:rPr>
        <w:t>1</w:t>
      </w:r>
      <w:r w:rsidRPr="00791BC0">
        <w:rPr>
          <w:rFonts w:eastAsia="Calibri" w:hint="cs"/>
          <w:sz w:val="19"/>
          <w:szCs w:val="19"/>
          <w:rtl/>
        </w:rPr>
        <w:t>0</w:t>
      </w:r>
      <w:r w:rsidRPr="00791BC0">
        <w:rPr>
          <w:rFonts w:eastAsia="Calibri"/>
          <w:sz w:val="19"/>
          <w:szCs w:val="19"/>
          <w:rtl/>
        </w:rPr>
        <w:t xml:space="preserve"> מתוך </w:t>
      </w:r>
      <w:r w:rsidRPr="00791BC0">
        <w:rPr>
          <w:rFonts w:eastAsia="Calibri" w:hint="cs"/>
          <w:sz w:val="19"/>
          <w:szCs w:val="19"/>
          <w:rtl/>
        </w:rPr>
        <w:t>15</w:t>
      </w:r>
      <w:r w:rsidRPr="00791BC0">
        <w:rPr>
          <w:rFonts w:eastAsia="Calibri"/>
          <w:sz w:val="19"/>
          <w:szCs w:val="19"/>
          <w:rtl/>
        </w:rPr>
        <w:t xml:space="preserve">) שקיימו קשר עם גופים תורמים והתנדבותיים במלחמת חרבות ברזל, או שמשרד מבקר המדינה </w:t>
      </w:r>
      <w:r w:rsidRPr="00791BC0">
        <w:rPr>
          <w:sz w:val="19"/>
          <w:szCs w:val="19"/>
          <w:rtl/>
        </w:rPr>
        <w:t>מצא</w:t>
      </w:r>
      <w:r w:rsidRPr="00791BC0">
        <w:rPr>
          <w:rFonts w:eastAsia="Calibri"/>
          <w:sz w:val="19"/>
          <w:szCs w:val="19"/>
          <w:rtl/>
        </w:rPr>
        <w:t xml:space="preserve"> שבתחומי פעילותם פועלים גופים כאלה, לא מיפו </w:t>
      </w:r>
      <w:r w:rsidRPr="00791BC0">
        <w:rPr>
          <w:rFonts w:eastAsia="Calibri" w:hint="cs"/>
          <w:sz w:val="19"/>
          <w:szCs w:val="19"/>
          <w:rtl/>
        </w:rPr>
        <w:t xml:space="preserve">לפני המלחמה </w:t>
      </w:r>
      <w:r w:rsidRPr="00791BC0">
        <w:rPr>
          <w:rFonts w:eastAsia="Calibri"/>
          <w:sz w:val="19"/>
          <w:szCs w:val="19"/>
          <w:rtl/>
        </w:rPr>
        <w:t>את התחומים העיקריים שמומלץ כי גופים אלה ישתלבו בהם במסגרת הסיוע בעת חירום, ואת הגופים התורמים וההתנדבותיים הרלוונטיים לפעילותם</w:t>
      </w:r>
      <w:r w:rsidRPr="00791BC0">
        <w:rPr>
          <w:rFonts w:eastAsia="Calibri" w:hint="cs"/>
          <w:sz w:val="19"/>
          <w:szCs w:val="19"/>
          <w:rtl/>
        </w:rPr>
        <w:t xml:space="preserve">. </w:t>
      </w:r>
    </w:p>
    <w:p w:rsidR="00791BC0" w:rsidRPr="00791BC0" w:rsidP="00D5540D">
      <w:pPr>
        <w:pStyle w:val="73"/>
        <w:spacing w:after="160"/>
        <w:ind w:left="0"/>
        <w:rPr>
          <w:rFonts w:eastAsia="Calibri"/>
          <w:b/>
          <w:bCs/>
          <w:sz w:val="19"/>
          <w:szCs w:val="19"/>
          <w:rtl/>
        </w:rPr>
      </w:pPr>
      <w:r w:rsidRPr="00791BC0">
        <w:rPr>
          <w:rFonts w:eastAsia="Calibri" w:hint="cs"/>
          <w:b/>
          <w:bCs/>
          <w:sz w:val="19"/>
          <w:szCs w:val="19"/>
          <w:rtl/>
        </w:rPr>
        <w:t xml:space="preserve">היעדר גוף מתכלל האחראי על התיאום בין </w:t>
      </w:r>
      <w:r w:rsidRPr="00791BC0">
        <w:rPr>
          <w:rFonts w:eastAsia="Calibri" w:hint="cs"/>
          <w:sz w:val="19"/>
          <w:szCs w:val="19"/>
          <w:rtl/>
        </w:rPr>
        <w:t>המערכת</w:t>
      </w:r>
      <w:r w:rsidRPr="00791BC0">
        <w:rPr>
          <w:rFonts w:eastAsia="Calibri" w:hint="cs"/>
          <w:b/>
          <w:bCs/>
          <w:sz w:val="19"/>
          <w:szCs w:val="19"/>
          <w:rtl/>
        </w:rPr>
        <w:t xml:space="preserve"> הממשלתית לבין גופים תורמים והתנדבותיים במצבי חירום </w:t>
      </w:r>
    </w:p>
    <w:p w:rsidR="00791BC0" w:rsidRPr="00791BC0" w:rsidP="00E25B3B">
      <w:pPr>
        <w:pStyle w:val="73"/>
        <w:numPr>
          <w:ilvl w:val="0"/>
          <w:numId w:val="25"/>
        </w:numPr>
        <w:rPr>
          <w:rFonts w:eastAsia="Calibri"/>
          <w:sz w:val="19"/>
          <w:szCs w:val="19"/>
        </w:rPr>
      </w:pPr>
      <w:r w:rsidRPr="00791BC0">
        <w:rPr>
          <w:rFonts w:eastAsia="Calibri" w:hint="cs"/>
          <w:sz w:val="19"/>
          <w:szCs w:val="19"/>
          <w:rtl/>
        </w:rPr>
        <w:t>משנת 2018 ועד למועד</w:t>
      </w:r>
      <w:r w:rsidRPr="00791BC0">
        <w:rPr>
          <w:rFonts w:eastAsia="Calibri" w:hint="cs"/>
          <w:sz w:val="19"/>
          <w:szCs w:val="19"/>
          <w:rtl/>
        </w:rPr>
        <w:t xml:space="preserve"> סיום הביקורת (יולי 2025) </w:t>
      </w:r>
      <w:r w:rsidRPr="00791BC0">
        <w:rPr>
          <w:rFonts w:eastAsia="Calibri"/>
          <w:sz w:val="19"/>
          <w:szCs w:val="19"/>
          <w:rtl/>
        </w:rPr>
        <w:t>לא פעל גורם ממשלתי מתכלל ש</w:t>
      </w:r>
      <w:r w:rsidRPr="00791BC0">
        <w:rPr>
          <w:rFonts w:eastAsia="Calibri" w:hint="cs"/>
          <w:sz w:val="19"/>
          <w:szCs w:val="19"/>
          <w:rtl/>
        </w:rPr>
        <w:t>באחריותו</w:t>
      </w:r>
      <w:r w:rsidRPr="00791BC0">
        <w:rPr>
          <w:rFonts w:eastAsia="Calibri"/>
          <w:sz w:val="19"/>
          <w:szCs w:val="19"/>
          <w:rtl/>
        </w:rPr>
        <w:t xml:space="preserve"> להוביל </w:t>
      </w:r>
      <w:r w:rsidRPr="00791BC0">
        <w:rPr>
          <w:rFonts w:eastAsia="Calibri" w:hint="cs"/>
          <w:sz w:val="19"/>
          <w:szCs w:val="19"/>
          <w:rtl/>
        </w:rPr>
        <w:t>את תיאום</w:t>
      </w:r>
      <w:r w:rsidRPr="00791BC0">
        <w:rPr>
          <w:rFonts w:eastAsia="Calibri"/>
          <w:sz w:val="19"/>
          <w:szCs w:val="19"/>
          <w:rtl/>
        </w:rPr>
        <w:t xml:space="preserve"> העבודה </w:t>
      </w:r>
      <w:r w:rsidRPr="00791BC0">
        <w:rPr>
          <w:rFonts w:eastAsia="Calibri" w:hint="cs"/>
          <w:sz w:val="19"/>
          <w:szCs w:val="19"/>
          <w:rtl/>
        </w:rPr>
        <w:t>הממשלתית עם</w:t>
      </w:r>
      <w:r w:rsidRPr="00791BC0">
        <w:rPr>
          <w:rFonts w:eastAsia="Calibri"/>
          <w:sz w:val="19"/>
          <w:szCs w:val="19"/>
          <w:rtl/>
        </w:rPr>
        <w:t xml:space="preserve"> גופים תורמים והתנדבותיים בע</w:t>
      </w:r>
      <w:r w:rsidRPr="00791BC0">
        <w:rPr>
          <w:rFonts w:eastAsia="Calibri" w:hint="cs"/>
          <w:sz w:val="19"/>
          <w:szCs w:val="19"/>
          <w:rtl/>
        </w:rPr>
        <w:t>י</w:t>
      </w:r>
      <w:r w:rsidRPr="00791BC0">
        <w:rPr>
          <w:rFonts w:eastAsia="Calibri"/>
          <w:sz w:val="19"/>
          <w:szCs w:val="19"/>
          <w:rtl/>
        </w:rPr>
        <w:t>תות חירום</w:t>
      </w:r>
      <w:r w:rsidRPr="00791BC0">
        <w:rPr>
          <w:rFonts w:eastAsia="Calibri" w:hint="cs"/>
          <w:sz w:val="19"/>
          <w:szCs w:val="19"/>
          <w:rtl/>
        </w:rPr>
        <w:t xml:space="preserve"> ואת ההיערכות לכך.</w:t>
      </w:r>
    </w:p>
    <w:p w:rsidR="00791BC0" w:rsidRPr="00791BC0" w:rsidP="00E25B3B">
      <w:pPr>
        <w:pStyle w:val="73"/>
        <w:numPr>
          <w:ilvl w:val="0"/>
          <w:numId w:val="25"/>
        </w:numPr>
        <w:rPr>
          <w:rFonts w:eastAsia="Calibri"/>
          <w:sz w:val="19"/>
          <w:szCs w:val="19"/>
        </w:rPr>
      </w:pPr>
      <w:r w:rsidRPr="00791BC0">
        <w:rPr>
          <w:rFonts w:eastAsia="Calibri"/>
          <w:sz w:val="19"/>
          <w:szCs w:val="19"/>
          <w:rtl/>
        </w:rPr>
        <w:t xml:space="preserve">חטיבת החוסן </w:t>
      </w:r>
      <w:r w:rsidRPr="00791BC0">
        <w:rPr>
          <w:rFonts w:eastAsia="Calibri" w:hint="cs"/>
          <w:sz w:val="19"/>
          <w:szCs w:val="19"/>
          <w:rtl/>
        </w:rPr>
        <w:t xml:space="preserve">של </w:t>
      </w:r>
      <w:r w:rsidRPr="00791BC0">
        <w:rPr>
          <w:rFonts w:eastAsia="Calibri"/>
          <w:sz w:val="19"/>
          <w:szCs w:val="19"/>
          <w:rtl/>
        </w:rPr>
        <w:t>רח"ל</w:t>
      </w:r>
      <w:r w:rsidRPr="00791BC0">
        <w:rPr>
          <w:rFonts w:eastAsia="Calibri" w:hint="cs"/>
          <w:sz w:val="19"/>
          <w:szCs w:val="19"/>
          <w:rtl/>
        </w:rPr>
        <w:t>,</w:t>
      </w:r>
      <w:r w:rsidRPr="00791BC0">
        <w:rPr>
          <w:rFonts w:eastAsia="Calibri"/>
          <w:sz w:val="19"/>
          <w:szCs w:val="19"/>
          <w:rtl/>
        </w:rPr>
        <w:t xml:space="preserve"> אשר הובילה את תיאום פעילותם של משרדי ממשלה ושל גופים תורמים והתנדבותיים במצבי חירום</w:t>
      </w:r>
      <w:r w:rsidRPr="00791BC0">
        <w:rPr>
          <w:rFonts w:eastAsia="Calibri"/>
          <w:sz w:val="19"/>
          <w:szCs w:val="19"/>
          <w:rtl/>
        </w:rPr>
        <w:t xml:space="preserve"> משנת 2008 מכוח פרשנות מרחיבה של החלטת הממשלה </w:t>
      </w:r>
      <w:r w:rsidRPr="00791BC0">
        <w:rPr>
          <w:rFonts w:eastAsia="Calibri" w:hint="cs"/>
          <w:sz w:val="19"/>
          <w:szCs w:val="19"/>
          <w:rtl/>
        </w:rPr>
        <w:t>שמכוחה הוקמה</w:t>
      </w:r>
      <w:r w:rsidRPr="00791BC0">
        <w:rPr>
          <w:rFonts w:eastAsia="Calibri"/>
          <w:sz w:val="19"/>
          <w:szCs w:val="19"/>
          <w:rtl/>
        </w:rPr>
        <w:t xml:space="preserve"> רח"ל, נסגרה בשנת 2018 עקב שינוי ארגוני, וממועד זה חדלה רח"ל לעסוק בנושא</w:t>
      </w:r>
      <w:r w:rsidRPr="00791BC0">
        <w:rPr>
          <w:rFonts w:eastAsia="Calibri" w:hint="cs"/>
          <w:sz w:val="19"/>
          <w:szCs w:val="19"/>
          <w:rtl/>
        </w:rPr>
        <w:t xml:space="preserve">; </w:t>
      </w:r>
      <w:r w:rsidRPr="00791BC0">
        <w:rPr>
          <w:rFonts w:eastAsia="Calibri"/>
          <w:sz w:val="19"/>
          <w:szCs w:val="19"/>
          <w:rtl/>
        </w:rPr>
        <w:t>עד מועד סיום הביקורת</w:t>
      </w:r>
      <w:r w:rsidRPr="00791BC0">
        <w:rPr>
          <w:rFonts w:eastAsia="Calibri" w:hint="cs"/>
          <w:sz w:val="19"/>
          <w:szCs w:val="19"/>
          <w:rtl/>
        </w:rPr>
        <w:t>,</w:t>
      </w:r>
      <w:r w:rsidRPr="00791BC0">
        <w:rPr>
          <w:rFonts w:eastAsia="Calibri"/>
          <w:sz w:val="19"/>
          <w:szCs w:val="19"/>
          <w:rtl/>
        </w:rPr>
        <w:t xml:space="preserve"> </w:t>
      </w:r>
      <w:r w:rsidRPr="00791BC0">
        <w:rPr>
          <w:rFonts w:eastAsia="Calibri" w:hint="cs"/>
          <w:sz w:val="19"/>
          <w:szCs w:val="19"/>
          <w:rtl/>
        </w:rPr>
        <w:t>שלא</w:t>
      </w:r>
      <w:r w:rsidRPr="00791BC0">
        <w:rPr>
          <w:rFonts w:eastAsia="Calibri"/>
          <w:sz w:val="19"/>
          <w:szCs w:val="19"/>
          <w:rtl/>
        </w:rPr>
        <w:t xml:space="preserve"> כמתחייב מהחלטת הממשלה שמכוחה הוקמה </w:t>
      </w:r>
      <w:r w:rsidRPr="00791BC0">
        <w:rPr>
          <w:rFonts w:eastAsia="Calibri" w:hint="cs"/>
          <w:sz w:val="19"/>
          <w:szCs w:val="19"/>
          <w:rtl/>
        </w:rPr>
        <w:t xml:space="preserve">- </w:t>
      </w:r>
      <w:r w:rsidRPr="00791BC0">
        <w:rPr>
          <w:rFonts w:eastAsia="Calibri"/>
          <w:sz w:val="19"/>
          <w:szCs w:val="19"/>
          <w:rtl/>
        </w:rPr>
        <w:t xml:space="preserve">לא </w:t>
      </w:r>
      <w:r w:rsidRPr="00791BC0">
        <w:rPr>
          <w:rFonts w:eastAsia="Calibri" w:hint="cs"/>
          <w:sz w:val="19"/>
          <w:szCs w:val="19"/>
          <w:rtl/>
        </w:rPr>
        <w:t xml:space="preserve">קידמה רח"ל מינוי של </w:t>
      </w:r>
      <w:r w:rsidRPr="00791BC0">
        <w:rPr>
          <w:rFonts w:eastAsia="Calibri"/>
          <w:sz w:val="19"/>
          <w:szCs w:val="19"/>
          <w:rtl/>
        </w:rPr>
        <w:t xml:space="preserve">גורם ממשלתי מתכלל </w:t>
      </w:r>
      <w:r w:rsidRPr="00791BC0">
        <w:rPr>
          <w:rFonts w:eastAsia="Calibri" w:hint="cs"/>
          <w:sz w:val="19"/>
          <w:szCs w:val="19"/>
          <w:rtl/>
        </w:rPr>
        <w:t xml:space="preserve">שיהיה </w:t>
      </w:r>
      <w:r w:rsidRPr="00791BC0">
        <w:rPr>
          <w:rFonts w:eastAsia="Calibri"/>
          <w:sz w:val="19"/>
          <w:szCs w:val="19"/>
          <w:rtl/>
        </w:rPr>
        <w:t xml:space="preserve">אחראי לתיאום </w:t>
      </w:r>
      <w:r w:rsidRPr="00791BC0">
        <w:rPr>
          <w:rFonts w:eastAsia="Calibri" w:hint="cs"/>
          <w:sz w:val="19"/>
          <w:szCs w:val="19"/>
          <w:rtl/>
        </w:rPr>
        <w:t>בין המערכת הממשלתית לבין גופים תורמים והתנדבותיים</w:t>
      </w:r>
      <w:r w:rsidRPr="00791BC0">
        <w:rPr>
          <w:rFonts w:eastAsia="Calibri"/>
          <w:sz w:val="19"/>
          <w:szCs w:val="19"/>
          <w:rtl/>
        </w:rPr>
        <w:t xml:space="preserve"> בשעת חירום</w:t>
      </w:r>
      <w:r w:rsidRPr="00791BC0">
        <w:rPr>
          <w:rFonts w:eastAsia="Calibri" w:hint="cs"/>
          <w:sz w:val="19"/>
          <w:szCs w:val="19"/>
          <w:rtl/>
        </w:rPr>
        <w:t>.</w:t>
      </w:r>
    </w:p>
    <w:p w:rsidR="00791BC0" w:rsidRPr="00791BC0" w:rsidP="00E25B3B">
      <w:pPr>
        <w:pStyle w:val="73"/>
        <w:numPr>
          <w:ilvl w:val="0"/>
          <w:numId w:val="25"/>
        </w:numPr>
        <w:rPr>
          <w:rFonts w:eastAsia="Calibri"/>
          <w:b/>
          <w:bCs/>
          <w:sz w:val="19"/>
          <w:szCs w:val="19"/>
        </w:rPr>
      </w:pPr>
      <w:r w:rsidRPr="00791BC0">
        <w:rPr>
          <w:rFonts w:eastAsia="Calibri"/>
          <w:sz w:val="19"/>
          <w:szCs w:val="19"/>
          <w:rtl/>
        </w:rPr>
        <w:t>בהיעדר היערכות מוקדמת, בסמוך לאחר פרוץ המלחמה ניסתה הממשלה להקים מערך תיאום רב-מגזרי מתכלל שיפעל במלחמה, אך הניסיון לא צלח.</w:t>
      </w:r>
    </w:p>
    <w:p w:rsidR="00791BC0" w:rsidRPr="00791BC0" w:rsidP="00791BC0">
      <w:pPr>
        <w:spacing w:after="120" w:line="288" w:lineRule="auto"/>
        <w:ind w:left="-738" w:right="-567"/>
        <w:rPr>
          <w:rFonts w:ascii="Tahoma" w:eastAsia="Calibri" w:hAnsi="Tahoma" w:cs="Tahoma"/>
          <w:b/>
          <w:bCs/>
          <w:sz w:val="19"/>
          <w:szCs w:val="19"/>
          <w:rtl/>
        </w:rPr>
      </w:pPr>
    </w:p>
    <w:p w:rsidR="00791BC0" w:rsidRPr="00791BC0" w:rsidP="00E25B3B">
      <w:pPr>
        <w:pStyle w:val="73"/>
        <w:ind w:left="0"/>
        <w:rPr>
          <w:rFonts w:eastAsia="Calibri"/>
          <w:b/>
          <w:bCs/>
          <w:sz w:val="19"/>
          <w:szCs w:val="19"/>
          <w:rtl/>
        </w:rPr>
      </w:pPr>
      <w:r w:rsidRPr="00791BC0">
        <w:rPr>
          <w:rFonts w:eastAsia="Calibri" w:hint="cs"/>
          <w:b/>
          <w:bCs/>
          <w:sz w:val="19"/>
          <w:szCs w:val="19"/>
          <w:rtl/>
        </w:rPr>
        <w:t>פערים בהיערכותה של היחידה המייעצת לשיתופי פעולה רב-מגזריים במשרד רה"ם</w:t>
      </w:r>
      <w:r w:rsidRPr="00791BC0">
        <w:rPr>
          <w:rFonts w:eastAsia="Calibri" w:hint="cs"/>
          <w:b/>
          <w:bCs/>
          <w:sz w:val="19"/>
          <w:szCs w:val="19"/>
          <w:rtl/>
        </w:rPr>
        <w:t xml:space="preserve"> למצבי חירום </w:t>
      </w:r>
    </w:p>
    <w:p w:rsidR="00791BC0" w:rsidRPr="00791BC0" w:rsidP="00E25B3B">
      <w:pPr>
        <w:pStyle w:val="73"/>
        <w:ind w:left="0"/>
        <w:rPr>
          <w:rFonts w:eastAsia="Calibri"/>
          <w:sz w:val="19"/>
          <w:szCs w:val="19"/>
          <w:rtl/>
        </w:rPr>
      </w:pPr>
      <w:r w:rsidRPr="00791BC0">
        <w:rPr>
          <w:rFonts w:eastAsia="Calibri"/>
          <w:sz w:val="19"/>
          <w:szCs w:val="19"/>
          <w:rtl/>
        </w:rPr>
        <w:t xml:space="preserve">היחידה לשיתופי פעולה רב-מגזריים במשרד רה"ם הוקמה </w:t>
      </w:r>
      <w:r w:rsidRPr="00791BC0">
        <w:rPr>
          <w:rFonts w:eastAsia="Calibri" w:hint="cs"/>
          <w:sz w:val="19"/>
          <w:szCs w:val="19"/>
          <w:rtl/>
        </w:rPr>
        <w:t xml:space="preserve">מכוח </w:t>
      </w:r>
      <w:r w:rsidRPr="00791BC0">
        <w:rPr>
          <w:rFonts w:eastAsia="Calibri"/>
          <w:sz w:val="19"/>
          <w:szCs w:val="19"/>
          <w:rtl/>
        </w:rPr>
        <w:t xml:space="preserve">החלטת </w:t>
      </w:r>
      <w:r w:rsidRPr="00791BC0">
        <w:rPr>
          <w:rFonts w:eastAsia="Calibri" w:hint="cs"/>
          <w:sz w:val="19"/>
          <w:szCs w:val="19"/>
          <w:rtl/>
        </w:rPr>
        <w:t>ה</w:t>
      </w:r>
      <w:r w:rsidRPr="00791BC0">
        <w:rPr>
          <w:rFonts w:eastAsia="Calibri"/>
          <w:sz w:val="19"/>
          <w:szCs w:val="19"/>
          <w:rtl/>
        </w:rPr>
        <w:t>ממשלה</w:t>
      </w:r>
      <w:bookmarkStart w:id="3" w:name="_Hlk214178080"/>
      <w:r w:rsidRPr="00791BC0">
        <w:rPr>
          <w:rFonts w:eastAsia="Calibri" w:hint="cs"/>
          <w:sz w:val="19"/>
          <w:szCs w:val="19"/>
          <w:rtl/>
        </w:rPr>
        <w:t xml:space="preserve"> משנת 2008 </w:t>
      </w:r>
      <w:bookmarkEnd w:id="3"/>
      <w:r w:rsidRPr="00791BC0">
        <w:rPr>
          <w:rFonts w:eastAsia="Calibri"/>
          <w:sz w:val="19"/>
          <w:szCs w:val="19"/>
          <w:rtl/>
        </w:rPr>
        <w:t xml:space="preserve">לשם קידום וחיזוק עבודה משותפת ומתואמת של משרדי </w:t>
      </w:r>
      <w:r w:rsidRPr="00791BC0">
        <w:rPr>
          <w:rFonts w:eastAsia="Calibri" w:hint="cs"/>
          <w:sz w:val="19"/>
          <w:szCs w:val="19"/>
          <w:rtl/>
        </w:rPr>
        <w:t>ה</w:t>
      </w:r>
      <w:r w:rsidRPr="00791BC0">
        <w:rPr>
          <w:rFonts w:eastAsia="Calibri"/>
          <w:sz w:val="19"/>
          <w:szCs w:val="19"/>
          <w:rtl/>
        </w:rPr>
        <w:t>ממשלה עם גופים תורמים והתנדבותיים</w:t>
      </w:r>
      <w:r w:rsidRPr="00791BC0">
        <w:rPr>
          <w:rFonts w:eastAsia="Calibri" w:hint="cs"/>
          <w:sz w:val="19"/>
          <w:szCs w:val="19"/>
          <w:rtl/>
        </w:rPr>
        <w:t xml:space="preserve">. </w:t>
      </w:r>
      <w:bookmarkStart w:id="4" w:name="_Hlk214178259"/>
      <w:r w:rsidRPr="00791BC0">
        <w:rPr>
          <w:rFonts w:eastAsia="Calibri" w:hint="cs"/>
          <w:sz w:val="19"/>
          <w:szCs w:val="19"/>
          <w:rtl/>
        </w:rPr>
        <w:t>מדובר ביחידה מייעצת ש</w:t>
      </w:r>
      <w:r w:rsidRPr="00791BC0">
        <w:rPr>
          <w:rFonts w:eastAsia="Calibri"/>
          <w:sz w:val="19"/>
          <w:szCs w:val="19"/>
          <w:rtl/>
        </w:rPr>
        <w:t>לפי החלטת הממשלה כלל מאמציה צריכים להתמקד במימוש יעד זה באמצע</w:t>
      </w:r>
      <w:r w:rsidRPr="00791BC0">
        <w:rPr>
          <w:rFonts w:eastAsia="Calibri"/>
          <w:sz w:val="19"/>
          <w:szCs w:val="19"/>
          <w:rtl/>
        </w:rPr>
        <w:t>ות פעולות של ריכוז ידע, ייעוץ ורתימת המגזרים השונים לשיתופי פעולה ושיח מתמש</w:t>
      </w:r>
      <w:r w:rsidRPr="00791BC0">
        <w:rPr>
          <w:rFonts w:eastAsia="Calibri" w:hint="cs"/>
          <w:sz w:val="19"/>
          <w:szCs w:val="19"/>
          <w:rtl/>
        </w:rPr>
        <w:t>כים</w:t>
      </w:r>
      <w:r w:rsidRPr="00791BC0">
        <w:rPr>
          <w:rFonts w:eastAsia="Calibri"/>
          <w:sz w:val="19"/>
          <w:szCs w:val="19"/>
          <w:rtl/>
        </w:rPr>
        <w:t xml:space="preserve">. </w:t>
      </w:r>
      <w:r w:rsidRPr="00791BC0">
        <w:rPr>
          <w:rFonts w:eastAsia="Calibri" w:hint="cs"/>
          <w:sz w:val="19"/>
          <w:szCs w:val="19"/>
          <w:rtl/>
        </w:rPr>
        <w:t>מתוך כך, היחידה פועלת גם מול משרדי הממשלה וגם מול גופים תורמים והתנדבותיים וחלק חשוב בפעילותה הוא בשגרה ובהיערכות לחירום.</w:t>
      </w:r>
      <w:bookmarkEnd w:id="4"/>
      <w:r w:rsidRPr="00791BC0">
        <w:rPr>
          <w:rFonts w:eastAsia="Calibri" w:hint="cs"/>
          <w:sz w:val="19"/>
          <w:szCs w:val="19"/>
          <w:rtl/>
        </w:rPr>
        <w:t xml:space="preserve"> </w:t>
      </w:r>
    </w:p>
    <w:p w:rsidR="00791BC0" w:rsidRPr="00791BC0" w:rsidP="00D5540D">
      <w:pPr>
        <w:pStyle w:val="73"/>
        <w:numPr>
          <w:ilvl w:val="0"/>
          <w:numId w:val="25"/>
        </w:numPr>
        <w:spacing w:after="120"/>
        <w:rPr>
          <w:rFonts w:eastAsia="Calibri"/>
          <w:sz w:val="19"/>
          <w:szCs w:val="19"/>
          <w:rtl/>
        </w:rPr>
      </w:pPr>
      <w:r w:rsidRPr="00791BC0">
        <w:rPr>
          <w:rFonts w:eastAsia="Calibri" w:hint="cs"/>
          <w:sz w:val="19"/>
          <w:szCs w:val="19"/>
          <w:rtl/>
        </w:rPr>
        <w:t xml:space="preserve">נמצא כי </w:t>
      </w:r>
      <w:r w:rsidRPr="00791BC0">
        <w:rPr>
          <w:rFonts w:eastAsia="Calibri"/>
          <w:sz w:val="19"/>
          <w:szCs w:val="19"/>
          <w:rtl/>
        </w:rPr>
        <w:t xml:space="preserve">היחידה </w:t>
      </w:r>
      <w:r w:rsidRPr="00791BC0">
        <w:rPr>
          <w:rFonts w:eastAsia="Calibri" w:hint="cs"/>
          <w:sz w:val="19"/>
          <w:szCs w:val="19"/>
          <w:rtl/>
        </w:rPr>
        <w:t xml:space="preserve">לא נקטה </w:t>
      </w:r>
      <w:r w:rsidRPr="00791BC0">
        <w:rPr>
          <w:rFonts w:eastAsia="Calibri"/>
          <w:sz w:val="19"/>
          <w:szCs w:val="19"/>
          <w:rtl/>
        </w:rPr>
        <w:t xml:space="preserve">פעולות מרכזיות </w:t>
      </w:r>
      <w:r w:rsidRPr="00791BC0">
        <w:rPr>
          <w:rFonts w:eastAsia="Calibri" w:hint="cs"/>
          <w:sz w:val="19"/>
          <w:szCs w:val="19"/>
          <w:rtl/>
        </w:rPr>
        <w:t>שנכון היה שתנקו</w:t>
      </w:r>
      <w:r w:rsidRPr="00791BC0">
        <w:rPr>
          <w:rFonts w:eastAsia="Calibri" w:hint="cs"/>
          <w:sz w:val="19"/>
          <w:szCs w:val="19"/>
          <w:rtl/>
        </w:rPr>
        <w:t xml:space="preserve">ט כחלק מתפקידה </w:t>
      </w:r>
      <w:r w:rsidRPr="00791BC0">
        <w:rPr>
          <w:rFonts w:eastAsia="Calibri"/>
          <w:sz w:val="19"/>
          <w:szCs w:val="19"/>
          <w:rtl/>
        </w:rPr>
        <w:t>לקדם שיתוף פעולה בין משרדי הממשלה לגופים תורמים והתנדבותיים במצבי חירום</w:t>
      </w:r>
      <w:r w:rsidRPr="00791BC0">
        <w:rPr>
          <w:rFonts w:eastAsia="Calibri" w:hint="cs"/>
          <w:sz w:val="19"/>
          <w:szCs w:val="19"/>
          <w:rtl/>
        </w:rPr>
        <w:t>, וכי קיים פער מהותי בין האחריות שהטילה הממשלה על היחידה לבין מימוש האחריות בפועל, כמפורט להלן:</w:t>
      </w:r>
    </w:p>
    <w:p w:rsidR="00791BC0" w:rsidRPr="00791BC0" w:rsidP="00917216">
      <w:pPr>
        <w:pStyle w:val="73"/>
        <w:numPr>
          <w:ilvl w:val="0"/>
          <w:numId w:val="31"/>
        </w:numPr>
        <w:spacing w:after="120"/>
        <w:ind w:left="783" w:hanging="357"/>
        <w:rPr>
          <w:rFonts w:eastAsia="Calibri"/>
          <w:sz w:val="19"/>
          <w:szCs w:val="19"/>
        </w:rPr>
      </w:pPr>
      <w:r w:rsidRPr="00791BC0">
        <w:rPr>
          <w:rFonts w:eastAsia="Calibri" w:hint="cs"/>
          <w:sz w:val="19"/>
          <w:szCs w:val="19"/>
          <w:rtl/>
        </w:rPr>
        <w:t>לפני פרוץ המלחמה, היחידה ל</w:t>
      </w:r>
      <w:r w:rsidRPr="00791BC0">
        <w:rPr>
          <w:rFonts w:eastAsia="Calibri"/>
          <w:sz w:val="19"/>
          <w:szCs w:val="19"/>
          <w:rtl/>
        </w:rPr>
        <w:t xml:space="preserve">א ביצעה </w:t>
      </w:r>
      <w:r w:rsidRPr="00791BC0">
        <w:rPr>
          <w:rFonts w:eastAsia="Calibri" w:hint="cs"/>
          <w:sz w:val="19"/>
          <w:szCs w:val="19"/>
          <w:rtl/>
        </w:rPr>
        <w:t xml:space="preserve">מיפוי בסיסי מול משרדי הממשלה </w:t>
      </w:r>
      <w:r w:rsidRPr="00791BC0">
        <w:rPr>
          <w:rFonts w:eastAsia="Calibri"/>
          <w:sz w:val="19"/>
          <w:szCs w:val="19"/>
          <w:rtl/>
        </w:rPr>
        <w:t>של תחומי הפ</w:t>
      </w:r>
      <w:r w:rsidRPr="00791BC0">
        <w:rPr>
          <w:rFonts w:eastAsia="Calibri"/>
          <w:sz w:val="19"/>
          <w:szCs w:val="19"/>
          <w:rtl/>
        </w:rPr>
        <w:t xml:space="preserve">עילות </w:t>
      </w:r>
      <w:r w:rsidRPr="00791BC0">
        <w:rPr>
          <w:rFonts w:eastAsia="Calibri" w:hint="cs"/>
          <w:sz w:val="19"/>
          <w:szCs w:val="19"/>
          <w:rtl/>
        </w:rPr>
        <w:t>העיקריים ש</w:t>
      </w:r>
      <w:r w:rsidRPr="00791BC0">
        <w:rPr>
          <w:rFonts w:eastAsia="Calibri"/>
          <w:sz w:val="19"/>
          <w:szCs w:val="19"/>
          <w:rtl/>
        </w:rPr>
        <w:t xml:space="preserve">יש צורך לשלב </w:t>
      </w:r>
      <w:r w:rsidRPr="00791BC0">
        <w:rPr>
          <w:rFonts w:eastAsia="Calibri" w:hint="cs"/>
          <w:sz w:val="19"/>
          <w:szCs w:val="19"/>
          <w:rtl/>
        </w:rPr>
        <w:t xml:space="preserve">בהם </w:t>
      </w:r>
      <w:r w:rsidRPr="00791BC0">
        <w:rPr>
          <w:rFonts w:eastAsia="Calibri"/>
          <w:sz w:val="19"/>
          <w:szCs w:val="19"/>
          <w:rtl/>
        </w:rPr>
        <w:t xml:space="preserve">גופים </w:t>
      </w:r>
      <w:r w:rsidRPr="00791BC0">
        <w:rPr>
          <w:rFonts w:eastAsia="Calibri" w:hint="cs"/>
          <w:sz w:val="19"/>
          <w:szCs w:val="19"/>
          <w:rtl/>
        </w:rPr>
        <w:t xml:space="preserve">תורמים והתנדבותיים לשם השלמת פעולות המשרדים בחירום, </w:t>
      </w:r>
      <w:r w:rsidRPr="00791BC0">
        <w:rPr>
          <w:rFonts w:eastAsia="Calibri"/>
          <w:sz w:val="19"/>
          <w:szCs w:val="19"/>
          <w:rtl/>
        </w:rPr>
        <w:t>וממילא לא הנגישה מידע זה לגופים תורמים והתנדבותיים</w:t>
      </w:r>
      <w:r w:rsidRPr="00791BC0">
        <w:rPr>
          <w:rFonts w:eastAsia="Calibri" w:hint="cs"/>
          <w:sz w:val="19"/>
          <w:szCs w:val="19"/>
          <w:rtl/>
        </w:rPr>
        <w:t>, אף שמדובר ב</w:t>
      </w:r>
      <w:r w:rsidRPr="00791BC0">
        <w:rPr>
          <w:rFonts w:eastAsia="Calibri"/>
          <w:sz w:val="19"/>
          <w:szCs w:val="19"/>
          <w:rtl/>
        </w:rPr>
        <w:t>מידע חיוני להפעל</w:t>
      </w:r>
      <w:r w:rsidRPr="00791BC0">
        <w:rPr>
          <w:rFonts w:eastAsia="Calibri" w:hint="cs"/>
          <w:sz w:val="19"/>
          <w:szCs w:val="19"/>
          <w:rtl/>
        </w:rPr>
        <w:t>תם היעילה</w:t>
      </w:r>
      <w:r w:rsidRPr="00791BC0">
        <w:rPr>
          <w:rFonts w:eastAsia="Calibri"/>
          <w:sz w:val="19"/>
          <w:szCs w:val="19"/>
          <w:rtl/>
        </w:rPr>
        <w:t xml:space="preserve"> של הגופים</w:t>
      </w:r>
      <w:r w:rsidRPr="00791BC0">
        <w:rPr>
          <w:rFonts w:eastAsia="Calibri" w:hint="cs"/>
          <w:sz w:val="19"/>
          <w:szCs w:val="19"/>
          <w:rtl/>
        </w:rPr>
        <w:t>, בייחוד לנוכח ההתארגנות הממשלתית האיטית בגיבוש תמונת מצב אחודה</w:t>
      </w:r>
      <w:r w:rsidRPr="00791BC0">
        <w:rPr>
          <w:rFonts w:eastAsia="Calibri"/>
          <w:sz w:val="19"/>
          <w:szCs w:val="19"/>
          <w:rtl/>
        </w:rPr>
        <w:t xml:space="preserve">. פער </w:t>
      </w:r>
      <w:r w:rsidRPr="00791BC0">
        <w:rPr>
          <w:rFonts w:eastAsia="Calibri" w:hint="cs"/>
          <w:sz w:val="19"/>
          <w:szCs w:val="19"/>
          <w:rtl/>
        </w:rPr>
        <w:t>זה</w:t>
      </w:r>
      <w:r w:rsidRPr="00791BC0">
        <w:rPr>
          <w:rFonts w:eastAsia="Calibri"/>
          <w:sz w:val="19"/>
          <w:szCs w:val="19"/>
          <w:rtl/>
        </w:rPr>
        <w:t xml:space="preserve"> בולט במיוחד </w:t>
      </w:r>
      <w:r w:rsidRPr="00791BC0">
        <w:rPr>
          <w:rFonts w:eastAsia="Calibri" w:hint="cs"/>
          <w:sz w:val="19"/>
          <w:szCs w:val="19"/>
          <w:rtl/>
        </w:rPr>
        <w:t>לנוכח</w:t>
      </w:r>
      <w:r w:rsidRPr="00791BC0">
        <w:rPr>
          <w:rFonts w:eastAsia="Calibri"/>
          <w:sz w:val="19"/>
          <w:szCs w:val="19"/>
          <w:rtl/>
        </w:rPr>
        <w:t xml:space="preserve"> הערתו של מבקר המדינה כבר בשנת 2007</w:t>
      </w:r>
      <w:r w:rsidRPr="00791BC0">
        <w:rPr>
          <w:rFonts w:eastAsia="Calibri" w:hint="cs"/>
          <w:sz w:val="19"/>
          <w:szCs w:val="19"/>
          <w:rtl/>
        </w:rPr>
        <w:t>, בסמוך לפני הקמת היחידה,</w:t>
      </w:r>
      <w:r w:rsidRPr="00791BC0">
        <w:rPr>
          <w:rFonts w:eastAsia="Calibri"/>
          <w:sz w:val="19"/>
          <w:szCs w:val="19"/>
          <w:rtl/>
        </w:rPr>
        <w:t xml:space="preserve"> </w:t>
      </w:r>
      <w:r w:rsidRPr="00791BC0">
        <w:rPr>
          <w:rFonts w:eastAsia="Calibri" w:hint="cs"/>
          <w:sz w:val="19"/>
          <w:szCs w:val="19"/>
          <w:rtl/>
        </w:rPr>
        <w:t>על</w:t>
      </w:r>
      <w:r w:rsidRPr="00791BC0">
        <w:rPr>
          <w:rFonts w:eastAsia="Calibri"/>
          <w:sz w:val="19"/>
          <w:szCs w:val="19"/>
          <w:rtl/>
        </w:rPr>
        <w:t xml:space="preserve"> הצורך ליידע גופים תורמים והתנדבותיים</w:t>
      </w:r>
      <w:r w:rsidRPr="00791BC0">
        <w:rPr>
          <w:rFonts w:eastAsia="Calibri" w:hint="cs"/>
          <w:sz w:val="19"/>
          <w:szCs w:val="19"/>
          <w:rtl/>
        </w:rPr>
        <w:t xml:space="preserve"> בשגרה</w:t>
      </w:r>
      <w:r w:rsidRPr="00791BC0">
        <w:rPr>
          <w:rFonts w:eastAsia="Calibri"/>
          <w:sz w:val="19"/>
          <w:szCs w:val="19"/>
          <w:rtl/>
        </w:rPr>
        <w:t xml:space="preserve"> על </w:t>
      </w:r>
      <w:r w:rsidRPr="00791BC0">
        <w:rPr>
          <w:rFonts w:eastAsia="Calibri" w:hint="cs"/>
          <w:sz w:val="19"/>
          <w:szCs w:val="19"/>
          <w:rtl/>
        </w:rPr>
        <w:t>ה</w:t>
      </w:r>
      <w:r w:rsidRPr="00791BC0">
        <w:rPr>
          <w:rFonts w:eastAsia="Calibri"/>
          <w:sz w:val="19"/>
          <w:szCs w:val="19"/>
          <w:rtl/>
        </w:rPr>
        <w:t xml:space="preserve">תחומים </w:t>
      </w:r>
      <w:bookmarkStart w:id="5" w:name="_Hlk214178931"/>
      <w:r w:rsidRPr="00791BC0">
        <w:rPr>
          <w:rFonts w:eastAsia="Calibri" w:hint="cs"/>
          <w:sz w:val="19"/>
          <w:szCs w:val="19"/>
          <w:rtl/>
        </w:rPr>
        <w:t xml:space="preserve">העיקריים </w:t>
      </w:r>
      <w:r w:rsidRPr="00791BC0">
        <w:rPr>
          <w:rFonts w:eastAsia="Calibri"/>
          <w:sz w:val="19"/>
          <w:szCs w:val="19"/>
          <w:rtl/>
        </w:rPr>
        <w:t>שהם עשויים לה</w:t>
      </w:r>
      <w:r w:rsidRPr="00791BC0">
        <w:rPr>
          <w:rFonts w:eastAsia="Calibri" w:hint="cs"/>
          <w:sz w:val="19"/>
          <w:szCs w:val="19"/>
          <w:rtl/>
        </w:rPr>
        <w:t>תבקש לה</w:t>
      </w:r>
      <w:r w:rsidRPr="00791BC0">
        <w:rPr>
          <w:rFonts w:eastAsia="Calibri"/>
          <w:sz w:val="19"/>
          <w:szCs w:val="19"/>
          <w:rtl/>
        </w:rPr>
        <w:t xml:space="preserve">שתלב בהם </w:t>
      </w:r>
      <w:r w:rsidRPr="00791BC0">
        <w:rPr>
          <w:rFonts w:eastAsia="Calibri" w:hint="cs"/>
          <w:sz w:val="19"/>
          <w:szCs w:val="19"/>
          <w:rtl/>
        </w:rPr>
        <w:t xml:space="preserve">כמענה משלים </w:t>
      </w:r>
      <w:bookmarkEnd w:id="5"/>
      <w:r w:rsidRPr="00791BC0">
        <w:rPr>
          <w:rFonts w:eastAsia="Calibri" w:hint="cs"/>
          <w:sz w:val="19"/>
          <w:szCs w:val="19"/>
          <w:rtl/>
        </w:rPr>
        <w:t>לפעילות הממשלתית בחירום</w:t>
      </w:r>
      <w:r w:rsidRPr="00791BC0">
        <w:rPr>
          <w:rFonts w:eastAsia="Calibri"/>
          <w:sz w:val="19"/>
          <w:szCs w:val="19"/>
          <w:rtl/>
        </w:rPr>
        <w:t>.</w:t>
      </w:r>
    </w:p>
    <w:p w:rsidR="00791BC0" w:rsidRPr="00791BC0" w:rsidP="00917216">
      <w:pPr>
        <w:pStyle w:val="73"/>
        <w:numPr>
          <w:ilvl w:val="0"/>
          <w:numId w:val="31"/>
        </w:numPr>
        <w:spacing w:after="120"/>
        <w:ind w:left="783" w:hanging="357"/>
        <w:rPr>
          <w:rFonts w:eastAsia="Calibri"/>
          <w:sz w:val="19"/>
          <w:szCs w:val="19"/>
        </w:rPr>
      </w:pPr>
      <w:bookmarkStart w:id="6" w:name="_Hlk218589417"/>
      <w:r w:rsidRPr="00791BC0">
        <w:rPr>
          <w:rFonts w:eastAsia="Calibri"/>
          <w:sz w:val="19"/>
          <w:szCs w:val="19"/>
          <w:rtl/>
        </w:rPr>
        <w:t>לפני פרוץ המלחמה לא השלימה היחידה פעו</w:t>
      </w:r>
      <w:r w:rsidRPr="00791BC0">
        <w:rPr>
          <w:rFonts w:eastAsia="Calibri"/>
          <w:sz w:val="19"/>
          <w:szCs w:val="19"/>
          <w:rtl/>
        </w:rPr>
        <w:t xml:space="preserve">לות אותן החלה לבצע </w:t>
      </w:r>
      <w:r w:rsidRPr="00791BC0">
        <w:rPr>
          <w:rFonts w:eastAsia="Calibri" w:hint="cs"/>
          <w:sz w:val="19"/>
          <w:szCs w:val="19"/>
          <w:rtl/>
        </w:rPr>
        <w:t xml:space="preserve">כדי </w:t>
      </w:r>
      <w:r w:rsidRPr="00791BC0">
        <w:rPr>
          <w:rFonts w:eastAsia="Calibri"/>
          <w:sz w:val="19"/>
          <w:szCs w:val="19"/>
          <w:rtl/>
        </w:rPr>
        <w:t xml:space="preserve">לקדם מינוי בעל תפקיד ייעודי </w:t>
      </w:r>
      <w:r w:rsidRPr="00791BC0">
        <w:rPr>
          <w:rFonts w:eastAsia="Calibri" w:hint="cs"/>
          <w:sz w:val="19"/>
          <w:szCs w:val="19"/>
          <w:rtl/>
        </w:rPr>
        <w:t xml:space="preserve">שיהיה </w:t>
      </w:r>
      <w:r w:rsidRPr="00791BC0">
        <w:rPr>
          <w:rFonts w:eastAsia="Calibri"/>
          <w:sz w:val="19"/>
          <w:szCs w:val="19"/>
          <w:rtl/>
        </w:rPr>
        <w:t>האחראי על קידום עבודה ושיתופי פעולה עם גופים תורמים והתנדבותיים</w:t>
      </w:r>
      <w:r w:rsidRPr="00791BC0">
        <w:rPr>
          <w:rFonts w:eastAsia="Calibri" w:hint="cs"/>
          <w:sz w:val="19"/>
          <w:szCs w:val="19"/>
          <w:rtl/>
        </w:rPr>
        <w:t>,</w:t>
      </w:r>
      <w:r w:rsidRPr="00791BC0">
        <w:rPr>
          <w:rFonts w:eastAsia="Calibri"/>
          <w:sz w:val="19"/>
          <w:szCs w:val="19"/>
          <w:rtl/>
        </w:rPr>
        <w:t xml:space="preserve"> בכל </w:t>
      </w:r>
      <w:r w:rsidRPr="00791BC0">
        <w:rPr>
          <w:rFonts w:eastAsia="Calibri" w:hint="cs"/>
          <w:sz w:val="19"/>
          <w:szCs w:val="19"/>
          <w:rtl/>
        </w:rPr>
        <w:t>אחד מ</w:t>
      </w:r>
      <w:r w:rsidRPr="00791BC0">
        <w:rPr>
          <w:rFonts w:eastAsia="Calibri"/>
          <w:sz w:val="19"/>
          <w:szCs w:val="19"/>
          <w:rtl/>
        </w:rPr>
        <w:t>משרדי הממשלה הרלוונטיים</w:t>
      </w:r>
      <w:bookmarkEnd w:id="6"/>
      <w:r w:rsidRPr="00791BC0">
        <w:rPr>
          <w:rFonts w:eastAsia="Calibri" w:hint="cs"/>
          <w:sz w:val="19"/>
          <w:szCs w:val="19"/>
          <w:rtl/>
        </w:rPr>
        <w:t>. יצוין כי גופים תורמים והתנדבותיים התקשו במהלך המלחמה לאתר אנשי קשר במשרדי ממשלה הרלוונטיים לפעילותם.</w:t>
      </w:r>
    </w:p>
    <w:p w:rsidR="00791BC0" w:rsidRPr="00791BC0" w:rsidP="00917216">
      <w:pPr>
        <w:pStyle w:val="73"/>
        <w:numPr>
          <w:ilvl w:val="0"/>
          <w:numId w:val="31"/>
        </w:numPr>
        <w:spacing w:after="120"/>
        <w:ind w:left="783" w:hanging="357"/>
        <w:rPr>
          <w:rFonts w:eastAsia="Calibri"/>
          <w:sz w:val="19"/>
          <w:szCs w:val="19"/>
        </w:rPr>
      </w:pPr>
      <w:r w:rsidRPr="00791BC0">
        <w:rPr>
          <w:rFonts w:eastAsia="Calibri" w:hint="cs"/>
          <w:sz w:val="19"/>
          <w:szCs w:val="19"/>
          <w:rtl/>
        </w:rPr>
        <w:t>אף ש</w:t>
      </w:r>
      <w:r w:rsidRPr="00791BC0">
        <w:rPr>
          <w:rFonts w:eastAsia="Calibri"/>
          <w:sz w:val="19"/>
          <w:szCs w:val="19"/>
          <w:rtl/>
        </w:rPr>
        <w:t xml:space="preserve">היחידה </w:t>
      </w:r>
      <w:r w:rsidRPr="00791BC0">
        <w:rPr>
          <w:rFonts w:eastAsia="Calibri" w:hint="cs"/>
          <w:sz w:val="19"/>
          <w:szCs w:val="19"/>
          <w:rtl/>
        </w:rPr>
        <w:t xml:space="preserve">ידעה כי ריבוי גופים תורמים והתנדבותיים מקשה על משרדי הממשלה לקיים קשר עמם, היא </w:t>
      </w:r>
      <w:r w:rsidRPr="00791BC0">
        <w:rPr>
          <w:rFonts w:eastAsia="Calibri"/>
          <w:sz w:val="19"/>
          <w:szCs w:val="19"/>
          <w:rtl/>
        </w:rPr>
        <w:t>לא ריכזה ולא הנגישה</w:t>
      </w:r>
      <w:r w:rsidRPr="00791BC0">
        <w:rPr>
          <w:rFonts w:eastAsia="Calibri" w:hint="cs"/>
          <w:sz w:val="19"/>
          <w:szCs w:val="19"/>
          <w:rtl/>
        </w:rPr>
        <w:t xml:space="preserve"> למשרדים</w:t>
      </w:r>
      <w:r w:rsidRPr="00791BC0">
        <w:rPr>
          <w:rFonts w:eastAsia="Calibri"/>
          <w:sz w:val="19"/>
          <w:szCs w:val="19"/>
          <w:rtl/>
        </w:rPr>
        <w:t xml:space="preserve"> </w:t>
      </w:r>
      <w:r w:rsidRPr="00791BC0">
        <w:rPr>
          <w:rFonts w:eastAsia="Calibri" w:hint="cs"/>
          <w:sz w:val="19"/>
          <w:szCs w:val="19"/>
          <w:rtl/>
        </w:rPr>
        <w:t xml:space="preserve">לפני פרוץ המלחמה </w:t>
      </w:r>
      <w:r w:rsidRPr="00791BC0">
        <w:rPr>
          <w:rFonts w:eastAsia="Calibri"/>
          <w:sz w:val="19"/>
          <w:szCs w:val="19"/>
          <w:rtl/>
        </w:rPr>
        <w:t xml:space="preserve">ידע </w:t>
      </w:r>
      <w:r w:rsidRPr="00791BC0">
        <w:rPr>
          <w:rFonts w:eastAsia="Calibri" w:hint="cs"/>
          <w:sz w:val="19"/>
          <w:szCs w:val="19"/>
          <w:rtl/>
        </w:rPr>
        <w:t xml:space="preserve">על אותם גופים </w:t>
      </w:r>
      <w:r w:rsidRPr="00791BC0">
        <w:rPr>
          <w:rFonts w:eastAsia="Calibri"/>
          <w:sz w:val="19"/>
          <w:szCs w:val="19"/>
          <w:rtl/>
        </w:rPr>
        <w:t>ה</w:t>
      </w:r>
      <w:r w:rsidRPr="00791BC0">
        <w:rPr>
          <w:rFonts w:eastAsia="Calibri" w:hint="cs"/>
          <w:sz w:val="19"/>
          <w:szCs w:val="19"/>
          <w:rtl/>
        </w:rPr>
        <w:t>פועלים בתחומי העיסוק של</w:t>
      </w:r>
      <w:r w:rsidRPr="00791BC0">
        <w:rPr>
          <w:rFonts w:eastAsia="Calibri"/>
          <w:sz w:val="19"/>
          <w:szCs w:val="19"/>
          <w:rtl/>
        </w:rPr>
        <w:t xml:space="preserve"> משרדי הממשלה</w:t>
      </w:r>
      <w:r w:rsidRPr="00791BC0">
        <w:rPr>
          <w:rFonts w:eastAsia="Calibri" w:hint="cs"/>
          <w:sz w:val="19"/>
          <w:szCs w:val="19"/>
          <w:rtl/>
        </w:rPr>
        <w:t xml:space="preserve"> השונים</w:t>
      </w:r>
      <w:r w:rsidRPr="00791BC0">
        <w:rPr>
          <w:rFonts w:eastAsia="Calibri"/>
          <w:sz w:val="19"/>
          <w:szCs w:val="19"/>
          <w:rtl/>
        </w:rPr>
        <w:t>,</w:t>
      </w:r>
      <w:r w:rsidRPr="00791BC0">
        <w:rPr>
          <w:rFonts w:eastAsia="Calibri" w:hint="cs"/>
          <w:sz w:val="19"/>
          <w:szCs w:val="19"/>
          <w:rtl/>
        </w:rPr>
        <w:t xml:space="preserve"> על </w:t>
      </w:r>
      <w:r w:rsidRPr="00791BC0">
        <w:rPr>
          <w:rFonts w:eastAsia="Calibri"/>
          <w:sz w:val="19"/>
          <w:szCs w:val="19"/>
          <w:rtl/>
        </w:rPr>
        <w:t>כשירותם</w:t>
      </w:r>
      <w:r w:rsidRPr="00791BC0">
        <w:rPr>
          <w:rFonts w:eastAsia="Calibri" w:hint="cs"/>
          <w:sz w:val="19"/>
          <w:szCs w:val="19"/>
          <w:rtl/>
        </w:rPr>
        <w:t xml:space="preserve"> המקצועית,</w:t>
      </w:r>
      <w:r w:rsidRPr="00791BC0">
        <w:rPr>
          <w:rFonts w:eastAsia="Calibri"/>
          <w:sz w:val="19"/>
          <w:szCs w:val="19"/>
          <w:rtl/>
        </w:rPr>
        <w:t xml:space="preserve"> יכולתם </w:t>
      </w:r>
      <w:r w:rsidRPr="00791BC0">
        <w:rPr>
          <w:rFonts w:eastAsia="Calibri" w:hint="cs"/>
          <w:sz w:val="19"/>
          <w:szCs w:val="19"/>
          <w:rtl/>
        </w:rPr>
        <w:t xml:space="preserve">ונכונותם </w:t>
      </w:r>
      <w:r w:rsidRPr="00791BC0">
        <w:rPr>
          <w:rFonts w:eastAsia="Calibri"/>
          <w:sz w:val="19"/>
          <w:szCs w:val="19"/>
          <w:rtl/>
        </w:rPr>
        <w:t>לסייע כפעילות משלימ</w:t>
      </w:r>
      <w:r w:rsidRPr="00791BC0">
        <w:rPr>
          <w:rFonts w:eastAsia="Calibri"/>
          <w:sz w:val="19"/>
          <w:szCs w:val="19"/>
          <w:rtl/>
        </w:rPr>
        <w:t>ה לפעילות הממשלתית ב</w:t>
      </w:r>
      <w:r w:rsidRPr="00791BC0">
        <w:rPr>
          <w:rFonts w:eastAsia="Calibri" w:hint="cs"/>
          <w:sz w:val="19"/>
          <w:szCs w:val="19"/>
          <w:rtl/>
        </w:rPr>
        <w:t xml:space="preserve">עיתות </w:t>
      </w:r>
      <w:r w:rsidRPr="00791BC0">
        <w:rPr>
          <w:rFonts w:eastAsia="Calibri"/>
          <w:sz w:val="19"/>
          <w:szCs w:val="19"/>
          <w:rtl/>
        </w:rPr>
        <w:t>שגרה וחירום</w:t>
      </w:r>
      <w:r w:rsidRPr="00791BC0">
        <w:rPr>
          <w:rFonts w:eastAsia="Calibri" w:hint="cs"/>
          <w:sz w:val="19"/>
          <w:szCs w:val="19"/>
          <w:rtl/>
        </w:rPr>
        <w:t>.</w:t>
      </w:r>
    </w:p>
    <w:p w:rsidR="00791BC0" w:rsidRPr="00791BC0" w:rsidP="00917216">
      <w:pPr>
        <w:pStyle w:val="73"/>
        <w:numPr>
          <w:ilvl w:val="0"/>
          <w:numId w:val="31"/>
        </w:numPr>
        <w:spacing w:after="120"/>
        <w:ind w:left="783" w:hanging="357"/>
        <w:rPr>
          <w:rFonts w:eastAsia="Calibri"/>
          <w:sz w:val="19"/>
          <w:szCs w:val="19"/>
        </w:rPr>
      </w:pPr>
      <w:r w:rsidRPr="00791BC0">
        <w:rPr>
          <w:rFonts w:eastAsia="Calibri"/>
          <w:sz w:val="19"/>
          <w:szCs w:val="19"/>
          <w:rtl/>
        </w:rPr>
        <w:t>היחידה</w:t>
      </w:r>
      <w:r w:rsidRPr="00791BC0">
        <w:rPr>
          <w:rFonts w:eastAsia="Calibri" w:hint="cs"/>
          <w:sz w:val="19"/>
          <w:szCs w:val="19"/>
          <w:rtl/>
        </w:rPr>
        <w:t xml:space="preserve"> </w:t>
      </w:r>
      <w:r w:rsidRPr="00791BC0">
        <w:rPr>
          <w:rFonts w:eastAsia="Calibri"/>
          <w:sz w:val="19"/>
          <w:szCs w:val="19"/>
          <w:rtl/>
        </w:rPr>
        <w:t xml:space="preserve">לא השלימה </w:t>
      </w:r>
      <w:r w:rsidRPr="00791BC0">
        <w:rPr>
          <w:rFonts w:eastAsia="Calibri" w:hint="cs"/>
          <w:sz w:val="19"/>
          <w:szCs w:val="19"/>
          <w:rtl/>
        </w:rPr>
        <w:t>את ה</w:t>
      </w:r>
      <w:r w:rsidRPr="00791BC0">
        <w:rPr>
          <w:rFonts w:eastAsia="Calibri"/>
          <w:sz w:val="19"/>
          <w:szCs w:val="19"/>
          <w:rtl/>
        </w:rPr>
        <w:t>אפיון ו</w:t>
      </w:r>
      <w:r w:rsidRPr="00791BC0">
        <w:rPr>
          <w:rFonts w:eastAsia="Calibri" w:hint="cs"/>
          <w:sz w:val="19"/>
          <w:szCs w:val="19"/>
          <w:rtl/>
        </w:rPr>
        <w:t>ה</w:t>
      </w:r>
      <w:r w:rsidRPr="00791BC0">
        <w:rPr>
          <w:rFonts w:eastAsia="Calibri"/>
          <w:sz w:val="19"/>
          <w:szCs w:val="19"/>
          <w:rtl/>
        </w:rPr>
        <w:t>הקמה של מערכת דיגיטלית ממשלתית החיונית לעבודה רב-מגזרית יעילה</w:t>
      </w:r>
      <w:r w:rsidRPr="00791BC0">
        <w:rPr>
          <w:rFonts w:eastAsia="Calibri" w:hint="cs"/>
          <w:sz w:val="19"/>
          <w:szCs w:val="19"/>
          <w:rtl/>
        </w:rPr>
        <w:t>.</w:t>
      </w:r>
    </w:p>
    <w:p w:rsidR="00791BC0" w:rsidRPr="00791BC0" w:rsidP="00917216">
      <w:pPr>
        <w:pStyle w:val="73"/>
        <w:numPr>
          <w:ilvl w:val="0"/>
          <w:numId w:val="31"/>
        </w:numPr>
        <w:spacing w:after="120"/>
        <w:ind w:left="783" w:hanging="357"/>
        <w:rPr>
          <w:rFonts w:eastAsia="Calibri"/>
          <w:sz w:val="19"/>
          <w:szCs w:val="19"/>
        </w:rPr>
      </w:pPr>
      <w:r w:rsidRPr="00791BC0">
        <w:rPr>
          <w:rFonts w:eastAsia="Calibri"/>
          <w:sz w:val="19"/>
          <w:szCs w:val="19"/>
          <w:rtl/>
        </w:rPr>
        <w:t xml:space="preserve">אגף </w:t>
      </w:r>
      <w:r w:rsidRPr="00791BC0">
        <w:rPr>
          <w:rFonts w:eastAsia="Calibri" w:hint="cs"/>
          <w:sz w:val="19"/>
          <w:szCs w:val="19"/>
          <w:rtl/>
        </w:rPr>
        <w:t>ממשל וחברה במשרד רה"ם, שבמסגרתו הארגונית פועלת היחידה, החליט ש</w:t>
      </w:r>
      <w:r w:rsidRPr="00791BC0">
        <w:rPr>
          <w:rFonts w:eastAsia="Calibri"/>
          <w:sz w:val="19"/>
          <w:szCs w:val="19"/>
          <w:rtl/>
        </w:rPr>
        <w:t>ל</w:t>
      </w:r>
      <w:r w:rsidRPr="00791BC0">
        <w:rPr>
          <w:rFonts w:eastAsia="Calibri" w:hint="cs"/>
          <w:sz w:val="19"/>
          <w:szCs w:val="19"/>
          <w:rtl/>
        </w:rPr>
        <w:t>א ל</w:t>
      </w:r>
      <w:r w:rsidRPr="00791BC0">
        <w:rPr>
          <w:rFonts w:eastAsia="Calibri"/>
          <w:sz w:val="19"/>
          <w:szCs w:val="19"/>
          <w:rtl/>
        </w:rPr>
        <w:t xml:space="preserve">הקים מוקד </w:t>
      </w:r>
      <w:r w:rsidRPr="00791BC0">
        <w:rPr>
          <w:rFonts w:eastAsia="Calibri" w:hint="cs"/>
          <w:sz w:val="19"/>
          <w:szCs w:val="19"/>
          <w:rtl/>
        </w:rPr>
        <w:t xml:space="preserve">טלפוני ממשלתי </w:t>
      </w:r>
      <w:r w:rsidRPr="00791BC0">
        <w:rPr>
          <w:rFonts w:eastAsia="Calibri"/>
          <w:sz w:val="19"/>
          <w:szCs w:val="19"/>
          <w:rtl/>
        </w:rPr>
        <w:t>אחוד</w:t>
      </w:r>
      <w:r w:rsidRPr="00791BC0">
        <w:rPr>
          <w:rFonts w:eastAsia="Calibri" w:hint="cs"/>
          <w:sz w:val="19"/>
          <w:szCs w:val="19"/>
          <w:rtl/>
        </w:rPr>
        <w:t xml:space="preserve"> שיספק מידע חיוני לפעילותם </w:t>
      </w:r>
      <w:r w:rsidRPr="00791BC0">
        <w:rPr>
          <w:rFonts w:eastAsia="Calibri" w:hint="cs"/>
          <w:sz w:val="19"/>
          <w:szCs w:val="19"/>
          <w:rtl/>
        </w:rPr>
        <w:t>של גופים תורמים והתנדבותיים במלחמה. זאת, אף שגופים תורמים והתנדבותיים העלו צורך במוקד כאמור</w:t>
      </w:r>
      <w:r w:rsidRPr="00791BC0">
        <w:rPr>
          <w:rFonts w:eastAsia="Calibri"/>
          <w:sz w:val="19"/>
          <w:szCs w:val="19"/>
          <w:rtl/>
        </w:rPr>
        <w:t>.</w:t>
      </w:r>
      <w:r w:rsidRPr="00791BC0">
        <w:rPr>
          <w:rFonts w:eastAsia="Calibri" w:hint="cs"/>
          <w:sz w:val="19"/>
          <w:szCs w:val="19"/>
          <w:rtl/>
        </w:rPr>
        <w:t xml:space="preserve"> </w:t>
      </w:r>
    </w:p>
    <w:p w:rsidR="00791BC0" w:rsidRPr="00791BC0" w:rsidP="00791BC0">
      <w:pPr>
        <w:spacing w:after="120" w:line="288" w:lineRule="auto"/>
        <w:ind w:left="720"/>
        <w:contextualSpacing/>
        <w:rPr>
          <w:rFonts w:ascii="Tahoma" w:eastAsia="Calibri" w:hAnsi="Tahoma" w:cs="Tahoma"/>
          <w:sz w:val="19"/>
          <w:szCs w:val="19"/>
          <w:rtl/>
        </w:rPr>
      </w:pPr>
    </w:p>
    <w:p w:rsidR="00791BC0" w:rsidRPr="00791BC0" w:rsidP="00E25B3B">
      <w:pPr>
        <w:pStyle w:val="73"/>
        <w:numPr>
          <w:ilvl w:val="0"/>
          <w:numId w:val="25"/>
        </w:numPr>
        <w:spacing w:after="120"/>
        <w:rPr>
          <w:rFonts w:eastAsia="Calibri"/>
          <w:sz w:val="19"/>
          <w:szCs w:val="19"/>
          <w:rtl/>
        </w:rPr>
      </w:pPr>
      <w:r w:rsidRPr="00791BC0">
        <w:rPr>
          <w:rFonts w:eastAsia="Calibri"/>
          <w:sz w:val="19"/>
          <w:szCs w:val="19"/>
          <w:rtl/>
        </w:rPr>
        <w:t>עד נובמבר 2024 עבדו ב</w:t>
      </w:r>
      <w:r w:rsidRPr="00791BC0">
        <w:rPr>
          <w:rFonts w:eastAsia="Calibri" w:hint="cs"/>
          <w:sz w:val="19"/>
          <w:szCs w:val="19"/>
          <w:rtl/>
        </w:rPr>
        <w:t>יחיד</w:t>
      </w:r>
      <w:r w:rsidRPr="00791BC0">
        <w:rPr>
          <w:rFonts w:eastAsia="Calibri"/>
          <w:sz w:val="19"/>
          <w:szCs w:val="19"/>
          <w:rtl/>
        </w:rPr>
        <w:t xml:space="preserve">ה </w:t>
      </w:r>
      <w:r w:rsidRPr="00791BC0">
        <w:rPr>
          <w:rFonts w:eastAsia="Calibri" w:hint="cs"/>
          <w:sz w:val="19"/>
          <w:szCs w:val="19"/>
          <w:rtl/>
        </w:rPr>
        <w:t xml:space="preserve">לשיתופי פעולה רב-מגזריים </w:t>
      </w:r>
      <w:r w:rsidRPr="00791BC0">
        <w:rPr>
          <w:rFonts w:eastAsia="Calibri"/>
          <w:sz w:val="19"/>
          <w:szCs w:val="19"/>
          <w:rtl/>
        </w:rPr>
        <w:t>מנהלת ועובדת בלבד, ובחודשים שלאחר מכן - מנהלת אחת. היקף כוח האדם הדל שיועד ליחידה למול גודל האחריות והמשימה שהממשלה הטילה עליה - בייחוד בהתחשב בהיקפים הגדולים של פעילות התרומה וההתנדבות בישראל בשגרה ובחירום, ששוויה הכספי הסתכם כאמור בשלושת החודשים הראשונים</w:t>
      </w:r>
      <w:r w:rsidRPr="00791BC0">
        <w:rPr>
          <w:rFonts w:eastAsia="Calibri"/>
          <w:sz w:val="19"/>
          <w:szCs w:val="19"/>
          <w:rtl/>
        </w:rPr>
        <w:t xml:space="preserve"> של מלחמת חרבות ברזל בכ-14.78 מיליארדי ש"ח - </w:t>
      </w:r>
      <w:r w:rsidRPr="00791BC0">
        <w:rPr>
          <w:rFonts w:eastAsia="Calibri" w:hint="cs"/>
          <w:sz w:val="19"/>
          <w:szCs w:val="19"/>
          <w:rtl/>
        </w:rPr>
        <w:t xml:space="preserve">מחייבים בחינה האם </w:t>
      </w:r>
      <w:r w:rsidRPr="00791BC0">
        <w:rPr>
          <w:rFonts w:eastAsia="Calibri"/>
          <w:sz w:val="19"/>
          <w:szCs w:val="19"/>
          <w:rtl/>
        </w:rPr>
        <w:t>המשאבים שהועמדו לרשות היחידה בשגרה (לפני פרוץ מלחמת חרבות ברזל) ובמהלך המלחמה, היו בהלימה לייעודה</w:t>
      </w:r>
      <w:r w:rsidRPr="00791BC0">
        <w:rPr>
          <w:rFonts w:eastAsia="Calibri" w:hint="cs"/>
          <w:sz w:val="19"/>
          <w:szCs w:val="19"/>
          <w:rtl/>
        </w:rPr>
        <w:t>.</w:t>
      </w:r>
    </w:p>
    <w:p w:rsidR="00791BC0" w:rsidRPr="00791BC0" w:rsidP="00E25B3B">
      <w:pPr>
        <w:pStyle w:val="73"/>
        <w:rPr>
          <w:rFonts w:eastAsia="Calibri"/>
          <w:sz w:val="19"/>
          <w:szCs w:val="19"/>
          <w:rtl/>
        </w:rPr>
      </w:pPr>
      <w:r w:rsidRPr="00791BC0">
        <w:rPr>
          <w:rFonts w:eastAsia="Calibri"/>
          <w:sz w:val="19"/>
          <w:szCs w:val="19"/>
          <w:rtl/>
        </w:rPr>
        <w:t xml:space="preserve">בעניין זה יצוין כי בביקורת שביצע משרד מבקר המדינה בנושא "הניהול הממשלתי של התחום האזרחי במהלך </w:t>
      </w:r>
      <w:r w:rsidRPr="00791BC0">
        <w:rPr>
          <w:rFonts w:eastAsia="Calibri"/>
          <w:sz w:val="19"/>
          <w:szCs w:val="19"/>
          <w:rtl/>
        </w:rPr>
        <w:t>מלחמת חרבות ברזל" שתוצריה פורסמו בספטמבר 2025, נמצא כי אגף שכר והסכמי עבודה במשרד האוצר ונציבות שירות המדינה לא גיבשו בעת שגרה מנגנון לאיוש משרות ולקביעת תנאי שכר בשעת חירום, ומבקר המדינה המליץ כי יגבשו מנגנון כאמור בהתייעצות עם משרד המשפטים, ויוודאו כי המ</w:t>
      </w:r>
      <w:r w:rsidRPr="00791BC0">
        <w:rPr>
          <w:rFonts w:eastAsia="Calibri"/>
          <w:sz w:val="19"/>
          <w:szCs w:val="19"/>
          <w:rtl/>
        </w:rPr>
        <w:t>נגנון יוטמע בכל משרדי הממשלה. קיומו והפעלתו של מנגנון כזה טרם המלחמה אפשר שהיה בו כדי לסייע גם להפעלתה של היחידה לשיתופי פעולה רב</w:t>
      </w:r>
      <w:r w:rsidRPr="00791BC0">
        <w:rPr>
          <w:rFonts w:eastAsia="Calibri" w:hint="cs"/>
          <w:sz w:val="19"/>
          <w:szCs w:val="19"/>
          <w:rtl/>
        </w:rPr>
        <w:t>-</w:t>
      </w:r>
      <w:r w:rsidRPr="00791BC0">
        <w:rPr>
          <w:rFonts w:eastAsia="Calibri"/>
          <w:sz w:val="19"/>
          <w:szCs w:val="19"/>
          <w:rtl/>
        </w:rPr>
        <w:t>מגזריים במלחמה</w:t>
      </w:r>
      <w:r w:rsidRPr="00791BC0">
        <w:rPr>
          <w:rFonts w:eastAsia="Calibri" w:hint="cs"/>
          <w:sz w:val="19"/>
          <w:szCs w:val="19"/>
          <w:rtl/>
        </w:rPr>
        <w:t>.</w:t>
      </w:r>
    </w:p>
    <w:p w:rsidR="00791BC0" w:rsidRPr="00791BC0" w:rsidP="00D5540D">
      <w:pPr>
        <w:pStyle w:val="73"/>
        <w:spacing w:after="160"/>
        <w:ind w:left="0"/>
        <w:rPr>
          <w:rFonts w:eastAsia="Calibri"/>
          <w:b/>
          <w:bCs/>
          <w:sz w:val="19"/>
          <w:szCs w:val="19"/>
        </w:rPr>
      </w:pPr>
      <w:r w:rsidRPr="00791BC0">
        <w:rPr>
          <w:rFonts w:eastAsia="Calibri"/>
          <w:b/>
          <w:bCs/>
          <w:sz w:val="19"/>
          <w:szCs w:val="19"/>
          <w:rtl/>
        </w:rPr>
        <w:t>ריכוז ידע על פעילותם של גופים תורמים והתנדבותיים במלחמת חרבות ברזל לשם טיוב פעילות הממשלה והתיאום עימם במצבי ח</w:t>
      </w:r>
      <w:r w:rsidRPr="00791BC0">
        <w:rPr>
          <w:rFonts w:eastAsia="Calibri"/>
          <w:b/>
          <w:bCs/>
          <w:sz w:val="19"/>
          <w:szCs w:val="19"/>
          <w:rtl/>
        </w:rPr>
        <w:t xml:space="preserve">ירום </w:t>
      </w:r>
    </w:p>
    <w:p w:rsidR="00791BC0" w:rsidRPr="00791BC0" w:rsidP="00E25B3B">
      <w:pPr>
        <w:pStyle w:val="73"/>
        <w:numPr>
          <w:ilvl w:val="0"/>
          <w:numId w:val="25"/>
        </w:numPr>
        <w:spacing w:after="120"/>
        <w:rPr>
          <w:rFonts w:eastAsia="Calibri"/>
          <w:sz w:val="19"/>
          <w:szCs w:val="19"/>
        </w:rPr>
      </w:pPr>
      <w:r w:rsidRPr="00791BC0">
        <w:rPr>
          <w:rFonts w:eastAsia="Calibri" w:hint="cs"/>
          <w:sz w:val="19"/>
          <w:szCs w:val="19"/>
          <w:rtl/>
        </w:rPr>
        <w:t>עד למועד סיום הביקורת בנושא (</w:t>
      </w:r>
      <w:r w:rsidRPr="00791BC0">
        <w:rPr>
          <w:rFonts w:eastAsia="Calibri"/>
          <w:sz w:val="19"/>
          <w:szCs w:val="19"/>
          <w:rtl/>
        </w:rPr>
        <w:t>י</w:t>
      </w:r>
      <w:r w:rsidRPr="00791BC0">
        <w:rPr>
          <w:rFonts w:eastAsia="Calibri" w:hint="cs"/>
          <w:sz w:val="19"/>
          <w:szCs w:val="19"/>
          <w:rtl/>
        </w:rPr>
        <w:t>ולי</w:t>
      </w:r>
      <w:r w:rsidRPr="00791BC0">
        <w:rPr>
          <w:rFonts w:eastAsia="Calibri"/>
          <w:sz w:val="19"/>
          <w:szCs w:val="19"/>
          <w:rtl/>
        </w:rPr>
        <w:t xml:space="preserve"> 2025</w:t>
      </w:r>
      <w:r w:rsidRPr="00791BC0">
        <w:rPr>
          <w:rFonts w:eastAsia="Calibri" w:hint="cs"/>
          <w:sz w:val="19"/>
          <w:szCs w:val="19"/>
          <w:rtl/>
        </w:rPr>
        <w:t>)</w:t>
      </w:r>
      <w:r w:rsidRPr="00791BC0">
        <w:rPr>
          <w:rFonts w:eastAsia="Calibri"/>
          <w:sz w:val="19"/>
          <w:szCs w:val="19"/>
          <w:rtl/>
        </w:rPr>
        <w:t>, כשנה ו</w:t>
      </w:r>
      <w:r w:rsidRPr="00791BC0">
        <w:rPr>
          <w:rFonts w:eastAsia="Calibri" w:hint="cs"/>
          <w:sz w:val="19"/>
          <w:szCs w:val="19"/>
          <w:rtl/>
        </w:rPr>
        <w:t xml:space="preserve">שמונה חודשים </w:t>
      </w:r>
      <w:r w:rsidRPr="00791BC0">
        <w:rPr>
          <w:rFonts w:eastAsia="Calibri"/>
          <w:sz w:val="19"/>
          <w:szCs w:val="19"/>
          <w:rtl/>
        </w:rPr>
        <w:t xml:space="preserve">לאחר פרוץ מלחמת חרבות ברזל, לא ריכזה היחידה </w:t>
      </w:r>
      <w:r w:rsidRPr="00791BC0">
        <w:rPr>
          <w:rFonts w:eastAsia="Calibri" w:hint="cs"/>
          <w:sz w:val="19"/>
          <w:szCs w:val="19"/>
          <w:rtl/>
        </w:rPr>
        <w:t xml:space="preserve">לשיתופי פעולה רב-מגזריים </w:t>
      </w:r>
      <w:r w:rsidRPr="00791BC0">
        <w:rPr>
          <w:rFonts w:eastAsia="Calibri"/>
          <w:sz w:val="19"/>
          <w:szCs w:val="19"/>
          <w:rtl/>
        </w:rPr>
        <w:t xml:space="preserve">ידע על פעילותם </w:t>
      </w:r>
      <w:r w:rsidRPr="00791BC0">
        <w:rPr>
          <w:rFonts w:eastAsia="Calibri" w:hint="cs"/>
          <w:sz w:val="19"/>
          <w:szCs w:val="19"/>
          <w:rtl/>
        </w:rPr>
        <w:t xml:space="preserve">של גופים תורמים והתנדבותיים </w:t>
      </w:r>
      <w:r w:rsidRPr="00791BC0">
        <w:rPr>
          <w:rFonts w:eastAsia="Calibri"/>
          <w:sz w:val="19"/>
          <w:szCs w:val="19"/>
          <w:rtl/>
        </w:rPr>
        <w:t>במלחמה</w:t>
      </w:r>
      <w:r w:rsidRPr="00791BC0">
        <w:rPr>
          <w:rFonts w:eastAsia="Calibri" w:hint="cs"/>
          <w:sz w:val="19"/>
          <w:szCs w:val="19"/>
          <w:rtl/>
        </w:rPr>
        <w:t xml:space="preserve"> לצורך הפקת לקחים שתסייע למשרדי ממשלה לפעול ב</w:t>
      </w:r>
      <w:r w:rsidRPr="00791BC0">
        <w:rPr>
          <w:rFonts w:eastAsia="Calibri"/>
          <w:sz w:val="19"/>
          <w:szCs w:val="19"/>
          <w:rtl/>
        </w:rPr>
        <w:t xml:space="preserve">תיאום </w:t>
      </w:r>
      <w:r w:rsidRPr="00791BC0">
        <w:rPr>
          <w:rFonts w:eastAsia="Calibri" w:hint="eastAsia"/>
          <w:sz w:val="19"/>
          <w:szCs w:val="19"/>
          <w:rtl/>
        </w:rPr>
        <w:t>עימם</w:t>
      </w:r>
      <w:r w:rsidRPr="00791BC0">
        <w:rPr>
          <w:rFonts w:eastAsia="Calibri"/>
          <w:sz w:val="19"/>
          <w:szCs w:val="19"/>
          <w:rtl/>
        </w:rPr>
        <w:t xml:space="preserve"> </w:t>
      </w:r>
      <w:r w:rsidRPr="00791BC0">
        <w:rPr>
          <w:rFonts w:eastAsia="Calibri" w:hint="cs"/>
          <w:sz w:val="19"/>
          <w:szCs w:val="19"/>
          <w:rtl/>
        </w:rPr>
        <w:t>ב</w:t>
      </w:r>
      <w:r w:rsidRPr="00791BC0">
        <w:rPr>
          <w:rFonts w:eastAsia="Calibri"/>
          <w:sz w:val="19"/>
          <w:szCs w:val="19"/>
          <w:rtl/>
        </w:rPr>
        <w:t>חירום.</w:t>
      </w:r>
    </w:p>
    <w:p w:rsidR="00791BC0" w:rsidRPr="00791BC0" w:rsidP="00E25B3B">
      <w:pPr>
        <w:pStyle w:val="73"/>
        <w:rPr>
          <w:rFonts w:eastAsia="Calibri"/>
          <w:sz w:val="19"/>
          <w:szCs w:val="19"/>
          <w:rtl/>
        </w:rPr>
      </w:pPr>
      <w:r w:rsidRPr="00791BC0">
        <w:rPr>
          <w:rFonts w:eastAsia="Calibri" w:hint="cs"/>
          <w:sz w:val="19"/>
          <w:szCs w:val="19"/>
          <w:rtl/>
        </w:rPr>
        <w:t>על רקע ה</w:t>
      </w:r>
      <w:r w:rsidRPr="00791BC0">
        <w:rPr>
          <w:rFonts w:eastAsia="Calibri" w:hint="cs"/>
          <w:sz w:val="19"/>
          <w:szCs w:val="19"/>
          <w:rtl/>
        </w:rPr>
        <w:t>יעדרה של תמונת מצב ממשלתית על פעילותם של גופים תורמים והתנדבותיים במלחמה ריכז משרד מבקר המדינה גם מידע שאפשר ללמוד ממנו על המאפיינים העיקריים של פעילות ההתנדבות והתרומה בשלושת החודשים הראשונים של המלחמה:</w:t>
      </w:r>
    </w:p>
    <w:p w:rsidR="00D5540D">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791BC0" w:rsidP="00D5540D">
      <w:pPr>
        <w:spacing w:after="120" w:line="288" w:lineRule="auto"/>
        <w:ind w:left="-143" w:right="142"/>
        <w:jc w:val="left"/>
        <w:rPr>
          <w:rFonts w:ascii="Tahoma" w:eastAsia="Calibri" w:hAnsi="Tahoma" w:cs="Tahoma"/>
          <w:b/>
          <w:bCs/>
          <w:color w:val="FFFFFF"/>
          <w:sz w:val="22"/>
          <w:szCs w:val="22"/>
          <w:rtl/>
        </w:rPr>
      </w:pPr>
      <w:r w:rsidRPr="00791BC0">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margin">
              <wp:posOffset>-85090</wp:posOffset>
            </wp:positionH>
            <wp:positionV relativeFrom="paragraph">
              <wp:posOffset>-68580</wp:posOffset>
            </wp:positionV>
            <wp:extent cx="5994400" cy="730250"/>
            <wp:effectExtent l="0" t="0" r="6350" b="0"/>
            <wp:wrapNone/>
            <wp:docPr id="1482433864" name="תמונה 4"/>
            <wp:cNvGraphicFramePr/>
            <a:graphic xmlns:a="http://schemas.openxmlformats.org/drawingml/2006/main">
              <a:graphicData uri="http://schemas.openxmlformats.org/drawingml/2006/picture">
                <pic:pic xmlns:pic="http://schemas.openxmlformats.org/drawingml/2006/picture">
                  <pic:nvPicPr>
                    <pic:cNvPr id="1482433864"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94400" cy="730250"/>
                    </a:xfrm>
                    <a:prstGeom prst="rect">
                      <a:avLst/>
                    </a:prstGeom>
                  </pic:spPr>
                </pic:pic>
              </a:graphicData>
            </a:graphic>
            <wp14:sizeRelH relativeFrom="page">
              <wp14:pctWidth>0</wp14:pctWidth>
            </wp14:sizeRelH>
            <wp14:sizeRelV relativeFrom="page">
              <wp14:pctHeight>0</wp14:pctHeight>
            </wp14:sizeRelV>
          </wp:anchor>
        </w:drawing>
      </w:r>
      <w:r w:rsidRPr="00791BC0">
        <w:rPr>
          <w:rFonts w:ascii="Tahoma" w:eastAsia="Calibri" w:hAnsi="Tahoma" w:cs="Tahoma" w:hint="cs"/>
          <w:b/>
          <w:bCs/>
          <w:color w:val="FFFFFF"/>
          <w:sz w:val="22"/>
          <w:szCs w:val="22"/>
          <w:rtl/>
        </w:rPr>
        <w:t>ה</w:t>
      </w:r>
      <w:r w:rsidRPr="00791BC0">
        <w:rPr>
          <w:rFonts w:ascii="Tahoma" w:eastAsia="Calibri" w:hAnsi="Tahoma" w:cs="Tahoma"/>
          <w:b/>
          <w:bCs/>
          <w:color w:val="FFFFFF"/>
          <w:sz w:val="22"/>
          <w:szCs w:val="22"/>
          <w:rtl/>
        </w:rPr>
        <w:t xml:space="preserve">מאפיינים </w:t>
      </w:r>
      <w:r w:rsidRPr="00791BC0">
        <w:rPr>
          <w:rFonts w:ascii="Tahoma" w:eastAsia="Calibri" w:hAnsi="Tahoma" w:cs="Tahoma" w:hint="cs"/>
          <w:b/>
          <w:bCs/>
          <w:color w:val="FFFFFF"/>
          <w:sz w:val="22"/>
          <w:szCs w:val="22"/>
          <w:rtl/>
        </w:rPr>
        <w:t>ה</w:t>
      </w:r>
      <w:r w:rsidRPr="00791BC0">
        <w:rPr>
          <w:rFonts w:ascii="Tahoma" w:eastAsia="Calibri" w:hAnsi="Tahoma" w:cs="Tahoma"/>
          <w:b/>
          <w:bCs/>
          <w:color w:val="FFFFFF"/>
          <w:sz w:val="22"/>
          <w:szCs w:val="22"/>
          <w:rtl/>
        </w:rPr>
        <w:t xml:space="preserve">עיקריים </w:t>
      </w:r>
      <w:r w:rsidRPr="00791BC0">
        <w:rPr>
          <w:rFonts w:ascii="Tahoma" w:eastAsia="Calibri" w:hAnsi="Tahoma" w:cs="Tahoma" w:hint="cs"/>
          <w:b/>
          <w:bCs/>
          <w:color w:val="FFFFFF"/>
          <w:sz w:val="22"/>
          <w:szCs w:val="22"/>
          <w:rtl/>
        </w:rPr>
        <w:t xml:space="preserve">של </w:t>
      </w:r>
      <w:r w:rsidRPr="00791BC0">
        <w:rPr>
          <w:rFonts w:ascii="Tahoma" w:eastAsia="Calibri" w:hAnsi="Tahoma" w:cs="Tahoma"/>
          <w:b/>
          <w:bCs/>
          <w:color w:val="FFFFFF"/>
          <w:sz w:val="22"/>
          <w:szCs w:val="22"/>
          <w:rtl/>
        </w:rPr>
        <w:t>פעילות</w:t>
      </w:r>
      <w:r w:rsidRPr="00791BC0">
        <w:rPr>
          <w:rFonts w:ascii="Tahoma" w:eastAsia="Calibri" w:hAnsi="Tahoma" w:cs="Tahoma"/>
          <w:b/>
          <w:bCs/>
          <w:sz w:val="22"/>
          <w:szCs w:val="22"/>
          <w:rtl/>
        </w:rPr>
        <w:t xml:space="preserve"> </w:t>
      </w:r>
      <w:r w:rsidRPr="00791BC0">
        <w:rPr>
          <w:rFonts w:ascii="Tahoma" w:eastAsia="Calibri" w:hAnsi="Tahoma" w:cs="Tahoma"/>
          <w:b/>
          <w:bCs/>
          <w:color w:val="FFFFFF" w:themeColor="background1"/>
          <w:sz w:val="22"/>
          <w:szCs w:val="22"/>
          <w:u w:val="single"/>
          <w:rtl/>
        </w:rPr>
        <w:t>ההתנדבות</w:t>
      </w:r>
      <w:r w:rsidRPr="00791BC0">
        <w:rPr>
          <w:rFonts w:ascii="Tahoma" w:eastAsia="Calibri" w:hAnsi="Tahoma" w:cs="Tahoma"/>
          <w:b/>
          <w:bCs/>
          <w:color w:val="FFFFFF" w:themeColor="background1"/>
          <w:sz w:val="22"/>
          <w:szCs w:val="22"/>
          <w:rtl/>
        </w:rPr>
        <w:t xml:space="preserve"> </w:t>
      </w:r>
      <w:r w:rsidRPr="00791BC0">
        <w:rPr>
          <w:rFonts w:ascii="Tahoma" w:eastAsia="Calibri" w:hAnsi="Tahoma" w:cs="Tahoma"/>
          <w:b/>
          <w:bCs/>
          <w:color w:val="FFFFFF"/>
          <w:sz w:val="22"/>
          <w:szCs w:val="22"/>
          <w:rtl/>
        </w:rPr>
        <w:t xml:space="preserve">בשלושת החודשים הראשונים </w:t>
      </w:r>
      <w:r w:rsidRPr="00791BC0">
        <w:rPr>
          <w:rFonts w:ascii="Tahoma" w:eastAsia="Calibri" w:hAnsi="Tahoma" w:cs="Tahoma" w:hint="cs"/>
          <w:b/>
          <w:bCs/>
          <w:color w:val="FFFFFF"/>
          <w:sz w:val="22"/>
          <w:szCs w:val="22"/>
          <w:rtl/>
        </w:rPr>
        <w:t>של ה</w:t>
      </w:r>
      <w:r w:rsidRPr="00791BC0">
        <w:rPr>
          <w:rFonts w:ascii="Tahoma" w:eastAsia="Calibri" w:hAnsi="Tahoma" w:cs="Tahoma"/>
          <w:b/>
          <w:bCs/>
          <w:color w:val="FFFFFF"/>
          <w:sz w:val="22"/>
          <w:szCs w:val="22"/>
          <w:rtl/>
        </w:rPr>
        <w:t>מלחמה (אוקטובר עד דצמבר 2023)</w:t>
      </w:r>
    </w:p>
    <w:p w:rsidR="00096E87" w:rsidRPr="00791BC0" w:rsidP="00D5540D">
      <w:pPr>
        <w:spacing w:after="120" w:line="288" w:lineRule="auto"/>
        <w:ind w:left="-143" w:right="142"/>
        <w:jc w:val="left"/>
        <w:rPr>
          <w:rFonts w:ascii="Tahoma" w:eastAsia="Calibri" w:hAnsi="Tahoma" w:cs="Tahoma"/>
          <w:b/>
          <w:bCs/>
          <w:color w:val="FFFFFF"/>
          <w:sz w:val="4"/>
          <w:szCs w:val="4"/>
          <w:rtl/>
        </w:rPr>
      </w:pPr>
    </w:p>
    <w:p w:rsidR="00791BC0" w:rsidRPr="00791BC0" w:rsidP="00791BC0">
      <w:pPr>
        <w:spacing w:after="120" w:line="288" w:lineRule="auto"/>
        <w:ind w:right="-567"/>
        <w:jc w:val="center"/>
        <w:rPr>
          <w:rFonts w:ascii="Tahoma" w:eastAsia="Calibri" w:hAnsi="Tahoma" w:cs="Tahoma"/>
          <w:sz w:val="2"/>
          <w:szCs w:val="2"/>
          <w:rtl/>
        </w:rPr>
      </w:pPr>
    </w:p>
    <w:p w:rsidR="00791BC0" w:rsidRPr="00791BC0" w:rsidP="00D5540D">
      <w:pPr>
        <w:spacing w:after="120" w:line="288" w:lineRule="auto"/>
        <w:ind w:left="-709" w:right="-567"/>
        <w:jc w:val="center"/>
        <w:rPr>
          <w:rFonts w:ascii="Tahoma" w:eastAsia="Calibri" w:hAnsi="Tahoma" w:cs="Tahoma"/>
          <w:sz w:val="18"/>
          <w:szCs w:val="18"/>
          <w:rtl/>
        </w:rPr>
      </w:pPr>
      <w:r w:rsidRPr="00791BC0">
        <w:rPr>
          <w:rFonts w:ascii="Tahoma" w:eastAsia="Calibri" w:hAnsi="Tahoma" w:cs="Tahoma"/>
          <w:noProof/>
          <w:sz w:val="18"/>
          <w:szCs w:val="18"/>
        </w:rPr>
        <w:drawing>
          <wp:inline distT="0" distB="0" distL="0" distR="0">
            <wp:extent cx="5782945" cy="3168340"/>
            <wp:effectExtent l="0" t="0" r="8255"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t="4223"/>
                    <a:stretch>
                      <a:fillRect/>
                    </a:stretch>
                  </pic:blipFill>
                  <pic:spPr bwMode="auto">
                    <a:xfrm>
                      <a:off x="0" y="0"/>
                      <a:ext cx="5800631" cy="31780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91BC0" w:rsidRPr="00791BC0" w:rsidP="00E25B3B">
      <w:pPr>
        <w:spacing w:after="120" w:line="288" w:lineRule="auto"/>
        <w:ind w:left="283" w:right="-567"/>
        <w:rPr>
          <w:rFonts w:ascii="Tahoma" w:eastAsia="Calibri" w:hAnsi="Tahoma" w:cs="Tahoma"/>
          <w:sz w:val="16"/>
          <w:szCs w:val="16"/>
          <w:rtl/>
        </w:rPr>
      </w:pPr>
      <w:r w:rsidRPr="00791BC0">
        <w:rPr>
          <w:rFonts w:ascii="Tahoma" w:eastAsia="Calibri" w:hAnsi="Tahoma" w:cs="Tahoma"/>
          <w:sz w:val="16"/>
          <w:szCs w:val="16"/>
          <w:rtl/>
        </w:rPr>
        <w:t>על פי נתוני סקרים ומחקרים, בעיבוד משרד מבקר המדינה</w:t>
      </w:r>
      <w:r w:rsidRPr="00791BC0">
        <w:rPr>
          <w:rFonts w:ascii="Tahoma" w:eastAsia="Calibri" w:hAnsi="Tahoma" w:cs="Tahoma" w:hint="cs"/>
          <w:sz w:val="16"/>
          <w:szCs w:val="16"/>
          <w:rtl/>
        </w:rPr>
        <w:t>.</w:t>
      </w:r>
    </w:p>
    <w:p w:rsidR="00D5540D">
      <w:pPr>
        <w:bidi w:val="0"/>
        <w:spacing w:after="200" w:line="276" w:lineRule="auto"/>
        <w:rPr>
          <w:rFonts w:ascii="Tahoma" w:eastAsia="Calibri" w:hAnsi="Tahoma" w:cs="Tahoma"/>
          <w:sz w:val="16"/>
          <w:szCs w:val="16"/>
          <w:rtl/>
        </w:rPr>
      </w:pPr>
      <w:r>
        <w:rPr>
          <w:rFonts w:ascii="Tahoma" w:eastAsia="Calibri" w:hAnsi="Tahoma" w:cs="Tahoma"/>
          <w:sz w:val="16"/>
          <w:szCs w:val="16"/>
          <w:rtl/>
        </w:rPr>
        <w:br w:type="page"/>
      </w:r>
    </w:p>
    <w:p w:rsidR="00791BC0" w:rsidRPr="00791BC0" w:rsidP="00D5540D">
      <w:pPr>
        <w:spacing w:after="120" w:line="288" w:lineRule="auto"/>
        <w:jc w:val="left"/>
        <w:rPr>
          <w:rFonts w:eastAsia="Calibri"/>
          <w:noProof/>
          <w:color w:val="FFFFFF"/>
          <w:sz w:val="22"/>
          <w:szCs w:val="22"/>
          <w:rtl/>
        </w:rPr>
      </w:pPr>
      <w:r w:rsidRPr="00791BC0">
        <w:rPr>
          <w:rFonts w:ascii="Tahoma" w:eastAsia="Calibri" w:hAnsi="Tahoma" w:cs="Tahoma"/>
          <w:b/>
          <w:bCs/>
          <w:noProof/>
          <w:color w:val="FFFFFF"/>
          <w:sz w:val="22"/>
          <w:szCs w:val="22"/>
          <w:rtl/>
        </w:rPr>
        <w:drawing>
          <wp:anchor distT="0" distB="0" distL="114300" distR="114300" simplePos="0" relativeHeight="251663360" behindDoc="1" locked="0" layoutInCell="1" allowOverlap="1">
            <wp:simplePos x="0" y="0"/>
            <wp:positionH relativeFrom="margin">
              <wp:posOffset>-203200</wp:posOffset>
            </wp:positionH>
            <wp:positionV relativeFrom="paragraph">
              <wp:posOffset>-78105</wp:posOffset>
            </wp:positionV>
            <wp:extent cx="6076315" cy="695960"/>
            <wp:effectExtent l="0" t="0" r="635" b="8890"/>
            <wp:wrapNone/>
            <wp:docPr id="116004402" name="תמונה 7"/>
            <wp:cNvGraphicFramePr/>
            <a:graphic xmlns:a="http://schemas.openxmlformats.org/drawingml/2006/main">
              <a:graphicData uri="http://schemas.openxmlformats.org/drawingml/2006/picture">
                <pic:pic xmlns:pic="http://schemas.openxmlformats.org/drawingml/2006/picture">
                  <pic:nvPicPr>
                    <pic:cNvPr id="116004402"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76315" cy="695960"/>
                    </a:xfrm>
                    <a:prstGeom prst="rect">
                      <a:avLst/>
                    </a:prstGeom>
                  </pic:spPr>
                </pic:pic>
              </a:graphicData>
            </a:graphic>
            <wp14:sizeRelH relativeFrom="page">
              <wp14:pctWidth>0</wp14:pctWidth>
            </wp14:sizeRelH>
            <wp14:sizeRelV relativeFrom="page">
              <wp14:pctHeight>0</wp14:pctHeight>
            </wp14:sizeRelV>
          </wp:anchor>
        </w:drawing>
      </w:r>
      <w:r w:rsidRPr="00791BC0">
        <w:rPr>
          <w:rFonts w:ascii="Tahoma" w:eastAsia="Calibri" w:hAnsi="Tahoma" w:cs="Tahoma" w:hint="cs"/>
          <w:b/>
          <w:bCs/>
          <w:color w:val="FFFFFF"/>
          <w:sz w:val="22"/>
          <w:szCs w:val="22"/>
          <w:rtl/>
        </w:rPr>
        <w:t>ה</w:t>
      </w:r>
      <w:r w:rsidRPr="00791BC0">
        <w:rPr>
          <w:rFonts w:ascii="Tahoma" w:eastAsia="Calibri" w:hAnsi="Tahoma" w:cs="Tahoma"/>
          <w:b/>
          <w:bCs/>
          <w:color w:val="FFFFFF"/>
          <w:sz w:val="22"/>
          <w:szCs w:val="22"/>
          <w:rtl/>
        </w:rPr>
        <w:t>מאפייני</w:t>
      </w:r>
      <w:r w:rsidRPr="00791BC0">
        <w:rPr>
          <w:rFonts w:ascii="Tahoma" w:eastAsia="Calibri" w:hAnsi="Tahoma" w:cs="Tahoma" w:hint="cs"/>
          <w:b/>
          <w:bCs/>
          <w:color w:val="FFFFFF"/>
          <w:sz w:val="22"/>
          <w:szCs w:val="22"/>
          <w:rtl/>
        </w:rPr>
        <w:t xml:space="preserve">ם העיקריים של </w:t>
      </w:r>
      <w:r w:rsidRPr="00791BC0">
        <w:rPr>
          <w:rFonts w:ascii="Tahoma" w:eastAsia="Calibri" w:hAnsi="Tahoma" w:cs="Tahoma"/>
          <w:b/>
          <w:bCs/>
          <w:color w:val="FFFFFF"/>
          <w:sz w:val="22"/>
          <w:szCs w:val="22"/>
          <w:rtl/>
        </w:rPr>
        <w:t>פעילות</w:t>
      </w:r>
      <w:r w:rsidRPr="00791BC0">
        <w:rPr>
          <w:rFonts w:ascii="Tahoma" w:eastAsia="Calibri" w:hAnsi="Tahoma" w:cs="Tahoma"/>
          <w:b/>
          <w:bCs/>
          <w:sz w:val="22"/>
          <w:szCs w:val="22"/>
          <w:rtl/>
        </w:rPr>
        <w:t xml:space="preserve"> </w:t>
      </w:r>
      <w:r w:rsidRPr="00791BC0">
        <w:rPr>
          <w:rFonts w:ascii="Tahoma" w:eastAsia="Calibri" w:hAnsi="Tahoma" w:cs="Tahoma"/>
          <w:b/>
          <w:bCs/>
          <w:color w:val="FFFFFF" w:themeColor="background1"/>
          <w:sz w:val="22"/>
          <w:szCs w:val="22"/>
          <w:u w:val="single"/>
          <w:rtl/>
        </w:rPr>
        <w:t>הת</w:t>
      </w:r>
      <w:r w:rsidRPr="00791BC0">
        <w:rPr>
          <w:rFonts w:ascii="Tahoma" w:eastAsia="Calibri" w:hAnsi="Tahoma" w:cs="Tahoma" w:hint="cs"/>
          <w:b/>
          <w:bCs/>
          <w:color w:val="FFFFFF" w:themeColor="background1"/>
          <w:sz w:val="22"/>
          <w:szCs w:val="22"/>
          <w:u w:val="single"/>
          <w:rtl/>
        </w:rPr>
        <w:t>ורמ</w:t>
      </w:r>
      <w:r w:rsidRPr="00791BC0">
        <w:rPr>
          <w:rFonts w:ascii="Tahoma" w:eastAsia="Calibri" w:hAnsi="Tahoma" w:cs="Tahoma"/>
          <w:b/>
          <w:bCs/>
          <w:color w:val="FFFFFF" w:themeColor="background1"/>
          <w:sz w:val="22"/>
          <w:szCs w:val="22"/>
          <w:u w:val="single"/>
          <w:rtl/>
        </w:rPr>
        <w:t>ים</w:t>
      </w:r>
      <w:r w:rsidRPr="00791BC0">
        <w:rPr>
          <w:rFonts w:ascii="Tahoma" w:eastAsia="Calibri" w:hAnsi="Tahoma" w:cs="Tahoma"/>
          <w:b/>
          <w:bCs/>
          <w:color w:val="FFFFFF" w:themeColor="background1"/>
          <w:sz w:val="22"/>
          <w:szCs w:val="22"/>
          <w:rtl/>
        </w:rPr>
        <w:t xml:space="preserve"> </w:t>
      </w:r>
      <w:r w:rsidRPr="00791BC0">
        <w:rPr>
          <w:rFonts w:ascii="Tahoma" w:eastAsia="Calibri" w:hAnsi="Tahoma" w:cs="Tahoma"/>
          <w:b/>
          <w:bCs/>
          <w:color w:val="FFFFFF"/>
          <w:sz w:val="22"/>
          <w:szCs w:val="22"/>
          <w:rtl/>
        </w:rPr>
        <w:t xml:space="preserve">בשלושת החודשים הראשונים </w:t>
      </w:r>
      <w:r w:rsidRPr="00791BC0">
        <w:rPr>
          <w:rFonts w:ascii="Tahoma" w:eastAsia="Calibri" w:hAnsi="Tahoma" w:cs="Tahoma" w:hint="cs"/>
          <w:b/>
          <w:bCs/>
          <w:color w:val="FFFFFF"/>
          <w:sz w:val="22"/>
          <w:szCs w:val="22"/>
          <w:rtl/>
        </w:rPr>
        <w:t>של ה</w:t>
      </w:r>
      <w:r w:rsidRPr="00791BC0">
        <w:rPr>
          <w:rFonts w:ascii="Tahoma" w:eastAsia="Calibri" w:hAnsi="Tahoma" w:cs="Tahoma"/>
          <w:b/>
          <w:bCs/>
          <w:color w:val="FFFFFF"/>
          <w:sz w:val="22"/>
          <w:szCs w:val="22"/>
          <w:rtl/>
        </w:rPr>
        <w:t>מלחמה</w:t>
      </w:r>
      <w:r w:rsidRPr="00791BC0">
        <w:rPr>
          <w:rFonts w:ascii="Tahoma" w:eastAsia="Calibri" w:hAnsi="Tahoma" w:cs="Tahoma" w:hint="cs"/>
          <w:b/>
          <w:bCs/>
          <w:color w:val="FFFFFF"/>
          <w:sz w:val="22"/>
          <w:szCs w:val="22"/>
          <w:rtl/>
        </w:rPr>
        <w:t xml:space="preserve"> </w:t>
      </w:r>
      <w:r w:rsidRPr="00791BC0">
        <w:rPr>
          <w:rFonts w:ascii="Tahoma" w:eastAsia="Calibri" w:hAnsi="Tahoma" w:cs="Tahoma"/>
          <w:b/>
          <w:bCs/>
          <w:color w:val="FFFFFF"/>
          <w:sz w:val="22"/>
          <w:szCs w:val="22"/>
          <w:rtl/>
        </w:rPr>
        <w:t>(אוקטובר עד דצמבר 2023)</w:t>
      </w:r>
    </w:p>
    <w:p w:rsidR="00791BC0" w:rsidRPr="00791BC0" w:rsidP="00791BC0">
      <w:pPr>
        <w:spacing w:after="120" w:line="288" w:lineRule="auto"/>
        <w:ind w:left="-143" w:right="-567"/>
        <w:jc w:val="center"/>
        <w:rPr>
          <w:rFonts w:ascii="Tahoma" w:eastAsia="Calibri" w:hAnsi="Tahoma" w:cs="Tahoma"/>
          <w:b/>
          <w:bCs/>
          <w:noProof/>
          <w:sz w:val="12"/>
          <w:szCs w:val="12"/>
          <w:rtl/>
        </w:rPr>
      </w:pPr>
    </w:p>
    <w:p w:rsidR="00791BC0" w:rsidRPr="00791BC0" w:rsidP="00ED1560">
      <w:pPr>
        <w:spacing w:line="288" w:lineRule="auto"/>
        <w:ind w:left="-709" w:right="-567"/>
        <w:jc w:val="center"/>
        <w:rPr>
          <w:rFonts w:ascii="Tahoma" w:eastAsia="Calibri" w:hAnsi="Tahoma" w:cs="Tahoma"/>
          <w:sz w:val="18"/>
          <w:szCs w:val="18"/>
          <w:rtl/>
        </w:rPr>
      </w:pPr>
      <w:r w:rsidRPr="00791BC0">
        <w:rPr>
          <w:rFonts w:ascii="Tahoma" w:eastAsia="Calibri" w:hAnsi="Tahoma" w:cs="Tahoma"/>
          <w:noProof/>
          <w:sz w:val="18"/>
          <w:szCs w:val="18"/>
        </w:rPr>
        <w:drawing>
          <wp:inline distT="0" distB="0" distL="0" distR="0">
            <wp:extent cx="5456170" cy="3282950"/>
            <wp:effectExtent l="0" t="0" r="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4878" cy="3288190"/>
                    </a:xfrm>
                    <a:prstGeom prst="rect">
                      <a:avLst/>
                    </a:prstGeom>
                    <a:noFill/>
                    <a:ln>
                      <a:noFill/>
                    </a:ln>
                  </pic:spPr>
                </pic:pic>
              </a:graphicData>
            </a:graphic>
          </wp:inline>
        </w:drawing>
      </w:r>
    </w:p>
    <w:p w:rsidR="00791BC0" w:rsidRPr="00791BC0" w:rsidP="00BB3C99">
      <w:pPr>
        <w:spacing w:line="288" w:lineRule="auto"/>
        <w:ind w:right="-567"/>
        <w:jc w:val="left"/>
        <w:rPr>
          <w:rFonts w:ascii="Tahoma" w:eastAsia="Calibri" w:hAnsi="Tahoma" w:cs="Tahoma"/>
          <w:sz w:val="16"/>
          <w:szCs w:val="16"/>
          <w:rtl/>
        </w:rPr>
      </w:pPr>
      <w:r w:rsidRPr="00791BC0">
        <w:rPr>
          <w:rFonts w:ascii="Tahoma" w:eastAsia="Calibri" w:hAnsi="Tahoma" w:cs="Tahoma" w:hint="cs"/>
          <w:sz w:val="16"/>
          <w:szCs w:val="16"/>
          <w:rtl/>
        </w:rPr>
        <w:t xml:space="preserve">על פי נתוני סקרים ומחקרים, בעיבוד משרד </w:t>
      </w:r>
      <w:r w:rsidRPr="00791BC0">
        <w:rPr>
          <w:rFonts w:ascii="Tahoma" w:eastAsia="Calibri" w:hAnsi="Tahoma" w:cs="Tahoma" w:hint="cs"/>
          <w:sz w:val="16"/>
          <w:szCs w:val="16"/>
          <w:rtl/>
        </w:rPr>
        <w:t>מבקר המדינה</w:t>
      </w:r>
      <w:r w:rsidR="00BB3C99">
        <w:rPr>
          <w:rFonts w:ascii="Tahoma" w:eastAsia="Calibri" w:hAnsi="Tahoma" w:cs="Tahoma" w:hint="cs"/>
          <w:sz w:val="16"/>
          <w:szCs w:val="16"/>
          <w:rtl/>
        </w:rPr>
        <w:t>.</w:t>
      </w:r>
    </w:p>
    <w:p w:rsidR="00791BC0" w:rsidRPr="00791BC0" w:rsidP="00791BC0">
      <w:pPr>
        <w:spacing w:line="288" w:lineRule="auto"/>
        <w:ind w:left="-710" w:right="-567"/>
        <w:rPr>
          <w:rFonts w:ascii="Tahoma" w:eastAsia="Calibri" w:hAnsi="Tahoma" w:cs="Tahoma"/>
          <w:b/>
          <w:bCs/>
          <w:sz w:val="19"/>
          <w:szCs w:val="19"/>
          <w:rtl/>
        </w:rPr>
      </w:pPr>
    </w:p>
    <w:p w:rsidR="00791BC0" w:rsidRPr="00791BC0" w:rsidP="00791BC0">
      <w:pPr>
        <w:spacing w:line="288" w:lineRule="auto"/>
        <w:ind w:left="-710" w:right="-567"/>
        <w:rPr>
          <w:rFonts w:ascii="Tahoma" w:eastAsia="Calibri" w:hAnsi="Tahoma" w:cs="Tahoma"/>
          <w:b/>
          <w:bCs/>
          <w:sz w:val="19"/>
          <w:szCs w:val="19"/>
          <w:rtl/>
        </w:rPr>
      </w:pPr>
    </w:p>
    <w:p w:rsidR="00D5540D">
      <w:pPr>
        <w:bidi w:val="0"/>
        <w:spacing w:after="200" w:line="276" w:lineRule="auto"/>
        <w:rPr>
          <w:rFonts w:ascii="Tahoma" w:eastAsia="Calibri" w:hAnsi="Tahoma" w:cs="Tahoma"/>
          <w:b/>
          <w:bCs/>
          <w:color w:val="0D0D0D" w:themeColor="text1" w:themeTint="F2"/>
          <w:sz w:val="19"/>
          <w:szCs w:val="19"/>
        </w:rPr>
      </w:pPr>
      <w:r>
        <w:rPr>
          <w:rFonts w:eastAsia="Calibri"/>
          <w:b/>
          <w:bCs/>
          <w:sz w:val="19"/>
          <w:szCs w:val="19"/>
          <w:rtl/>
        </w:rPr>
        <w:br w:type="page"/>
      </w:r>
    </w:p>
    <w:p w:rsidR="00791BC0" w:rsidRPr="00791BC0" w:rsidP="00096E87">
      <w:pPr>
        <w:pStyle w:val="73"/>
        <w:spacing w:after="160"/>
        <w:ind w:left="0"/>
        <w:rPr>
          <w:rFonts w:eastAsia="Calibri"/>
          <w:b/>
          <w:bCs/>
          <w:sz w:val="19"/>
          <w:szCs w:val="19"/>
        </w:rPr>
      </w:pPr>
      <w:r w:rsidRPr="00791BC0">
        <w:rPr>
          <w:rFonts w:eastAsia="Calibri" w:hint="cs"/>
          <w:b/>
          <w:bCs/>
          <w:sz w:val="19"/>
          <w:szCs w:val="19"/>
          <w:rtl/>
        </w:rPr>
        <w:t xml:space="preserve">קרן סיוע לעמותות הפועלות למען מטרות ציבוריות במצבי חירום </w:t>
      </w:r>
    </w:p>
    <w:p w:rsidR="00791BC0" w:rsidRPr="00791BC0" w:rsidP="00ED1560">
      <w:pPr>
        <w:pStyle w:val="73"/>
        <w:numPr>
          <w:ilvl w:val="0"/>
          <w:numId w:val="25"/>
        </w:numPr>
        <w:spacing w:after="120"/>
        <w:rPr>
          <w:rFonts w:eastAsia="Calibri"/>
          <w:sz w:val="19"/>
          <w:szCs w:val="19"/>
        </w:rPr>
      </w:pPr>
      <w:r w:rsidRPr="00791BC0">
        <w:rPr>
          <w:rFonts w:eastAsia="Calibri"/>
          <w:sz w:val="19"/>
          <w:szCs w:val="19"/>
          <w:rtl/>
        </w:rPr>
        <w:t>ניסיון העבר מלמד כי בעיתות חירום</w:t>
      </w:r>
      <w:r w:rsidRPr="00791BC0">
        <w:rPr>
          <w:rFonts w:eastAsia="Calibri" w:hint="cs"/>
          <w:sz w:val="19"/>
          <w:szCs w:val="19"/>
          <w:rtl/>
        </w:rPr>
        <w:t>,</w:t>
      </w:r>
      <w:r w:rsidRPr="00791BC0">
        <w:rPr>
          <w:rFonts w:eastAsia="Calibri"/>
          <w:sz w:val="19"/>
          <w:szCs w:val="19"/>
          <w:rtl/>
        </w:rPr>
        <w:t xml:space="preserve"> פעילותן של עמותות </w:t>
      </w:r>
      <w:r w:rsidRPr="00791BC0">
        <w:rPr>
          <w:rFonts w:eastAsia="Calibri" w:hint="cs"/>
          <w:sz w:val="19"/>
          <w:szCs w:val="19"/>
          <w:rtl/>
        </w:rPr>
        <w:t xml:space="preserve">הפועלות למען מטרות ציבוריות </w:t>
      </w:r>
      <w:r w:rsidRPr="00791BC0">
        <w:rPr>
          <w:rFonts w:eastAsia="Calibri"/>
          <w:sz w:val="19"/>
          <w:szCs w:val="19"/>
          <w:rtl/>
        </w:rPr>
        <w:t>מתרחבת אך מקורות הכנסתן מתערערים</w:t>
      </w:r>
      <w:r w:rsidRPr="00791BC0">
        <w:rPr>
          <w:rFonts w:eastAsia="Calibri" w:hint="cs"/>
          <w:sz w:val="19"/>
          <w:szCs w:val="19"/>
          <w:rtl/>
        </w:rPr>
        <w:t>.</w:t>
      </w:r>
      <w:r w:rsidRPr="00791BC0">
        <w:rPr>
          <w:rFonts w:eastAsia="Calibri"/>
          <w:sz w:val="19"/>
          <w:szCs w:val="19"/>
          <w:rtl/>
        </w:rPr>
        <w:t xml:space="preserve"> לפיכך הקימה הממשלה בשנת 2020, בשיתוף קרנות פילנתרופיות, קרן סיוע יי</w:t>
      </w:r>
      <w:r w:rsidRPr="00791BC0">
        <w:rPr>
          <w:rFonts w:eastAsia="Calibri"/>
          <w:sz w:val="19"/>
          <w:szCs w:val="19"/>
          <w:rtl/>
        </w:rPr>
        <w:t xml:space="preserve">חודית </w:t>
      </w:r>
      <w:r w:rsidRPr="00791BC0">
        <w:rPr>
          <w:rFonts w:eastAsia="Calibri" w:hint="cs"/>
          <w:sz w:val="19"/>
          <w:szCs w:val="19"/>
          <w:rtl/>
        </w:rPr>
        <w:t>(קרן הסיוע)</w:t>
      </w:r>
      <w:r w:rsidRPr="00791BC0">
        <w:rPr>
          <w:rFonts w:eastAsia="Calibri" w:hint="cs"/>
          <w:sz w:val="19"/>
          <w:szCs w:val="19"/>
        </w:rPr>
        <w:t xml:space="preserve"> </w:t>
      </w:r>
      <w:r w:rsidRPr="00791BC0">
        <w:rPr>
          <w:rFonts w:eastAsia="Calibri"/>
          <w:sz w:val="19"/>
          <w:szCs w:val="19"/>
          <w:rtl/>
        </w:rPr>
        <w:t xml:space="preserve">שחילקה מענקים בהיקף </w:t>
      </w:r>
      <w:r w:rsidRPr="00791BC0">
        <w:rPr>
          <w:rFonts w:eastAsia="Calibri" w:hint="cs"/>
          <w:sz w:val="19"/>
          <w:szCs w:val="19"/>
          <w:rtl/>
        </w:rPr>
        <w:t xml:space="preserve">כולל </w:t>
      </w:r>
      <w:r w:rsidRPr="00791BC0">
        <w:rPr>
          <w:rFonts w:eastAsia="Calibri"/>
          <w:sz w:val="19"/>
          <w:szCs w:val="19"/>
          <w:rtl/>
        </w:rPr>
        <w:t xml:space="preserve">של כ‑50 מיליון ש"ח ל‑302 עמותות שנפגעו ממשבר הקורונה. עמותות שהתנדבו לסייע לעורף במהלך </w:t>
      </w:r>
      <w:r w:rsidRPr="00791BC0">
        <w:rPr>
          <w:rFonts w:eastAsia="Calibri" w:hint="cs"/>
          <w:sz w:val="19"/>
          <w:szCs w:val="19"/>
          <w:rtl/>
        </w:rPr>
        <w:t>מלחמת חרבות ברזל</w:t>
      </w:r>
      <w:r w:rsidRPr="00791BC0">
        <w:rPr>
          <w:rFonts w:eastAsia="Calibri"/>
          <w:sz w:val="19"/>
          <w:szCs w:val="19"/>
          <w:rtl/>
        </w:rPr>
        <w:t xml:space="preserve"> </w:t>
      </w:r>
      <w:r w:rsidRPr="00791BC0">
        <w:rPr>
          <w:rFonts w:eastAsia="Calibri" w:hint="cs"/>
          <w:sz w:val="19"/>
          <w:szCs w:val="19"/>
          <w:rtl/>
        </w:rPr>
        <w:t>נ</w:t>
      </w:r>
      <w:r w:rsidRPr="00791BC0">
        <w:rPr>
          <w:rFonts w:eastAsia="Calibri"/>
          <w:sz w:val="19"/>
          <w:szCs w:val="19"/>
          <w:rtl/>
        </w:rPr>
        <w:t>קלע</w:t>
      </w:r>
      <w:r w:rsidRPr="00791BC0">
        <w:rPr>
          <w:rFonts w:eastAsia="Calibri" w:hint="cs"/>
          <w:sz w:val="19"/>
          <w:szCs w:val="19"/>
          <w:rtl/>
        </w:rPr>
        <w:t>ו</w:t>
      </w:r>
      <w:r w:rsidRPr="00791BC0">
        <w:rPr>
          <w:rFonts w:eastAsia="Calibri"/>
          <w:sz w:val="19"/>
          <w:szCs w:val="19"/>
          <w:rtl/>
        </w:rPr>
        <w:t xml:space="preserve"> לקשיים כספיים משתי סיבות: גידול ניכר בהוצאותיהן</w:t>
      </w:r>
      <w:r w:rsidRPr="00791BC0">
        <w:rPr>
          <w:rFonts w:eastAsia="Calibri" w:hint="cs"/>
          <w:sz w:val="19"/>
          <w:szCs w:val="19"/>
          <w:rtl/>
        </w:rPr>
        <w:t xml:space="preserve"> בשל הרחבת פעילותן</w:t>
      </w:r>
      <w:r w:rsidRPr="00791BC0">
        <w:rPr>
          <w:rFonts w:eastAsia="Calibri"/>
          <w:sz w:val="19"/>
          <w:szCs w:val="19"/>
          <w:rtl/>
        </w:rPr>
        <w:t xml:space="preserve">, </w:t>
      </w:r>
      <w:r w:rsidRPr="00791BC0">
        <w:rPr>
          <w:rFonts w:eastAsia="Calibri" w:hint="cs"/>
          <w:sz w:val="19"/>
          <w:szCs w:val="19"/>
          <w:rtl/>
        </w:rPr>
        <w:t>ו</w:t>
      </w:r>
      <w:r w:rsidRPr="00791BC0">
        <w:rPr>
          <w:rFonts w:eastAsia="Calibri"/>
          <w:sz w:val="19"/>
          <w:szCs w:val="19"/>
          <w:rtl/>
        </w:rPr>
        <w:t xml:space="preserve">ירידה בהכנסות, </w:t>
      </w:r>
      <w:r w:rsidRPr="00791BC0">
        <w:rPr>
          <w:rFonts w:eastAsia="Calibri" w:hint="eastAsia"/>
          <w:sz w:val="19"/>
          <w:szCs w:val="19"/>
          <w:rtl/>
        </w:rPr>
        <w:t>בין</w:t>
      </w:r>
      <w:r w:rsidRPr="00791BC0">
        <w:rPr>
          <w:rFonts w:eastAsia="Calibri"/>
          <w:sz w:val="19"/>
          <w:szCs w:val="19"/>
          <w:rtl/>
        </w:rPr>
        <w:t xml:space="preserve"> היתר בעקבות עצירת התקשרויות והקפאת תקציבים </w:t>
      </w:r>
      <w:r w:rsidRPr="00791BC0">
        <w:rPr>
          <w:rFonts w:eastAsia="Calibri" w:hint="cs"/>
          <w:sz w:val="19"/>
          <w:szCs w:val="19"/>
          <w:rtl/>
        </w:rPr>
        <w:t xml:space="preserve">ממשלתיים </w:t>
      </w:r>
      <w:r w:rsidRPr="00791BC0">
        <w:rPr>
          <w:rFonts w:eastAsia="Calibri" w:hint="eastAsia"/>
          <w:sz w:val="19"/>
          <w:szCs w:val="19"/>
          <w:rtl/>
        </w:rPr>
        <w:t>בגלל</w:t>
      </w:r>
      <w:r w:rsidRPr="00791BC0">
        <w:rPr>
          <w:rFonts w:eastAsia="Calibri"/>
          <w:sz w:val="19"/>
          <w:szCs w:val="19"/>
          <w:rtl/>
        </w:rPr>
        <w:t xml:space="preserve"> המלחמה</w:t>
      </w:r>
      <w:r w:rsidRPr="00791BC0">
        <w:rPr>
          <w:rFonts w:eastAsia="Calibri" w:hint="cs"/>
          <w:sz w:val="19"/>
          <w:szCs w:val="19"/>
          <w:rtl/>
        </w:rPr>
        <w:t>. נמצא כי בהיעדר היערכות מתאימה לאחר משבר הקורונה, שתיתן מענה לאתגרים בהפעלת קרן הסיוע, נבצר ממשרד האוצר</w:t>
      </w:r>
      <w:r w:rsidRPr="00791BC0">
        <w:rPr>
          <w:rFonts w:eastAsia="Calibri"/>
          <w:sz w:val="19"/>
          <w:szCs w:val="19"/>
          <w:rtl/>
        </w:rPr>
        <w:t xml:space="preserve"> להפעיל</w:t>
      </w:r>
      <w:r w:rsidRPr="00791BC0">
        <w:rPr>
          <w:rFonts w:eastAsia="Calibri" w:hint="cs"/>
          <w:sz w:val="19"/>
          <w:szCs w:val="19"/>
          <w:rtl/>
        </w:rPr>
        <w:t xml:space="preserve"> את הקרן</w:t>
      </w:r>
      <w:r w:rsidRPr="00791BC0">
        <w:rPr>
          <w:rFonts w:eastAsia="Calibri"/>
          <w:sz w:val="19"/>
          <w:szCs w:val="19"/>
          <w:rtl/>
        </w:rPr>
        <w:t xml:space="preserve"> במהירות הנדרשת במלחמ</w:t>
      </w:r>
      <w:r w:rsidRPr="00791BC0">
        <w:rPr>
          <w:rFonts w:eastAsia="Calibri" w:hint="cs"/>
          <w:sz w:val="19"/>
          <w:szCs w:val="19"/>
          <w:rtl/>
        </w:rPr>
        <w:t xml:space="preserve">ה. בכך נגרע </w:t>
      </w:r>
      <w:r w:rsidRPr="00791BC0">
        <w:rPr>
          <w:rFonts w:eastAsia="Calibri"/>
          <w:sz w:val="19"/>
          <w:szCs w:val="19"/>
          <w:rtl/>
        </w:rPr>
        <w:t>כלי סיוע לעמותות במלחמה, שהיה מייצר מקור</w:t>
      </w:r>
      <w:r w:rsidRPr="00791BC0">
        <w:rPr>
          <w:rFonts w:eastAsia="Calibri"/>
          <w:sz w:val="19"/>
          <w:szCs w:val="19"/>
          <w:rtl/>
        </w:rPr>
        <w:t xml:space="preserve"> מימון חיצוני נוסף לתמיכה ב</w:t>
      </w:r>
      <w:r w:rsidRPr="00791BC0">
        <w:rPr>
          <w:rFonts w:eastAsia="Calibri" w:hint="cs"/>
          <w:sz w:val="19"/>
          <w:szCs w:val="19"/>
          <w:rtl/>
        </w:rPr>
        <w:t>הן</w:t>
      </w:r>
      <w:r w:rsidRPr="00791BC0">
        <w:rPr>
          <w:rFonts w:eastAsia="Calibri"/>
          <w:sz w:val="19"/>
          <w:szCs w:val="19"/>
          <w:rtl/>
        </w:rPr>
        <w:t>, שלא מתוך תקציב המדינה</w:t>
      </w:r>
      <w:r w:rsidRPr="00791BC0">
        <w:rPr>
          <w:rFonts w:eastAsia="Calibri" w:hint="cs"/>
          <w:sz w:val="19"/>
          <w:szCs w:val="19"/>
          <w:rtl/>
        </w:rPr>
        <w:t>, ואשר היה יכול לאפשר הסטת תקציבים ממשלתיים למימון פעולות אחרות או להאריך את משך הסיוע הניתן לעמותות. יצוין כי בתחילת דצמבר 2023, כחודשיים לאחר פרוץ המלחמה,</w:t>
      </w:r>
      <w:r w:rsidRPr="00791BC0">
        <w:rPr>
          <w:rFonts w:eastAsia="Calibri"/>
          <w:sz w:val="19"/>
          <w:szCs w:val="19"/>
          <w:rtl/>
        </w:rPr>
        <w:t xml:space="preserve"> פרסם </w:t>
      </w:r>
      <w:r w:rsidRPr="00791BC0">
        <w:rPr>
          <w:rFonts w:eastAsia="Calibri" w:hint="cs"/>
          <w:sz w:val="19"/>
          <w:szCs w:val="19"/>
          <w:rtl/>
        </w:rPr>
        <w:t>מ</w:t>
      </w:r>
      <w:r w:rsidRPr="00791BC0">
        <w:rPr>
          <w:rFonts w:eastAsia="Calibri"/>
          <w:sz w:val="19"/>
          <w:szCs w:val="19"/>
          <w:rtl/>
        </w:rPr>
        <w:t xml:space="preserve">שרד </w:t>
      </w:r>
      <w:r w:rsidRPr="00791BC0">
        <w:rPr>
          <w:rFonts w:eastAsia="Calibri" w:hint="cs"/>
          <w:sz w:val="19"/>
          <w:szCs w:val="19"/>
          <w:rtl/>
        </w:rPr>
        <w:t xml:space="preserve">האוצר </w:t>
      </w:r>
      <w:r w:rsidRPr="00791BC0">
        <w:rPr>
          <w:rFonts w:eastAsia="Calibri"/>
          <w:sz w:val="19"/>
          <w:szCs w:val="19"/>
          <w:rtl/>
        </w:rPr>
        <w:t>מבחני תמיכה ייעודי</w:t>
      </w:r>
      <w:r w:rsidRPr="00791BC0">
        <w:rPr>
          <w:rFonts w:eastAsia="Calibri" w:hint="cs"/>
          <w:sz w:val="19"/>
          <w:szCs w:val="19"/>
          <w:rtl/>
        </w:rPr>
        <w:t>י</w:t>
      </w:r>
      <w:r w:rsidRPr="00791BC0">
        <w:rPr>
          <w:rFonts w:eastAsia="Calibri"/>
          <w:sz w:val="19"/>
          <w:szCs w:val="19"/>
          <w:rtl/>
        </w:rPr>
        <w:t>ם מתקציב המד</w:t>
      </w:r>
      <w:r w:rsidRPr="00791BC0">
        <w:rPr>
          <w:rFonts w:eastAsia="Calibri"/>
          <w:sz w:val="19"/>
          <w:szCs w:val="19"/>
          <w:rtl/>
        </w:rPr>
        <w:t>ינה לסיוע לעמותות</w:t>
      </w:r>
      <w:r w:rsidRPr="00791BC0">
        <w:rPr>
          <w:rFonts w:eastAsia="Calibri" w:hint="cs"/>
          <w:sz w:val="19"/>
          <w:szCs w:val="19"/>
          <w:rtl/>
        </w:rPr>
        <w:t xml:space="preserve"> בהיקף כולל של 40 מיליון ש"ח</w:t>
      </w:r>
      <w:r w:rsidRPr="00791BC0">
        <w:rPr>
          <w:rFonts w:eastAsia="Calibri"/>
          <w:sz w:val="19"/>
          <w:szCs w:val="19"/>
          <w:rtl/>
        </w:rPr>
        <w:t>.</w:t>
      </w:r>
    </w:p>
    <w:p w:rsidR="001D3DA9" w:rsidRPr="00084768" w:rsidP="0032268D">
      <w:pPr>
        <w:pStyle w:val="73"/>
        <w:rPr>
          <w:sz w:val="19"/>
          <w:szCs w:val="19"/>
        </w:rPr>
      </w:pPr>
    </w:p>
    <w:tbl>
      <w:tblPr>
        <w:tblStyle w:val="TableGrid"/>
        <w:tblpPr w:leftFromText="180" w:rightFromText="180" w:vertAnchor="text" w:tblpXSpec="center" w:tblpY="1"/>
        <w:tblOverlap w:val="never"/>
        <w:bidiVisual/>
        <w:tblW w:w="9074" w:type="dxa"/>
        <w:tblLayout w:type="fixed"/>
        <w:tblLook w:val="04A0"/>
      </w:tblPr>
      <w:tblGrid>
        <w:gridCol w:w="9074"/>
      </w:tblGrid>
      <w:tr w:rsidTr="000314B9">
        <w:tblPrEx>
          <w:tblW w:w="9074" w:type="dxa"/>
          <w:tblLayout w:type="fixed"/>
          <w:tblLook w:val="04A0"/>
        </w:tblPrEx>
        <w:trPr>
          <w:trHeight w:val="851"/>
        </w:trPr>
        <w:tc>
          <w:tcPr>
            <w:tcW w:w="9074" w:type="dxa"/>
            <w:tcBorders>
              <w:top w:val="nil"/>
              <w:left w:val="nil"/>
              <w:bottom w:val="nil"/>
              <w:right w:val="nil"/>
            </w:tcBorders>
          </w:tcPr>
          <w:p w:rsidR="001D3DA9" w:rsidRPr="00F66FC8" w:rsidP="00581D69">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Tr="000314B9">
        <w:tblPrEx>
          <w:tblW w:w="9074" w:type="dxa"/>
          <w:tblLayout w:type="fixed"/>
          <w:tblLook w:val="04A0"/>
        </w:tblPrEx>
        <w:trPr>
          <w:trHeight w:val="2156"/>
        </w:trPr>
        <w:tc>
          <w:tcPr>
            <w:tcW w:w="9074" w:type="dxa"/>
            <w:tcBorders>
              <w:top w:val="nil"/>
              <w:left w:val="nil"/>
              <w:bottom w:val="nil"/>
              <w:right w:val="nil"/>
            </w:tcBorders>
            <w:shd w:val="clear" w:color="auto" w:fill="F1F5F9"/>
          </w:tcPr>
          <w:p w:rsidR="00917216" w:rsidRPr="00917216" w:rsidP="00917216">
            <w:pPr>
              <w:pStyle w:val="73"/>
              <w:spacing w:after="0"/>
              <w:ind w:right="318"/>
              <w:rPr>
                <w:sz w:val="3"/>
                <w:szCs w:val="3"/>
              </w:rPr>
            </w:pPr>
            <w:r w:rsidRPr="00917216">
              <w:rPr>
                <w:sz w:val="3"/>
                <w:szCs w:val="3"/>
                <w:rtl/>
              </w:rPr>
              <w:t>נ</w:t>
            </w:r>
          </w:p>
          <w:p w:rsidR="00791BC0" w:rsidRPr="00C753CF" w:rsidP="00ED1560">
            <w:pPr>
              <w:pStyle w:val="73"/>
              <w:numPr>
                <w:ilvl w:val="0"/>
                <w:numId w:val="19"/>
              </w:numPr>
              <w:spacing w:before="120"/>
              <w:ind w:right="318"/>
              <w:rPr>
                <w:sz w:val="19"/>
                <w:szCs w:val="19"/>
                <w:rtl/>
              </w:rPr>
            </w:pPr>
            <w:r>
              <w:rPr>
                <w:rFonts w:hint="cs"/>
                <w:sz w:val="19"/>
                <w:szCs w:val="19"/>
                <w:rtl/>
              </w:rPr>
              <w:t>נ</w:t>
            </w:r>
            <w:r w:rsidRPr="003B7ADB">
              <w:rPr>
                <w:sz w:val="19"/>
                <w:szCs w:val="19"/>
                <w:rtl/>
              </w:rPr>
              <w:t>וכח הפעילות הנרחבת של הגופים התורמים וההתנדבותיים בעת חירום והצורך בת</w:t>
            </w:r>
            <w:r>
              <w:rPr>
                <w:rFonts w:hint="cs"/>
                <w:sz w:val="19"/>
                <w:szCs w:val="19"/>
                <w:rtl/>
              </w:rPr>
              <w:t>י</w:t>
            </w:r>
            <w:r w:rsidRPr="003B7ADB">
              <w:rPr>
                <w:sz w:val="19"/>
                <w:szCs w:val="19"/>
                <w:rtl/>
              </w:rPr>
              <w:t>אום בינם לבין משרדי הממשלה לשם צמצום הסיכונים לבזבוז משאבים וניצולם באופן לא יעיל, על משרד רה"ם, האחראי לפי החלטת הממשלה 3190 משנת 2008 לחיזוק ולביסוס של שיתופי פעולה רב-מגזריים, ועל רח"ל, שאחראית להיערכות הממשלתית לשעת חירום, לקדם קבלת החלטה בדבר גורם שיה</w:t>
            </w:r>
            <w:r w:rsidRPr="003B7ADB">
              <w:rPr>
                <w:sz w:val="19"/>
                <w:szCs w:val="19"/>
                <w:rtl/>
              </w:rPr>
              <w:t xml:space="preserve">יה אחראי לתיאום </w:t>
            </w:r>
            <w:r>
              <w:rPr>
                <w:rFonts w:hint="cs"/>
                <w:sz w:val="19"/>
                <w:szCs w:val="19"/>
                <w:rtl/>
              </w:rPr>
              <w:t>בין המערכת הממשלתית לגופים תורמים והתנדבותיים</w:t>
            </w:r>
            <w:r w:rsidRPr="003B7ADB">
              <w:rPr>
                <w:sz w:val="19"/>
                <w:szCs w:val="19"/>
                <w:rtl/>
              </w:rPr>
              <w:t xml:space="preserve"> במצבי חירום ולהיערכות להם, לרבות בדבר מנגנון לעבודתו של גורם זה מול משרדי הממשלה, מול פקע"ר,</w:t>
            </w:r>
            <w:r>
              <w:rPr>
                <w:sz w:val="19"/>
                <w:szCs w:val="19"/>
                <w:rtl/>
              </w:rPr>
              <w:t xml:space="preserve"> </w:t>
            </w:r>
            <w:r w:rsidRPr="003B7ADB">
              <w:rPr>
                <w:sz w:val="19"/>
                <w:szCs w:val="19"/>
                <w:rtl/>
              </w:rPr>
              <w:t>ומול הגופים התורמים וההתנדבותיים. מנגנון העבודה יגדיר את הסמכויות והמשאבים הנדרשים כדי לקשר בין הגופי</w:t>
            </w:r>
            <w:r w:rsidRPr="003B7ADB">
              <w:rPr>
                <w:sz w:val="19"/>
                <w:szCs w:val="19"/>
                <w:rtl/>
              </w:rPr>
              <w:t xml:space="preserve">ם הממשלתיים לבין גופים תורמים והתנדבותיים ולהכווין אותם; ובהקשר זה גם כדי לקשר בין הגופים הממשלתיים השונים, מתוך ראייה מערכתית כוללת של צרכים ופתרונות. מוצע כי לעניין זה ייבחנו המנגנונים שהומלצו בעבר, בין היתר בעבודת מטה שיזמה רח"ל והחלה בביצועה בשנת 2016 </w:t>
            </w:r>
            <w:r w:rsidRPr="003B7ADB">
              <w:rPr>
                <w:sz w:val="19"/>
                <w:szCs w:val="19"/>
                <w:rtl/>
              </w:rPr>
              <w:t>בשיתוף משרד רה"ם ופקע"ר. לעניין המשאבים הדרושים להקמת המנגנון מומלץ כי משרד רה"ם ורח"ל יתייעצו עם משרד האוצר ועם נציבות שרות המדינה.</w:t>
            </w:r>
            <w:r>
              <w:rPr>
                <w:rFonts w:hint="cs"/>
                <w:sz w:val="19"/>
                <w:szCs w:val="19"/>
                <w:rtl/>
              </w:rPr>
              <w:t xml:space="preserve"> </w:t>
            </w:r>
            <w:r w:rsidRPr="00C753CF">
              <w:rPr>
                <w:rFonts w:hint="eastAsia"/>
                <w:sz w:val="19"/>
                <w:szCs w:val="19"/>
                <w:rtl/>
              </w:rPr>
              <w:t>על</w:t>
            </w:r>
            <w:r w:rsidRPr="00C753CF">
              <w:rPr>
                <w:sz w:val="19"/>
                <w:szCs w:val="19"/>
                <w:rtl/>
              </w:rPr>
              <w:t xml:space="preserve"> הגוף המתכלל </w:t>
            </w:r>
            <w:r w:rsidRPr="00C753CF">
              <w:rPr>
                <w:rFonts w:hint="eastAsia"/>
                <w:sz w:val="19"/>
                <w:szCs w:val="19"/>
                <w:rtl/>
              </w:rPr>
              <w:t>ש</w:t>
            </w:r>
            <w:r w:rsidRPr="00C753CF">
              <w:rPr>
                <w:sz w:val="19"/>
                <w:szCs w:val="19"/>
                <w:rtl/>
              </w:rPr>
              <w:t xml:space="preserve">ייקבע </w:t>
            </w:r>
            <w:r w:rsidRPr="00C753CF">
              <w:rPr>
                <w:rFonts w:hint="eastAsia"/>
                <w:sz w:val="19"/>
                <w:szCs w:val="19"/>
                <w:rtl/>
              </w:rPr>
              <w:t>יהיה</w:t>
            </w:r>
            <w:r w:rsidRPr="00C753CF">
              <w:rPr>
                <w:sz w:val="19"/>
                <w:szCs w:val="19"/>
                <w:rtl/>
              </w:rPr>
              <w:t xml:space="preserve"> לתרגל את פעילותו בזמן שגרה, כחלק </w:t>
            </w:r>
            <w:r w:rsidRPr="00C753CF">
              <w:rPr>
                <w:rFonts w:hint="eastAsia"/>
                <w:sz w:val="19"/>
                <w:szCs w:val="19"/>
                <w:rtl/>
              </w:rPr>
              <w:t>מהמוכנות</w:t>
            </w:r>
            <w:r w:rsidRPr="00C753CF">
              <w:rPr>
                <w:sz w:val="19"/>
                <w:szCs w:val="19"/>
                <w:rtl/>
              </w:rPr>
              <w:t xml:space="preserve"> הממשלתי</w:t>
            </w:r>
            <w:r w:rsidRPr="00C753CF">
              <w:rPr>
                <w:rFonts w:hint="eastAsia"/>
                <w:sz w:val="19"/>
                <w:szCs w:val="19"/>
                <w:rtl/>
              </w:rPr>
              <w:t>ת</w:t>
            </w:r>
            <w:r w:rsidRPr="00C753CF">
              <w:rPr>
                <w:sz w:val="19"/>
                <w:szCs w:val="19"/>
                <w:rtl/>
              </w:rPr>
              <w:t xml:space="preserve"> ב</w:t>
            </w:r>
            <w:r w:rsidRPr="00C753CF">
              <w:rPr>
                <w:rFonts w:hint="eastAsia"/>
                <w:sz w:val="19"/>
                <w:szCs w:val="19"/>
                <w:rtl/>
              </w:rPr>
              <w:t>עורף</w:t>
            </w:r>
            <w:r w:rsidRPr="00C753CF">
              <w:rPr>
                <w:sz w:val="19"/>
                <w:szCs w:val="19"/>
                <w:rtl/>
              </w:rPr>
              <w:t xml:space="preserve"> </w:t>
            </w:r>
            <w:r w:rsidRPr="00C753CF">
              <w:rPr>
                <w:rFonts w:hint="eastAsia"/>
                <w:sz w:val="19"/>
                <w:szCs w:val="19"/>
                <w:rtl/>
              </w:rPr>
              <w:t>ל</w:t>
            </w:r>
            <w:r w:rsidRPr="00C753CF">
              <w:rPr>
                <w:sz w:val="19"/>
                <w:szCs w:val="19"/>
                <w:rtl/>
              </w:rPr>
              <w:t>שעת חירום.</w:t>
            </w:r>
            <w:r w:rsidRPr="00C753CF">
              <w:rPr>
                <w:rFonts w:hint="cs"/>
                <w:sz w:val="19"/>
                <w:szCs w:val="19"/>
                <w:rtl/>
              </w:rPr>
              <w:t xml:space="preserve"> </w:t>
            </w:r>
            <w:r w:rsidRPr="00C753CF">
              <w:rPr>
                <w:sz w:val="19"/>
                <w:szCs w:val="19"/>
                <w:rtl/>
              </w:rPr>
              <w:t>מומלץ כי הגוף המתכלל יסתייע</w:t>
            </w:r>
            <w:r w:rsidRPr="00C753CF">
              <w:rPr>
                <w:sz w:val="19"/>
                <w:szCs w:val="19"/>
                <w:rtl/>
              </w:rPr>
              <w:t xml:space="preserve"> </w:t>
            </w:r>
            <w:r w:rsidRPr="00AD1EA3">
              <w:rPr>
                <w:sz w:val="19"/>
                <w:szCs w:val="19"/>
                <w:rtl/>
              </w:rPr>
              <w:t>בידע ובמומחיות של היחידה לשיתופי פעולה רב-מגזריים במשרד רה"ם</w:t>
            </w:r>
            <w:r w:rsidRPr="00C753CF">
              <w:rPr>
                <w:sz w:val="19"/>
                <w:szCs w:val="19"/>
                <w:rtl/>
              </w:rPr>
              <w:t>, תוך שימוש בכלי טכנולוגי כלל</w:t>
            </w:r>
            <w:r w:rsidRPr="00C753CF">
              <w:rPr>
                <w:rFonts w:hint="cs"/>
                <w:sz w:val="19"/>
                <w:szCs w:val="19"/>
                <w:rtl/>
              </w:rPr>
              <w:t>-</w:t>
            </w:r>
            <w:r w:rsidRPr="00C753CF">
              <w:rPr>
                <w:sz w:val="19"/>
                <w:szCs w:val="19"/>
                <w:rtl/>
              </w:rPr>
              <w:t>ממשלתי שיפותח על</w:t>
            </w:r>
            <w:r>
              <w:rPr>
                <w:rFonts w:hint="cs"/>
                <w:sz w:val="19"/>
                <w:szCs w:val="19"/>
                <w:rtl/>
              </w:rPr>
              <w:t xml:space="preserve"> </w:t>
            </w:r>
            <w:r w:rsidRPr="00C753CF">
              <w:rPr>
                <w:sz w:val="19"/>
                <w:szCs w:val="19"/>
                <w:rtl/>
              </w:rPr>
              <w:t>ידי היחידה</w:t>
            </w:r>
            <w:r>
              <w:rPr>
                <w:rFonts w:hint="cs"/>
                <w:sz w:val="19"/>
                <w:szCs w:val="19"/>
                <w:rtl/>
              </w:rPr>
              <w:t>.</w:t>
            </w:r>
          </w:p>
          <w:p w:rsidR="00096E87" w:rsidRPr="00096E87" w:rsidP="00096E87">
            <w:pPr>
              <w:pStyle w:val="73"/>
              <w:spacing w:before="120"/>
              <w:ind w:right="318"/>
              <w:rPr>
                <w:sz w:val="4"/>
                <w:szCs w:val="4"/>
              </w:rPr>
            </w:pPr>
          </w:p>
          <w:p w:rsidR="00791BC0" w:rsidRPr="009C157F" w:rsidP="00096E87">
            <w:pPr>
              <w:pStyle w:val="73"/>
              <w:numPr>
                <w:ilvl w:val="0"/>
                <w:numId w:val="19"/>
              </w:numPr>
              <w:spacing w:before="120"/>
              <w:ind w:right="318"/>
              <w:rPr>
                <w:sz w:val="19"/>
                <w:szCs w:val="19"/>
              </w:rPr>
            </w:pPr>
            <w:r>
              <w:rPr>
                <w:rFonts w:hint="cs"/>
                <w:sz w:val="19"/>
                <w:szCs w:val="19"/>
                <w:rtl/>
              </w:rPr>
              <w:t xml:space="preserve">מומלץ כי </w:t>
            </w:r>
            <w:r w:rsidRPr="00C753CF">
              <w:rPr>
                <w:sz w:val="19"/>
                <w:szCs w:val="19"/>
                <w:rtl/>
              </w:rPr>
              <w:t xml:space="preserve">היחידה לשיתופי פעולה רב-מגזריים במשרד רה"ם </w:t>
            </w:r>
            <w:r>
              <w:rPr>
                <w:rFonts w:hint="cs"/>
                <w:sz w:val="19"/>
                <w:szCs w:val="19"/>
                <w:rtl/>
              </w:rPr>
              <w:t>ת</w:t>
            </w:r>
            <w:r w:rsidRPr="00C753CF">
              <w:rPr>
                <w:sz w:val="19"/>
                <w:szCs w:val="19"/>
                <w:rtl/>
              </w:rPr>
              <w:t xml:space="preserve">מלא את תפקידה </w:t>
            </w:r>
            <w:r>
              <w:rPr>
                <w:rFonts w:hint="cs"/>
                <w:sz w:val="19"/>
                <w:szCs w:val="19"/>
                <w:rtl/>
              </w:rPr>
              <w:t>לקדם שיתופי פעולה בין המגזרים השונים גם באמצעות נקיטת פעולות בזמן שג</w:t>
            </w:r>
            <w:r>
              <w:rPr>
                <w:rFonts w:hint="cs"/>
                <w:sz w:val="19"/>
                <w:szCs w:val="19"/>
                <w:rtl/>
              </w:rPr>
              <w:t xml:space="preserve">רה </w:t>
            </w:r>
            <w:r w:rsidRPr="00C753CF">
              <w:rPr>
                <w:sz w:val="19"/>
                <w:szCs w:val="19"/>
                <w:rtl/>
              </w:rPr>
              <w:t xml:space="preserve">מול משרדי הממשלה למיפוי </w:t>
            </w:r>
            <w:r>
              <w:rPr>
                <w:rFonts w:hint="cs"/>
                <w:sz w:val="19"/>
                <w:szCs w:val="19"/>
                <w:rtl/>
              </w:rPr>
              <w:t>ה</w:t>
            </w:r>
            <w:r w:rsidRPr="00C753CF">
              <w:rPr>
                <w:sz w:val="19"/>
                <w:szCs w:val="19"/>
                <w:rtl/>
              </w:rPr>
              <w:t>תחומים העיקריים שבהם יש צורך לשלב גופים תורמים והתנדבותיים כמענה משלים ב</w:t>
            </w:r>
            <w:r>
              <w:rPr>
                <w:rFonts w:hint="cs"/>
                <w:sz w:val="19"/>
                <w:szCs w:val="19"/>
                <w:rtl/>
              </w:rPr>
              <w:t xml:space="preserve">עת </w:t>
            </w:r>
            <w:r w:rsidRPr="00C753CF">
              <w:rPr>
                <w:sz w:val="19"/>
                <w:szCs w:val="19"/>
                <w:rtl/>
              </w:rPr>
              <w:t>חירום</w:t>
            </w:r>
            <w:r>
              <w:rPr>
                <w:rFonts w:hint="cs"/>
                <w:sz w:val="19"/>
                <w:szCs w:val="19"/>
                <w:rtl/>
              </w:rPr>
              <w:t>,</w:t>
            </w:r>
            <w:r>
              <w:rPr>
                <w:sz w:val="19"/>
                <w:szCs w:val="19"/>
                <w:rtl/>
              </w:rPr>
              <w:t xml:space="preserve"> </w:t>
            </w:r>
            <w:r w:rsidRPr="0067348A">
              <w:rPr>
                <w:sz w:val="19"/>
                <w:szCs w:val="19"/>
                <w:rtl/>
              </w:rPr>
              <w:t>ו</w:t>
            </w:r>
            <w:r>
              <w:rPr>
                <w:rFonts w:hint="cs"/>
                <w:sz w:val="19"/>
                <w:szCs w:val="19"/>
                <w:rtl/>
              </w:rPr>
              <w:t>כי</w:t>
            </w:r>
            <w:r w:rsidRPr="0067348A">
              <w:rPr>
                <w:sz w:val="19"/>
                <w:szCs w:val="19"/>
                <w:rtl/>
              </w:rPr>
              <w:t xml:space="preserve"> המשרדים </w:t>
            </w:r>
            <w:r>
              <w:rPr>
                <w:rFonts w:hint="cs"/>
                <w:sz w:val="19"/>
                <w:szCs w:val="19"/>
                <w:rtl/>
              </w:rPr>
              <w:t>י</w:t>
            </w:r>
            <w:r w:rsidRPr="0067348A">
              <w:rPr>
                <w:sz w:val="19"/>
                <w:szCs w:val="19"/>
                <w:rtl/>
              </w:rPr>
              <w:t>בצע</w:t>
            </w:r>
            <w:r>
              <w:rPr>
                <w:rFonts w:hint="cs"/>
                <w:sz w:val="19"/>
                <w:szCs w:val="19"/>
                <w:rtl/>
              </w:rPr>
              <w:t>ו</w:t>
            </w:r>
            <w:r w:rsidRPr="0067348A">
              <w:rPr>
                <w:sz w:val="19"/>
                <w:szCs w:val="19"/>
                <w:rtl/>
              </w:rPr>
              <w:t xml:space="preserve"> מיפוי זה</w:t>
            </w:r>
            <w:r>
              <w:rPr>
                <w:rFonts w:hint="cs"/>
                <w:sz w:val="19"/>
                <w:szCs w:val="19"/>
                <w:rtl/>
              </w:rPr>
              <w:t>. עוד מומלץ כי היחידה</w:t>
            </w:r>
            <w:r w:rsidRPr="0067348A">
              <w:rPr>
                <w:rFonts w:hint="cs"/>
                <w:sz w:val="19"/>
                <w:szCs w:val="19"/>
                <w:rtl/>
              </w:rPr>
              <w:t xml:space="preserve"> </w:t>
            </w:r>
            <w:r>
              <w:rPr>
                <w:rFonts w:hint="cs"/>
                <w:sz w:val="19"/>
                <w:szCs w:val="19"/>
                <w:rtl/>
              </w:rPr>
              <w:t xml:space="preserve">תפרסם את המידע </w:t>
            </w:r>
            <w:r w:rsidRPr="00C753CF">
              <w:rPr>
                <w:sz w:val="19"/>
                <w:szCs w:val="19"/>
                <w:rtl/>
              </w:rPr>
              <w:t xml:space="preserve">לגופים תורמים והתנדבותיים </w:t>
            </w:r>
            <w:r>
              <w:rPr>
                <w:rFonts w:hint="cs"/>
                <w:sz w:val="19"/>
                <w:szCs w:val="19"/>
                <w:rtl/>
              </w:rPr>
              <w:t xml:space="preserve">לצורך הערכות </w:t>
            </w:r>
            <w:r w:rsidRPr="00C753CF">
              <w:rPr>
                <w:sz w:val="19"/>
                <w:szCs w:val="19"/>
                <w:rtl/>
              </w:rPr>
              <w:t>מתואמת</w:t>
            </w:r>
            <w:r>
              <w:rPr>
                <w:rFonts w:hint="cs"/>
                <w:sz w:val="19"/>
                <w:szCs w:val="19"/>
                <w:rtl/>
              </w:rPr>
              <w:t>,</w:t>
            </w:r>
            <w:r w:rsidRPr="00C753CF">
              <w:rPr>
                <w:sz w:val="19"/>
                <w:szCs w:val="19"/>
                <w:rtl/>
              </w:rPr>
              <w:t xml:space="preserve"> </w:t>
            </w:r>
            <w:r>
              <w:rPr>
                <w:rFonts w:hint="cs"/>
                <w:sz w:val="19"/>
                <w:szCs w:val="19"/>
                <w:rtl/>
              </w:rPr>
              <w:t xml:space="preserve">אם </w:t>
            </w:r>
            <w:r w:rsidRPr="00C753CF">
              <w:rPr>
                <w:sz w:val="19"/>
                <w:szCs w:val="19"/>
                <w:rtl/>
              </w:rPr>
              <w:t>יהיו מעוניינים בכך</w:t>
            </w:r>
            <w:r>
              <w:rPr>
                <w:rFonts w:hint="cs"/>
                <w:sz w:val="19"/>
                <w:szCs w:val="19"/>
                <w:rtl/>
              </w:rPr>
              <w:t>,</w:t>
            </w:r>
            <w:r w:rsidRPr="00C753CF">
              <w:rPr>
                <w:sz w:val="19"/>
                <w:szCs w:val="19"/>
                <w:rtl/>
              </w:rPr>
              <w:t xml:space="preserve"> </w:t>
            </w:r>
            <w:r>
              <w:rPr>
                <w:rFonts w:hint="cs"/>
                <w:sz w:val="19"/>
                <w:szCs w:val="19"/>
                <w:rtl/>
              </w:rPr>
              <w:t>ות</w:t>
            </w:r>
            <w:r w:rsidRPr="00C753CF">
              <w:rPr>
                <w:sz w:val="19"/>
                <w:szCs w:val="19"/>
                <w:rtl/>
              </w:rPr>
              <w:t xml:space="preserve">עדכן </w:t>
            </w:r>
            <w:r>
              <w:rPr>
                <w:rFonts w:hint="cs"/>
                <w:sz w:val="19"/>
                <w:szCs w:val="19"/>
                <w:rtl/>
              </w:rPr>
              <w:t xml:space="preserve">את </w:t>
            </w:r>
            <w:r w:rsidRPr="00C753CF">
              <w:rPr>
                <w:sz w:val="19"/>
                <w:szCs w:val="19"/>
                <w:rtl/>
              </w:rPr>
              <w:t xml:space="preserve">המידע </w:t>
            </w:r>
            <w:r>
              <w:rPr>
                <w:rFonts w:hint="cs"/>
                <w:sz w:val="19"/>
                <w:szCs w:val="19"/>
                <w:rtl/>
              </w:rPr>
              <w:t>באופן קבוע כ</w:t>
            </w:r>
            <w:r w:rsidRPr="00C753CF">
              <w:rPr>
                <w:sz w:val="19"/>
                <w:szCs w:val="19"/>
                <w:rtl/>
              </w:rPr>
              <w:t>תשתית חיונית לפעילות מתואמת ב</w:t>
            </w:r>
            <w:r>
              <w:rPr>
                <w:rFonts w:hint="cs"/>
                <w:sz w:val="19"/>
                <w:szCs w:val="19"/>
                <w:rtl/>
              </w:rPr>
              <w:t xml:space="preserve">עת </w:t>
            </w:r>
            <w:r w:rsidRPr="00C753CF">
              <w:rPr>
                <w:sz w:val="19"/>
                <w:szCs w:val="19"/>
                <w:rtl/>
              </w:rPr>
              <w:t>חירום.</w:t>
            </w:r>
          </w:p>
          <w:p w:rsidR="00791BC0" w:rsidRPr="009C157F" w:rsidP="00ED1560">
            <w:pPr>
              <w:pStyle w:val="73"/>
              <w:numPr>
                <w:ilvl w:val="0"/>
                <w:numId w:val="19"/>
              </w:numPr>
              <w:spacing w:before="120"/>
              <w:ind w:right="318"/>
              <w:rPr>
                <w:sz w:val="19"/>
                <w:szCs w:val="19"/>
                <w:rtl/>
              </w:rPr>
            </w:pPr>
            <w:r>
              <w:rPr>
                <w:rFonts w:hint="cs"/>
                <w:sz w:val="19"/>
                <w:szCs w:val="19"/>
                <w:rtl/>
              </w:rPr>
              <w:t>מומלץ כי היחידה לשיתופי פעולה רב-מגזריים במשרד רה"ם ת</w:t>
            </w:r>
            <w:r w:rsidRPr="00C753CF">
              <w:rPr>
                <w:sz w:val="19"/>
                <w:szCs w:val="19"/>
                <w:rtl/>
              </w:rPr>
              <w:t>רכז ידע עבור משרדי הממשלה בנוגע לגופים תורמים והתנדבותיים הרלוונטיים לפעילותם על פי קריטריונים גיאוגרפיים ופונקציונליים ולפי הסיוע שהם יכולים ומעו</w:t>
            </w:r>
            <w:r w:rsidRPr="00C753CF">
              <w:rPr>
                <w:sz w:val="19"/>
                <w:szCs w:val="19"/>
                <w:rtl/>
              </w:rPr>
              <w:t>ניינים להציע ב</w:t>
            </w:r>
            <w:r>
              <w:rPr>
                <w:rFonts w:hint="cs"/>
                <w:sz w:val="19"/>
                <w:szCs w:val="19"/>
                <w:rtl/>
              </w:rPr>
              <w:t xml:space="preserve">עת </w:t>
            </w:r>
            <w:r w:rsidRPr="00C753CF">
              <w:rPr>
                <w:sz w:val="19"/>
                <w:szCs w:val="19"/>
                <w:rtl/>
              </w:rPr>
              <w:t xml:space="preserve">חירום. לשם כך יכולה היחידה להיעזר במאגר המידע של גיידסטאר או בפקע"ר. </w:t>
            </w:r>
            <w:r>
              <w:rPr>
                <w:rFonts w:hint="cs"/>
                <w:sz w:val="19"/>
                <w:szCs w:val="19"/>
                <w:rtl/>
              </w:rPr>
              <w:t xml:space="preserve">עוד מומלץ כי </w:t>
            </w:r>
            <w:r w:rsidRPr="00C753CF">
              <w:rPr>
                <w:sz w:val="19"/>
                <w:szCs w:val="19"/>
                <w:rtl/>
              </w:rPr>
              <w:t xml:space="preserve">היחידה </w:t>
            </w:r>
            <w:r>
              <w:rPr>
                <w:rFonts w:hint="cs"/>
                <w:sz w:val="19"/>
                <w:szCs w:val="19"/>
                <w:rtl/>
              </w:rPr>
              <w:t>תנ</w:t>
            </w:r>
            <w:r w:rsidRPr="00C753CF">
              <w:rPr>
                <w:sz w:val="19"/>
                <w:szCs w:val="19"/>
                <w:rtl/>
              </w:rPr>
              <w:t>גיש מידע זה למשרדי הממשלה ו</w:t>
            </w:r>
            <w:r>
              <w:rPr>
                <w:rFonts w:hint="cs"/>
                <w:sz w:val="19"/>
                <w:szCs w:val="19"/>
                <w:rtl/>
              </w:rPr>
              <w:t>ת</w:t>
            </w:r>
            <w:r w:rsidRPr="00C753CF">
              <w:rPr>
                <w:sz w:val="19"/>
                <w:szCs w:val="19"/>
                <w:rtl/>
              </w:rPr>
              <w:t>עדכ</w:t>
            </w:r>
            <w:r>
              <w:rPr>
                <w:rFonts w:hint="cs"/>
                <w:sz w:val="19"/>
                <w:szCs w:val="19"/>
                <w:rtl/>
              </w:rPr>
              <w:t>ן אותו</w:t>
            </w:r>
            <w:r w:rsidRPr="00C753CF">
              <w:rPr>
                <w:sz w:val="19"/>
                <w:szCs w:val="19"/>
                <w:rtl/>
              </w:rPr>
              <w:t xml:space="preserve"> מפעם לפעם. </w:t>
            </w:r>
          </w:p>
          <w:p w:rsidR="00791BC0" w:rsidP="00ED1560">
            <w:pPr>
              <w:pStyle w:val="73"/>
              <w:numPr>
                <w:ilvl w:val="0"/>
                <w:numId w:val="19"/>
              </w:numPr>
              <w:spacing w:before="120"/>
              <w:ind w:right="318"/>
              <w:rPr>
                <w:sz w:val="19"/>
                <w:szCs w:val="19"/>
              </w:rPr>
            </w:pPr>
            <w:r>
              <w:rPr>
                <w:rFonts w:hint="cs"/>
                <w:sz w:val="19"/>
                <w:szCs w:val="19"/>
                <w:rtl/>
              </w:rPr>
              <w:t>מומלץ</w:t>
            </w:r>
            <w:r w:rsidRPr="00044662">
              <w:rPr>
                <w:sz w:val="19"/>
                <w:szCs w:val="19"/>
                <w:rtl/>
              </w:rPr>
              <w:t xml:space="preserve"> כי היחידה </w:t>
            </w:r>
            <w:r w:rsidRPr="00044662">
              <w:rPr>
                <w:rFonts w:hint="eastAsia"/>
                <w:sz w:val="19"/>
                <w:szCs w:val="19"/>
                <w:rtl/>
              </w:rPr>
              <w:t>לשיתופי</w:t>
            </w:r>
            <w:r w:rsidRPr="00044662">
              <w:rPr>
                <w:sz w:val="19"/>
                <w:szCs w:val="19"/>
                <w:rtl/>
              </w:rPr>
              <w:t xml:space="preserve"> פעולה רב-מגזריים במשרד רה"ם ת</w:t>
            </w:r>
            <w:r>
              <w:rPr>
                <w:rFonts w:hint="cs"/>
                <w:sz w:val="19"/>
                <w:szCs w:val="19"/>
                <w:rtl/>
              </w:rPr>
              <w:t>שלים</w:t>
            </w:r>
            <w:r w:rsidRPr="00044662">
              <w:rPr>
                <w:sz w:val="19"/>
                <w:szCs w:val="19"/>
                <w:rtl/>
              </w:rPr>
              <w:t xml:space="preserve"> עבודת מטה </w:t>
            </w:r>
            <w:r>
              <w:rPr>
                <w:rFonts w:hint="cs"/>
                <w:sz w:val="19"/>
                <w:szCs w:val="19"/>
                <w:rtl/>
              </w:rPr>
              <w:t xml:space="preserve">אותה החלה לבצע </w:t>
            </w:r>
            <w:r w:rsidRPr="00044662">
              <w:rPr>
                <w:sz w:val="19"/>
                <w:szCs w:val="19"/>
                <w:rtl/>
              </w:rPr>
              <w:t>בכל הנוגע לצורך</w:t>
            </w:r>
            <w:r w:rsidRPr="00044662">
              <w:rPr>
                <w:sz w:val="19"/>
                <w:szCs w:val="19"/>
                <w:rtl/>
              </w:rPr>
              <w:t xml:space="preserve"> במינוי בעלי תפקידים ייעודיים במשרדי ממשלה שיהיו אחראים </w:t>
            </w:r>
            <w:r w:rsidRPr="00044662">
              <w:rPr>
                <w:rFonts w:hint="eastAsia"/>
                <w:sz w:val="19"/>
                <w:szCs w:val="19"/>
                <w:rtl/>
              </w:rPr>
              <w:t>ל</w:t>
            </w:r>
            <w:r w:rsidRPr="00044662">
              <w:rPr>
                <w:sz w:val="19"/>
                <w:szCs w:val="19"/>
                <w:rtl/>
              </w:rPr>
              <w:t xml:space="preserve">קידום </w:t>
            </w:r>
            <w:r w:rsidRPr="00044662">
              <w:rPr>
                <w:rFonts w:hint="eastAsia"/>
                <w:sz w:val="19"/>
                <w:szCs w:val="19"/>
                <w:rtl/>
              </w:rPr>
              <w:t>ה</w:t>
            </w:r>
            <w:r w:rsidRPr="00044662">
              <w:rPr>
                <w:sz w:val="19"/>
                <w:szCs w:val="19"/>
                <w:rtl/>
              </w:rPr>
              <w:t xml:space="preserve">עבודה ושיתופי </w:t>
            </w:r>
            <w:r w:rsidRPr="00044662">
              <w:rPr>
                <w:rFonts w:hint="eastAsia"/>
                <w:sz w:val="19"/>
                <w:szCs w:val="19"/>
                <w:rtl/>
              </w:rPr>
              <w:t>ה</w:t>
            </w:r>
            <w:r w:rsidRPr="00044662">
              <w:rPr>
                <w:sz w:val="19"/>
                <w:szCs w:val="19"/>
                <w:rtl/>
              </w:rPr>
              <w:t xml:space="preserve">פעולה </w:t>
            </w:r>
            <w:r w:rsidRPr="00044662">
              <w:rPr>
                <w:rFonts w:hint="eastAsia"/>
                <w:sz w:val="19"/>
                <w:szCs w:val="19"/>
                <w:rtl/>
              </w:rPr>
              <w:t>ה</w:t>
            </w:r>
            <w:r w:rsidRPr="00044662">
              <w:rPr>
                <w:sz w:val="19"/>
                <w:szCs w:val="19"/>
                <w:rtl/>
              </w:rPr>
              <w:t xml:space="preserve">רב-מגזריים, לרבות </w:t>
            </w:r>
            <w:r w:rsidRPr="00044662">
              <w:rPr>
                <w:rFonts w:hint="eastAsia"/>
                <w:sz w:val="19"/>
                <w:szCs w:val="19"/>
                <w:rtl/>
              </w:rPr>
              <w:t>בנושאים</w:t>
            </w:r>
            <w:r w:rsidRPr="00044662">
              <w:rPr>
                <w:sz w:val="19"/>
                <w:szCs w:val="19"/>
                <w:rtl/>
              </w:rPr>
              <w:t xml:space="preserve"> </w:t>
            </w:r>
            <w:r w:rsidRPr="00044662">
              <w:rPr>
                <w:rFonts w:hint="eastAsia"/>
                <w:sz w:val="19"/>
                <w:szCs w:val="19"/>
                <w:rtl/>
              </w:rPr>
              <w:t>אלה</w:t>
            </w:r>
            <w:r w:rsidRPr="00044662">
              <w:rPr>
                <w:sz w:val="19"/>
                <w:szCs w:val="19"/>
                <w:rtl/>
              </w:rPr>
              <w:t>:</w:t>
            </w:r>
            <w:r w:rsidRPr="00044662">
              <w:rPr>
                <w:sz w:val="19"/>
                <w:szCs w:val="19"/>
              </w:rPr>
              <w:t xml:space="preserve"> </w:t>
            </w:r>
            <w:r w:rsidRPr="00044662">
              <w:rPr>
                <w:sz w:val="19"/>
                <w:szCs w:val="19"/>
                <w:rtl/>
              </w:rPr>
              <w:t>תכולת התפקיד, תנאי הסף לבחירת מועמדים לתפקיד, ההכשרה הנדרשת ומשרדי הממשלה שבהם היא ממליצה שיהיה בעל תפקיד כאמור; ו</w:t>
            </w:r>
            <w:r w:rsidRPr="00044662">
              <w:rPr>
                <w:rFonts w:hint="eastAsia"/>
                <w:sz w:val="19"/>
                <w:szCs w:val="19"/>
                <w:rtl/>
              </w:rPr>
              <w:t>כן</w:t>
            </w:r>
            <w:r w:rsidRPr="00044662">
              <w:rPr>
                <w:sz w:val="19"/>
                <w:szCs w:val="19"/>
                <w:rtl/>
              </w:rPr>
              <w:t xml:space="preserve"> מו</w:t>
            </w:r>
            <w:r>
              <w:rPr>
                <w:rFonts w:hint="cs"/>
                <w:sz w:val="19"/>
                <w:szCs w:val="19"/>
                <w:rtl/>
              </w:rPr>
              <w:t xml:space="preserve">מלץ </w:t>
            </w:r>
            <w:r w:rsidRPr="00044662">
              <w:rPr>
                <w:sz w:val="19"/>
                <w:szCs w:val="19"/>
                <w:rtl/>
              </w:rPr>
              <w:t>כי היחידה תגיש א</w:t>
            </w:r>
            <w:r w:rsidRPr="00044662">
              <w:rPr>
                <w:sz w:val="19"/>
                <w:szCs w:val="19"/>
                <w:rtl/>
              </w:rPr>
              <w:t>ת המלצותיה למנכ"לי המשרדים הרלוונטיים ואלו יפעלו בהתאם להן. עוד מו</w:t>
            </w:r>
            <w:r>
              <w:rPr>
                <w:rFonts w:hint="cs"/>
                <w:sz w:val="19"/>
                <w:szCs w:val="19"/>
                <w:rtl/>
              </w:rPr>
              <w:t xml:space="preserve">מלץ </w:t>
            </w:r>
            <w:r w:rsidRPr="00044662">
              <w:rPr>
                <w:rFonts w:hint="eastAsia"/>
                <w:sz w:val="19"/>
                <w:szCs w:val="19"/>
                <w:rtl/>
              </w:rPr>
              <w:t>שבמסגרת</w:t>
            </w:r>
            <w:r w:rsidRPr="00044662">
              <w:rPr>
                <w:sz w:val="19"/>
                <w:szCs w:val="19"/>
                <w:rtl/>
              </w:rPr>
              <w:t xml:space="preserve"> ההיערכות ל</w:t>
            </w:r>
            <w:r w:rsidRPr="00044662">
              <w:rPr>
                <w:rFonts w:hint="eastAsia"/>
                <w:sz w:val="19"/>
                <w:szCs w:val="19"/>
                <w:rtl/>
              </w:rPr>
              <w:t>עת</w:t>
            </w:r>
            <w:r w:rsidRPr="00044662">
              <w:rPr>
                <w:sz w:val="19"/>
                <w:szCs w:val="19"/>
                <w:rtl/>
              </w:rPr>
              <w:t xml:space="preserve"> חירום תמסד היחידה ב</w:t>
            </w:r>
            <w:r w:rsidRPr="00044662">
              <w:rPr>
                <w:rFonts w:hint="eastAsia"/>
                <w:sz w:val="19"/>
                <w:szCs w:val="19"/>
                <w:rtl/>
              </w:rPr>
              <w:t>עיתות</w:t>
            </w:r>
            <w:r w:rsidRPr="00044662">
              <w:rPr>
                <w:sz w:val="19"/>
                <w:szCs w:val="19"/>
                <w:rtl/>
              </w:rPr>
              <w:t xml:space="preserve"> שגרה תהליכי עבודה שינגישו </w:t>
            </w:r>
            <w:r>
              <w:rPr>
                <w:rFonts w:hint="cs"/>
                <w:sz w:val="19"/>
                <w:szCs w:val="19"/>
                <w:rtl/>
              </w:rPr>
              <w:t xml:space="preserve">באופן שוטף </w:t>
            </w:r>
            <w:r w:rsidRPr="00044662">
              <w:rPr>
                <w:sz w:val="19"/>
                <w:szCs w:val="19"/>
                <w:rtl/>
              </w:rPr>
              <w:t>לגופים תורמים והתנדבותיים</w:t>
            </w:r>
            <w:r>
              <w:rPr>
                <w:rFonts w:hint="cs"/>
                <w:sz w:val="19"/>
                <w:szCs w:val="19"/>
                <w:rtl/>
              </w:rPr>
              <w:t xml:space="preserve"> </w:t>
            </w:r>
            <w:r w:rsidRPr="00044662">
              <w:rPr>
                <w:sz w:val="19"/>
                <w:szCs w:val="19"/>
                <w:rtl/>
              </w:rPr>
              <w:t xml:space="preserve">את ערוצי הקשר הישיר </w:t>
            </w:r>
            <w:r w:rsidRPr="00044662">
              <w:rPr>
                <w:rFonts w:hint="eastAsia"/>
                <w:sz w:val="19"/>
                <w:szCs w:val="19"/>
                <w:rtl/>
              </w:rPr>
              <w:t>עם</w:t>
            </w:r>
            <w:r w:rsidRPr="00044662">
              <w:rPr>
                <w:sz w:val="19"/>
                <w:szCs w:val="19"/>
                <w:rtl/>
              </w:rPr>
              <w:t xml:space="preserve"> משרדי הממשלה.</w:t>
            </w:r>
          </w:p>
          <w:p w:rsidR="00791BC0" w:rsidP="00ED1560">
            <w:pPr>
              <w:pStyle w:val="73"/>
              <w:numPr>
                <w:ilvl w:val="0"/>
                <w:numId w:val="19"/>
              </w:numPr>
              <w:spacing w:before="120"/>
              <w:ind w:right="318"/>
              <w:rPr>
                <w:sz w:val="19"/>
                <w:szCs w:val="19"/>
              </w:rPr>
            </w:pPr>
            <w:r w:rsidRPr="00DF5664">
              <w:rPr>
                <w:sz w:val="19"/>
                <w:szCs w:val="19"/>
                <w:rtl/>
              </w:rPr>
              <w:t>מו</w:t>
            </w:r>
            <w:r>
              <w:rPr>
                <w:rFonts w:hint="cs"/>
                <w:sz w:val="19"/>
                <w:szCs w:val="19"/>
                <w:rtl/>
              </w:rPr>
              <w:t>מלץ</w:t>
            </w:r>
            <w:r w:rsidRPr="00DF5664">
              <w:rPr>
                <w:sz w:val="19"/>
                <w:szCs w:val="19"/>
                <w:rtl/>
              </w:rPr>
              <w:t xml:space="preserve"> כי היחידה תשלים בהקדם את אפיונה והקמתה של מערכת דיגיטלית ממשלתית לעבודה רב-מגזרית.</w:t>
            </w:r>
          </w:p>
          <w:p w:rsidR="00791BC0" w:rsidRPr="00DF5664" w:rsidP="00ED1560">
            <w:pPr>
              <w:pStyle w:val="73"/>
              <w:numPr>
                <w:ilvl w:val="0"/>
                <w:numId w:val="19"/>
              </w:numPr>
              <w:spacing w:before="120"/>
              <w:ind w:right="318"/>
              <w:rPr>
                <w:sz w:val="19"/>
                <w:szCs w:val="19"/>
              </w:rPr>
            </w:pPr>
            <w:r w:rsidRPr="00DF5664">
              <w:rPr>
                <w:sz w:val="19"/>
                <w:szCs w:val="19"/>
                <w:rtl/>
              </w:rPr>
              <w:t>מומלץ כי היחידה תבחן</w:t>
            </w:r>
            <w:r>
              <w:rPr>
                <w:rFonts w:hint="cs"/>
                <w:sz w:val="19"/>
                <w:szCs w:val="19"/>
                <w:rtl/>
              </w:rPr>
              <w:t xml:space="preserve"> שוב</w:t>
            </w:r>
            <w:r w:rsidRPr="00DF5664">
              <w:rPr>
                <w:sz w:val="19"/>
                <w:szCs w:val="19"/>
                <w:rtl/>
              </w:rPr>
              <w:t xml:space="preserve">, בשיתוף נציגי גופים תורמים והתנדבותיים שפעלו במלחמה, את הצורך בהקמת מוקד טלפוני ממשלתי אחוד המיועד לגופים תורמים והתנדבותיים בעת חירום כדי לקדם את </w:t>
            </w:r>
            <w:r w:rsidRPr="00DF5664">
              <w:rPr>
                <w:sz w:val="19"/>
                <w:szCs w:val="19"/>
                <w:rtl/>
              </w:rPr>
              <w:t>הת</w:t>
            </w:r>
            <w:r w:rsidR="00917216">
              <w:rPr>
                <w:rFonts w:hint="cs"/>
                <w:sz w:val="19"/>
                <w:szCs w:val="19"/>
                <w:rtl/>
              </w:rPr>
              <w:t>י</w:t>
            </w:r>
            <w:r w:rsidRPr="00DF5664">
              <w:rPr>
                <w:sz w:val="19"/>
                <w:szCs w:val="19"/>
                <w:rtl/>
              </w:rPr>
              <w:t>אום בינם לבין גופי הממשל, נוסף על הפלטפורמה הדיגיטלית שתוקם, ותפעל בהתאם לתוצאות בחינה זו</w:t>
            </w:r>
            <w:r>
              <w:rPr>
                <w:rFonts w:hint="cs"/>
                <w:sz w:val="19"/>
                <w:szCs w:val="19"/>
                <w:rtl/>
              </w:rPr>
              <w:t>.</w:t>
            </w:r>
          </w:p>
          <w:p w:rsidR="00791BC0" w:rsidP="00ED1560">
            <w:pPr>
              <w:pStyle w:val="73"/>
              <w:numPr>
                <w:ilvl w:val="0"/>
                <w:numId w:val="19"/>
              </w:numPr>
              <w:spacing w:before="120"/>
              <w:ind w:right="318"/>
              <w:rPr>
                <w:sz w:val="19"/>
                <w:szCs w:val="19"/>
              </w:rPr>
            </w:pPr>
            <w:r>
              <w:rPr>
                <w:rFonts w:hint="cs"/>
                <w:sz w:val="19"/>
                <w:szCs w:val="19"/>
                <w:rtl/>
              </w:rPr>
              <w:t xml:space="preserve">מומלץ כי </w:t>
            </w:r>
            <w:r w:rsidRPr="00C753CF">
              <w:rPr>
                <w:sz w:val="19"/>
                <w:szCs w:val="19"/>
                <w:rtl/>
              </w:rPr>
              <w:t xml:space="preserve">היחידה לשיתופי פעולה רב-מגזריים במשרד רה"ם </w:t>
            </w:r>
            <w:r>
              <w:rPr>
                <w:rFonts w:hint="cs"/>
                <w:sz w:val="19"/>
                <w:szCs w:val="19"/>
                <w:rtl/>
              </w:rPr>
              <w:t xml:space="preserve">תרכז </w:t>
            </w:r>
            <w:r w:rsidRPr="00C753CF">
              <w:rPr>
                <w:sz w:val="19"/>
                <w:szCs w:val="19"/>
                <w:rtl/>
              </w:rPr>
              <w:t xml:space="preserve">מידע על פעילותם של גופים תורמים והתנדבותיים גם במצבי חירום, </w:t>
            </w:r>
            <w:r>
              <w:rPr>
                <w:rFonts w:hint="cs"/>
                <w:sz w:val="19"/>
                <w:szCs w:val="19"/>
                <w:rtl/>
              </w:rPr>
              <w:t>תפיק ממנו תובנות ותעביר את תוצרי פעילותה זו</w:t>
            </w:r>
            <w:r w:rsidRPr="00C753CF">
              <w:rPr>
                <w:sz w:val="19"/>
                <w:szCs w:val="19"/>
                <w:rtl/>
              </w:rPr>
              <w:t xml:space="preserve"> ל</w:t>
            </w:r>
            <w:r w:rsidRPr="00C753CF">
              <w:rPr>
                <w:sz w:val="19"/>
                <w:szCs w:val="19"/>
                <w:rtl/>
              </w:rPr>
              <w:t xml:space="preserve">כל המשרדים הממשלתיים הרלוונטיים </w:t>
            </w:r>
            <w:r>
              <w:rPr>
                <w:rFonts w:hint="cs"/>
                <w:sz w:val="19"/>
                <w:szCs w:val="19"/>
                <w:rtl/>
              </w:rPr>
              <w:t>כדי לאפשר תיאום יעיל</w:t>
            </w:r>
            <w:r w:rsidRPr="00C753CF">
              <w:rPr>
                <w:sz w:val="19"/>
                <w:szCs w:val="19"/>
                <w:rtl/>
              </w:rPr>
              <w:t xml:space="preserve"> </w:t>
            </w:r>
            <w:r>
              <w:rPr>
                <w:rFonts w:hint="cs"/>
                <w:sz w:val="19"/>
                <w:szCs w:val="19"/>
                <w:rtl/>
              </w:rPr>
              <w:t>ה</w:t>
            </w:r>
            <w:r w:rsidRPr="00C753CF">
              <w:rPr>
                <w:sz w:val="19"/>
                <w:szCs w:val="19"/>
                <w:rtl/>
              </w:rPr>
              <w:t xml:space="preserve">מבוסס </w:t>
            </w:r>
            <w:r>
              <w:rPr>
                <w:rFonts w:hint="cs"/>
                <w:sz w:val="19"/>
                <w:szCs w:val="19"/>
                <w:rtl/>
              </w:rPr>
              <w:t xml:space="preserve">על </w:t>
            </w:r>
            <w:r w:rsidRPr="00C753CF">
              <w:rPr>
                <w:sz w:val="19"/>
                <w:szCs w:val="19"/>
                <w:rtl/>
              </w:rPr>
              <w:t xml:space="preserve">ניסיון, ידע ותובנות מהשטח, </w:t>
            </w:r>
            <w:r>
              <w:rPr>
                <w:rFonts w:hint="cs"/>
                <w:sz w:val="19"/>
                <w:szCs w:val="19"/>
                <w:rtl/>
              </w:rPr>
              <w:t>לאספקה</w:t>
            </w:r>
            <w:r w:rsidRPr="00C753CF">
              <w:rPr>
                <w:sz w:val="19"/>
                <w:szCs w:val="19"/>
                <w:rtl/>
              </w:rPr>
              <w:t xml:space="preserve"> מיטבי</w:t>
            </w:r>
            <w:r>
              <w:rPr>
                <w:rFonts w:hint="cs"/>
                <w:sz w:val="19"/>
                <w:szCs w:val="19"/>
                <w:rtl/>
              </w:rPr>
              <w:t>ת</w:t>
            </w:r>
            <w:r w:rsidRPr="00C753CF">
              <w:rPr>
                <w:sz w:val="19"/>
                <w:szCs w:val="19"/>
                <w:rtl/>
              </w:rPr>
              <w:t xml:space="preserve"> של צורכי האוכלוסייה ב</w:t>
            </w:r>
            <w:r>
              <w:rPr>
                <w:rFonts w:hint="cs"/>
                <w:sz w:val="19"/>
                <w:szCs w:val="19"/>
                <w:rtl/>
              </w:rPr>
              <w:t xml:space="preserve">עת </w:t>
            </w:r>
            <w:r w:rsidRPr="00C753CF">
              <w:rPr>
                <w:sz w:val="19"/>
                <w:szCs w:val="19"/>
                <w:rtl/>
              </w:rPr>
              <w:t>חירום.</w:t>
            </w:r>
            <w:r>
              <w:rPr>
                <w:rFonts w:hint="cs"/>
                <w:sz w:val="19"/>
                <w:szCs w:val="19"/>
                <w:rtl/>
              </w:rPr>
              <w:t xml:space="preserve"> כל זאת, תוך הקפדה על שמירת עצמאותם של הגופים והבנה כי בחירת תחומי פעילותם נתונה לשיקול דעתם הבלעדי.</w:t>
            </w:r>
          </w:p>
          <w:p w:rsidR="00096E87" w:rsidP="00096E87">
            <w:pPr>
              <w:pStyle w:val="73"/>
              <w:spacing w:before="120" w:after="120"/>
              <w:ind w:right="318"/>
              <w:rPr>
                <w:sz w:val="14"/>
                <w:szCs w:val="14"/>
                <w:rtl/>
              </w:rPr>
            </w:pPr>
          </w:p>
          <w:p w:rsidR="00096E87" w:rsidRPr="00096E87" w:rsidP="00096E87">
            <w:pPr>
              <w:pStyle w:val="73"/>
              <w:spacing w:before="120" w:after="120"/>
              <w:ind w:right="318"/>
              <w:rPr>
                <w:sz w:val="10"/>
                <w:szCs w:val="10"/>
              </w:rPr>
            </w:pPr>
          </w:p>
          <w:p w:rsidR="00791BC0" w:rsidRPr="00074D2B" w:rsidP="00096E87">
            <w:pPr>
              <w:pStyle w:val="73"/>
              <w:numPr>
                <w:ilvl w:val="0"/>
                <w:numId w:val="19"/>
              </w:numPr>
              <w:ind w:right="318"/>
              <w:rPr>
                <w:sz w:val="19"/>
                <w:szCs w:val="19"/>
              </w:rPr>
            </w:pPr>
            <w:r>
              <w:rPr>
                <w:rFonts w:hint="cs"/>
                <w:sz w:val="19"/>
                <w:szCs w:val="19"/>
                <w:rtl/>
              </w:rPr>
              <w:t>מומלץ כי אגף ממשל ו</w:t>
            </w:r>
            <w:r>
              <w:rPr>
                <w:rFonts w:hint="cs"/>
                <w:sz w:val="19"/>
                <w:szCs w:val="19"/>
                <w:rtl/>
              </w:rPr>
              <w:t xml:space="preserve">חברה במשרד רה"ם במסגרתו פועלת </w:t>
            </w:r>
            <w:r w:rsidRPr="00C753CF">
              <w:rPr>
                <w:sz w:val="19"/>
                <w:szCs w:val="19"/>
                <w:rtl/>
              </w:rPr>
              <w:t xml:space="preserve">היחידה לשיתופי פעולה רב-מגזריים, </w:t>
            </w:r>
            <w:r>
              <w:rPr>
                <w:rFonts w:hint="cs"/>
                <w:sz w:val="19"/>
                <w:szCs w:val="19"/>
                <w:rtl/>
              </w:rPr>
              <w:t>י</w:t>
            </w:r>
            <w:r w:rsidRPr="00C753CF">
              <w:rPr>
                <w:sz w:val="19"/>
                <w:szCs w:val="19"/>
                <w:rtl/>
              </w:rPr>
              <w:t>שלים</w:t>
            </w:r>
            <w:r>
              <w:rPr>
                <w:sz w:val="19"/>
                <w:szCs w:val="19"/>
                <w:rtl/>
              </w:rPr>
              <w:t xml:space="preserve"> </w:t>
            </w:r>
            <w:r w:rsidRPr="00C753CF">
              <w:rPr>
                <w:sz w:val="19"/>
                <w:szCs w:val="19"/>
                <w:rtl/>
              </w:rPr>
              <w:t xml:space="preserve">תהליך של </w:t>
            </w:r>
            <w:r>
              <w:rPr>
                <w:rFonts w:hint="cs"/>
                <w:sz w:val="19"/>
                <w:szCs w:val="19"/>
                <w:rtl/>
              </w:rPr>
              <w:t>הפקת לקחים שיזם האגף וביצע עוד במהלך ה</w:t>
            </w:r>
            <w:r w:rsidRPr="00C753CF">
              <w:rPr>
                <w:sz w:val="19"/>
                <w:szCs w:val="19"/>
                <w:rtl/>
              </w:rPr>
              <w:t>מלחמ</w:t>
            </w:r>
            <w:r>
              <w:rPr>
                <w:rFonts w:hint="cs"/>
                <w:sz w:val="19"/>
                <w:szCs w:val="19"/>
                <w:rtl/>
              </w:rPr>
              <w:t>ה כך שהוא יכלול התייחסות ל</w:t>
            </w:r>
            <w:r w:rsidRPr="00C753CF">
              <w:rPr>
                <w:sz w:val="19"/>
                <w:szCs w:val="19"/>
                <w:rtl/>
              </w:rPr>
              <w:t>ממצאי דוח הביקורת הנוכחי</w:t>
            </w:r>
            <w:r>
              <w:rPr>
                <w:rFonts w:hint="cs"/>
                <w:sz w:val="19"/>
                <w:szCs w:val="19"/>
                <w:rtl/>
              </w:rPr>
              <w:t>,</w:t>
            </w:r>
            <w:r w:rsidRPr="00C753CF">
              <w:rPr>
                <w:sz w:val="19"/>
                <w:szCs w:val="19"/>
                <w:rtl/>
              </w:rPr>
              <w:t xml:space="preserve"> </w:t>
            </w:r>
            <w:r>
              <w:rPr>
                <w:rFonts w:hint="cs"/>
                <w:sz w:val="19"/>
                <w:szCs w:val="19"/>
                <w:rtl/>
              </w:rPr>
              <w:t>ל</w:t>
            </w:r>
            <w:r w:rsidRPr="00C753CF">
              <w:rPr>
                <w:sz w:val="19"/>
                <w:szCs w:val="19"/>
                <w:rtl/>
              </w:rPr>
              <w:t xml:space="preserve">המלצותיו ולחסמים </w:t>
            </w:r>
            <w:r>
              <w:rPr>
                <w:rFonts w:hint="cs"/>
                <w:sz w:val="19"/>
                <w:szCs w:val="19"/>
                <w:rtl/>
              </w:rPr>
              <w:t>ב</w:t>
            </w:r>
            <w:r w:rsidRPr="00C753CF">
              <w:rPr>
                <w:sz w:val="19"/>
                <w:szCs w:val="19"/>
                <w:rtl/>
              </w:rPr>
              <w:t>עבודת</w:t>
            </w:r>
            <w:r>
              <w:rPr>
                <w:rFonts w:hint="cs"/>
                <w:sz w:val="19"/>
                <w:szCs w:val="19"/>
                <w:rtl/>
              </w:rPr>
              <w:t xml:space="preserve"> היחידה</w:t>
            </w:r>
            <w:r w:rsidRPr="00C753CF">
              <w:rPr>
                <w:sz w:val="19"/>
                <w:szCs w:val="19"/>
                <w:rtl/>
              </w:rPr>
              <w:t xml:space="preserve">, </w:t>
            </w:r>
            <w:r>
              <w:rPr>
                <w:rFonts w:hint="cs"/>
                <w:sz w:val="19"/>
                <w:szCs w:val="19"/>
                <w:rtl/>
              </w:rPr>
              <w:t>וי</w:t>
            </w:r>
            <w:r w:rsidRPr="00C753CF">
              <w:rPr>
                <w:sz w:val="19"/>
                <w:szCs w:val="19"/>
                <w:rtl/>
              </w:rPr>
              <w:t xml:space="preserve">ציג את תוצרי התהליך </w:t>
            </w:r>
            <w:r>
              <w:rPr>
                <w:rFonts w:hint="cs"/>
                <w:sz w:val="19"/>
                <w:szCs w:val="19"/>
                <w:rtl/>
              </w:rPr>
              <w:t>ל</w:t>
            </w:r>
            <w:r w:rsidRPr="00C753CF">
              <w:rPr>
                <w:sz w:val="19"/>
                <w:szCs w:val="19"/>
                <w:rtl/>
              </w:rPr>
              <w:t xml:space="preserve">גורמים הרלוונטיים. </w:t>
            </w:r>
            <w:r>
              <w:rPr>
                <w:rFonts w:hint="cs"/>
                <w:sz w:val="19"/>
                <w:szCs w:val="19"/>
                <w:rtl/>
              </w:rPr>
              <w:t>מומלץ כי</w:t>
            </w:r>
            <w:r>
              <w:rPr>
                <w:sz w:val="19"/>
                <w:szCs w:val="19"/>
                <w:rtl/>
              </w:rPr>
              <w:t xml:space="preserve"> </w:t>
            </w:r>
            <w:r w:rsidRPr="009C7EB0">
              <w:rPr>
                <w:sz w:val="19"/>
                <w:szCs w:val="19"/>
                <w:rtl/>
              </w:rPr>
              <w:t xml:space="preserve">משרד רה"ם בשיתוף נציבות שרות המדינה </w:t>
            </w:r>
            <w:r w:rsidRPr="00F376D1">
              <w:rPr>
                <w:sz w:val="19"/>
                <w:szCs w:val="19"/>
                <w:rtl/>
              </w:rPr>
              <w:t>יבחנו את התקנים הדרושים ליחידה לשיתופי פעולה רב</w:t>
            </w:r>
            <w:r>
              <w:rPr>
                <w:rFonts w:hint="cs"/>
                <w:sz w:val="19"/>
                <w:szCs w:val="19"/>
                <w:rtl/>
              </w:rPr>
              <w:t>-</w:t>
            </w:r>
            <w:r w:rsidRPr="00F376D1">
              <w:rPr>
                <w:sz w:val="19"/>
                <w:szCs w:val="19"/>
                <w:rtl/>
              </w:rPr>
              <w:t>מגזריים כדי למלא את תפקידה בתקופת שגרה ובמצבי חירום, ויפעלו</w:t>
            </w:r>
            <w:r>
              <w:rPr>
                <w:sz w:val="19"/>
                <w:szCs w:val="19"/>
                <w:rtl/>
              </w:rPr>
              <w:t xml:space="preserve"> </w:t>
            </w:r>
            <w:r>
              <w:rPr>
                <w:rFonts w:hint="cs"/>
                <w:sz w:val="19"/>
                <w:szCs w:val="19"/>
                <w:rtl/>
              </w:rPr>
              <w:t xml:space="preserve">בשיתוף </w:t>
            </w:r>
            <w:r w:rsidRPr="009C7EB0">
              <w:rPr>
                <w:sz w:val="19"/>
                <w:szCs w:val="19"/>
                <w:rtl/>
              </w:rPr>
              <w:t>הממונה על השכר במשרד האוצר</w:t>
            </w:r>
            <w:r>
              <w:rPr>
                <w:sz w:val="19"/>
                <w:szCs w:val="19"/>
                <w:rtl/>
              </w:rPr>
              <w:t xml:space="preserve"> </w:t>
            </w:r>
            <w:r w:rsidRPr="00F376D1">
              <w:rPr>
                <w:sz w:val="19"/>
                <w:szCs w:val="19"/>
                <w:rtl/>
              </w:rPr>
              <w:t>למתן מענה לפערים</w:t>
            </w:r>
            <w:r>
              <w:rPr>
                <w:rFonts w:hint="cs"/>
                <w:sz w:val="19"/>
                <w:szCs w:val="19"/>
                <w:rtl/>
              </w:rPr>
              <w:t>.</w:t>
            </w:r>
          </w:p>
          <w:p w:rsidR="001D3DA9" w:rsidRPr="00BE22D7" w:rsidP="00ED1560">
            <w:pPr>
              <w:pStyle w:val="73"/>
              <w:numPr>
                <w:ilvl w:val="0"/>
                <w:numId w:val="19"/>
              </w:numPr>
              <w:spacing w:before="120"/>
              <w:ind w:right="318"/>
              <w:rPr>
                <w:rtl/>
              </w:rPr>
            </w:pPr>
            <w:r w:rsidRPr="00F2445E">
              <w:rPr>
                <w:sz w:val="19"/>
                <w:szCs w:val="19"/>
                <w:rtl/>
              </w:rPr>
              <w:t>מומלץ כי משרד האוצר ומשרד הרווחה והביטחון החברתי</w:t>
            </w:r>
            <w:r>
              <w:rPr>
                <w:rFonts w:hint="cs"/>
                <w:sz w:val="19"/>
                <w:szCs w:val="19"/>
                <w:rtl/>
              </w:rPr>
              <w:t>,</w:t>
            </w:r>
            <w:r w:rsidRPr="00F2445E">
              <w:rPr>
                <w:sz w:val="19"/>
                <w:szCs w:val="19"/>
                <w:rtl/>
              </w:rPr>
              <w:t xml:space="preserve"> כנציגים המובילים של הממשלה בקרן ה</w:t>
            </w:r>
            <w:r>
              <w:rPr>
                <w:rFonts w:hint="cs"/>
                <w:sz w:val="19"/>
                <w:szCs w:val="19"/>
                <w:rtl/>
              </w:rPr>
              <w:t>סיוע,</w:t>
            </w:r>
            <w:r w:rsidRPr="00F2445E">
              <w:rPr>
                <w:sz w:val="19"/>
                <w:szCs w:val="19"/>
                <w:rtl/>
              </w:rPr>
              <w:t xml:space="preserve"> </w:t>
            </w:r>
            <w:r>
              <w:rPr>
                <w:rFonts w:hint="cs"/>
                <w:sz w:val="19"/>
                <w:szCs w:val="19"/>
                <w:rtl/>
              </w:rPr>
              <w:t xml:space="preserve">יפעלו בזמן </w:t>
            </w:r>
            <w:r w:rsidRPr="00F2445E">
              <w:rPr>
                <w:sz w:val="19"/>
                <w:szCs w:val="19"/>
                <w:rtl/>
              </w:rPr>
              <w:t xml:space="preserve">שגרה </w:t>
            </w:r>
            <w:r>
              <w:rPr>
                <w:rFonts w:hint="cs"/>
                <w:sz w:val="19"/>
                <w:szCs w:val="19"/>
                <w:rtl/>
              </w:rPr>
              <w:t xml:space="preserve">ליצירת </w:t>
            </w:r>
            <w:r w:rsidRPr="00F2445E">
              <w:rPr>
                <w:sz w:val="19"/>
                <w:szCs w:val="19"/>
                <w:rtl/>
              </w:rPr>
              <w:t>שיח עם הקרנות הפילנתרופיות</w:t>
            </w:r>
            <w:r>
              <w:rPr>
                <w:sz w:val="19"/>
                <w:szCs w:val="19"/>
                <w:rtl/>
              </w:rPr>
              <w:t xml:space="preserve"> </w:t>
            </w:r>
            <w:r>
              <w:rPr>
                <w:rFonts w:hint="cs"/>
                <w:sz w:val="19"/>
                <w:szCs w:val="19"/>
                <w:rtl/>
              </w:rPr>
              <w:t>ו</w:t>
            </w:r>
            <w:r w:rsidRPr="00F2445E">
              <w:rPr>
                <w:sz w:val="19"/>
                <w:szCs w:val="19"/>
                <w:rtl/>
              </w:rPr>
              <w:t xml:space="preserve">העמותות, </w:t>
            </w:r>
            <w:r>
              <w:rPr>
                <w:rFonts w:hint="cs"/>
                <w:sz w:val="19"/>
                <w:szCs w:val="19"/>
                <w:rtl/>
              </w:rPr>
              <w:t xml:space="preserve">לבחינת </w:t>
            </w:r>
            <w:r w:rsidRPr="00F2445E">
              <w:rPr>
                <w:sz w:val="19"/>
                <w:szCs w:val="19"/>
                <w:rtl/>
              </w:rPr>
              <w:t>מועילות הסיוע שניתן במלחמה ויגבשו מודל משותף מוסכם לסיוע לעמותות</w:t>
            </w:r>
            <w:r>
              <w:rPr>
                <w:rFonts w:hint="cs"/>
                <w:sz w:val="19"/>
                <w:szCs w:val="19"/>
                <w:rtl/>
              </w:rPr>
              <w:t xml:space="preserve">, מעין </w:t>
            </w:r>
            <w:r w:rsidRPr="00F2445E">
              <w:rPr>
                <w:sz w:val="19"/>
                <w:szCs w:val="19"/>
                <w:rtl/>
              </w:rPr>
              <w:t xml:space="preserve">"ארגז כלים" </w:t>
            </w:r>
            <w:r>
              <w:rPr>
                <w:rFonts w:hint="cs"/>
                <w:sz w:val="19"/>
                <w:szCs w:val="19"/>
                <w:rtl/>
              </w:rPr>
              <w:t>להפעלה</w:t>
            </w:r>
            <w:r w:rsidRPr="00F2445E">
              <w:rPr>
                <w:sz w:val="19"/>
                <w:szCs w:val="19"/>
                <w:rtl/>
              </w:rPr>
              <w:t xml:space="preserve"> לפי הצורך </w:t>
            </w:r>
            <w:r>
              <w:rPr>
                <w:rFonts w:hint="cs"/>
                <w:sz w:val="19"/>
                <w:szCs w:val="19"/>
                <w:rtl/>
              </w:rPr>
              <w:t>למתן סיוע מהיר ויעיל ל</w:t>
            </w:r>
            <w:r w:rsidRPr="00F2445E">
              <w:rPr>
                <w:sz w:val="19"/>
                <w:szCs w:val="19"/>
                <w:rtl/>
              </w:rPr>
              <w:t xml:space="preserve">עמותות הפועלות </w:t>
            </w:r>
            <w:r>
              <w:rPr>
                <w:rFonts w:hint="cs"/>
                <w:sz w:val="19"/>
                <w:szCs w:val="19"/>
                <w:rtl/>
              </w:rPr>
              <w:t>למען מטרות צ</w:t>
            </w:r>
            <w:r>
              <w:rPr>
                <w:rFonts w:hint="cs"/>
                <w:sz w:val="19"/>
                <w:szCs w:val="19"/>
                <w:rtl/>
              </w:rPr>
              <w:t xml:space="preserve">יבוריות </w:t>
            </w:r>
            <w:r w:rsidRPr="00F2445E">
              <w:rPr>
                <w:sz w:val="19"/>
                <w:szCs w:val="19"/>
                <w:rtl/>
              </w:rPr>
              <w:t>בעיתות חירום.</w:t>
            </w:r>
          </w:p>
        </w:tc>
      </w:tr>
    </w:tbl>
    <w:p w:rsidR="00096E87" w:rsidP="001D3DA9">
      <w:pPr>
        <w:bidi w:val="0"/>
        <w:spacing w:after="160" w:line="259" w:lineRule="auto"/>
        <w:ind w:left="-1"/>
        <w:jc w:val="left"/>
        <w:rPr>
          <w:sz w:val="2"/>
          <w:szCs w:val="2"/>
        </w:rPr>
      </w:pPr>
    </w:p>
    <w:p w:rsidR="00096E87">
      <w:pPr>
        <w:bidi w:val="0"/>
        <w:spacing w:after="200" w:line="276" w:lineRule="auto"/>
        <w:rPr>
          <w:sz w:val="2"/>
          <w:szCs w:val="2"/>
        </w:rPr>
      </w:pPr>
      <w:r>
        <w:rPr>
          <w:sz w:val="2"/>
          <w:szCs w:val="2"/>
        </w:rPr>
        <w:br w:type="page"/>
      </w:r>
    </w:p>
    <w:p w:rsidR="00992D38" w:rsidP="00096E87">
      <w:pPr>
        <w:bidi w:val="0"/>
        <w:spacing w:after="120" w:line="276" w:lineRule="auto"/>
        <w:jc w:val="center"/>
      </w:pPr>
      <w:r w:rsidRPr="00791BC0">
        <w:rPr>
          <w:rFonts w:ascii="Tahoma" w:eastAsia="Calibri" w:hAnsi="Tahoma" w:cs="Tahoma"/>
          <w:b/>
          <w:bCs/>
          <w:noProof/>
          <w:color w:val="FFFFFF"/>
          <w:sz w:val="22"/>
          <w:szCs w:val="22"/>
          <w:rtl/>
        </w:rPr>
        <w:drawing>
          <wp:anchor distT="0" distB="0" distL="114300" distR="114300" simplePos="0" relativeHeight="251664384" behindDoc="1" locked="0" layoutInCell="1" allowOverlap="1">
            <wp:simplePos x="0" y="0"/>
            <wp:positionH relativeFrom="margin">
              <wp:posOffset>285750</wp:posOffset>
            </wp:positionH>
            <wp:positionV relativeFrom="paragraph">
              <wp:posOffset>45720</wp:posOffset>
            </wp:positionV>
            <wp:extent cx="5786755" cy="695960"/>
            <wp:effectExtent l="0" t="0" r="4445" b="8890"/>
            <wp:wrapNone/>
            <wp:docPr id="14" name="תמונה 14"/>
            <wp:cNvGraphicFramePr/>
            <a:graphic xmlns:a="http://schemas.openxmlformats.org/drawingml/2006/main">
              <a:graphicData uri="http://schemas.openxmlformats.org/drawingml/2006/picture">
                <pic:pic xmlns:pic="http://schemas.openxmlformats.org/drawingml/2006/picture">
                  <pic:nvPicPr>
                    <pic:cNvPr id="14"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86755" cy="695960"/>
                    </a:xfrm>
                    <a:prstGeom prst="rect">
                      <a:avLst/>
                    </a:prstGeom>
                  </pic:spPr>
                </pic:pic>
              </a:graphicData>
            </a:graphic>
            <wp14:sizeRelH relativeFrom="page">
              <wp14:pctWidth>0</wp14:pctWidth>
            </wp14:sizeRelH>
            <wp14:sizeRelV relativeFrom="page">
              <wp14:pctHeight>0</wp14:pctHeight>
            </wp14:sizeRelV>
          </wp:anchor>
        </w:drawing>
      </w:r>
      <w:r w:rsidRPr="00D527BD">
        <w:rPr>
          <w:noProof/>
          <w:szCs w:val="20"/>
          <w:rtl/>
        </w:rPr>
        <mc:AlternateContent>
          <mc:Choice Requires="wps">
            <w:drawing>
              <wp:anchor distT="0" distB="0" distL="114300" distR="114300" simplePos="0" relativeHeight="251659264" behindDoc="0" locked="0" layoutInCell="1" allowOverlap="1">
                <wp:simplePos x="0" y="0"/>
                <wp:positionH relativeFrom="margin">
                  <wp:posOffset>475576</wp:posOffset>
                </wp:positionH>
                <wp:positionV relativeFrom="paragraph">
                  <wp:posOffset>48895</wp:posOffset>
                </wp:positionV>
                <wp:extent cx="5474970" cy="434975"/>
                <wp:effectExtent l="0" t="0" r="0" b="3175"/>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4970" cy="434975"/>
                        </a:xfrm>
                        <a:prstGeom prst="rect">
                          <a:avLst/>
                        </a:prstGeom>
                        <a:solidFill>
                          <a:srgbClr val="F05260"/>
                        </a:solidFill>
                        <a:ln w="9525">
                          <a:noFill/>
                          <a:miter lim="800000"/>
                          <a:headEnd/>
                          <a:tailEnd/>
                        </a:ln>
                      </wps:spPr>
                      <wps:txbx>
                        <w:txbxContent>
                          <w:p w:rsidR="001D3DA9" w:rsidP="00096E87">
                            <w:pPr>
                              <w:pStyle w:val="733"/>
                              <w:ind w:left="-136"/>
                              <w:rPr>
                                <w:rtl/>
                              </w:rPr>
                            </w:pPr>
                            <w:r w:rsidRPr="00791BC0">
                              <w:rPr>
                                <w:rtl/>
                              </w:rPr>
                              <w:t xml:space="preserve">שיעורי ההתנדבות לפי תחומים בראשית המלחמה (אוקטובר 2023), כחודש לאחר תחילתה (נובמבר 2023) וכשנה לאחר פרוץ המלחמה (אוקטובר </w:t>
                            </w:r>
                            <w:r w:rsidRPr="00096E87" w:rsidR="00096E87">
                              <w:rPr>
                                <w:rtl/>
                              </w:rPr>
                              <w:t>2024)*</w:t>
                            </w:r>
                          </w:p>
                          <w:p w:rsidR="00917216" w:rsidP="00096E87">
                            <w:pPr>
                              <w:pStyle w:val="733"/>
                              <w:ind w:left="-136"/>
                              <w:rPr>
                                <w:rtl/>
                              </w:rPr>
                            </w:pPr>
                          </w:p>
                          <w:p w:rsidR="00917216" w:rsidRPr="005C7ABF" w:rsidP="00096E87">
                            <w:pPr>
                              <w:pStyle w:val="733"/>
                              <w:ind w:left="-136"/>
                              <w:rPr>
                                <w:rtl/>
                              </w:rP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431.1pt;height:34.25pt;margin-top:3.85pt;margin-left:37.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0288" fillcolor="#f05260" stroked="f">
                <v:textbox>
                  <w:txbxContent>
                    <w:p w:rsidR="001D3DA9" w:rsidP="00096E87">
                      <w:pPr>
                        <w:pStyle w:val="733"/>
                        <w:ind w:left="-136"/>
                        <w:rPr>
                          <w:rtl/>
                        </w:rPr>
                      </w:pPr>
                      <w:r w:rsidRPr="00791BC0">
                        <w:rPr>
                          <w:rtl/>
                        </w:rPr>
                        <w:t xml:space="preserve">שיעורי ההתנדבות לפי תחומים בראשית המלחמה (אוקטובר 2023), כחודש לאחר תחילתה (נובמבר 2023) וכשנה לאחר פרוץ המלחמה (אוקטובר </w:t>
                      </w:r>
                      <w:r w:rsidRPr="00096E87" w:rsidR="00096E87">
                        <w:rPr>
                          <w:rtl/>
                        </w:rPr>
                        <w:t>2024)*</w:t>
                      </w:r>
                    </w:p>
                    <w:p w:rsidR="00917216" w:rsidP="00096E87">
                      <w:pPr>
                        <w:pStyle w:val="733"/>
                        <w:ind w:left="-136"/>
                        <w:rPr>
                          <w:rtl/>
                        </w:rPr>
                      </w:pPr>
                    </w:p>
                    <w:p w:rsidR="00917216" w:rsidRPr="005C7ABF" w:rsidP="00096E87">
                      <w:pPr>
                        <w:pStyle w:val="733"/>
                        <w:ind w:left="-136"/>
                        <w:rPr>
                          <w:rtl/>
                        </w:rPr>
                      </w:pPr>
                    </w:p>
                  </w:txbxContent>
                </v:textbox>
                <w10:wrap anchorx="margin"/>
              </v:shape>
            </w:pict>
          </mc:Fallback>
        </mc:AlternateContent>
      </w:r>
    </w:p>
    <w:p w:rsidR="001D3DA9" w:rsidRPr="00D57BE9" w:rsidP="00992D38">
      <w:pPr>
        <w:bidi w:val="0"/>
        <w:spacing w:after="120" w:line="276" w:lineRule="auto"/>
        <w:jc w:val="center"/>
      </w:pPr>
    </w:p>
    <w:p w:rsidR="001D3DA9" w:rsidRPr="00D57BE9" w:rsidP="00684081">
      <w:pPr>
        <w:spacing w:before="840"/>
        <w:jc w:val="center"/>
        <w:rPr>
          <w:rtl/>
        </w:rPr>
      </w:pPr>
      <w:r w:rsidRPr="00684081">
        <w:rPr>
          <w:rFonts w:ascii="Tahoma" w:eastAsia="Calibri" w:hAnsi="Tahoma" w:cs="Tahoma"/>
          <w:noProof/>
          <w:sz w:val="22"/>
          <w:szCs w:val="22"/>
        </w:rPr>
        <w:drawing>
          <wp:inline distT="0" distB="0" distL="0" distR="0">
            <wp:extent cx="5180011" cy="3187700"/>
            <wp:effectExtent l="0" t="0" r="1905" b="0"/>
            <wp:docPr id="27" name="תמונה 27" descr="תרשים המציג את שיעורי ההתנדבות לפי תחומים בשלוש נקודות זמן: אוקטובר 2023, נובמבר 2023 ואוקטובר 2024.&#10;האחוזים מציינים את שיעור המתנדבים בכל תחום מתוך כלל המתנדבים.&#10;&#10;איסוף, אריזה וחלוקה של ציוד ומזון:&#10;אוקטובר 2023: 49.2%&#10;נובמבר 2023: 60.2%&#10;אוקטובר 2024: 30.2%&#10;&#10;סיוע לכוחות הביטחון:&#10;אוקטובר 2023: 20.6%&#10;נובמבר 2023: 37.4%&#10;אוקטובר 2024: 18.2%&#10;&#10;הסעות ושינוע:&#10;אוקטובר 2023: 22.5%&#10;נובמבר 2023: 12.2%&#10;אוקטובר 2024: 7%&#10;&#10;התנדבות בתחום החקלאות:&#10;אוקטובר 2023: 11.3%&#10;נובמבר 2023: 18.8%&#10;אוקטובר 2024: 8.9%&#10;&#10;הסברה:&#10;אוקטובר 2023: 17.6%&#10;נובמבר 2023: 15.3%&#10;אוקטובר 2024: 3.5%&#10;&#10;הפעלה חינוכית וחברתית:&#10;אוקטובר 2023: 9.9%&#10;נובמבר 2023: 9.1%&#10;אוקטובר 2024: 4.8%&#10;&#10;תמיכה נפשית ורגשית:&#10;אוקטובר 2023: 4.9%&#10;נובמבר 2023: 1.4%&#10;אוקטובר 2024: 3.3%&#10;&#10;סיוע למשפחות שכולות, הנצחה ותיעוד:&#10;אוקטובר 2023: לא נמצא נתון מהימן&#10;נובמבר 2023: 1.7%&#10;אוקטובר 2024: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t="3617" b="3617"/>
                    <a:stretch>
                      <a:fillRect/>
                    </a:stretch>
                  </pic:blipFill>
                  <pic:spPr bwMode="auto">
                    <a:xfrm>
                      <a:off x="0" y="0"/>
                      <a:ext cx="5208462" cy="32052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84081" w:rsidRPr="00791BC0" w:rsidP="00684081">
      <w:pPr>
        <w:pStyle w:val="731"/>
        <w:spacing w:after="0"/>
        <w:rPr>
          <w:rFonts w:eastAsia="Calibri"/>
          <w:rtl/>
        </w:rPr>
      </w:pPr>
      <w:r w:rsidRPr="00791BC0">
        <w:rPr>
          <w:rFonts w:eastAsia="Calibri"/>
          <w:rtl/>
        </w:rPr>
        <w:t xml:space="preserve">על פי נתוני סקרים </w:t>
      </w:r>
      <w:r w:rsidRPr="00791BC0">
        <w:rPr>
          <w:rtl/>
        </w:rPr>
        <w:t>ומחקרים</w:t>
      </w:r>
      <w:r w:rsidRPr="00791BC0">
        <w:rPr>
          <w:rFonts w:eastAsia="Calibri"/>
          <w:rtl/>
        </w:rPr>
        <w:t>, בעיבוד משרד מבקר המדינה</w:t>
      </w:r>
      <w:r>
        <w:rPr>
          <w:rFonts w:eastAsia="Calibri" w:hint="cs"/>
          <w:rtl/>
        </w:rPr>
        <w:t>.</w:t>
      </w:r>
    </w:p>
    <w:p w:rsidR="00684081" w:rsidRPr="00791BC0" w:rsidP="00917216">
      <w:pPr>
        <w:pStyle w:val="731"/>
        <w:spacing w:before="0" w:after="0"/>
        <w:ind w:left="425" w:hanging="425"/>
        <w:rPr>
          <w:rFonts w:eastAsia="Calibri"/>
        </w:rPr>
      </w:pPr>
      <w:r w:rsidRPr="00791BC0">
        <w:rPr>
          <w:rFonts w:eastAsia="Calibri"/>
          <w:rtl/>
        </w:rPr>
        <w:t>*</w:t>
      </w:r>
      <w:r w:rsidRPr="00791BC0">
        <w:rPr>
          <w:rFonts w:eastAsia="Calibri"/>
          <w:rtl/>
        </w:rPr>
        <w:tab/>
        <w:t xml:space="preserve">מדובר בשיעור </w:t>
      </w:r>
      <w:r w:rsidRPr="00791BC0">
        <w:rPr>
          <w:rFonts w:eastAsia="Calibri" w:hint="eastAsia"/>
          <w:rtl/>
        </w:rPr>
        <w:t>ה</w:t>
      </w:r>
      <w:r w:rsidRPr="00791BC0">
        <w:rPr>
          <w:rFonts w:eastAsia="Calibri" w:hint="cs"/>
          <w:rtl/>
        </w:rPr>
        <w:t xml:space="preserve">מתנדבים </w:t>
      </w:r>
      <w:r w:rsidRPr="00791BC0">
        <w:rPr>
          <w:rFonts w:eastAsia="Calibri"/>
          <w:rtl/>
        </w:rPr>
        <w:t xml:space="preserve">מתוך סך כל </w:t>
      </w:r>
      <w:r w:rsidRPr="00791BC0">
        <w:rPr>
          <w:rFonts w:eastAsia="Calibri"/>
          <w:rtl/>
        </w:rPr>
        <w:t>המתנדבים. יש</w:t>
      </w:r>
      <w:r w:rsidRPr="00791BC0">
        <w:rPr>
          <w:rFonts w:eastAsia="Calibri" w:hint="cs"/>
          <w:rtl/>
        </w:rPr>
        <w:t xml:space="preserve"> </w:t>
      </w:r>
      <w:r w:rsidRPr="00791BC0">
        <w:rPr>
          <w:rFonts w:eastAsia="Calibri"/>
          <w:rtl/>
        </w:rPr>
        <w:t xml:space="preserve">מתנדבים שהתנדבו </w:t>
      </w:r>
      <w:r w:rsidRPr="00791BC0">
        <w:rPr>
          <w:rFonts w:eastAsia="Calibri" w:hint="cs"/>
          <w:rtl/>
        </w:rPr>
        <w:t>בעת ובעונה אחת</w:t>
      </w:r>
      <w:r w:rsidRPr="00791BC0">
        <w:rPr>
          <w:rFonts w:eastAsia="Calibri"/>
          <w:rtl/>
        </w:rPr>
        <w:t xml:space="preserve"> בכמה תחומים; מתחת לכל אייקון: </w:t>
      </w:r>
      <w:r w:rsidRPr="00791BC0">
        <w:rPr>
          <w:rFonts w:eastAsia="Calibri" w:hint="cs"/>
          <w:rtl/>
        </w:rPr>
        <w:t>ה</w:t>
      </w:r>
      <w:r w:rsidRPr="00791BC0">
        <w:rPr>
          <w:rFonts w:eastAsia="Calibri"/>
          <w:rtl/>
        </w:rPr>
        <w:t xml:space="preserve">נתון </w:t>
      </w:r>
      <w:r w:rsidRPr="00791BC0">
        <w:rPr>
          <w:rFonts w:eastAsia="Calibri" w:hint="cs"/>
          <w:rtl/>
        </w:rPr>
        <w:t>ה</w:t>
      </w:r>
      <w:r w:rsidRPr="00791BC0">
        <w:rPr>
          <w:rFonts w:eastAsia="Calibri"/>
          <w:rtl/>
        </w:rPr>
        <w:t xml:space="preserve">ימני מייצג את אוקטובר 2023, </w:t>
      </w:r>
      <w:r w:rsidRPr="00791BC0">
        <w:rPr>
          <w:rFonts w:eastAsia="Calibri" w:hint="cs"/>
          <w:rtl/>
        </w:rPr>
        <w:t>ה</w:t>
      </w:r>
      <w:r w:rsidRPr="00791BC0">
        <w:rPr>
          <w:rFonts w:eastAsia="Calibri"/>
          <w:rtl/>
        </w:rPr>
        <w:t xml:space="preserve">נתון </w:t>
      </w:r>
      <w:r w:rsidRPr="00791BC0">
        <w:rPr>
          <w:rFonts w:eastAsia="Calibri" w:hint="cs"/>
          <w:rtl/>
        </w:rPr>
        <w:t>ה</w:t>
      </w:r>
      <w:r w:rsidRPr="00791BC0">
        <w:rPr>
          <w:rFonts w:eastAsia="Calibri"/>
          <w:rtl/>
        </w:rPr>
        <w:t>אמצעי את נובמבר 2023 ו</w:t>
      </w:r>
      <w:r w:rsidRPr="00791BC0">
        <w:rPr>
          <w:rFonts w:eastAsia="Calibri" w:hint="cs"/>
          <w:rtl/>
        </w:rPr>
        <w:t>ה</w:t>
      </w:r>
      <w:r w:rsidRPr="00791BC0">
        <w:rPr>
          <w:rFonts w:eastAsia="Calibri"/>
          <w:rtl/>
        </w:rPr>
        <w:t xml:space="preserve">נתון </w:t>
      </w:r>
      <w:r w:rsidRPr="00791BC0">
        <w:rPr>
          <w:rFonts w:eastAsia="Calibri" w:hint="cs"/>
          <w:rtl/>
        </w:rPr>
        <w:t>ה</w:t>
      </w:r>
      <w:r w:rsidRPr="00791BC0">
        <w:rPr>
          <w:rFonts w:eastAsia="Calibri"/>
          <w:rtl/>
        </w:rPr>
        <w:t>שמאלי את אוקטובר 2024.</w:t>
      </w:r>
    </w:p>
    <w:p w:rsidR="00684081" w:rsidRPr="00791BC0" w:rsidP="00917216">
      <w:pPr>
        <w:spacing w:line="288" w:lineRule="auto"/>
        <w:ind w:left="425" w:right="-1701" w:hanging="425"/>
        <w:rPr>
          <w:rFonts w:ascii="Tahoma" w:eastAsia="Calibri" w:hAnsi="Tahoma" w:cs="Tahoma"/>
          <w:sz w:val="16"/>
          <w:szCs w:val="16"/>
        </w:rPr>
      </w:pPr>
      <w:r w:rsidRPr="00791BC0">
        <w:rPr>
          <w:rFonts w:ascii="Tahoma" w:eastAsia="Calibri" w:hAnsi="Tahoma" w:cs="Tahoma"/>
          <w:sz w:val="16"/>
          <w:szCs w:val="16"/>
          <w:rtl/>
        </w:rPr>
        <w:t>**</w:t>
      </w:r>
      <w:r w:rsidRPr="00791BC0">
        <w:rPr>
          <w:rFonts w:ascii="Tahoma" w:eastAsia="Calibri" w:hAnsi="Tahoma" w:cs="Tahoma"/>
          <w:sz w:val="16"/>
          <w:szCs w:val="16"/>
          <w:rtl/>
        </w:rPr>
        <w:tab/>
        <w:t>איסוף, אריזה וחלוקה של ציוד ומזון לכוחות הביטחון, למפונים, לאוכלוסיות חלשות ועוד</w:t>
      </w:r>
      <w:r w:rsidRPr="00791BC0">
        <w:rPr>
          <w:rFonts w:ascii="Tahoma" w:eastAsia="Calibri" w:hAnsi="Tahoma" w:cs="Tahoma" w:hint="cs"/>
          <w:sz w:val="16"/>
          <w:szCs w:val="16"/>
          <w:rtl/>
        </w:rPr>
        <w:t>.</w:t>
      </w:r>
    </w:p>
    <w:p w:rsidR="00684081" w:rsidRPr="00791BC0" w:rsidP="00917216">
      <w:pPr>
        <w:spacing w:line="288" w:lineRule="auto"/>
        <w:ind w:left="425" w:right="-1701" w:hanging="425"/>
        <w:rPr>
          <w:rFonts w:ascii="Tahoma" w:eastAsia="Calibri" w:hAnsi="Tahoma" w:cs="Tahoma"/>
          <w:sz w:val="16"/>
          <w:szCs w:val="16"/>
        </w:rPr>
      </w:pPr>
      <w:r w:rsidRPr="00791BC0">
        <w:rPr>
          <w:rFonts w:ascii="Tahoma" w:eastAsia="Calibri" w:hAnsi="Tahoma" w:cs="Tahoma"/>
          <w:sz w:val="16"/>
          <w:szCs w:val="16"/>
          <w:rtl/>
        </w:rPr>
        <w:t>***</w:t>
      </w:r>
      <w:r w:rsidRPr="00791BC0">
        <w:rPr>
          <w:rFonts w:ascii="Tahoma" w:eastAsia="Calibri" w:hAnsi="Tahoma" w:cs="Tahoma"/>
          <w:sz w:val="16"/>
          <w:szCs w:val="16"/>
          <w:rtl/>
        </w:rPr>
        <w:tab/>
        <w:t>סיוע לפעילות</w:t>
      </w:r>
      <w:r w:rsidRPr="00791BC0">
        <w:rPr>
          <w:rFonts w:ascii="Tahoma" w:eastAsia="Calibri" w:hAnsi="Tahoma" w:cs="Tahoma" w:hint="cs"/>
          <w:sz w:val="16"/>
          <w:szCs w:val="16"/>
          <w:rtl/>
        </w:rPr>
        <w:t>ם של</w:t>
      </w:r>
      <w:r w:rsidRPr="00791BC0">
        <w:rPr>
          <w:rFonts w:ascii="Tahoma" w:eastAsia="Calibri" w:hAnsi="Tahoma" w:cs="Tahoma"/>
          <w:sz w:val="16"/>
          <w:szCs w:val="16"/>
          <w:rtl/>
        </w:rPr>
        <w:t xml:space="preserve"> צה"ל, משטרת ישראל, כיתות </w:t>
      </w:r>
      <w:r w:rsidRPr="00791BC0">
        <w:rPr>
          <w:rFonts w:ascii="Tahoma" w:eastAsia="Calibri" w:hAnsi="Tahoma" w:cs="Tahoma" w:hint="cs"/>
          <w:sz w:val="16"/>
          <w:szCs w:val="16"/>
          <w:rtl/>
        </w:rPr>
        <w:t>ה</w:t>
      </w:r>
      <w:r w:rsidRPr="00791BC0">
        <w:rPr>
          <w:rFonts w:ascii="Tahoma" w:eastAsia="Calibri" w:hAnsi="Tahoma" w:cs="Tahoma"/>
          <w:sz w:val="16"/>
          <w:szCs w:val="16"/>
          <w:rtl/>
        </w:rPr>
        <w:t xml:space="preserve">כוננות, </w:t>
      </w:r>
      <w:r w:rsidRPr="00791BC0">
        <w:rPr>
          <w:rFonts w:ascii="Tahoma" w:eastAsia="Calibri" w:hAnsi="Tahoma" w:cs="Tahoma" w:hint="cs"/>
          <w:sz w:val="16"/>
          <w:szCs w:val="16"/>
          <w:rtl/>
        </w:rPr>
        <w:t>ל</w:t>
      </w:r>
      <w:r w:rsidRPr="00791BC0">
        <w:rPr>
          <w:rFonts w:ascii="Tahoma" w:eastAsia="Calibri" w:hAnsi="Tahoma" w:cs="Tahoma"/>
          <w:sz w:val="16"/>
          <w:szCs w:val="16"/>
          <w:rtl/>
        </w:rPr>
        <w:t>שמירה על יישובים ו</w:t>
      </w:r>
      <w:r w:rsidRPr="00791BC0">
        <w:rPr>
          <w:rFonts w:ascii="Tahoma" w:eastAsia="Calibri" w:hAnsi="Tahoma" w:cs="Tahoma" w:hint="cs"/>
          <w:sz w:val="16"/>
          <w:szCs w:val="16"/>
          <w:rtl/>
        </w:rPr>
        <w:t>ל</w:t>
      </w:r>
      <w:r w:rsidRPr="00791BC0">
        <w:rPr>
          <w:rFonts w:ascii="Tahoma" w:eastAsia="Calibri" w:hAnsi="Tahoma" w:cs="Tahoma"/>
          <w:sz w:val="16"/>
          <w:szCs w:val="16"/>
          <w:rtl/>
        </w:rPr>
        <w:t>מגן דוד אדום</w:t>
      </w:r>
      <w:r w:rsidRPr="00791BC0">
        <w:rPr>
          <w:rFonts w:ascii="Tahoma" w:eastAsia="Calibri" w:hAnsi="Tahoma" w:cs="Tahoma" w:hint="cs"/>
          <w:sz w:val="16"/>
          <w:szCs w:val="16"/>
          <w:rtl/>
        </w:rPr>
        <w:t>.</w:t>
      </w:r>
    </w:p>
    <w:p w:rsidR="00684081" w:rsidRPr="00791BC0" w:rsidP="00917216">
      <w:pPr>
        <w:spacing w:line="288" w:lineRule="auto"/>
        <w:ind w:left="425" w:right="-1701" w:hanging="425"/>
        <w:rPr>
          <w:rFonts w:ascii="Tahoma" w:eastAsia="Calibri" w:hAnsi="Tahoma" w:cs="Tahoma"/>
          <w:sz w:val="16"/>
          <w:szCs w:val="16"/>
          <w:rtl/>
        </w:rPr>
      </w:pPr>
      <w:r w:rsidRPr="00791BC0">
        <w:rPr>
          <w:rFonts w:ascii="Tahoma" w:eastAsia="Calibri" w:hAnsi="Tahoma" w:cs="Tahoma"/>
          <w:sz w:val="16"/>
          <w:szCs w:val="16"/>
          <w:rtl/>
        </w:rPr>
        <w:t>****</w:t>
      </w:r>
      <w:r w:rsidRPr="00791BC0">
        <w:rPr>
          <w:rFonts w:ascii="Tahoma" w:eastAsia="Calibri" w:hAnsi="Tahoma" w:cs="Tahoma"/>
          <w:sz w:val="16"/>
          <w:szCs w:val="16"/>
          <w:rtl/>
        </w:rPr>
        <w:tab/>
        <w:t>לא נמצא נתון מייצג לגבי שיעור ההתנדבות בסיוע למשפחות שכולות, הנצחה ותיעוד באוקטובר 2023</w:t>
      </w:r>
      <w:r w:rsidRPr="00791BC0">
        <w:rPr>
          <w:rFonts w:ascii="Tahoma" w:eastAsia="Calibri" w:hAnsi="Tahoma" w:cs="Tahoma" w:hint="cs"/>
          <w:sz w:val="16"/>
          <w:szCs w:val="16"/>
          <w:rtl/>
        </w:rPr>
        <w:t>.</w:t>
      </w:r>
    </w:p>
    <w:p w:rsidR="00684081" w:rsidP="001D3DA9">
      <w:pPr>
        <w:pStyle w:val="731"/>
        <w:rPr>
          <w:rtl/>
        </w:rPr>
      </w:pPr>
    </w:p>
    <w:p w:rsidR="001D3DA9" w:rsidP="001D3DA9">
      <w:pPr>
        <w:ind w:left="-1"/>
        <w:jc w:val="left"/>
        <w:rPr>
          <w:rtl/>
        </w:rPr>
      </w:pPr>
    </w:p>
    <w:p w:rsidR="001D3DA9" w:rsidP="001D3DA9">
      <w:pPr>
        <w:bidi w:val="0"/>
        <w:spacing w:after="200" w:line="276" w:lineRule="auto"/>
        <w:rPr>
          <w:rtl/>
        </w:rPr>
      </w:pPr>
      <w:r>
        <w:rPr>
          <w:rtl/>
        </w:rPr>
        <w:br w:type="page"/>
      </w:r>
    </w:p>
    <w:p w:rsidR="001D3DA9" w:rsidRPr="006B7706" w:rsidP="00AA0E16">
      <w:pPr>
        <w:spacing w:after="160" w:line="480"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791BC0" w:rsidRPr="00791BC0" w:rsidP="00791BC0">
      <w:pPr>
        <w:pStyle w:val="739"/>
        <w:spacing w:after="120"/>
        <w:rPr>
          <w:rFonts w:eastAsia="Calibri"/>
          <w:sz w:val="19"/>
          <w:szCs w:val="19"/>
          <w:rtl/>
        </w:rPr>
      </w:pPr>
      <w:r w:rsidRPr="00791BC0">
        <w:rPr>
          <w:rFonts w:eastAsia="Calibri"/>
          <w:sz w:val="19"/>
          <w:szCs w:val="19"/>
          <w:rtl/>
        </w:rPr>
        <w:t xml:space="preserve">ממצאי הביקורת הנוכחית נותנים משנה תוקף לכך שלפחות בחודשים הראשונים של </w:t>
      </w:r>
      <w:r w:rsidRPr="00791BC0">
        <w:rPr>
          <w:rFonts w:eastAsia="Calibri"/>
          <w:sz w:val="19"/>
          <w:szCs w:val="19"/>
          <w:rtl/>
        </w:rPr>
        <w:t>מלחמת חרבות ברזל מילאו גופים תורמים והתנדבותיים תפקיד מכריע בסיפוק צורכי העורף והחזית בתחומי פעילות מרכזיים שהטיפול בהם מצוי באחריות רשויות השלטון, ובראשם פינוי תושבים מאזורים מותקפים ואספקה של מזון וציוד בסיסי לאוכלוסייה אזרחית שנפגעה במלחמה ולכוחות הביטח</w:t>
      </w:r>
      <w:r w:rsidRPr="00791BC0">
        <w:rPr>
          <w:rFonts w:eastAsia="Calibri"/>
          <w:sz w:val="19"/>
          <w:szCs w:val="19"/>
          <w:rtl/>
        </w:rPr>
        <w:t>ון וההצלה. השווי הכספי של פעילות ההתנדבות והתרומות בכסף ובשווה כסף בשלושת החודשים הראשונים של המלחמה נאמד, לפי הערכות שמרניות של משרד מבקר המדינה</w:t>
      </w:r>
      <w:r w:rsidRPr="00791BC0">
        <w:rPr>
          <w:rFonts w:eastAsia="Calibri" w:hint="cs"/>
          <w:sz w:val="19"/>
          <w:szCs w:val="19"/>
          <w:rtl/>
        </w:rPr>
        <w:t xml:space="preserve">, </w:t>
      </w:r>
      <w:r w:rsidRPr="00791BC0">
        <w:rPr>
          <w:rFonts w:eastAsia="Calibri"/>
          <w:sz w:val="19"/>
          <w:szCs w:val="19"/>
          <w:rtl/>
        </w:rPr>
        <w:t>בכ-14.78 מיליארד ש"ח</w:t>
      </w:r>
      <w:r w:rsidRPr="00791BC0">
        <w:rPr>
          <w:rFonts w:eastAsia="Calibri" w:hint="cs"/>
          <w:sz w:val="19"/>
          <w:szCs w:val="19"/>
          <w:rtl/>
        </w:rPr>
        <w:t>. מהם,</w:t>
      </w:r>
      <w:r w:rsidRPr="00791BC0">
        <w:rPr>
          <w:rFonts w:eastAsia="Calibri"/>
          <w:sz w:val="19"/>
          <w:szCs w:val="19"/>
          <w:rtl/>
        </w:rPr>
        <w:t xml:space="preserve"> כ-8.56 מיליארד ש"ח </w:t>
      </w:r>
      <w:r w:rsidRPr="00791BC0">
        <w:rPr>
          <w:rFonts w:eastAsia="Calibri" w:hint="cs"/>
          <w:sz w:val="19"/>
          <w:szCs w:val="19"/>
          <w:rtl/>
        </w:rPr>
        <w:t xml:space="preserve">משקפים את שוויין של </w:t>
      </w:r>
      <w:r w:rsidRPr="00791BC0">
        <w:rPr>
          <w:rFonts w:eastAsia="Calibri"/>
          <w:sz w:val="19"/>
          <w:szCs w:val="19"/>
          <w:rtl/>
        </w:rPr>
        <w:t>שעות התנדבות ו</w:t>
      </w:r>
      <w:r w:rsidRPr="00791BC0">
        <w:rPr>
          <w:rFonts w:eastAsia="Calibri" w:hint="cs"/>
          <w:sz w:val="19"/>
          <w:szCs w:val="19"/>
          <w:rtl/>
        </w:rPr>
        <w:t>כ</w:t>
      </w:r>
      <w:r w:rsidRPr="00791BC0">
        <w:rPr>
          <w:rFonts w:eastAsia="Calibri"/>
          <w:sz w:val="19"/>
          <w:szCs w:val="19"/>
          <w:rtl/>
        </w:rPr>
        <w:t>-6.22 מיליארד ש"ח תרומות. סכ</w:t>
      </w:r>
      <w:r w:rsidRPr="00791BC0">
        <w:rPr>
          <w:rFonts w:eastAsia="Calibri"/>
          <w:sz w:val="19"/>
          <w:szCs w:val="19"/>
          <w:rtl/>
        </w:rPr>
        <w:t>ום זה הוא שווה ערך לכמחצית (כ-51%)</w:t>
      </w:r>
      <w:r w:rsidRPr="00791BC0">
        <w:rPr>
          <w:rFonts w:eastAsia="Calibri" w:hint="cs"/>
          <w:sz w:val="19"/>
          <w:szCs w:val="19"/>
          <w:rtl/>
        </w:rPr>
        <w:t xml:space="preserve"> </w:t>
      </w:r>
      <w:r w:rsidRPr="00791BC0">
        <w:rPr>
          <w:rFonts w:eastAsia="Calibri"/>
          <w:sz w:val="19"/>
          <w:szCs w:val="19"/>
          <w:rtl/>
        </w:rPr>
        <w:t>מתקציב המדינה בגין המלחמה, שהסתכם בתקופה זו בכ-28.8 מיליארד ש"ח (מה</w:t>
      </w:r>
      <w:r w:rsidRPr="00791BC0">
        <w:rPr>
          <w:rFonts w:eastAsia="Calibri" w:hint="cs"/>
          <w:sz w:val="19"/>
          <w:szCs w:val="19"/>
          <w:rtl/>
        </w:rPr>
        <w:t>ם</w:t>
      </w:r>
      <w:r w:rsidRPr="00791BC0">
        <w:rPr>
          <w:rFonts w:eastAsia="Calibri"/>
          <w:sz w:val="19"/>
          <w:szCs w:val="19"/>
          <w:rtl/>
        </w:rPr>
        <w:t xml:space="preserve"> כ-17 מיליארד ש״ח לכיסוי הוצאות ביטחוניות, והיתר כ-11.8 מיליארד ש"ח למילוי צרכים אזרחיים). </w:t>
      </w:r>
      <w:r w:rsidRPr="00791BC0">
        <w:rPr>
          <w:rFonts w:eastAsia="Calibri" w:hint="cs"/>
          <w:sz w:val="19"/>
          <w:szCs w:val="19"/>
          <w:rtl/>
        </w:rPr>
        <w:t xml:space="preserve">משמעות הדבר היא כי </w:t>
      </w:r>
      <w:r w:rsidRPr="00791BC0">
        <w:rPr>
          <w:rFonts w:eastAsia="Calibri"/>
          <w:sz w:val="19"/>
          <w:szCs w:val="19"/>
          <w:rtl/>
        </w:rPr>
        <w:t>היקף הפעילות של גופים תורמים והתנדבותיים בח</w:t>
      </w:r>
      <w:r w:rsidRPr="00791BC0">
        <w:rPr>
          <w:rFonts w:eastAsia="Calibri"/>
          <w:sz w:val="19"/>
          <w:szCs w:val="19"/>
          <w:rtl/>
        </w:rPr>
        <w:t>ודשים אלה, היה גדול בכשלושה מיליארד ש"ח מהתקציב שהקצתה המדינה לצרכים אזרחיים.</w:t>
      </w:r>
    </w:p>
    <w:p w:rsidR="00791BC0" w:rsidRPr="00791BC0" w:rsidP="00791BC0">
      <w:pPr>
        <w:pStyle w:val="739"/>
        <w:spacing w:after="120"/>
        <w:rPr>
          <w:rFonts w:eastAsia="Calibri"/>
          <w:sz w:val="19"/>
          <w:szCs w:val="19"/>
          <w:rtl/>
        </w:rPr>
      </w:pPr>
      <w:r w:rsidRPr="00791BC0">
        <w:rPr>
          <w:rFonts w:eastAsia="Calibri" w:hint="cs"/>
          <w:sz w:val="19"/>
          <w:szCs w:val="19"/>
          <w:rtl/>
        </w:rPr>
        <w:t xml:space="preserve">ואולם בביקורת נמצא כי אף שפעילות </w:t>
      </w:r>
      <w:r w:rsidRPr="00791BC0">
        <w:rPr>
          <w:rFonts w:eastAsia="Calibri"/>
          <w:sz w:val="19"/>
          <w:szCs w:val="19"/>
          <w:rtl/>
        </w:rPr>
        <w:t xml:space="preserve">נרחבת וחסרת תקדים זו של הגופים התורמים וההתנדבותיים </w:t>
      </w:r>
      <w:r w:rsidRPr="00791BC0">
        <w:rPr>
          <w:rFonts w:eastAsia="Calibri" w:hint="cs"/>
          <w:sz w:val="19"/>
          <w:szCs w:val="19"/>
          <w:rtl/>
        </w:rPr>
        <w:t>חייבה תיאום בין הממשלה לבינם, והובלה והכוונה ממשלתית שיבטיחו מיצוי מיטבי של הנתינה באופן יעיל</w:t>
      </w:r>
      <w:r w:rsidRPr="00791BC0">
        <w:rPr>
          <w:rFonts w:eastAsia="Calibri" w:hint="cs"/>
          <w:sz w:val="19"/>
          <w:szCs w:val="19"/>
          <w:rtl/>
        </w:rPr>
        <w:t xml:space="preserve"> ומועיל ומתוך ראייה כוללת ואינטגרטיבית, הרי שבמלחמת חרבות ברזל היה המערך ממשלתי חסר בכל הנוגע לניהול התיאום</w:t>
      </w:r>
      <w:bookmarkStart w:id="7" w:name="_Hlk213838974"/>
      <w:r w:rsidRPr="00791BC0">
        <w:rPr>
          <w:rFonts w:eastAsia="Calibri" w:hint="cs"/>
          <w:sz w:val="19"/>
          <w:szCs w:val="19"/>
          <w:rtl/>
        </w:rPr>
        <w:t xml:space="preserve"> בנדבכים מרכזיים אלה:</w:t>
      </w:r>
      <w:bookmarkEnd w:id="7"/>
    </w:p>
    <w:p w:rsidR="00791BC0" w:rsidRPr="00791BC0" w:rsidP="00791BC0">
      <w:pPr>
        <w:pStyle w:val="739"/>
        <w:numPr>
          <w:ilvl w:val="0"/>
          <w:numId w:val="30"/>
        </w:numPr>
        <w:spacing w:after="120"/>
        <w:ind w:left="425" w:hanging="426"/>
        <w:rPr>
          <w:rFonts w:eastAsia="Calibri"/>
          <w:sz w:val="19"/>
          <w:szCs w:val="19"/>
        </w:rPr>
      </w:pPr>
      <w:r w:rsidRPr="008B2582">
        <w:rPr>
          <w:rFonts w:eastAsia="Times New Roman"/>
          <w:b/>
          <w:bCs/>
          <w:sz w:val="19"/>
          <w:szCs w:val="19"/>
          <w:rtl/>
        </w:rPr>
        <w:t>היעדר גוף מתכלל</w:t>
      </w:r>
      <w:r w:rsidRPr="00791BC0">
        <w:rPr>
          <w:rFonts w:eastAsia="Calibri" w:hint="cs"/>
          <w:sz w:val="19"/>
          <w:szCs w:val="19"/>
          <w:rtl/>
        </w:rPr>
        <w:t xml:space="preserve"> </w:t>
      </w:r>
      <w:r>
        <w:rPr>
          <w:rFonts w:eastAsia="Calibri" w:hint="cs"/>
          <w:sz w:val="19"/>
          <w:szCs w:val="19"/>
          <w:rtl/>
        </w:rPr>
        <w:t xml:space="preserve">- </w:t>
      </w:r>
      <w:r w:rsidRPr="00791BC0">
        <w:rPr>
          <w:rFonts w:eastAsia="Calibri"/>
          <w:sz w:val="19"/>
          <w:szCs w:val="19"/>
          <w:rtl/>
        </w:rPr>
        <w:t>לא פעל גורם ממשלתי שבאחריותו להוביל את תיאום כלל-העבודה הממשלתית עם גופים תורמים והתנדבותיים בעיתות חירום ואת</w:t>
      </w:r>
      <w:r w:rsidRPr="00791BC0">
        <w:rPr>
          <w:rFonts w:eastAsia="Calibri"/>
          <w:sz w:val="19"/>
          <w:szCs w:val="19"/>
          <w:rtl/>
        </w:rPr>
        <w:t xml:space="preserve"> ההיערכות לכך</w:t>
      </w:r>
      <w:r w:rsidRPr="00791BC0">
        <w:rPr>
          <w:rFonts w:eastAsia="Calibri" w:hint="cs"/>
          <w:sz w:val="19"/>
          <w:szCs w:val="19"/>
          <w:rtl/>
        </w:rPr>
        <w:t>.</w:t>
      </w:r>
      <w:r w:rsidRPr="00791BC0">
        <w:rPr>
          <w:rFonts w:eastAsia="Calibri"/>
          <w:sz w:val="19"/>
          <w:szCs w:val="19"/>
          <w:rtl/>
        </w:rPr>
        <w:t xml:space="preserve"> </w:t>
      </w:r>
    </w:p>
    <w:p w:rsidR="00791BC0" w:rsidRPr="00791BC0" w:rsidP="00791BC0">
      <w:pPr>
        <w:spacing w:line="288" w:lineRule="auto"/>
        <w:ind w:left="-709" w:right="-567"/>
        <w:rPr>
          <w:rFonts w:ascii="Tahoma" w:eastAsia="Calibri" w:hAnsi="Tahoma" w:cs="Tahoma"/>
          <w:sz w:val="4"/>
          <w:szCs w:val="4"/>
        </w:rPr>
      </w:pPr>
    </w:p>
    <w:p w:rsidR="00791BC0" w:rsidRPr="00791BC0" w:rsidP="00791BC0">
      <w:pPr>
        <w:pStyle w:val="739"/>
        <w:numPr>
          <w:ilvl w:val="0"/>
          <w:numId w:val="30"/>
        </w:numPr>
        <w:spacing w:after="120"/>
        <w:ind w:left="425" w:hanging="426"/>
        <w:rPr>
          <w:rFonts w:eastAsia="Calibri"/>
          <w:sz w:val="19"/>
          <w:szCs w:val="19"/>
        </w:rPr>
      </w:pPr>
      <w:r w:rsidRPr="008B2582">
        <w:rPr>
          <w:rFonts w:eastAsia="Times New Roman"/>
          <w:b/>
          <w:bCs/>
          <w:sz w:val="19"/>
          <w:szCs w:val="19"/>
          <w:rtl/>
        </w:rPr>
        <w:t>אי-ריכוז והנגשה של מידע מהותי</w:t>
      </w:r>
      <w:r w:rsidRPr="008B2582">
        <w:rPr>
          <w:rFonts w:eastAsia="Calibri" w:hint="cs"/>
          <w:sz w:val="19"/>
          <w:szCs w:val="19"/>
          <w:rtl/>
        </w:rPr>
        <w:t xml:space="preserve"> </w:t>
      </w:r>
      <w:r>
        <w:rPr>
          <w:rFonts w:eastAsia="Calibri" w:hint="cs"/>
          <w:sz w:val="19"/>
          <w:szCs w:val="19"/>
          <w:rtl/>
        </w:rPr>
        <w:t xml:space="preserve">- </w:t>
      </w:r>
      <w:r w:rsidRPr="00791BC0">
        <w:rPr>
          <w:rFonts w:eastAsia="Calibri" w:hint="cs"/>
          <w:sz w:val="19"/>
          <w:szCs w:val="19"/>
          <w:rtl/>
        </w:rPr>
        <w:t xml:space="preserve">לפני פרוץ המלחמה, </w:t>
      </w:r>
      <w:r w:rsidRPr="00791BC0">
        <w:rPr>
          <w:rFonts w:eastAsia="Calibri"/>
          <w:sz w:val="19"/>
          <w:szCs w:val="19"/>
          <w:rtl/>
        </w:rPr>
        <w:t>היחידה לשיתופי פעולה רב</w:t>
      </w:r>
      <w:r w:rsidRPr="00791BC0">
        <w:rPr>
          <w:rFonts w:eastAsia="Calibri" w:hint="cs"/>
          <w:sz w:val="19"/>
          <w:szCs w:val="19"/>
          <w:rtl/>
        </w:rPr>
        <w:t>-</w:t>
      </w:r>
      <w:r w:rsidRPr="00791BC0">
        <w:rPr>
          <w:rFonts w:eastAsia="Calibri"/>
          <w:sz w:val="19"/>
          <w:szCs w:val="19"/>
          <w:rtl/>
        </w:rPr>
        <w:t xml:space="preserve">מגזריים לא ביצעה מול משרדי הממשלה מיפוי בסיסי של תחומי פעילותם העיקריים של המשרדים שיש צורך לשלב בהם גופים תורמים והתנדבותיים לשם השלמת פעולות המשרדים בעת חירום ולא </w:t>
      </w:r>
      <w:r w:rsidRPr="00791BC0">
        <w:rPr>
          <w:rFonts w:eastAsia="Calibri"/>
          <w:sz w:val="19"/>
          <w:szCs w:val="19"/>
          <w:rtl/>
        </w:rPr>
        <w:t xml:space="preserve">הנגישה מידע כאמור מבעוד מועד לגופים תורמים והתנדבותיים; </w:t>
      </w:r>
      <w:r w:rsidRPr="00791BC0">
        <w:rPr>
          <w:rFonts w:eastAsia="Calibri" w:hint="cs"/>
          <w:sz w:val="19"/>
          <w:szCs w:val="19"/>
          <w:rtl/>
        </w:rPr>
        <w:t xml:space="preserve">לפני פרוץ המלחמה, </w:t>
      </w:r>
      <w:r w:rsidRPr="00791BC0">
        <w:rPr>
          <w:rFonts w:eastAsia="Calibri"/>
          <w:sz w:val="19"/>
          <w:szCs w:val="19"/>
          <w:rtl/>
        </w:rPr>
        <w:t>היחידה גם לא הנגישה למשרדי הממשלה מידע על מאפייני פעילותם של גופים תורמים והתנדבותיים, על כשירותם המקצועית ועל היכולת והעניין שלהם לסייע כפעילות משלימה לפעילות הממשלתית בעיתות שגרה ו</w:t>
      </w:r>
      <w:r w:rsidRPr="00791BC0">
        <w:rPr>
          <w:rFonts w:eastAsia="Calibri"/>
          <w:sz w:val="19"/>
          <w:szCs w:val="19"/>
          <w:rtl/>
        </w:rPr>
        <w:t xml:space="preserve">חירום. </w:t>
      </w:r>
      <w:bookmarkStart w:id="8" w:name="_Hlk231340247"/>
      <w:r w:rsidRPr="00791BC0">
        <w:rPr>
          <w:rFonts w:eastAsia="Calibri"/>
          <w:sz w:val="19"/>
          <w:szCs w:val="19"/>
          <w:rtl/>
        </w:rPr>
        <w:t>זאת אף שנכון היה ש</w:t>
      </w:r>
      <w:r w:rsidRPr="00791BC0">
        <w:rPr>
          <w:rFonts w:eastAsia="Calibri" w:hint="cs"/>
          <w:sz w:val="19"/>
          <w:szCs w:val="19"/>
          <w:rtl/>
        </w:rPr>
        <w:t xml:space="preserve">היחידה תבצע פעולות אלה </w:t>
      </w:r>
      <w:r w:rsidRPr="00791BC0">
        <w:rPr>
          <w:rFonts w:eastAsia="Calibri"/>
          <w:sz w:val="19"/>
          <w:szCs w:val="19"/>
          <w:rtl/>
        </w:rPr>
        <w:t xml:space="preserve">כחלק מהתפקיד שהטילה </w:t>
      </w:r>
      <w:r w:rsidRPr="00791BC0">
        <w:rPr>
          <w:rFonts w:eastAsia="Calibri" w:hint="cs"/>
          <w:sz w:val="19"/>
          <w:szCs w:val="19"/>
          <w:rtl/>
        </w:rPr>
        <w:t xml:space="preserve">עליה </w:t>
      </w:r>
      <w:r w:rsidRPr="00791BC0">
        <w:rPr>
          <w:rFonts w:eastAsia="Calibri"/>
          <w:sz w:val="19"/>
          <w:szCs w:val="19"/>
          <w:rtl/>
        </w:rPr>
        <w:t>הממשלה לרכז ידע וללוות מקצועית את פעילות משרדי הממשלה בתחום</w:t>
      </w:r>
      <w:r w:rsidRPr="00791BC0">
        <w:rPr>
          <w:rFonts w:eastAsia="Calibri" w:hint="cs"/>
          <w:sz w:val="19"/>
          <w:szCs w:val="19"/>
          <w:rtl/>
        </w:rPr>
        <w:t xml:space="preserve"> עיסוקה</w:t>
      </w:r>
      <w:bookmarkEnd w:id="8"/>
      <w:r w:rsidRPr="00791BC0">
        <w:rPr>
          <w:rFonts w:eastAsia="Calibri" w:hint="cs"/>
          <w:sz w:val="19"/>
          <w:szCs w:val="19"/>
          <w:rtl/>
        </w:rPr>
        <w:t>.</w:t>
      </w:r>
      <w:r w:rsidRPr="00791BC0">
        <w:rPr>
          <w:rFonts w:eastAsia="Calibri"/>
          <w:sz w:val="19"/>
          <w:szCs w:val="19"/>
          <w:rtl/>
        </w:rPr>
        <w:t xml:space="preserve"> גם מרבית משרדי הממשלה (</w:t>
      </w:r>
      <w:r w:rsidRPr="00791BC0">
        <w:rPr>
          <w:rFonts w:eastAsia="Calibri" w:hint="cs"/>
          <w:sz w:val="19"/>
          <w:szCs w:val="19"/>
          <w:rtl/>
        </w:rPr>
        <w:t>כ-67%</w:t>
      </w:r>
      <w:r w:rsidRPr="00791BC0">
        <w:rPr>
          <w:rFonts w:eastAsia="Calibri"/>
          <w:sz w:val="19"/>
          <w:szCs w:val="19"/>
          <w:rtl/>
        </w:rPr>
        <w:t xml:space="preserve">, </w:t>
      </w:r>
      <w:r w:rsidRPr="00791BC0">
        <w:rPr>
          <w:rFonts w:eastAsia="Calibri" w:hint="cs"/>
          <w:sz w:val="19"/>
          <w:szCs w:val="19"/>
          <w:rtl/>
        </w:rPr>
        <w:t>10</w:t>
      </w:r>
      <w:r w:rsidRPr="00791BC0">
        <w:rPr>
          <w:rFonts w:eastAsia="Calibri"/>
          <w:sz w:val="19"/>
          <w:szCs w:val="19"/>
          <w:rtl/>
        </w:rPr>
        <w:t xml:space="preserve"> מתוך 1</w:t>
      </w:r>
      <w:r w:rsidRPr="00791BC0">
        <w:rPr>
          <w:rFonts w:eastAsia="Calibri" w:hint="cs"/>
          <w:sz w:val="19"/>
          <w:szCs w:val="19"/>
          <w:rtl/>
        </w:rPr>
        <w:t>5</w:t>
      </w:r>
      <w:r w:rsidRPr="00791BC0">
        <w:rPr>
          <w:rFonts w:eastAsia="Calibri"/>
          <w:sz w:val="19"/>
          <w:szCs w:val="19"/>
          <w:rtl/>
        </w:rPr>
        <w:t>) שגופים תורמים והתנדבותיים פועלים בתחומי אחריותם</w:t>
      </w:r>
      <w:r w:rsidRPr="00791BC0">
        <w:rPr>
          <w:rFonts w:eastAsia="Calibri" w:hint="cs"/>
          <w:sz w:val="19"/>
          <w:szCs w:val="19"/>
          <w:rtl/>
        </w:rPr>
        <w:t xml:space="preserve"> ושנבדקו בביקורת זו</w:t>
      </w:r>
      <w:r w:rsidRPr="00791BC0">
        <w:rPr>
          <w:rFonts w:eastAsia="Calibri"/>
          <w:sz w:val="19"/>
          <w:szCs w:val="19"/>
          <w:rtl/>
        </w:rPr>
        <w:t>, לא מי</w:t>
      </w:r>
      <w:r w:rsidRPr="00791BC0">
        <w:rPr>
          <w:rFonts w:eastAsia="Calibri"/>
          <w:sz w:val="19"/>
          <w:szCs w:val="19"/>
          <w:rtl/>
        </w:rPr>
        <w:t>פו לפני המלחמה את התחומים העיקריים שמומלץ כי גופים אלה ישתלבו בהם במסגרת הסיוע בעת חירום, ואת הגופים התורמים וההתנדבותיים הרלוונטיים לפעילותם</w:t>
      </w:r>
      <w:r w:rsidRPr="00791BC0">
        <w:rPr>
          <w:rFonts w:eastAsia="Calibri" w:hint="cs"/>
          <w:sz w:val="19"/>
          <w:szCs w:val="19"/>
          <w:rtl/>
        </w:rPr>
        <w:t xml:space="preserve">. </w:t>
      </w:r>
    </w:p>
    <w:p w:rsidR="00791BC0" w:rsidRPr="00791BC0" w:rsidP="00791BC0">
      <w:pPr>
        <w:spacing w:line="288" w:lineRule="auto"/>
        <w:ind w:left="-709" w:right="-567"/>
        <w:rPr>
          <w:rFonts w:ascii="Tahoma" w:eastAsia="Calibri" w:hAnsi="Tahoma" w:cs="Tahoma"/>
          <w:sz w:val="6"/>
          <w:szCs w:val="6"/>
        </w:rPr>
      </w:pPr>
    </w:p>
    <w:p w:rsidR="00791BC0" w:rsidRPr="00791BC0" w:rsidP="00791BC0">
      <w:pPr>
        <w:pStyle w:val="739"/>
        <w:numPr>
          <w:ilvl w:val="0"/>
          <w:numId w:val="30"/>
        </w:numPr>
        <w:spacing w:after="120"/>
        <w:ind w:left="425" w:hanging="426"/>
        <w:rPr>
          <w:rFonts w:eastAsia="Calibri"/>
          <w:sz w:val="19"/>
          <w:szCs w:val="19"/>
        </w:rPr>
      </w:pPr>
      <w:r w:rsidRPr="008B2582">
        <w:rPr>
          <w:rFonts w:eastAsia="Times New Roman"/>
          <w:b/>
          <w:bCs/>
          <w:sz w:val="19"/>
          <w:szCs w:val="19"/>
          <w:rtl/>
        </w:rPr>
        <w:t>חוסר בתשתיות ובכוח אדם</w:t>
      </w:r>
      <w:r>
        <w:rPr>
          <w:rFonts w:eastAsia="Calibri" w:hint="cs"/>
          <w:b/>
          <w:bCs/>
          <w:sz w:val="19"/>
          <w:szCs w:val="19"/>
          <w:rtl/>
        </w:rPr>
        <w:t xml:space="preserve"> </w:t>
      </w:r>
      <w:r>
        <w:rPr>
          <w:rFonts w:eastAsia="Calibri" w:hint="cs"/>
          <w:sz w:val="19"/>
          <w:szCs w:val="19"/>
          <w:rtl/>
        </w:rPr>
        <w:t xml:space="preserve">- </w:t>
      </w:r>
      <w:r w:rsidRPr="00791BC0">
        <w:rPr>
          <w:rFonts w:eastAsia="Calibri" w:hint="cs"/>
          <w:sz w:val="19"/>
          <w:szCs w:val="19"/>
          <w:rtl/>
        </w:rPr>
        <w:t xml:space="preserve">לפני פרוץ המלחמה, </w:t>
      </w:r>
      <w:r w:rsidRPr="00791BC0">
        <w:rPr>
          <w:rFonts w:eastAsia="Calibri"/>
          <w:sz w:val="19"/>
          <w:szCs w:val="19"/>
          <w:rtl/>
        </w:rPr>
        <w:t>היחידה לשיתופי פעולה רב</w:t>
      </w:r>
      <w:r w:rsidRPr="00791BC0">
        <w:rPr>
          <w:rFonts w:eastAsia="Calibri" w:hint="cs"/>
          <w:sz w:val="19"/>
          <w:szCs w:val="19"/>
          <w:rtl/>
        </w:rPr>
        <w:t>-</w:t>
      </w:r>
      <w:r w:rsidRPr="00791BC0">
        <w:rPr>
          <w:rFonts w:eastAsia="Calibri"/>
          <w:sz w:val="19"/>
          <w:szCs w:val="19"/>
          <w:rtl/>
        </w:rPr>
        <w:t>מגזריים לא הקימה ערוצי תקשורת ממשלתיים לתיאו</w:t>
      </w:r>
      <w:r w:rsidRPr="00791BC0">
        <w:rPr>
          <w:rFonts w:eastAsia="Calibri"/>
          <w:sz w:val="19"/>
          <w:szCs w:val="19"/>
          <w:rtl/>
        </w:rPr>
        <w:t xml:space="preserve">ם העבודה עם גופים תורמים והתנדבותיים בעיתות שגרה וחירום; </w:t>
      </w:r>
      <w:r w:rsidRPr="00791BC0">
        <w:rPr>
          <w:rFonts w:eastAsia="Calibri" w:hint="cs"/>
          <w:sz w:val="19"/>
          <w:szCs w:val="19"/>
          <w:rtl/>
        </w:rPr>
        <w:t>כ</w:t>
      </w:r>
      <w:r w:rsidRPr="00791BC0">
        <w:rPr>
          <w:rFonts w:eastAsia="Calibri"/>
          <w:sz w:val="19"/>
          <w:szCs w:val="19"/>
          <w:rtl/>
        </w:rPr>
        <w:t>מחצית (כ-</w:t>
      </w:r>
      <w:r w:rsidRPr="00791BC0">
        <w:rPr>
          <w:rFonts w:eastAsia="Calibri" w:hint="cs"/>
          <w:sz w:val="19"/>
          <w:szCs w:val="19"/>
          <w:rtl/>
        </w:rPr>
        <w:t>47</w:t>
      </w:r>
      <w:r w:rsidRPr="00791BC0">
        <w:rPr>
          <w:rFonts w:eastAsia="Calibri"/>
          <w:sz w:val="19"/>
          <w:szCs w:val="19"/>
          <w:rtl/>
        </w:rPr>
        <w:t>%</w:t>
      </w:r>
      <w:r w:rsidRPr="00791BC0">
        <w:rPr>
          <w:rFonts w:eastAsia="Calibri" w:hint="cs"/>
          <w:sz w:val="19"/>
          <w:szCs w:val="19"/>
          <w:rtl/>
        </w:rPr>
        <w:t>, 7</w:t>
      </w:r>
      <w:r w:rsidRPr="00791BC0">
        <w:rPr>
          <w:rFonts w:eastAsia="Calibri"/>
          <w:sz w:val="19"/>
          <w:szCs w:val="19"/>
          <w:rtl/>
        </w:rPr>
        <w:t xml:space="preserve"> מתוך 1</w:t>
      </w:r>
      <w:r w:rsidRPr="00791BC0">
        <w:rPr>
          <w:rFonts w:eastAsia="Calibri" w:hint="cs"/>
          <w:sz w:val="19"/>
          <w:szCs w:val="19"/>
          <w:rtl/>
        </w:rPr>
        <w:t>5</w:t>
      </w:r>
      <w:r w:rsidRPr="00791BC0">
        <w:rPr>
          <w:rFonts w:eastAsia="Calibri"/>
          <w:sz w:val="19"/>
          <w:szCs w:val="19"/>
          <w:rtl/>
        </w:rPr>
        <w:t>) ממשרדי הממשלה שגופים תורמים והתנדבותיים פועלים בתחומי אחריותם, לא מינו בעל תפקיד ייעודי האחראי על הקשר עם גופים תורמים והתנדבותיים בשגרה ובחירום</w:t>
      </w:r>
      <w:r w:rsidRPr="00791BC0">
        <w:rPr>
          <w:rFonts w:eastAsia="Calibri" w:hint="cs"/>
          <w:sz w:val="19"/>
          <w:szCs w:val="19"/>
          <w:rtl/>
        </w:rPr>
        <w:t xml:space="preserve">, </w:t>
      </w:r>
      <w:r w:rsidRPr="00791BC0">
        <w:rPr>
          <w:rFonts w:eastAsia="Calibri" w:hint="cs"/>
          <w:color w:val="000000"/>
          <w:sz w:val="19"/>
          <w:szCs w:val="19"/>
          <w:rtl/>
        </w:rPr>
        <w:t>ו</w:t>
      </w:r>
      <w:r w:rsidRPr="00791BC0">
        <w:rPr>
          <w:rFonts w:eastAsia="Calibri"/>
          <w:color w:val="000000"/>
          <w:sz w:val="19"/>
          <w:szCs w:val="19"/>
          <w:rtl/>
        </w:rPr>
        <w:t xml:space="preserve">היחידה לא השלימה את </w:t>
      </w:r>
      <w:r w:rsidRPr="00791BC0">
        <w:rPr>
          <w:rFonts w:eastAsia="Calibri"/>
          <w:color w:val="000000"/>
          <w:sz w:val="19"/>
          <w:szCs w:val="19"/>
          <w:rtl/>
        </w:rPr>
        <w:t>הפעולות שנקטה לפני המלחמה לקידום מינוי בעל תפקיד י</w:t>
      </w:r>
      <w:r w:rsidR="000007A0">
        <w:rPr>
          <w:rFonts w:eastAsia="Calibri" w:hint="cs"/>
          <w:color w:val="000000"/>
          <w:sz w:val="19"/>
          <w:szCs w:val="19"/>
          <w:rtl/>
        </w:rPr>
        <w:t>י</w:t>
      </w:r>
      <w:r w:rsidRPr="00791BC0">
        <w:rPr>
          <w:rFonts w:eastAsia="Calibri"/>
          <w:color w:val="000000"/>
          <w:sz w:val="19"/>
          <w:szCs w:val="19"/>
          <w:rtl/>
        </w:rPr>
        <w:t>עודי כזה</w:t>
      </w:r>
      <w:r w:rsidRPr="00791BC0">
        <w:rPr>
          <w:rFonts w:eastAsia="Calibri" w:hint="cs"/>
          <w:color w:val="000000"/>
          <w:sz w:val="19"/>
          <w:szCs w:val="19"/>
          <w:rtl/>
        </w:rPr>
        <w:t>;</w:t>
      </w:r>
      <w:r w:rsidRPr="00791BC0">
        <w:rPr>
          <w:rFonts w:eastAsia="Calibri"/>
          <w:color w:val="000000"/>
          <w:sz w:val="19"/>
          <w:szCs w:val="19"/>
          <w:rtl/>
        </w:rPr>
        <w:t xml:space="preserve"> נמצא פער </w:t>
      </w:r>
      <w:r w:rsidRPr="00791BC0">
        <w:rPr>
          <w:rFonts w:eastAsia="Calibri"/>
          <w:sz w:val="19"/>
          <w:szCs w:val="19"/>
          <w:rtl/>
        </w:rPr>
        <w:t>מהותי</w:t>
      </w:r>
      <w:r w:rsidRPr="00791BC0">
        <w:rPr>
          <w:rFonts w:eastAsia="Calibri" w:hint="cs"/>
          <w:sz w:val="19"/>
          <w:szCs w:val="19"/>
          <w:rtl/>
        </w:rPr>
        <w:t xml:space="preserve"> המחייב בחינה,</w:t>
      </w:r>
      <w:r w:rsidRPr="00791BC0">
        <w:rPr>
          <w:rFonts w:eastAsia="Calibri"/>
          <w:sz w:val="19"/>
          <w:szCs w:val="19"/>
          <w:rtl/>
        </w:rPr>
        <w:t xml:space="preserve"> בין האחריות שהטילה הממשלה על היחידה להיות בסיס מרכזי שיתמוך בקידום עבודה רב-מגזרית מתואמת ברמה הממשלתית בעיתות שגרה וחירום לבין משאבי כוח האדם שהוקצו ליחידה, בייחוד ב</w:t>
      </w:r>
      <w:r w:rsidRPr="00791BC0">
        <w:rPr>
          <w:rFonts w:eastAsia="Calibri"/>
          <w:sz w:val="19"/>
          <w:szCs w:val="19"/>
          <w:rtl/>
        </w:rPr>
        <w:t>התחשב בהיקפים הגדולים של פעילות התרומה וההתנדבות בישראל בשגרה ובחירום: עד תחילת המלחמה ה</w:t>
      </w:r>
      <w:r w:rsidRPr="00791BC0">
        <w:rPr>
          <w:rFonts w:eastAsia="Calibri" w:hint="cs"/>
          <w:sz w:val="19"/>
          <w:szCs w:val="19"/>
          <w:rtl/>
        </w:rPr>
        <w:t xml:space="preserve">יחידה </w:t>
      </w:r>
      <w:r w:rsidRPr="00791BC0">
        <w:rPr>
          <w:rFonts w:eastAsia="Calibri"/>
          <w:sz w:val="19"/>
          <w:szCs w:val="19"/>
          <w:rtl/>
        </w:rPr>
        <w:t>כלל</w:t>
      </w:r>
      <w:r w:rsidRPr="00791BC0">
        <w:rPr>
          <w:rFonts w:eastAsia="Calibri" w:hint="cs"/>
          <w:sz w:val="19"/>
          <w:szCs w:val="19"/>
          <w:rtl/>
        </w:rPr>
        <w:t>ה</w:t>
      </w:r>
      <w:r w:rsidRPr="00791BC0">
        <w:rPr>
          <w:rFonts w:eastAsia="Calibri"/>
          <w:sz w:val="19"/>
          <w:szCs w:val="19"/>
          <w:rtl/>
        </w:rPr>
        <w:t xml:space="preserve"> מנהלת ועובדת, ובחודשים הראשונים של המלחמה - מנהלת אחת בלבד</w:t>
      </w:r>
      <w:r w:rsidRPr="00791BC0">
        <w:rPr>
          <w:rFonts w:eastAsia="Calibri" w:hint="cs"/>
          <w:sz w:val="19"/>
          <w:szCs w:val="19"/>
          <w:rtl/>
        </w:rPr>
        <w:t>.</w:t>
      </w:r>
    </w:p>
    <w:p w:rsidR="00791BC0" w:rsidRPr="00791BC0" w:rsidP="00791BC0">
      <w:pPr>
        <w:pStyle w:val="739"/>
        <w:spacing w:after="120"/>
        <w:rPr>
          <w:rFonts w:eastAsia="Calibri"/>
          <w:sz w:val="19"/>
          <w:szCs w:val="19"/>
          <w:rtl/>
        </w:rPr>
      </w:pPr>
      <w:r w:rsidRPr="00791BC0">
        <w:rPr>
          <w:rFonts w:eastAsia="Calibri" w:hint="cs"/>
          <w:sz w:val="19"/>
          <w:szCs w:val="19"/>
          <w:rtl/>
        </w:rPr>
        <w:t xml:space="preserve">במצב דברים זה, על אף ההירתמות העצומה של גופים תורמים והתנדבותיים לסיוע במלחמה, פעלו רבים מהם ללא </w:t>
      </w:r>
      <w:r w:rsidRPr="00791BC0">
        <w:rPr>
          <w:rFonts w:eastAsia="Calibri" w:hint="cs"/>
          <w:sz w:val="19"/>
          <w:szCs w:val="19"/>
          <w:rtl/>
        </w:rPr>
        <w:t xml:space="preserve">שיתוף פעולה עם משרדי הממשלה או קיימו עימם שיתוף פעולה מועט עד בינוני בלבד. </w:t>
      </w:r>
    </w:p>
    <w:p w:rsidR="00791BC0" w:rsidRPr="00791BC0" w:rsidP="00791BC0">
      <w:pPr>
        <w:pStyle w:val="739"/>
        <w:spacing w:after="120"/>
        <w:rPr>
          <w:rFonts w:eastAsia="Calibri"/>
          <w:sz w:val="19"/>
          <w:szCs w:val="19"/>
          <w:rtl/>
        </w:rPr>
      </w:pPr>
      <w:r w:rsidRPr="00791BC0">
        <w:rPr>
          <w:rFonts w:eastAsia="Calibri"/>
          <w:sz w:val="19"/>
          <w:szCs w:val="19"/>
          <w:rtl/>
        </w:rPr>
        <w:t>הובלת מענה רב-מגזרי מתואם על ידי המערכת הממשלתית במצבי חירום הכרחית להבטחת מענה מיטבי, יעיל ומהיר לצרכי האוכלוסייה במצבים אלה. ליקויים בהובלה זו וב</w:t>
      </w:r>
      <w:r w:rsidRPr="00791BC0">
        <w:rPr>
          <w:rFonts w:eastAsia="Calibri" w:hint="cs"/>
          <w:sz w:val="19"/>
          <w:szCs w:val="19"/>
          <w:rtl/>
        </w:rPr>
        <w:t>תיאום</w:t>
      </w:r>
      <w:r w:rsidRPr="00791BC0">
        <w:rPr>
          <w:rFonts w:eastAsia="Calibri"/>
          <w:sz w:val="19"/>
          <w:szCs w:val="19"/>
          <w:rtl/>
        </w:rPr>
        <w:t xml:space="preserve"> ה</w:t>
      </w:r>
      <w:r w:rsidRPr="00791BC0">
        <w:rPr>
          <w:rFonts w:eastAsia="Calibri" w:hint="cs"/>
          <w:sz w:val="19"/>
          <w:szCs w:val="19"/>
          <w:rtl/>
        </w:rPr>
        <w:t>רב</w:t>
      </w:r>
      <w:r w:rsidRPr="00791BC0">
        <w:rPr>
          <w:rFonts w:eastAsia="Calibri"/>
          <w:sz w:val="19"/>
          <w:szCs w:val="19"/>
          <w:rtl/>
        </w:rPr>
        <w:t>-מגזרי עלולים לגרום לכפי</w:t>
      </w:r>
      <w:r w:rsidRPr="00791BC0">
        <w:rPr>
          <w:rFonts w:eastAsia="Calibri"/>
          <w:sz w:val="19"/>
          <w:szCs w:val="19"/>
          <w:rtl/>
        </w:rPr>
        <w:t>לויות במענה, לפעולות סותרות, לבזבוז משאבים, ולהשארת חלק מהצרכים ללא מענה - בעוד שבמקומות אחרים יושקעו משאבים רבים מדי. על משרד רה"ם, האחראי לפי החלטת הממשלה משנת 2008 לחיזוק ולביסוס של שיתופי פעולה רב-מגזריים, ועל רח"ל, האחראית להיערכות הממשלתית לשעת חירום</w:t>
      </w:r>
      <w:r w:rsidRPr="00791BC0">
        <w:rPr>
          <w:rFonts w:eastAsia="Calibri"/>
          <w:sz w:val="19"/>
          <w:szCs w:val="19"/>
          <w:rtl/>
        </w:rPr>
        <w:t>, לטפל בשיטתיות בפערים שעלו בדוח זה כבר בעת הזאת, ולהתמקד בשלושה תחומים עיקריים: (א) הקמת גוף מתכלל לעבודה רב-מגזרית ברמה הממשלתית; (ב) שיפור התיאום והסנכרון בין הגופים הממשלתיים לגופים תורמים והתנדבותיים בעיתות שגרה במסגרת ההיערכות לעת חירום בכל הנוגע לרי</w:t>
      </w:r>
      <w:r w:rsidRPr="00791BC0">
        <w:rPr>
          <w:rFonts w:eastAsia="Calibri"/>
          <w:sz w:val="19"/>
          <w:szCs w:val="19"/>
          <w:rtl/>
        </w:rPr>
        <w:t>כוז ולהנגשה של מידע רלוונטי ולפיתוח תשתיות לתיאום בין הממשלה לגופים תורמים והתנדבותיים; (ג) הפקת לקחים מפעילותם של גופים תורמים והתנדבותיים בעת מלחמת חרבות ברזל וחסמים שחוו גופים אלה במלחמה לשם טיוב פעילות מתואמת עימם במצבי חירום. מוצע כי הפקת הלקחים וגיבו</w:t>
      </w:r>
      <w:r w:rsidRPr="00791BC0">
        <w:rPr>
          <w:rFonts w:eastAsia="Calibri"/>
          <w:sz w:val="19"/>
          <w:szCs w:val="19"/>
          <w:rtl/>
        </w:rPr>
        <w:t>ש המענה המדינתי בנושא יתואמו גם עם משרדי הפנים, הביטחון והאוצר ועם מרכזי השלטון המקומי והאז</w:t>
      </w:r>
      <w:r w:rsidRPr="00791BC0">
        <w:rPr>
          <w:rFonts w:eastAsia="Calibri" w:hint="cs"/>
          <w:sz w:val="19"/>
          <w:szCs w:val="19"/>
          <w:rtl/>
        </w:rPr>
        <w:t>ו</w:t>
      </w:r>
      <w:r w:rsidRPr="00791BC0">
        <w:rPr>
          <w:rFonts w:eastAsia="Calibri"/>
          <w:sz w:val="19"/>
          <w:szCs w:val="19"/>
          <w:rtl/>
        </w:rPr>
        <w:t>רי.</w:t>
      </w:r>
    </w:p>
    <w:p w:rsidR="00791BC0" w:rsidRPr="00791BC0" w:rsidP="00791BC0">
      <w:pPr>
        <w:pStyle w:val="739"/>
        <w:spacing w:after="120"/>
        <w:rPr>
          <w:rFonts w:eastAsia="Calibri"/>
          <w:sz w:val="19"/>
          <w:szCs w:val="19"/>
          <w:rtl/>
        </w:rPr>
      </w:pPr>
      <w:r w:rsidRPr="00791BC0">
        <w:rPr>
          <w:rFonts w:eastAsia="Calibri"/>
          <w:sz w:val="19"/>
          <w:szCs w:val="19"/>
          <w:rtl/>
        </w:rPr>
        <w:t>לצד האמור, על כל משרד ממשלתי שבתחומי אחריותו פועלים גופים תורמים והתנדבותיים, לפעול באופן יזום במסגרת היערכותו לחירום - ליצירת שיתופי פעולה עם גופים תורמים והתנ</w:t>
      </w:r>
      <w:r w:rsidRPr="00791BC0">
        <w:rPr>
          <w:rFonts w:eastAsia="Calibri"/>
          <w:sz w:val="19"/>
          <w:szCs w:val="19"/>
          <w:rtl/>
        </w:rPr>
        <w:t>דבותיים בעיתות שגרה, וכן על כל משרד ממשלתי כאמור לפנות ביוזמתו ליחידה לשיתופי פעולה רב</w:t>
      </w:r>
      <w:r w:rsidRPr="00791BC0">
        <w:rPr>
          <w:rFonts w:eastAsia="Calibri" w:hint="cs"/>
          <w:sz w:val="19"/>
          <w:szCs w:val="19"/>
          <w:rtl/>
        </w:rPr>
        <w:t>-</w:t>
      </w:r>
      <w:r w:rsidRPr="00791BC0">
        <w:rPr>
          <w:rFonts w:eastAsia="Calibri"/>
          <w:sz w:val="19"/>
          <w:szCs w:val="19"/>
          <w:rtl/>
        </w:rPr>
        <w:t>מגזריים במשרד רה"ם לצורך סיוע וייעוץ כאשר מתעוררים פערים, חסמים או אתגרים בתחום זה. זאת, לשם מימוש המדיניות הממשלתית לחזק ולבסס את היחסים בין רשויות השלטון לבין גופים אל</w:t>
      </w:r>
      <w:r w:rsidRPr="00791BC0">
        <w:rPr>
          <w:rFonts w:eastAsia="Calibri"/>
          <w:sz w:val="19"/>
          <w:szCs w:val="19"/>
          <w:rtl/>
        </w:rPr>
        <w:t>ה בעיתות שגרה וחירום, תוך שמירה על עצמאותם של הגופים ו</w:t>
      </w:r>
      <w:r w:rsidRPr="00791BC0">
        <w:rPr>
          <w:rFonts w:eastAsia="Calibri" w:hint="cs"/>
          <w:sz w:val="19"/>
          <w:szCs w:val="19"/>
          <w:rtl/>
        </w:rPr>
        <w:t>מ</w:t>
      </w:r>
      <w:r w:rsidRPr="00791BC0">
        <w:rPr>
          <w:rFonts w:eastAsia="Calibri"/>
          <w:sz w:val="19"/>
          <w:szCs w:val="19"/>
          <w:rtl/>
        </w:rPr>
        <w:t>בל</w:t>
      </w:r>
      <w:r w:rsidRPr="00791BC0">
        <w:rPr>
          <w:rFonts w:eastAsia="Calibri" w:hint="cs"/>
          <w:sz w:val="19"/>
          <w:szCs w:val="19"/>
          <w:rtl/>
        </w:rPr>
        <w:t>י</w:t>
      </w:r>
      <w:r w:rsidRPr="00791BC0">
        <w:rPr>
          <w:rFonts w:eastAsia="Calibri"/>
          <w:sz w:val="19"/>
          <w:szCs w:val="19"/>
          <w:rtl/>
        </w:rPr>
        <w:t xml:space="preserve"> לגרוע מאחריותה הכוללת של הממשלה לאספקת שירותי ליבה לציבור.</w:t>
      </w:r>
    </w:p>
    <w:p w:rsidR="00791BC0" w:rsidRPr="00791BC0" w:rsidP="00791BC0">
      <w:pPr>
        <w:pStyle w:val="739"/>
        <w:spacing w:after="120"/>
        <w:rPr>
          <w:rFonts w:eastAsia="Calibri"/>
          <w:sz w:val="19"/>
          <w:szCs w:val="19"/>
          <w:rtl/>
        </w:rPr>
      </w:pPr>
      <w:r w:rsidRPr="00791BC0">
        <w:rPr>
          <w:rFonts w:eastAsia="Calibri"/>
          <w:sz w:val="19"/>
          <w:szCs w:val="19"/>
          <w:rtl/>
        </w:rPr>
        <w:t>משרד מבקר המדינה מבקש לציין את פעילותם המבורכת של הגופים התורמים וההתנדבותיים בעת מלחמת חרבות ברזל, אשר סייעו לכוחות הביטחון ולאזרחים. המע</w:t>
      </w:r>
      <w:r w:rsidRPr="00791BC0">
        <w:rPr>
          <w:rFonts w:eastAsia="Calibri"/>
          <w:sz w:val="19"/>
          <w:szCs w:val="19"/>
          <w:rtl/>
        </w:rPr>
        <w:t>נה הנרחב והקריטי שנתנו הגופים מדגיש את הסולידריות הישראלית הייחודית ואת תפקידם החיוני במערך הסיוע ובחיזוק החוסן הלאומי.</w:t>
      </w:r>
    </w:p>
    <w:p w:rsidR="00791BC0" w:rsidRPr="00791BC0" w:rsidP="00791BC0">
      <w:pPr>
        <w:pStyle w:val="739"/>
        <w:spacing w:after="120"/>
        <w:rPr>
          <w:rFonts w:eastAsia="Calibri"/>
          <w:sz w:val="19"/>
          <w:szCs w:val="19"/>
          <w:rtl/>
        </w:rPr>
      </w:pPr>
      <w:r w:rsidRPr="00791BC0">
        <w:rPr>
          <w:rFonts w:eastAsia="Calibri"/>
          <w:sz w:val="19"/>
          <w:szCs w:val="19"/>
          <w:rtl/>
        </w:rPr>
        <w:t>יישום כלל ההמלצות בדוח זה יאפשר למערכת הממשלתית לשפר את יכולותיה למיצוי שיתוף הפעולה עם גופים תורמים והתנדבותיים בעת חירום בהתאם למדיניו</w:t>
      </w:r>
      <w:r w:rsidRPr="00791BC0">
        <w:rPr>
          <w:rFonts w:eastAsia="Calibri"/>
          <w:sz w:val="19"/>
          <w:szCs w:val="19"/>
          <w:rtl/>
        </w:rPr>
        <w:t xml:space="preserve">ת שקבעה הממשלה בנושא, וכן יאפשר לגופים אלה להשתלב במאמצי הסיוע הלאומיים בצורה מועילה בעת חירום אם ירצו בכך. </w:t>
      </w:r>
    </w:p>
    <w:p w:rsidR="001D3DA9" w:rsidP="001D3DA9">
      <w:pPr>
        <w:pStyle w:val="739"/>
        <w:rPr>
          <w:rtl/>
        </w:rPr>
      </w:pPr>
    </w:p>
    <w:p w:rsidR="009A6817" w:rsidRPr="004E2733" w:rsidP="001D3DA9">
      <w:pPr>
        <w:spacing w:after="160" w:line="259" w:lineRule="auto"/>
        <w:jc w:val="left"/>
        <w:rPr>
          <w:rFonts w:ascii="Tahoma" w:hAnsi="Tahoma" w:cs="Tahoma"/>
          <w:noProof/>
          <w:rtl/>
        </w:rPr>
      </w:pPr>
    </w:p>
    <w:sectPr w:rsidSect="007E7FDD">
      <w:headerReference w:type="default" r:id="rId29"/>
      <w:pgSz w:w="11340" w:h="14175" w:code="9"/>
      <w:pgMar w:top="2268" w:right="1276" w:bottom="1588"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E24">
    <w:pPr>
      <w:pStyle w:val="Footer"/>
      <w:rPr>
        <w:rtl/>
      </w:rPr>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-392430</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42036" y="0"/>
                        <a:chExt cx="2512060" cy="2365375"/>
                      </a:xfrm>
                    </wpg:grpSpPr>
                    <wps:wsp xmlns:wps="http://schemas.microsoft.com/office/word/2010/wordprocessingShape">
                      <wps:cNvPr id="59" name="tbMMHF"/>
                      <wps:cNvSpPr txBox="1"/>
                      <wps:spPr>
                        <a:xfrm>
                          <a:off x="42036" y="180975"/>
                          <a:ext cx="2512060" cy="304800"/>
                        </a:xfrm>
                        <a:prstGeom prst="rect">
                          <a:avLst/>
                        </a:prstGeom>
                        <a:solidFill>
                          <a:schemeClr val="bg1"/>
                        </a:solidFill>
                        <a:ln w="6350">
                          <a:noFill/>
                        </a:ln>
                      </wps:spPr>
                      <wps:txbx>
                        <w:txbxContent>
                          <w:p w:rsidR="00EF2E24"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52107"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2058" style="width:197.8pt;height:186.25pt;margin-top:-30.9pt;margin-left:0;mso-position-horizontal:center;mso-position-horizontal-relative:margin;position:absolute;z-index:251660288" coordorigin="420,0" coordsize="25120,23653">
              <v:shapetype id="_x0000_t202" coordsize="21600,21600" o:spt="202" path="m,l,21600r21600,l21600,xe">
                <v:stroke joinstyle="miter"/>
                <v:path gradientshapeok="t" o:connecttype="rect"/>
              </v:shapetype>
              <v:shape id="tbMMHF" o:spid="_x0000_s2059" type="#_x0000_t202" style="width:25120;height:3048;left:420;mso-wrap-style:square;position:absolute;top:1809;visibility:visible;v-text-anchor:top" fillcolor="white" stroked="f" strokeweight="0.5pt">
                <v:textbox>
                  <w:txbxContent>
                    <w:p w:rsidR="00EF2E24"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521,0" to="21285,0" o:connectortype="straight" strokecolor="#002060" strokeweight="1.25pt"/>
              <v:rect id="מלבן 61" o:spid="_x0000_s2061" style="width:16910;height:17843;left:4521;mso-wrap-style:square;position:absolute;top:5810;visibility:visible;v-text-anchor:middle" fillcolor="#002060" stroked="f" strokeweight="2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2"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C4056">
      <w:pPr>
        <w:spacing w:line="240" w:lineRule="auto"/>
      </w:pPr>
      <w:r>
        <w:separator/>
      </w:r>
    </w:p>
  </w:footnote>
  <w:footnote w:type="continuationSeparator" w:id="1">
    <w:p w:rsidR="00BC4056">
      <w:pPr>
        <w:spacing w:line="240" w:lineRule="auto"/>
      </w:pPr>
      <w:r>
        <w:continuationSeparator/>
      </w:r>
    </w:p>
  </w:footnote>
  <w:footnote w:id="2">
    <w:p w:rsidR="00E07FE3" w:rsidRPr="00992D38" w:rsidP="00BF5917">
      <w:pPr>
        <w:pStyle w:val="FootnoteText"/>
        <w:ind w:left="708" w:hanging="709"/>
        <w:rPr>
          <w:rFonts w:ascii="Tahoma" w:hAnsi="Tahoma" w:cs="Tahoma"/>
          <w:sz w:val="16"/>
          <w:szCs w:val="16"/>
          <w:rtl/>
        </w:rPr>
      </w:pPr>
      <w:r w:rsidRPr="00992D38">
        <w:rPr>
          <w:rStyle w:val="FootnoteReference1"/>
          <w:rFonts w:ascii="Tahoma" w:hAnsi="Tahoma" w:cs="Tahoma"/>
          <w:sz w:val="16"/>
          <w:szCs w:val="16"/>
        </w:rPr>
        <w:footnoteRef/>
      </w:r>
      <w:r w:rsidRPr="00992D38">
        <w:rPr>
          <w:rFonts w:ascii="Tahoma" w:hAnsi="Tahoma" w:cs="Tahoma"/>
          <w:rtl/>
        </w:rPr>
        <w:t xml:space="preserve"> </w:t>
      </w:r>
      <w:r w:rsidRPr="00992D38">
        <w:rPr>
          <w:rFonts w:ascii="Tahoma" w:hAnsi="Tahoma" w:cs="Tahoma"/>
          <w:rtl/>
        </w:rPr>
        <w:tab/>
      </w:r>
      <w:r w:rsidRPr="00992D38">
        <w:rPr>
          <w:rFonts w:ascii="Tahoma" w:hAnsi="Tahoma" w:cs="Tahoma"/>
          <w:sz w:val="16"/>
          <w:szCs w:val="16"/>
          <w:rtl/>
        </w:rPr>
        <w:t xml:space="preserve">הקרויה גם בשם "מלחמת התקומה" בהתאם </w:t>
      </w:r>
      <w:r w:rsidRPr="00992D38">
        <w:rPr>
          <w:rFonts w:ascii="Tahoma" w:hAnsi="Tahoma" w:cs="Tahoma" w:hint="cs"/>
          <w:sz w:val="16"/>
          <w:szCs w:val="16"/>
          <w:rtl/>
        </w:rPr>
        <w:t>ל</w:t>
      </w:r>
      <w:r w:rsidRPr="00992D38">
        <w:rPr>
          <w:rFonts w:ascii="Tahoma" w:hAnsi="Tahoma" w:cs="Tahoma"/>
          <w:sz w:val="16"/>
          <w:szCs w:val="16"/>
          <w:rtl/>
        </w:rPr>
        <w:t xml:space="preserve">החלטת הממשלה 3405, </w:t>
      </w:r>
      <w:hyperlink r:id="rId1" w:history="1">
        <w:r w:rsidRPr="00992D38">
          <w:rPr>
            <w:rStyle w:val="Hyperlink"/>
            <w:rFonts w:ascii="Tahoma" w:hAnsi="Tahoma" w:cs="Tahoma"/>
            <w:color w:val="auto"/>
            <w:sz w:val="16"/>
            <w:szCs w:val="16"/>
            <w:u w:val="none"/>
            <w:rtl/>
          </w:rPr>
          <w:t>קריאת שם רשמי למלחמת חרבות ברזל</w:t>
        </w:r>
      </w:hyperlink>
      <w:r w:rsidRPr="00992D38">
        <w:rPr>
          <w:rFonts w:ascii="Tahoma" w:hAnsi="Tahoma" w:cs="Tahoma"/>
          <w:sz w:val="16"/>
          <w:szCs w:val="16"/>
          <w:rtl/>
        </w:rPr>
        <w:t xml:space="preserve">, (19.10.25). </w:t>
      </w:r>
    </w:p>
  </w:footnote>
  <w:footnote w:id="3">
    <w:p w:rsidR="00E07FE3" w:rsidRPr="00992D38" w:rsidP="00BF5917">
      <w:pPr>
        <w:pStyle w:val="FootnoteText"/>
        <w:ind w:left="708" w:hanging="709"/>
        <w:rPr>
          <w:rFonts w:ascii="Tahoma" w:hAnsi="Tahoma" w:cs="Tahoma"/>
          <w:sz w:val="16"/>
          <w:szCs w:val="16"/>
        </w:rPr>
      </w:pPr>
      <w:r w:rsidRPr="00992D38">
        <w:rPr>
          <w:rStyle w:val="FootnoteReference1"/>
          <w:rFonts w:ascii="Tahoma" w:hAnsi="Tahoma" w:cs="Tahoma"/>
          <w:sz w:val="16"/>
          <w:szCs w:val="16"/>
        </w:rPr>
        <w:footnoteRef/>
      </w:r>
      <w:r w:rsidRPr="00992D38">
        <w:rPr>
          <w:rFonts w:ascii="Tahoma" w:hAnsi="Tahoma" w:cs="Tahoma"/>
          <w:rtl/>
        </w:rPr>
        <w:t xml:space="preserve"> </w:t>
      </w:r>
      <w:r w:rsidRPr="00992D38">
        <w:rPr>
          <w:rFonts w:ascii="Tahoma" w:hAnsi="Tahoma" w:cs="Tahoma"/>
          <w:rtl/>
        </w:rPr>
        <w:tab/>
      </w:r>
      <w:r w:rsidRPr="00992D38">
        <w:rPr>
          <w:rFonts w:ascii="Tahoma" w:hAnsi="Tahoma" w:cs="Tahoma"/>
          <w:sz w:val="16"/>
          <w:szCs w:val="16"/>
          <w:rtl/>
        </w:rPr>
        <w:t xml:space="preserve">מבקר המדינה, </w:t>
      </w:r>
      <w:r w:rsidRPr="00992D38">
        <w:rPr>
          <w:rFonts w:ascii="Tahoma" w:hAnsi="Tahoma" w:cs="Tahoma"/>
          <w:b/>
          <w:bCs/>
          <w:sz w:val="16"/>
          <w:szCs w:val="16"/>
          <w:rtl/>
        </w:rPr>
        <w:t>היערכות העורף ותפקודו במלחמת לבנון השנייה</w:t>
      </w:r>
      <w:r w:rsidRPr="00992D38">
        <w:rPr>
          <w:rFonts w:ascii="Tahoma" w:hAnsi="Tahoma" w:cs="Tahoma"/>
          <w:sz w:val="16"/>
          <w:szCs w:val="16"/>
          <w:rtl/>
        </w:rPr>
        <w:t xml:space="preserve"> (יולי 2007), ״</w:t>
      </w:r>
      <w:hyperlink r:id="rId2" w:history="1">
        <w:r w:rsidRPr="00992D38">
          <w:rPr>
            <w:rStyle w:val="Hyperlink"/>
            <w:rFonts w:ascii="Tahoma" w:hAnsi="Tahoma" w:cs="Tahoma"/>
            <w:color w:val="auto"/>
            <w:sz w:val="16"/>
            <w:szCs w:val="16"/>
            <w:u w:val="none"/>
            <w:rtl/>
          </w:rPr>
          <w:t>פעילות הגופים התורמים וההתנדבותיים והתיאום בינם ובין רשויות השלטון בעת המלחמה</w:t>
        </w:r>
      </w:hyperlink>
      <w:r w:rsidRPr="00992D38">
        <w:rPr>
          <w:rFonts w:ascii="Tahoma" w:hAnsi="Tahoma" w:cs="Tahoma"/>
          <w:sz w:val="16"/>
          <w:szCs w:val="16"/>
          <w:rtl/>
        </w:rPr>
        <w:t>״, עמ׳ 555 - 582.</w:t>
      </w:r>
    </w:p>
  </w:footnote>
  <w:footnote w:id="4">
    <w:p w:rsidR="00E07FE3" w:rsidRPr="00992D38" w:rsidP="00BF5917">
      <w:pPr>
        <w:pStyle w:val="FootnoteText"/>
        <w:ind w:left="708" w:hanging="709"/>
        <w:rPr>
          <w:rFonts w:ascii="Tahoma" w:hAnsi="Tahoma" w:cs="Tahoma"/>
          <w:sz w:val="16"/>
          <w:szCs w:val="16"/>
        </w:rPr>
      </w:pPr>
      <w:r w:rsidRPr="00992D38">
        <w:rPr>
          <w:rStyle w:val="FootnoteReference1"/>
        </w:rPr>
        <w:footnoteRef/>
      </w:r>
      <w:r w:rsidRPr="00992D38">
        <w:rPr>
          <w:rtl/>
        </w:rPr>
        <w:t xml:space="preserve"> </w:t>
      </w:r>
      <w:r w:rsidRPr="00992D38">
        <w:rPr>
          <w:rtl/>
        </w:rPr>
        <w:tab/>
      </w:r>
      <w:r w:rsidRPr="00992D38">
        <w:rPr>
          <w:rFonts w:ascii="Tahoma" w:hAnsi="Tahoma" w:cs="Tahoma"/>
          <w:sz w:val="16"/>
          <w:szCs w:val="16"/>
          <w:rtl/>
        </w:rPr>
        <w:t xml:space="preserve">החלטת </w:t>
      </w:r>
      <w:r w:rsidRPr="00992D38">
        <w:rPr>
          <w:rFonts w:ascii="Tahoma" w:hAnsi="Tahoma" w:cs="Tahoma"/>
          <w:sz w:val="16"/>
          <w:szCs w:val="16"/>
          <w:rtl/>
        </w:rPr>
        <w:t>הממשלה 3190, ״</w:t>
      </w:r>
      <w:hyperlink r:id="rId3" w:history="1">
        <w:r w:rsidRPr="00992D38">
          <w:rPr>
            <w:rStyle w:val="Hyperlink"/>
            <w:rFonts w:ascii="Tahoma" w:hAnsi="Tahoma" w:cs="Tahoma"/>
            <w:color w:val="auto"/>
            <w:sz w:val="16"/>
            <w:szCs w:val="16"/>
            <w:u w:val="none"/>
            <w:rtl/>
          </w:rPr>
          <w:t>יחסי החברה האזרחית והמגזר העסקי התורם להשגת מטרות ציבוריות</w:t>
        </w:r>
      </w:hyperlink>
      <w:r w:rsidRPr="00992D38">
        <w:rPr>
          <w:rFonts w:ascii="Tahoma" w:hAnsi="Tahoma" w:cs="Tahoma"/>
          <w:sz w:val="16"/>
          <w:szCs w:val="16"/>
          <w:rtl/>
        </w:rPr>
        <w:t>״ (24.2.08); משרד ראש הממשלה, האגף לתכנון מדיניות, "</w:t>
      </w:r>
      <w:hyperlink r:id="rId4" w:history="1">
        <w:r w:rsidRPr="00992D38">
          <w:rPr>
            <w:rStyle w:val="Hyperlink"/>
            <w:rFonts w:ascii="Tahoma" w:hAnsi="Tahoma" w:cs="Tahoma"/>
            <w:color w:val="auto"/>
            <w:sz w:val="16"/>
            <w:szCs w:val="16"/>
            <w:u w:val="none"/>
            <w:rtl/>
          </w:rPr>
          <w:t>ממשלת ישראל, החברה האזרחית והקהילה העסקית: שותפות, העצמה ושקיפות</w:t>
        </w:r>
      </w:hyperlink>
      <w:r w:rsidRPr="00992D38">
        <w:rPr>
          <w:rFonts w:ascii="Tahoma" w:hAnsi="Tahoma" w:cs="Tahoma"/>
          <w:sz w:val="16"/>
          <w:szCs w:val="16"/>
          <w:rtl/>
        </w:rPr>
        <w:t>", מסמך מדיניות (פברואר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E24"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643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F2E24"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F2E24"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F2E24"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7456"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51" type="#_x0000_t202" style="width:31642;height:2857;flip:x;left:30178;mso-wrap-style:square;position:absolute;visibility:visible;v-text-anchor:top" filled="f" stroked="f">
                <v:textbox>
                  <w:txbxContent>
                    <w:p w:rsidR="00EF2E24"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52" type="#_x0000_t202" style="width:31642;height:2857;flip:x;left:317;mso-wrap-style:square;position:absolute;top:3188;visibility:visible;v-text-anchor:top" filled="f" stroked="f">
                <v:textbox>
                  <w:txbxContent>
                    <w:p w:rsidR="00EF2E24"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53" type="#_x0000_t202" style="width:35452;height:2858;flip:x;left:26326;mso-wrap-style:square;position:absolute;top:3181;visibility:visible;v-text-anchor:top" filled="f" stroked="f">
                <v:textbox>
                  <w:txbxContent>
                    <w:p w:rsidR="00EF2E24"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E24" w:rsidP="005E62A6">
    <w:pPr>
      <w:pStyle w:val="Header"/>
      <w:tabs>
        <w:tab w:val="clear" w:pos="8306"/>
      </w:tabs>
    </w:pPr>
    <w:r>
      <w:rPr>
        <w:noProof/>
      </w:rPr>
      <w:drawing>
        <wp:anchor distT="0" distB="0" distL="114300" distR="114300" simplePos="0" relativeHeight="251672576" behindDoc="0" locked="0" layoutInCell="1" allowOverlap="1">
          <wp:simplePos x="0" y="0"/>
          <wp:positionH relativeFrom="margin">
            <wp:align>center</wp:align>
          </wp:positionH>
          <wp:positionV relativeFrom="paragraph">
            <wp:posOffset>989965</wp:posOffset>
          </wp:positionV>
          <wp:extent cx="871200" cy="542618"/>
          <wp:effectExtent l="0" t="0" r="5715" b="0"/>
          <wp:wrapNone/>
          <wp:docPr id="34" name="גרפיק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גרפיקה 55"/>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1200" cy="5426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2091690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EF2E24"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4" type="#_x0000_t202" style="width:233pt;height:35.9pt;margin-top:164.7pt;margin-left:0;mso-position-horizontal:center;mso-position-horizontal-relative:margin;mso-wrap-distance-bottom:0;mso-wrap-distance-left:9pt;mso-wrap-distance-right:9pt;mso-wrap-distance-top:0;mso-wrap-style:square;position:absolute;visibility:visible;v-text-anchor:top;z-index:251670528" filled="f" stroked="f" strokeweight="0.5pt">
              <v:textbox>
                <w:txbxContent>
                  <w:p w:rsidR="00EF2E24"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w10:wrap anchorx="margin"/>
            </v:shape>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5" style="width:133.5pt;height:237pt;margin-top:-36.45pt;margin-left:0;mso-position-horizontal:center;mso-position-horizontal-relative:margin;position:absolute;z-index:251665408" coordorigin="6286,0" coordsize="16954,30099">
              <v:rect id="מלבן 54" o:spid="_x0000_s2056" style="width:16910;height:24638;left:6286;mso-wrap-style:square;position:absolute;visibility:visible;v-text-anchor:middle" fillcolor="#002060" stroked="f" strokeweight="2pt"/>
              <v:line id="מחבר ישר 56" o:spid="_x0000_s2057" style="mso-wrap-style:square;position:absolute;visibility:visible" from="6477,30099" to="23241,30099" o:connectortype="straight" strokecolor="#002060" strokeweight="2p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049" w:rsidRPr="005C3049" w:rsidP="005C3049">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68480"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4" type="#_x0000_t202" style="width:31642;height:2857;flip:x;left:30178;mso-wrap-style:square;position:absolute;visibility:visible;v-text-anchor:top" filled="f" stroked="f">
                <v:textbo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65" type="#_x0000_t202" style="width:31642;height:2857;flip:x;left:317;mso-wrap-style:square;position:absolute;top:3188;visibility:visible;v-text-anchor:top" filled="f" stroked="f">
                <v:textbo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66" type="#_x0000_t202" style="width:35452;height:2858;flip:x;left:26326;mso-wrap-style:square;position:absolute;top:3181;visibility:visible;v-text-anchor:top" filled="f" stroked="f">
                <v:textbox>
                  <w:txbxContent>
                    <w:p w:rsidR="005C3049"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8C7"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58240"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678C7" w:rsidRPr="001E204F" w:rsidP="00B4321D">
                            <w:pPr>
                              <w:rPr>
                                <w:rFonts w:ascii="Calibri" w:hAnsi="Calibri" w:cs="Calibri"/>
                                <w:color w:val="002060"/>
                                <w:szCs w:val="20"/>
                                <w:rtl/>
                              </w:rPr>
                            </w:pPr>
                            <w:r>
                              <w:rPr>
                                <w:rFonts w:ascii="Calibri" w:hAnsi="Calibri" w:cs="Calibri" w:hint="cs"/>
                                <w:color w:val="002060"/>
                                <w:szCs w:val="20"/>
                                <w:rtl/>
                              </w:rPr>
                              <w:t>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84.25pt;height:47.6pt;margin-top:-7.45pt;margin-left:-15.2pt;mso-height-relative:margin;mso-width-relative:margin;position:absolute;z-index:251663360" coordorigin="317,0" coordsize="61499,6045">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9" type="#_x0000_t202" style="width:38069;height:2857;flip:x;left:23748;mso-wrap-style:square;position:absolute;visibility:visible;v-text-anchor:top" filled="f" stroked="f">
                <v:textbo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v:textbox>
              </v:shape>
              <v:shape id="_x0000_s2070" type="#_x0000_t202" style="width:31642;height:2857;flip:x;left:317;mso-wrap-style:square;position:absolute;top:3188;visibility:visible;v-text-anchor:top" filled="f" stroked="f">
                <v:textbo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_x0000_s2071" type="#_x0000_t202" style="width:35452;height:2858;flip:x;left:26326;mso-wrap-style:square;position:absolute;top:3181;visibility:visible;v-text-anchor:top" filled="f" stroked="f">
                <v:textbox>
                  <w:txbxContent>
                    <w:p w:rsidR="00E678C7" w:rsidRPr="001E204F" w:rsidP="00B4321D">
                      <w:pPr>
                        <w:rPr>
                          <w:rFonts w:ascii="Calibri" w:hAnsi="Calibri" w:cs="Calibri"/>
                          <w:color w:val="002060"/>
                          <w:szCs w:val="20"/>
                          <w:rtl/>
                        </w:rPr>
                      </w:pPr>
                      <w:r>
                        <w:rPr>
                          <w:rFonts w:ascii="Calibri" w:hAnsi="Calibri" w:cs="Calibri" w:hint="cs"/>
                          <w:color w:val="002060"/>
                          <w:szCs w:val="20"/>
                          <w:rtl/>
                        </w:rPr>
                        <w:t>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rsidRPr="007E7FDD" w:rsidP="007E7F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FDD"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1312" behindDoc="0" locked="0" layoutInCell="1" allowOverlap="1">
              <wp:simplePos x="0" y="0"/>
              <wp:positionH relativeFrom="column">
                <wp:posOffset>-194310</wp:posOffset>
              </wp:positionH>
              <wp:positionV relativeFrom="paragraph">
                <wp:posOffset>-92075</wp:posOffset>
              </wp:positionV>
              <wp:extent cx="6149974" cy="604586"/>
              <wp:effectExtent l="0" t="0" r="3810" b="5080"/>
              <wp:wrapNone/>
              <wp:docPr id="3" name="קבוצה 3"/>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8" name="מחבר ישר 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7E7FDD"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1756428372"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7E7FDD"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 o:spid="_x0000_s2073" style="width:484.25pt;height:47.6pt;margin-top:-7.25pt;margin-left:-15.3pt;mso-height-relative:margin;mso-width-relative:margin;position:absolute;z-index:251673600" coordorigin="317,0" coordsize="61499,6045">
              <v:line id="מחבר ישר 8" o:spid="_x0000_s207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75" type="#_x0000_t202" style="width:38069;height:2857;flip:x;left:23748;mso-wrap-style:square;position:absolute;visibility:visible;v-text-anchor:top" filled="f" stroked="f">
                <v:textbox>
                  <w:txbxContent>
                    <w:p w:rsidR="007E7FDD"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v:textbox>
              </v:shape>
              <v:shape id="_x0000_s2076" type="#_x0000_t202" style="width:31642;height:2857;flip:x;left:317;mso-wrap-style:square;position:absolute;top:3188;visibility:visible;v-text-anchor:top" filled="f" stroked="f">
                <v:textbox>
                  <w:txbxContent>
                    <w:p w:rsidR="007E7FDD"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noProof/>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9A" w:rsidRPr="00FB414E" w:rsidP="00FB414E">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2077" style="width:484.3pt;height:47.6pt;margin-top:-7.45pt;margin-left:-15.2pt;mso-height-relative:margin;mso-width-relative:margin;position:absolute;z-index:251671552" coordorigin="317,0" coordsize="61503,6045">
              <v:line id="מחבר ישר 1166979208" o:spid="_x0000_s207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79" type="#_x0000_t202" style="width:31642;height:2857;flip:x;left:30178;mso-wrap-style:square;position:absolute;visibility:visible;v-text-anchor:top" filled="f" stroked="f">
                <v:textbo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80" type="#_x0000_t202" style="width:31642;height:2857;flip:x;left:317;mso-wrap-style:square;position:absolute;top:3188;visibility:visible;v-text-anchor:top" filled="f" stroked="f">
                <v:textbo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81" type="#_x0000_t202" style="width:35452;height:2858;flip:x;left:26326;mso-wrap-style:square;position:absolute;top:3181;visibility:visible;v-text-anchor:top" filled="f" stroked="f">
                <v:textbo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FDD"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2336"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15" name="קבוצה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17" name="מחבר ישר 16"/>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7E7FDD" w:rsidRPr="0062451B" w:rsidP="00D265C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21"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7E7FDD" w:rsidRPr="0062451B" w:rsidP="00D265CB">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wps:txbx>
                      <wps:bodyPr rot="0" vert="horz" wrap="square" lIns="91440" tIns="45720" rIns="91440" bIns="45720" anchor="t" anchorCtr="0"/>
                    </wps:wsp>
                    <wps:wsp xmlns:wps="http://schemas.microsoft.com/office/word/2010/wordprocessingShape">
                      <wps:cNvPr id="28" name="תיבת טקסט 2"/>
                      <wps:cNvSpPr txBox="1">
                        <a:spLocks noChangeArrowheads="1"/>
                      </wps:cNvSpPr>
                      <wps:spPr bwMode="auto">
                        <a:xfrm flipH="1">
                          <a:off x="2019300" y="318163"/>
                          <a:ext cx="4157940" cy="285750"/>
                        </a:xfrm>
                        <a:prstGeom prst="rect">
                          <a:avLst/>
                        </a:prstGeom>
                        <a:noFill/>
                        <a:ln w="9525">
                          <a:noFill/>
                          <a:miter lim="800000"/>
                          <a:headEnd/>
                          <a:tailEnd/>
                        </a:ln>
                      </wps:spPr>
                      <wps:txbx>
                        <w:txbxContent>
                          <w:p w:rsidR="007E7FDD" w:rsidRPr="001E204F" w:rsidP="00D265CB">
                            <w:pPr>
                              <w:rPr>
                                <w:rFonts w:ascii="Calibri" w:hAnsi="Calibri" w:cs="Calibri"/>
                                <w:color w:val="002060"/>
                                <w:szCs w:val="20"/>
                                <w:rtl/>
                              </w:rPr>
                            </w:pPr>
                            <w:r w:rsidRPr="0008273E">
                              <w:rPr>
                                <w:rFonts w:ascii="Calibri" w:hAnsi="Calibri" w:cs="Calibri"/>
                                <w:color w:val="002060"/>
                                <w:szCs w:val="20"/>
                                <w:rtl/>
                              </w:rPr>
                              <w:t>התיאום בין המערכת הממשלתית לבין גופים תורמים והתנדבותיים במלחמת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5" o:spid="_x0000_s2082" style="width:484.25pt;height:47.6pt;margin-top:-7.45pt;margin-left:-15.2pt;mso-height-relative:margin;mso-width-relative:margin;position:absolute;z-index:251674624" coordorigin="317,0" coordsize="61499,6045">
              <v:line id="מחבר ישר 16" o:spid="_x0000_s208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84" type="#_x0000_t202" style="width:38069;height:2857;flip:x;left:23748;mso-wrap-style:square;position:absolute;visibility:visible;v-text-anchor:top" filled="f" stroked="f">
                <v:textbox>
                  <w:txbxContent>
                    <w:p w:rsidR="007E7FDD" w:rsidRPr="0062451B" w:rsidP="00D265C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v:textbox>
              </v:shape>
              <v:shape id="_x0000_s2085" type="#_x0000_t202" style="width:31642;height:2857;flip:x;left:317;mso-wrap-style:square;position:absolute;top:3188;visibility:visible;v-text-anchor:top" filled="f" stroked="f">
                <v:textbox>
                  <w:txbxContent>
                    <w:p w:rsidR="007E7FDD" w:rsidRPr="0062451B" w:rsidP="00D265CB">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v:textbox>
              </v:shape>
              <v:shape id="_x0000_s2086" type="#_x0000_t202" style="width:41579;height:2858;flip:x;left:20193;mso-wrap-style:square;position:absolute;top:3181;visibility:visible;v-text-anchor:top" filled="f" stroked="f">
                <v:textbox>
                  <w:txbxContent>
                    <w:p w:rsidR="007E7FDD" w:rsidRPr="001E204F" w:rsidP="00D265CB">
                      <w:pPr>
                        <w:rPr>
                          <w:rFonts w:ascii="Calibri" w:hAnsi="Calibri" w:cs="Calibri"/>
                          <w:color w:val="002060"/>
                          <w:szCs w:val="20"/>
                          <w:rtl/>
                        </w:rPr>
                      </w:pPr>
                      <w:r w:rsidRPr="0008273E">
                        <w:rPr>
                          <w:rFonts w:ascii="Calibri" w:hAnsi="Calibri" w:cs="Calibri"/>
                          <w:color w:val="002060"/>
                          <w:szCs w:val="20"/>
                          <w:rtl/>
                        </w:rPr>
                        <w:t>התיאום בין המערכת הממשלתית לבין גופים תורמים והתנדבותיים במלחמת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noProof/>
        <w:color w:val="002060"/>
        <w:szCs w:val="20"/>
        <w:rtl/>
      </w:rPr>
      <w:t>4</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 o:bullet="t">
        <v:imagedata r:id="rId1" o:title="hand-red"/>
      </v:shape>
    </w:pict>
  </w:numPicBullet>
  <w:numPicBullet w:numPicBulletId="1">
    <w:pict>
      <v:shape id="_x0000_i1026" type="#_x0000_t75" style="width:254.5pt;height:254.5pt" o:bullet="t">
        <v:imagedata r:id="rId2" o:title=""/>
      </v:shape>
    </w:pict>
  </w:numPicBullet>
  <w:abstractNum w:abstractNumId="0">
    <w:nsid w:val="076C7D72"/>
    <w:multiLevelType w:val="hybridMultilevel"/>
    <w:tmpl w:val="B2A27B50"/>
    <w:lvl w:ilvl="0">
      <w:start w:val="1"/>
      <w:numFmt w:val="bullet"/>
      <w:lvlText w:val=""/>
      <w:lvlJc w:val="left"/>
      <w:pPr>
        <w:ind w:left="654" w:hanging="360"/>
      </w:pPr>
      <w:rPr>
        <w:rFonts w:ascii="Symbol" w:hAnsi="Symbol" w:hint="default"/>
        <w:color w:val="FF0000"/>
      </w:rPr>
    </w:lvl>
    <w:lvl w:ilvl="1">
      <w:start w:val="1"/>
      <w:numFmt w:val="bullet"/>
      <w:lvlText w:val="o"/>
      <w:lvlJc w:val="left"/>
      <w:pPr>
        <w:ind w:left="1374" w:hanging="360"/>
      </w:pPr>
      <w:rPr>
        <w:rFonts w:ascii="Courier New" w:hAnsi="Courier New" w:cs="Courier New" w:hint="default"/>
      </w:rPr>
    </w:lvl>
    <w:lvl w:ilvl="2" w:tentative="1">
      <w:start w:val="1"/>
      <w:numFmt w:val="bullet"/>
      <w:lvlText w:val=""/>
      <w:lvlJc w:val="left"/>
      <w:pPr>
        <w:ind w:left="2094" w:hanging="360"/>
      </w:pPr>
      <w:rPr>
        <w:rFonts w:ascii="Wingdings" w:hAnsi="Wingdings" w:hint="default"/>
      </w:rPr>
    </w:lvl>
    <w:lvl w:ilvl="3" w:tentative="1">
      <w:start w:val="1"/>
      <w:numFmt w:val="bullet"/>
      <w:lvlText w:val=""/>
      <w:lvlJc w:val="left"/>
      <w:pPr>
        <w:ind w:left="2814" w:hanging="360"/>
      </w:pPr>
      <w:rPr>
        <w:rFonts w:ascii="Symbol" w:hAnsi="Symbol" w:hint="default"/>
      </w:rPr>
    </w:lvl>
    <w:lvl w:ilvl="4" w:tentative="1">
      <w:start w:val="1"/>
      <w:numFmt w:val="bullet"/>
      <w:lvlText w:val="o"/>
      <w:lvlJc w:val="left"/>
      <w:pPr>
        <w:ind w:left="3534" w:hanging="360"/>
      </w:pPr>
      <w:rPr>
        <w:rFonts w:ascii="Courier New" w:hAnsi="Courier New" w:cs="Courier New" w:hint="default"/>
      </w:rPr>
    </w:lvl>
    <w:lvl w:ilvl="5" w:tentative="1">
      <w:start w:val="1"/>
      <w:numFmt w:val="bullet"/>
      <w:lvlText w:val=""/>
      <w:lvlJc w:val="left"/>
      <w:pPr>
        <w:ind w:left="4254" w:hanging="360"/>
      </w:pPr>
      <w:rPr>
        <w:rFonts w:ascii="Wingdings" w:hAnsi="Wingdings" w:hint="default"/>
      </w:rPr>
    </w:lvl>
    <w:lvl w:ilvl="6" w:tentative="1">
      <w:start w:val="1"/>
      <w:numFmt w:val="bullet"/>
      <w:lvlText w:val=""/>
      <w:lvlJc w:val="left"/>
      <w:pPr>
        <w:ind w:left="4974" w:hanging="360"/>
      </w:pPr>
      <w:rPr>
        <w:rFonts w:ascii="Symbol" w:hAnsi="Symbol" w:hint="default"/>
      </w:rPr>
    </w:lvl>
    <w:lvl w:ilvl="7" w:tentative="1">
      <w:start w:val="1"/>
      <w:numFmt w:val="bullet"/>
      <w:lvlText w:val="o"/>
      <w:lvlJc w:val="left"/>
      <w:pPr>
        <w:ind w:left="5694" w:hanging="360"/>
      </w:pPr>
      <w:rPr>
        <w:rFonts w:ascii="Courier New" w:hAnsi="Courier New" w:cs="Courier New" w:hint="default"/>
      </w:rPr>
    </w:lvl>
    <w:lvl w:ilvl="8" w:tentative="1">
      <w:start w:val="1"/>
      <w:numFmt w:val="bullet"/>
      <w:lvlText w:val=""/>
      <w:lvlJc w:val="left"/>
      <w:pPr>
        <w:ind w:left="6414" w:hanging="360"/>
      </w:pPr>
      <w:rPr>
        <w:rFonts w:ascii="Wingdings" w:hAnsi="Wingdings" w:hint="default"/>
      </w:rPr>
    </w:lvl>
  </w:abstractNum>
  <w:abstractNum w:abstractNumId="1">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2">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6">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854154"/>
    <w:multiLevelType w:val="hybridMultilevel"/>
    <w:tmpl w:val="BC2C78B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9">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3">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B23DD1"/>
    <w:multiLevelType w:val="hybridMultilevel"/>
    <w:tmpl w:val="F872BCF4"/>
    <w:lvl w:ilvl="0">
      <w:start w:val="1"/>
      <w:numFmt w:val="bullet"/>
      <w:lvlText w:val=""/>
      <w:lvlJc w:val="left"/>
      <w:pPr>
        <w:ind w:left="672" w:hanging="360"/>
      </w:pPr>
      <w:rPr>
        <w:rFonts w:ascii="Symbol" w:hAnsi="Symbol" w:hint="default"/>
        <w:color w:val="FF0000"/>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5">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7">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18">
    <w:nsid w:val="3DBD4EA6"/>
    <w:multiLevelType w:val="hybridMultilevel"/>
    <w:tmpl w:val="D3FCFE4E"/>
    <w:lvl w:ilvl="0">
      <w:start w:val="1"/>
      <w:numFmt w:val="bullet"/>
      <w:lvlText w:val=""/>
      <w:lvlJc w:val="left"/>
      <w:pPr>
        <w:ind w:left="720" w:hanging="360"/>
      </w:pPr>
      <w:rPr>
        <w:rFonts w:ascii="Symbol" w:hAnsi="Symbol" w:cs="Symbol" w:hint="default"/>
        <w:b/>
        <w:bCs/>
        <w:color w:val="FF000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1">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2">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3">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56B0D1B"/>
    <w:multiLevelType w:val="hybridMultilevel"/>
    <w:tmpl w:val="3732F5D0"/>
    <w:lvl w:ilvl="0">
      <w:start w:val="1"/>
      <w:numFmt w:val="decimal"/>
      <w:lvlText w:val="%1."/>
      <w:lvlJc w:val="left"/>
      <w:pPr>
        <w:ind w:left="-349" w:hanging="360"/>
      </w:pPr>
      <w:rPr>
        <w:rFonts w:hint="default"/>
      </w:rPr>
    </w:lvl>
    <w:lvl w:ilvl="1" w:tentative="1">
      <w:start w:val="1"/>
      <w:numFmt w:val="lowerLetter"/>
      <w:lvlText w:val="%2."/>
      <w:lvlJc w:val="left"/>
      <w:pPr>
        <w:ind w:left="371" w:hanging="360"/>
      </w:pPr>
    </w:lvl>
    <w:lvl w:ilvl="2" w:tentative="1">
      <w:start w:val="1"/>
      <w:numFmt w:val="lowerRoman"/>
      <w:lvlText w:val="%3."/>
      <w:lvlJc w:val="right"/>
      <w:pPr>
        <w:ind w:left="1091" w:hanging="180"/>
      </w:pPr>
    </w:lvl>
    <w:lvl w:ilvl="3" w:tentative="1">
      <w:start w:val="1"/>
      <w:numFmt w:val="decimal"/>
      <w:lvlText w:val="%4."/>
      <w:lvlJc w:val="left"/>
      <w:pPr>
        <w:ind w:left="1811" w:hanging="360"/>
      </w:pPr>
    </w:lvl>
    <w:lvl w:ilvl="4" w:tentative="1">
      <w:start w:val="1"/>
      <w:numFmt w:val="lowerLetter"/>
      <w:lvlText w:val="%5."/>
      <w:lvlJc w:val="left"/>
      <w:pPr>
        <w:ind w:left="2531" w:hanging="360"/>
      </w:pPr>
    </w:lvl>
    <w:lvl w:ilvl="5" w:tentative="1">
      <w:start w:val="1"/>
      <w:numFmt w:val="lowerRoman"/>
      <w:lvlText w:val="%6."/>
      <w:lvlJc w:val="right"/>
      <w:pPr>
        <w:ind w:left="3251" w:hanging="180"/>
      </w:pPr>
    </w:lvl>
    <w:lvl w:ilvl="6" w:tentative="1">
      <w:start w:val="1"/>
      <w:numFmt w:val="decimal"/>
      <w:lvlText w:val="%7."/>
      <w:lvlJc w:val="left"/>
      <w:pPr>
        <w:ind w:left="3971" w:hanging="360"/>
      </w:pPr>
    </w:lvl>
    <w:lvl w:ilvl="7" w:tentative="1">
      <w:start w:val="1"/>
      <w:numFmt w:val="lowerLetter"/>
      <w:lvlText w:val="%8."/>
      <w:lvlJc w:val="left"/>
      <w:pPr>
        <w:ind w:left="4691" w:hanging="360"/>
      </w:pPr>
    </w:lvl>
    <w:lvl w:ilvl="8" w:tentative="1">
      <w:start w:val="1"/>
      <w:numFmt w:val="lowerRoman"/>
      <w:lvlText w:val="%9."/>
      <w:lvlJc w:val="right"/>
      <w:pPr>
        <w:ind w:left="5411" w:hanging="180"/>
      </w:pPr>
    </w:lvl>
  </w:abstractNum>
  <w:abstractNum w:abstractNumId="26">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8">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30"/>
  </w:num>
  <w:num w:numId="2">
    <w:abstractNumId w:val="22"/>
  </w:num>
  <w:num w:numId="3">
    <w:abstractNumId w:val="20"/>
  </w:num>
  <w:num w:numId="4">
    <w:abstractNumId w:val="1"/>
  </w:num>
  <w:num w:numId="5">
    <w:abstractNumId w:val="21"/>
  </w:num>
  <w:num w:numId="6">
    <w:abstractNumId w:val="27"/>
  </w:num>
  <w:num w:numId="7">
    <w:abstractNumId w:val="16"/>
  </w:num>
  <w:num w:numId="8">
    <w:abstractNumId w:val="11"/>
  </w:num>
  <w:num w:numId="9">
    <w:abstractNumId w:val="10"/>
  </w:num>
  <w:num w:numId="10">
    <w:abstractNumId w:val="12"/>
  </w:num>
  <w:num w:numId="11">
    <w:abstractNumId w:val="28"/>
  </w:num>
  <w:num w:numId="12">
    <w:abstractNumId w:val="24"/>
  </w:num>
  <w:num w:numId="13">
    <w:abstractNumId w:val="23"/>
  </w:num>
  <w:num w:numId="14">
    <w:abstractNumId w:val="26"/>
  </w:num>
  <w:num w:numId="15">
    <w:abstractNumId w:val="2"/>
  </w:num>
  <w:num w:numId="16">
    <w:abstractNumId w:val="8"/>
  </w:num>
  <w:num w:numId="17">
    <w:abstractNumId w:val="9"/>
  </w:num>
  <w:num w:numId="18">
    <w:abstractNumId w:val="3"/>
  </w:num>
  <w:num w:numId="19">
    <w:abstractNumId w:val="13"/>
  </w:num>
  <w:num w:numId="20">
    <w:abstractNumId w:val="19"/>
  </w:num>
  <w:num w:numId="21">
    <w:abstractNumId w:val="6"/>
  </w:num>
  <w:num w:numId="22">
    <w:abstractNumId w:val="4"/>
  </w:num>
  <w:num w:numId="23">
    <w:abstractNumId w:val="29"/>
  </w:num>
  <w:num w:numId="24">
    <w:abstractNumId w:val="5"/>
  </w:num>
  <w:num w:numId="25">
    <w:abstractNumId w:val="15"/>
  </w:num>
  <w:num w:numId="26">
    <w:abstractNumId w:val="17"/>
  </w:num>
  <w:num w:numId="27">
    <w:abstractNumId w:val="14"/>
  </w:num>
  <w:num w:numId="28">
    <w:abstractNumId w:val="0"/>
  </w:num>
  <w:num w:numId="29">
    <w:abstractNumId w:val="7"/>
  </w:num>
  <w:num w:numId="30">
    <w:abstractNumId w:val="25"/>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1B"/>
    <w:rsid w:val="000007A0"/>
    <w:rsid w:val="00001576"/>
    <w:rsid w:val="00003B77"/>
    <w:rsid w:val="0001735B"/>
    <w:rsid w:val="00030DCF"/>
    <w:rsid w:val="000314B9"/>
    <w:rsid w:val="00042837"/>
    <w:rsid w:val="00044662"/>
    <w:rsid w:val="000501A4"/>
    <w:rsid w:val="000532AA"/>
    <w:rsid w:val="00074D2B"/>
    <w:rsid w:val="0008273E"/>
    <w:rsid w:val="00084768"/>
    <w:rsid w:val="00092F16"/>
    <w:rsid w:val="00096E87"/>
    <w:rsid w:val="000B1102"/>
    <w:rsid w:val="000B463F"/>
    <w:rsid w:val="000C6528"/>
    <w:rsid w:val="000C7459"/>
    <w:rsid w:val="000D221E"/>
    <w:rsid w:val="000E013E"/>
    <w:rsid w:val="000F7725"/>
    <w:rsid w:val="00101D0F"/>
    <w:rsid w:val="00113E28"/>
    <w:rsid w:val="00114325"/>
    <w:rsid w:val="001363A3"/>
    <w:rsid w:val="00164D9B"/>
    <w:rsid w:val="001656C6"/>
    <w:rsid w:val="00166477"/>
    <w:rsid w:val="001730B0"/>
    <w:rsid w:val="001960B4"/>
    <w:rsid w:val="0019747C"/>
    <w:rsid w:val="001A3BBC"/>
    <w:rsid w:val="001A613C"/>
    <w:rsid w:val="001B2821"/>
    <w:rsid w:val="001C057E"/>
    <w:rsid w:val="001C6185"/>
    <w:rsid w:val="001D3DA9"/>
    <w:rsid w:val="001D5457"/>
    <w:rsid w:val="001D7DDC"/>
    <w:rsid w:val="001E204F"/>
    <w:rsid w:val="001F0CD9"/>
    <w:rsid w:val="00203604"/>
    <w:rsid w:val="002064F7"/>
    <w:rsid w:val="00212D9D"/>
    <w:rsid w:val="00240887"/>
    <w:rsid w:val="002602F0"/>
    <w:rsid w:val="00263521"/>
    <w:rsid w:val="00276705"/>
    <w:rsid w:val="00291629"/>
    <w:rsid w:val="002A7D21"/>
    <w:rsid w:val="002B55E8"/>
    <w:rsid w:val="002C0C75"/>
    <w:rsid w:val="002C0FD0"/>
    <w:rsid w:val="002C1EE0"/>
    <w:rsid w:val="002C4139"/>
    <w:rsid w:val="002D4D55"/>
    <w:rsid w:val="00301153"/>
    <w:rsid w:val="0030602D"/>
    <w:rsid w:val="00310345"/>
    <w:rsid w:val="00313DEA"/>
    <w:rsid w:val="0032268D"/>
    <w:rsid w:val="00323027"/>
    <w:rsid w:val="00330009"/>
    <w:rsid w:val="00340353"/>
    <w:rsid w:val="0036735A"/>
    <w:rsid w:val="0037370B"/>
    <w:rsid w:val="0037752E"/>
    <w:rsid w:val="0037780B"/>
    <w:rsid w:val="00380052"/>
    <w:rsid w:val="00386E9B"/>
    <w:rsid w:val="0039415D"/>
    <w:rsid w:val="003A5544"/>
    <w:rsid w:val="003B7ADB"/>
    <w:rsid w:val="003D61C6"/>
    <w:rsid w:val="003E58C2"/>
    <w:rsid w:val="003E6853"/>
    <w:rsid w:val="00411396"/>
    <w:rsid w:val="0042177E"/>
    <w:rsid w:val="00424A30"/>
    <w:rsid w:val="00450C77"/>
    <w:rsid w:val="004562F8"/>
    <w:rsid w:val="004672FB"/>
    <w:rsid w:val="004779AA"/>
    <w:rsid w:val="00493874"/>
    <w:rsid w:val="00493AB8"/>
    <w:rsid w:val="004A0385"/>
    <w:rsid w:val="004A0D80"/>
    <w:rsid w:val="004C7D9F"/>
    <w:rsid w:val="004E2733"/>
    <w:rsid w:val="004E488A"/>
    <w:rsid w:val="004F0AB4"/>
    <w:rsid w:val="005006C5"/>
    <w:rsid w:val="00524C99"/>
    <w:rsid w:val="00551B42"/>
    <w:rsid w:val="00551FF7"/>
    <w:rsid w:val="00553363"/>
    <w:rsid w:val="00574579"/>
    <w:rsid w:val="00577CAE"/>
    <w:rsid w:val="00580C5C"/>
    <w:rsid w:val="00581D69"/>
    <w:rsid w:val="005A021D"/>
    <w:rsid w:val="005A09B4"/>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7348A"/>
    <w:rsid w:val="00684081"/>
    <w:rsid w:val="006A0446"/>
    <w:rsid w:val="006A646E"/>
    <w:rsid w:val="006B1593"/>
    <w:rsid w:val="006B16D1"/>
    <w:rsid w:val="006B3AA6"/>
    <w:rsid w:val="006B7706"/>
    <w:rsid w:val="006C4033"/>
    <w:rsid w:val="006D4161"/>
    <w:rsid w:val="006D786C"/>
    <w:rsid w:val="006E1414"/>
    <w:rsid w:val="006F285F"/>
    <w:rsid w:val="00705288"/>
    <w:rsid w:val="00716AFD"/>
    <w:rsid w:val="0072219B"/>
    <w:rsid w:val="007474F0"/>
    <w:rsid w:val="00753ADE"/>
    <w:rsid w:val="00773F61"/>
    <w:rsid w:val="00791BC0"/>
    <w:rsid w:val="007A4EBD"/>
    <w:rsid w:val="007B112B"/>
    <w:rsid w:val="007B5B26"/>
    <w:rsid w:val="007B691A"/>
    <w:rsid w:val="007C1FF6"/>
    <w:rsid w:val="007D4038"/>
    <w:rsid w:val="007D61B8"/>
    <w:rsid w:val="007E24BD"/>
    <w:rsid w:val="007E7FDD"/>
    <w:rsid w:val="007F7FF2"/>
    <w:rsid w:val="00805B42"/>
    <w:rsid w:val="008102AD"/>
    <w:rsid w:val="00824AB2"/>
    <w:rsid w:val="00837997"/>
    <w:rsid w:val="008654CB"/>
    <w:rsid w:val="00867FC5"/>
    <w:rsid w:val="0088743F"/>
    <w:rsid w:val="00892F80"/>
    <w:rsid w:val="00897698"/>
    <w:rsid w:val="008A2E0E"/>
    <w:rsid w:val="008B2582"/>
    <w:rsid w:val="008B4F41"/>
    <w:rsid w:val="008B5B82"/>
    <w:rsid w:val="008C1428"/>
    <w:rsid w:val="008C6F75"/>
    <w:rsid w:val="008D750B"/>
    <w:rsid w:val="009015B2"/>
    <w:rsid w:val="00906E90"/>
    <w:rsid w:val="0091051D"/>
    <w:rsid w:val="009137E5"/>
    <w:rsid w:val="00917216"/>
    <w:rsid w:val="00936F84"/>
    <w:rsid w:val="00940851"/>
    <w:rsid w:val="009679D9"/>
    <w:rsid w:val="00982EC8"/>
    <w:rsid w:val="009912C8"/>
    <w:rsid w:val="00992D38"/>
    <w:rsid w:val="009961E8"/>
    <w:rsid w:val="009A6817"/>
    <w:rsid w:val="009B0AEC"/>
    <w:rsid w:val="009B497A"/>
    <w:rsid w:val="009C157F"/>
    <w:rsid w:val="009C6066"/>
    <w:rsid w:val="009C7EB0"/>
    <w:rsid w:val="009D45C5"/>
    <w:rsid w:val="009D73F5"/>
    <w:rsid w:val="009E1A3F"/>
    <w:rsid w:val="009E53CF"/>
    <w:rsid w:val="009F0BD3"/>
    <w:rsid w:val="00A055D0"/>
    <w:rsid w:val="00A222E2"/>
    <w:rsid w:val="00A30B00"/>
    <w:rsid w:val="00A61AD5"/>
    <w:rsid w:val="00A73038"/>
    <w:rsid w:val="00A76C99"/>
    <w:rsid w:val="00A81EBE"/>
    <w:rsid w:val="00AA0E16"/>
    <w:rsid w:val="00AA2BE1"/>
    <w:rsid w:val="00AB465B"/>
    <w:rsid w:val="00AB66C8"/>
    <w:rsid w:val="00AC6B95"/>
    <w:rsid w:val="00AD1000"/>
    <w:rsid w:val="00AD1EA3"/>
    <w:rsid w:val="00AE741B"/>
    <w:rsid w:val="00AF3B73"/>
    <w:rsid w:val="00B00E5C"/>
    <w:rsid w:val="00B01F46"/>
    <w:rsid w:val="00B04068"/>
    <w:rsid w:val="00B14FC8"/>
    <w:rsid w:val="00B4321D"/>
    <w:rsid w:val="00B666B9"/>
    <w:rsid w:val="00B75E06"/>
    <w:rsid w:val="00B76DC1"/>
    <w:rsid w:val="00B862C0"/>
    <w:rsid w:val="00BB3C99"/>
    <w:rsid w:val="00BC4056"/>
    <w:rsid w:val="00BD2291"/>
    <w:rsid w:val="00BD291C"/>
    <w:rsid w:val="00BE22D7"/>
    <w:rsid w:val="00BE2DD8"/>
    <w:rsid w:val="00BF5917"/>
    <w:rsid w:val="00C06E02"/>
    <w:rsid w:val="00C2305A"/>
    <w:rsid w:val="00C23CC9"/>
    <w:rsid w:val="00C30B3D"/>
    <w:rsid w:val="00C33AE2"/>
    <w:rsid w:val="00C36C5E"/>
    <w:rsid w:val="00C4664C"/>
    <w:rsid w:val="00C4789A"/>
    <w:rsid w:val="00C753CF"/>
    <w:rsid w:val="00C75A49"/>
    <w:rsid w:val="00C8096C"/>
    <w:rsid w:val="00C8100B"/>
    <w:rsid w:val="00C92141"/>
    <w:rsid w:val="00CA38DE"/>
    <w:rsid w:val="00CA41D2"/>
    <w:rsid w:val="00CA4EB1"/>
    <w:rsid w:val="00CA4F20"/>
    <w:rsid w:val="00CD5320"/>
    <w:rsid w:val="00CD6EEC"/>
    <w:rsid w:val="00CF6518"/>
    <w:rsid w:val="00D22748"/>
    <w:rsid w:val="00D265CB"/>
    <w:rsid w:val="00D26918"/>
    <w:rsid w:val="00D37121"/>
    <w:rsid w:val="00D5540D"/>
    <w:rsid w:val="00D57BE9"/>
    <w:rsid w:val="00D71966"/>
    <w:rsid w:val="00D779F7"/>
    <w:rsid w:val="00D87542"/>
    <w:rsid w:val="00D95C20"/>
    <w:rsid w:val="00D97C16"/>
    <w:rsid w:val="00DA3406"/>
    <w:rsid w:val="00DA67CB"/>
    <w:rsid w:val="00DB2E3A"/>
    <w:rsid w:val="00DB6E18"/>
    <w:rsid w:val="00DE1DAB"/>
    <w:rsid w:val="00DE20A2"/>
    <w:rsid w:val="00DF0B89"/>
    <w:rsid w:val="00DF358A"/>
    <w:rsid w:val="00DF5664"/>
    <w:rsid w:val="00E07FE3"/>
    <w:rsid w:val="00E25B3B"/>
    <w:rsid w:val="00E35682"/>
    <w:rsid w:val="00E37A8A"/>
    <w:rsid w:val="00E46EA3"/>
    <w:rsid w:val="00E51C1B"/>
    <w:rsid w:val="00E52143"/>
    <w:rsid w:val="00E53DA7"/>
    <w:rsid w:val="00E678C7"/>
    <w:rsid w:val="00E725B9"/>
    <w:rsid w:val="00E87979"/>
    <w:rsid w:val="00E927FF"/>
    <w:rsid w:val="00EC6B44"/>
    <w:rsid w:val="00ED1560"/>
    <w:rsid w:val="00EE37A3"/>
    <w:rsid w:val="00EE407E"/>
    <w:rsid w:val="00EF2E24"/>
    <w:rsid w:val="00F12EA7"/>
    <w:rsid w:val="00F20CBB"/>
    <w:rsid w:val="00F2445E"/>
    <w:rsid w:val="00F30558"/>
    <w:rsid w:val="00F376D1"/>
    <w:rsid w:val="00F4385E"/>
    <w:rsid w:val="00F56CE4"/>
    <w:rsid w:val="00F627EB"/>
    <w:rsid w:val="00F66FC8"/>
    <w:rsid w:val="00F75A10"/>
    <w:rsid w:val="00F77276"/>
    <w:rsid w:val="00F92629"/>
    <w:rsid w:val="00F95853"/>
    <w:rsid w:val="00FA48C8"/>
    <w:rsid w:val="00FB3F26"/>
    <w:rsid w:val="00FB414E"/>
    <w:rsid w:val="00FC3213"/>
    <w:rsid w:val="00FC48C6"/>
    <w:rsid w:val="00FC7491"/>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customStyle="1"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32268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table" w:customStyle="1" w:styleId="26">
    <w:name w:val="רשת טבלה2"/>
    <w:basedOn w:val="TableNormal"/>
    <w:next w:val="TableGrid"/>
    <w:uiPriority w:val="59"/>
    <w:rsid w:val="00791BC0"/>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3.jpeg"/><Relationship Id="rId21" Type="http://schemas.openxmlformats.org/officeDocument/2006/relationships/image" Target="media/image8.jpeg"/><Relationship Id="rId3" Type="http://schemas.openxmlformats.org/officeDocument/2006/relationships/webSettings" Target="webSettings.xml"/><Relationship Id="rId34" Type="http://schemas.openxmlformats.org/officeDocument/2006/relationships/customXml" Target="../customXml/item3.xml"/><Relationship Id="rId12" Type="http://schemas.openxmlformats.org/officeDocument/2006/relationships/header" Target="header5.xml"/><Relationship Id="rId17" Type="http://schemas.openxmlformats.org/officeDocument/2006/relationships/image" Target="media/image4.jpeg"/><Relationship Id="rId25" Type="http://schemas.openxmlformats.org/officeDocument/2006/relationships/image" Target="media/image12.jpeg"/><Relationship Id="rId7" Type="http://schemas.openxmlformats.org/officeDocument/2006/relationships/header" Target="header2.xml"/><Relationship Id="rId33" Type="http://schemas.openxmlformats.org/officeDocument/2006/relationships/customXml" Target="../customXml/item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image" Target="media/image7.jpeg"/><Relationship Id="rId29" Type="http://schemas.openxmlformats.org/officeDocument/2006/relationships/header" Target="header8.xml"/><Relationship Id="rId1"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1.jpeg"/><Relationship Id="rId32"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6.xml"/><Relationship Id="rId23" Type="http://schemas.openxmlformats.org/officeDocument/2006/relationships/image" Target="media/image10.jpeg"/><Relationship Id="rId28" Type="http://schemas.openxmlformats.org/officeDocument/2006/relationships/image" Target="media/image15.jpeg"/><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image" Target="media/image6.jpeg"/><Relationship Id="rId31" Type="http://schemas.openxmlformats.org/officeDocument/2006/relationships/numbering" Target="numbering.xm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image" Target="media/image2.jpeg"/><Relationship Id="rId35" Type="http://schemas.openxmlformats.org/officeDocument/2006/relationships/customXml" Target="../customXml/item4.xml"/><Relationship Id="rId8" Type="http://schemas.openxmlformats.org/officeDocument/2006/relationships/footer" Target="footer1.xml"/></Relationships>
</file>

<file path=word/_rels/footnotes.xml.rels><?xml version="1.0" encoding="utf-8" standalone="yes"?><Relationships xmlns="http://schemas.openxmlformats.org/package/2006/relationships"><Relationship Id="rId1" Type="http://schemas.openxmlformats.org/officeDocument/2006/relationships/hyperlink" Target="https://www.gov.il/he/pages/dec3405-2025" TargetMode="External" /><Relationship Id="rId2" Type="http://schemas.openxmlformats.org/officeDocument/2006/relationships/hyperlink" Target="https://library.mevaker.gov.il/sites/DigitalLibrary/Documents/special/special_2010-2006/2007-LebanonWar2/2007-LebanonWar2-900-Tormin.pdf" TargetMode="External" /><Relationship Id="rId3" Type="http://schemas.openxmlformats.org/officeDocument/2006/relationships/hyperlink" Target="https://www.gov.il/he/pages/2008_des3190" TargetMode="External" /><Relationship Id="rId4" Type="http://schemas.openxmlformats.org/officeDocument/2006/relationships/hyperlink" Target="https://wiki.sheatufim.org.il/wp-content/uploads/2024/07/%D7%9E%D7%9E%D7%A9%D7%9C%D7%AA_%D7%99%D7%A9%D7%A8%D7%90%D7%9C.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numbering.xml.rels><?xml version="1.0" encoding="utf-8" standalone="yes"?><Relationships xmlns="http://schemas.openxmlformats.org/package/2006/relationships"><Relationship Id="rId1" Type="http://schemas.openxmlformats.org/officeDocument/2006/relationships/image" Target="media/image16.png" /><Relationship Id="rId2" Type="http://schemas.openxmlformats.org/officeDocument/2006/relationships/image" Target="media/image17.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24A4F8-8E6C-4668-AEE9-38930A3070C1}">
  <ds:schemaRefs>
    <ds:schemaRef ds:uri="http://schemas.openxmlformats.org/officeDocument/2006/bibliography"/>
  </ds:schemaRefs>
</ds:datastoreItem>
</file>

<file path=customXml/itemProps2.xml><?xml version="1.0" encoding="utf-8"?>
<ds:datastoreItem xmlns:ds="http://schemas.openxmlformats.org/officeDocument/2006/customXml" ds:itemID="{CA6B5C16-DEB3-4A91-98F3-D2073014A805}"/>
</file>

<file path=customXml/itemProps3.xml><?xml version="1.0" encoding="utf-8"?>
<ds:datastoreItem xmlns:ds="http://schemas.openxmlformats.org/officeDocument/2006/customXml" ds:itemID="{227A72A6-836F-4927-A846-07440986D443}"/>
</file>

<file path=customXml/itemProps4.xml><?xml version="1.0" encoding="utf-8"?>
<ds:datastoreItem xmlns:ds="http://schemas.openxmlformats.org/officeDocument/2006/customXml" ds:itemID="{2C53354A-AD86-40D6-B2D0-8DF5BF49208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