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FB414E" w:rsidP="00962256">
      <w:pPr>
        <w:spacing w:before="3480" w:line="800" w:lineRule="exact"/>
        <w:jc w:val="center"/>
        <w:rPr>
          <w:rFonts w:ascii="Calibri" w:hAnsi="Calibri" w:cs="Calibri"/>
          <w:b/>
          <w:bCs/>
          <w:color w:val="002060"/>
          <w:sz w:val="80"/>
          <w:szCs w:val="80"/>
          <w:rtl/>
        </w:rPr>
      </w:pPr>
      <w:bookmarkStart w:id="0" w:name="_Hlk233103762"/>
      <w:bookmarkStart w:id="1" w:name="_GoBack"/>
      <w:r w:rsidRPr="005E56AD">
        <w:rPr>
          <w:rFonts w:ascii="Calibri" w:hAnsi="Calibri" w:cs="Calibri"/>
          <w:b/>
          <w:bCs/>
          <w:color w:val="002060"/>
          <w:sz w:val="80"/>
          <w:szCs w:val="80"/>
          <w:rtl/>
        </w:rPr>
        <mc:AlternateContent>
          <mc:Choice Requires="wps">
            <w:drawing>
              <wp:anchor distT="45720" distB="45720" distL="114300" distR="114300" simplePos="0" relativeHeight="251663360" behindDoc="0" locked="0" layoutInCell="1" allowOverlap="1">
                <wp:simplePos x="0" y="0"/>
                <wp:positionH relativeFrom="margin">
                  <wp:posOffset>18415</wp:posOffset>
                </wp:positionH>
                <wp:positionV relativeFrom="paragraph">
                  <wp:posOffset>5387389</wp:posOffset>
                </wp:positionV>
                <wp:extent cx="5632450" cy="1160780"/>
                <wp:effectExtent l="0" t="0" r="6350" b="1270"/>
                <wp:wrapSquare wrapText="bothSides"/>
                <wp:docPr id="1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632450" cy="1160780"/>
                        </a:xfrm>
                        <a:prstGeom prst="rect">
                          <a:avLst/>
                        </a:prstGeom>
                        <a:solidFill>
                          <a:srgbClr val="FFFFFF"/>
                        </a:solidFill>
                        <a:ln w="9525">
                          <a:noFill/>
                          <a:miter lim="800000"/>
                          <a:headEnd/>
                          <a:tailEnd/>
                        </a:ln>
                      </wps:spPr>
                      <wps:txbx>
                        <w:txbxContent>
                          <w:p w:rsidR="005E56AD" w:rsidRPr="009137E5" w:rsidP="005E56AD">
                            <w:pPr>
                              <w:spacing w:after="200" w:line="276" w:lineRule="auto"/>
                              <w:jc w:val="center"/>
                              <w:rPr>
                                <w:rFonts w:asciiTheme="minorBidi" w:hAnsiTheme="minorBidi" w:cstheme="minorBidi"/>
                                <w:color w:val="0F243E" w:themeColor="text2" w:themeShade="80"/>
                                <w:sz w:val="22"/>
                                <w:szCs w:val="22"/>
                              </w:rPr>
                            </w:pPr>
                            <w:r w:rsidRPr="005E56AD">
                              <w:rPr>
                                <w:rFonts w:asciiTheme="minorBidi" w:hAnsiTheme="minorBidi" w:cs="Calibri"/>
                                <w:color w:val="0F243E" w:themeColor="text2" w:themeShade="80"/>
                                <w:sz w:val="22"/>
                                <w:szCs w:val="22"/>
                                <w:rtl/>
                              </w:rPr>
                              <w:t xml:space="preserve">גופן הכותרת מעוצב בכתב ידו של סרן (במיל') </w:t>
                            </w:r>
                            <w:r w:rsidRPr="005E56AD">
                              <w:rPr>
                                <w:rFonts w:asciiTheme="minorBidi" w:hAnsiTheme="minorBidi" w:cs="Calibri"/>
                                <w:b/>
                                <w:bCs/>
                                <w:color w:val="0F243E" w:themeColor="text2" w:themeShade="80"/>
                                <w:sz w:val="22"/>
                                <w:szCs w:val="22"/>
                                <w:rtl/>
                              </w:rPr>
                              <w:t xml:space="preserve">שאולי </w:t>
                            </w:r>
                            <w:r w:rsidRPr="005E56AD">
                              <w:rPr>
                                <w:rFonts w:asciiTheme="minorBidi" w:hAnsiTheme="minorBidi" w:cs="Calibri"/>
                                <w:b/>
                                <w:bCs/>
                                <w:color w:val="0F243E" w:themeColor="text2" w:themeShade="80"/>
                                <w:sz w:val="22"/>
                                <w:szCs w:val="22"/>
                                <w:rtl/>
                              </w:rPr>
                              <w:t>גרינגליק</w:t>
                            </w:r>
                            <w:r w:rsidRPr="005E56AD">
                              <w:rPr>
                                <w:rFonts w:asciiTheme="minorBidi" w:hAnsiTheme="minorBidi" w:cs="Calibri"/>
                                <w:color w:val="0F243E" w:themeColor="text2" w:themeShade="80"/>
                                <w:sz w:val="22"/>
                                <w:szCs w:val="22"/>
                                <w:rtl/>
                              </w:rPr>
                              <w:t xml:space="preserve"> ז"ל, אשר נפל ב-26 בדצמבר 2023 בקרב בצפון רצועת עזה. כשפרצה מלחמת חרבות ברזל שאולי היה אזרח, ולא היה משויך לשום יחידת מילואים. באותה עת הוא היה בדרכו להגשים את חלומו להיות זמר והשתתף בתוכנית "הכוכב הבא לאירוויזיון". כשבועיים לפני שנפל בקרב כתב שאולי: "עכשיו אני חי חלום ישן, להילחם בשביל המדינה… חלום חדש ואחר יצטרך לחכות קצת… כרגע יש רק דבר אחד בראש שלי וזה להמשיך להילחם בחושך עד שנראה את האור".</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7" type="#_x0000_t202" style="width:443.5pt;height:91.4pt;margin-top:424.2pt;margin-left:1.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4384" stroked="f">
                <v:textbox>
                  <w:txbxContent>
                    <w:p w:rsidR="005E56AD" w:rsidRPr="009137E5" w:rsidP="005E56AD">
                      <w:pPr>
                        <w:spacing w:after="200" w:line="276" w:lineRule="auto"/>
                        <w:jc w:val="center"/>
                        <w:rPr>
                          <w:rFonts w:asciiTheme="minorBidi" w:hAnsiTheme="minorBidi" w:cstheme="minorBidi"/>
                          <w:color w:val="0F243E" w:themeColor="text2" w:themeShade="80"/>
                          <w:sz w:val="22"/>
                          <w:szCs w:val="22"/>
                        </w:rPr>
                      </w:pPr>
                      <w:r w:rsidRPr="005E56AD">
                        <w:rPr>
                          <w:rFonts w:asciiTheme="minorBidi" w:hAnsiTheme="minorBidi" w:cs="Calibri"/>
                          <w:color w:val="0F243E" w:themeColor="text2" w:themeShade="80"/>
                          <w:sz w:val="22"/>
                          <w:szCs w:val="22"/>
                          <w:rtl/>
                        </w:rPr>
                        <w:t xml:space="preserve">גופן הכותרת מעוצב בכתב ידו של סרן (במיל') </w:t>
                      </w:r>
                      <w:r w:rsidRPr="005E56AD">
                        <w:rPr>
                          <w:rFonts w:asciiTheme="minorBidi" w:hAnsiTheme="minorBidi" w:cs="Calibri"/>
                          <w:b/>
                          <w:bCs/>
                          <w:color w:val="0F243E" w:themeColor="text2" w:themeShade="80"/>
                          <w:sz w:val="22"/>
                          <w:szCs w:val="22"/>
                          <w:rtl/>
                        </w:rPr>
                        <w:t xml:space="preserve">שאולי </w:t>
                      </w:r>
                      <w:r w:rsidRPr="005E56AD">
                        <w:rPr>
                          <w:rFonts w:asciiTheme="minorBidi" w:hAnsiTheme="minorBidi" w:cs="Calibri"/>
                          <w:b/>
                          <w:bCs/>
                          <w:color w:val="0F243E" w:themeColor="text2" w:themeShade="80"/>
                          <w:sz w:val="22"/>
                          <w:szCs w:val="22"/>
                          <w:rtl/>
                        </w:rPr>
                        <w:t>גרינגליק</w:t>
                      </w:r>
                      <w:r w:rsidRPr="005E56AD">
                        <w:rPr>
                          <w:rFonts w:asciiTheme="minorBidi" w:hAnsiTheme="minorBidi" w:cs="Calibri"/>
                          <w:color w:val="0F243E" w:themeColor="text2" w:themeShade="80"/>
                          <w:sz w:val="22"/>
                          <w:szCs w:val="22"/>
                          <w:rtl/>
                        </w:rPr>
                        <w:t xml:space="preserve"> ז"ל, אשר נפל ב-26 בדצמבר 2023 בקרב בצפון רצועת עזה. כשפרצה מלחמת חרבות ברזל שאולי היה אזרח, ולא היה משויך לשום יחידת מילואים. באותה עת הוא היה בדרכו להגשים את חלומו להיות זמר והשתתף בתוכנית "הכוכב הבא לאירוויזיון". כשבועיים לפני שנפל בקרב כתב שאולי: "עכשיו אני חי חלום ישן, להילחם בשביל המדינה… חלום חדש ואחר יצטרך לחכות קצת… כרגע יש רק דבר אחד בראש שלי וזה להמשיך להילחם בחושך עד שנראה את האור".</w:t>
                      </w:r>
                    </w:p>
                  </w:txbxContent>
                </v:textbox>
                <w10:wrap type="square"/>
              </v:shape>
            </w:pict>
          </mc:Fallback>
        </mc:AlternateContent>
      </w:r>
      <w:r w:rsidRPr="005E56AD">
        <w:rPr>
          <w:rFonts w:ascii="Calibri" w:hAnsi="Calibri" w:cs="Calibri"/>
          <w:b/>
          <w:bCs/>
          <w:color w:val="002060"/>
          <w:sz w:val="80"/>
          <w:szCs w:val="80"/>
          <w:rtl/>
        </w:rPr>
        <w:drawing>
          <wp:anchor distT="0" distB="0" distL="114300" distR="114300" simplePos="0" relativeHeight="251665408" behindDoc="0" locked="0" layoutInCell="1" allowOverlap="1">
            <wp:simplePos x="0" y="0"/>
            <wp:positionH relativeFrom="margin">
              <wp:posOffset>-34290</wp:posOffset>
            </wp:positionH>
            <wp:positionV relativeFrom="paragraph">
              <wp:posOffset>1828801</wp:posOffset>
            </wp:positionV>
            <wp:extent cx="5733677" cy="1837054"/>
            <wp:effectExtent l="0" t="0" r="635" b="0"/>
            <wp:wrapNone/>
            <wp:docPr id="36" name="תמונה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מתוקן - השיקום הרפואי של פצועי מלחמת חרבות ברזל.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10141" b="10141"/>
                    <a:stretch>
                      <a:fillRect/>
                    </a:stretch>
                  </pic:blipFill>
                  <pic:spPr bwMode="auto">
                    <a:xfrm>
                      <a:off x="0" y="0"/>
                      <a:ext cx="5755067" cy="184390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r w:rsidR="00DE4F8B">
        <w:rPr>
          <w:rFonts w:ascii="Calibri" w:hAnsi="Calibri" w:cs="Calibri" w:hint="cs"/>
          <w:b/>
          <w:bCs/>
          <w:color w:val="002060"/>
          <w:sz w:val="80"/>
          <w:szCs w:val="80"/>
          <w:rtl/>
        </w:rPr>
        <w:t>ביקורת פתע -</w:t>
      </w:r>
      <w:r w:rsidR="009961E8">
        <w:rPr>
          <w:rFonts w:ascii="Calibri" w:hAnsi="Calibri" w:cs="Calibri" w:hint="cs"/>
          <w:b/>
          <w:bCs/>
          <w:color w:val="002060"/>
          <w:sz w:val="80"/>
          <w:szCs w:val="80"/>
          <w:rtl/>
        </w:rPr>
        <w:t xml:space="preserve"> </w:t>
      </w:r>
      <w:r w:rsidR="00DE4F8B">
        <w:rPr>
          <w:rFonts w:ascii="Calibri" w:hAnsi="Calibri" w:cs="Calibri" w:hint="cs"/>
          <w:b/>
          <w:bCs/>
          <w:color w:val="002060"/>
          <w:sz w:val="80"/>
          <w:szCs w:val="80"/>
          <w:rtl/>
        </w:rPr>
        <w:t xml:space="preserve">מרחבים מוגנים במוסדות ציבור </w:t>
      </w:r>
    </w:p>
    <w:bookmarkEnd w:id="0"/>
    <w:p w:rsidR="00E927FF" w:rsidP="00962256">
      <w:pPr>
        <w:spacing w:before="3480" w:after="2040" w:line="800" w:lineRule="exact"/>
        <w:jc w:val="center"/>
        <w:rPr>
          <w:rFonts w:ascii="Calibri" w:hAnsi="Calibri" w:cs="Calibri"/>
          <w:b/>
          <w:bCs/>
          <w:color w:val="002060"/>
          <w:sz w:val="80"/>
          <w:szCs w:val="80"/>
          <w:rtl/>
        </w:rPr>
        <w:sectPr w:rsidSect="00FB414E">
          <w:headerReference w:type="default" r:id="rId7"/>
          <w:headerReference w:type="first" r:id="rId8"/>
          <w:footerReference w:type="first" r:id="rId9"/>
          <w:pgSz w:w="11340" w:h="14175" w:code="9"/>
          <w:pgMar w:top="2268" w:right="1276" w:bottom="1588" w:left="1134" w:header="709" w:footer="709" w:gutter="0"/>
          <w:cols w:space="708"/>
          <w:titlePg/>
          <w:bidi/>
          <w:rtlGutter/>
          <w:docGrid w:linePitch="360"/>
        </w:sectPr>
      </w:pPr>
    </w:p>
    <w:p w:rsidR="00291629" w:rsidP="00A30B00">
      <w:pPr>
        <w:spacing w:after="160" w:line="259" w:lineRule="auto"/>
        <w:jc w:val="left"/>
        <w:rPr>
          <w:rFonts w:ascii="Tahoma" w:hAnsi="Tahoma" w:cs="Tahoma"/>
          <w:sz w:val="19"/>
          <w:szCs w:val="19"/>
          <w:rtl/>
        </w:rPr>
      </w:pPr>
      <w:bookmarkStart w:id="2" w:name="_Hlk192594390"/>
      <w:r w:rsidRPr="00AB465B">
        <w:rPr>
          <w:rFonts w:ascii="Tahoma" w:hAnsi="Tahoma" w:cs="Tahoma"/>
          <w:sz w:val="19"/>
          <w:szCs w:val="19"/>
          <w:rtl/>
        </w:rPr>
        <w:br w:type="page"/>
      </w:r>
    </w:p>
    <w:p w:rsidR="00C4789A" w:rsidP="00A30B00">
      <w:pPr>
        <w:spacing w:after="160" w:line="259" w:lineRule="auto"/>
        <w:jc w:val="left"/>
        <w:rPr>
          <w:rFonts w:ascii="Tahoma" w:hAnsi="Tahoma" w:cs="Tahoma"/>
          <w:sz w:val="19"/>
          <w:szCs w:val="19"/>
          <w:rtl/>
        </w:rPr>
        <w:sectPr w:rsidSect="008654CB">
          <w:headerReference w:type="even" r:id="rId10"/>
          <w:headerReference w:type="default" r:id="rId11"/>
          <w:headerReference w:type="first" r:id="rId12"/>
          <w:footerReference w:type="first" r:id="rId13"/>
          <w:pgSz w:w="11340" w:h="14175" w:code="9"/>
          <w:pgMar w:top="2268" w:right="1276" w:bottom="1588" w:left="1134" w:header="709" w:footer="709" w:gutter="0"/>
          <w:cols w:space="708"/>
          <w:titlePg/>
          <w:bidi/>
          <w:rtlGutter/>
          <w:docGrid w:linePitch="360"/>
        </w:sectPr>
      </w:pPr>
    </w:p>
    <w:bookmarkEnd w:id="2"/>
    <w:tbl>
      <w:tblPr>
        <w:tblStyle w:val="TableGrid"/>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6"/>
      </w:tblGrid>
      <w:tr w:rsidTr="00493AB8">
        <w:tblPrEx>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9076" w:type="dxa"/>
          </w:tcPr>
          <w:p w:rsidR="00C4789A" w:rsidRPr="005F4A6D" w:rsidP="00493AB8">
            <w:pPr>
              <w:tabs>
                <w:tab w:val="left" w:pos="1122"/>
              </w:tabs>
              <w:spacing w:line="288" w:lineRule="auto"/>
              <w:jc w:val="left"/>
              <w:rPr>
                <w:sz w:val="2"/>
                <w:szCs w:val="4"/>
                <w:rtl/>
              </w:rPr>
            </w:pPr>
          </w:p>
        </w:tc>
      </w:tr>
      <w:tr w:rsidTr="00493AB8">
        <w:tblPrEx>
          <w:tblW w:w="9076" w:type="dxa"/>
          <w:tblLook w:val="04A0"/>
        </w:tblPrEx>
        <w:trPr>
          <w:trHeight w:val="1644"/>
        </w:trPr>
        <w:tc>
          <w:tcPr>
            <w:tcW w:w="9076" w:type="dxa"/>
          </w:tcPr>
          <w:p w:rsidR="00C4789A" w:rsidP="00D5268C">
            <w:pPr>
              <w:spacing w:before="120" w:line="240" w:lineRule="auto"/>
              <w:jc w:val="left"/>
              <w:rPr>
                <w:rFonts w:ascii="Tahoma" w:hAnsi="Tahoma" w:cs="Tahoma"/>
                <w:b/>
                <w:bCs/>
                <w:sz w:val="40"/>
                <w:szCs w:val="40"/>
                <w:rtl/>
              </w:rPr>
            </w:pPr>
            <w:r>
              <w:rPr>
                <w:rtl/>
              </w:rPr>
              <w:t xml:space="preserve"> </w:t>
            </w:r>
            <w:r w:rsidRPr="00AF02E8">
              <w:rPr>
                <w:rFonts w:ascii="Tahoma" w:hAnsi="Tahoma" w:cs="Tahoma"/>
                <w:b/>
                <w:bCs/>
                <w:sz w:val="40"/>
                <w:szCs w:val="40"/>
                <w:rtl/>
              </w:rPr>
              <w:t>ביקורת פתע - מרחבים מוגנים במוסדות ציבור</w:t>
            </w:r>
          </w:p>
          <w:p w:rsidR="00C4789A" w:rsidP="00493AB8">
            <w:pPr>
              <w:spacing w:before="120" w:line="288" w:lineRule="auto"/>
              <w:jc w:val="left"/>
            </w:pPr>
            <w:r>
              <w:rPr>
                <w:rFonts w:ascii="Tahoma" w:hAnsi="Tahoma" w:cs="Tahoma"/>
                <w:sz w:val="36"/>
                <w:szCs w:val="36"/>
                <w:rtl/>
              </w:rPr>
              <w:t>תקציר</w:t>
            </w:r>
          </w:p>
          <w:p w:rsidR="00C4789A" w:rsidRPr="006C4033" w:rsidP="00493AB8">
            <w:pPr>
              <w:spacing w:line="288" w:lineRule="auto"/>
              <w:ind w:left="-851"/>
              <w:jc w:val="left"/>
              <w:rPr>
                <w:rtl/>
              </w:rPr>
            </w:pPr>
          </w:p>
        </w:tc>
      </w:tr>
    </w:tbl>
    <w:p w:rsidR="00C4789A" w:rsidRPr="006C4033" w:rsidP="00C4789A">
      <w:pPr>
        <w:spacing w:line="288" w:lineRule="auto"/>
        <w:ind w:left="-284"/>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AF02E8" w:rsidRPr="00AF02E8" w:rsidP="00AF02E8">
      <w:pPr>
        <w:pStyle w:val="739"/>
        <w:spacing w:after="120"/>
        <w:rPr>
          <w:sz w:val="19"/>
          <w:szCs w:val="19"/>
          <w:rtl/>
        </w:rPr>
      </w:pPr>
      <w:r w:rsidRPr="00AF02E8">
        <w:rPr>
          <w:sz w:val="19"/>
          <w:szCs w:val="19"/>
          <w:rtl/>
        </w:rPr>
        <w:t>מדינת ישראל נתונה לאיומים ביטחוניים שונים, ובכלל זה לאיום של מתקפות טילים ורקטות (איום רקטי). איום זה עלול לכלול מגוון רחב של אמצעי לחימה, כגון טילים בליסטיים, טילי שיוט, רקטות, רחפני נפץ וכטב"מי נפץ. מאז שבעה באוקטובר 2023 ועד אוקטובר 2025 נורו לעבר ישראל</w:t>
      </w:r>
      <w:r w:rsidRPr="00AF02E8">
        <w:rPr>
          <w:sz w:val="19"/>
          <w:szCs w:val="19"/>
          <w:rtl/>
        </w:rPr>
        <w:t xml:space="preserve"> כ-28,900 טילים וכ-3,550 כטב"מי נפץ מזירות שונות (עזה, לבנון, איראן ותימן).</w:t>
      </w:r>
    </w:p>
    <w:p w:rsidR="00AF02E8" w:rsidRPr="00AF02E8" w:rsidP="00AF02E8">
      <w:pPr>
        <w:pStyle w:val="739"/>
        <w:spacing w:after="120"/>
        <w:rPr>
          <w:sz w:val="19"/>
          <w:szCs w:val="19"/>
          <w:rtl/>
        </w:rPr>
      </w:pPr>
      <w:r w:rsidRPr="00AF02E8">
        <w:rPr>
          <w:sz w:val="19"/>
          <w:szCs w:val="19"/>
          <w:rtl/>
        </w:rPr>
        <w:t>חוק ההתגוננות האזרחית, התשי"א-1951 והתקנות שהותקנו מכוחו מחייבים לבנות מרחב מוגן דירתי, מרחב מוגן קומתי או מרחב מוגן מוסדי (ממ"מ או מרחב מוגן) במבנה ציבור בכל בנייה חדשה. תקנות ההת</w:t>
      </w:r>
      <w:r w:rsidRPr="00AF02E8">
        <w:rPr>
          <w:sz w:val="19"/>
          <w:szCs w:val="19"/>
          <w:rtl/>
        </w:rPr>
        <w:t>גוננות האזרחית השונות שהותקנו מכוח חוק ההתגוננות האזרחית קובעות את הדרישות שעל כל מרחב מוגן ומקלט לעמוד בהן, כדי לאפשר שימוש בטוח לשוהים בהם בעת חירום. בדוח זה - חוק ההתגוננות האזרחית, התקנות שהותקנו לפיו וכן כל צו או הוראה שניתנו לפיהם ייקראו להלן "דיני ה</w:t>
      </w:r>
      <w:r w:rsidRPr="00AF02E8">
        <w:rPr>
          <w:sz w:val="19"/>
          <w:szCs w:val="19"/>
          <w:rtl/>
        </w:rPr>
        <w:t>התגוננות האזרחית".</w:t>
      </w:r>
    </w:p>
    <w:p w:rsidR="007E7FDD" w:rsidP="00AF02E8">
      <w:pPr>
        <w:pStyle w:val="739"/>
        <w:rPr>
          <w:rtl/>
        </w:rPr>
        <w:sectPr w:rsidSect="00030DCF">
          <w:headerReference w:type="default" r:id="rId15"/>
          <w:headerReference w:type="first" r:id="rId16"/>
          <w:type w:val="continuous"/>
          <w:pgSz w:w="11340" w:h="14175" w:code="9"/>
          <w:pgMar w:top="2268" w:right="1276" w:bottom="1588" w:left="1134" w:header="709" w:footer="709" w:gutter="0"/>
          <w:cols w:space="708"/>
          <w:bidi/>
          <w:rtlGutter/>
          <w:docGrid w:linePitch="360"/>
        </w:sectPr>
      </w:pPr>
      <w:r w:rsidRPr="00AF02E8">
        <w:rPr>
          <w:sz w:val="19"/>
          <w:szCs w:val="19"/>
          <w:rtl/>
        </w:rPr>
        <w:t xml:space="preserve">מוסדות ציבור, בהיותם גופים נותני שירות, נדרשים להבטיח את ביטחונם של עובדיהם ושל הציבור הבא בשעריהם. לשם כך עליהם להעמיד לרשות העובדים וקהל המבקרים מרחבים מוגנים העומדים בדרישות החוק, התקנות והנחיות פיקוד העורף (פקע"ר). נוכח </w:t>
      </w:r>
      <w:r w:rsidRPr="00AF02E8">
        <w:rPr>
          <w:sz w:val="19"/>
          <w:szCs w:val="19"/>
          <w:rtl/>
        </w:rPr>
        <w:t>חשיבות הנושא והמשך הלחימה, נערכה הביקורת במתכונת של "ביקורת פתע". במהלך יומיים רצופים נבדקו מרחבים מוגנים ב-16 מבנים של חמישה מוסדות ציבור ברחבי הארץ, ובהם המוסד לביטוח לאומי (בט"ל), שירות התעסוקה, שירותי בריאות כללית (הכללית), מכבי שירותי בריאות (מכבי) ות</w:t>
      </w:r>
      <w:r w:rsidRPr="00AF02E8">
        <w:rPr>
          <w:sz w:val="19"/>
          <w:szCs w:val="19"/>
          <w:rtl/>
        </w:rPr>
        <w:t>חנות לבריאות המשפחה (טיפות חלב) שמפעיל משרד הבריאות</w:t>
      </w:r>
      <w:r w:rsidR="009961E8">
        <w:t>.</w:t>
      </w:r>
    </w:p>
    <w:p w:rsidR="001D3DA9" w:rsidRPr="007E24BD" w:rsidP="001D3DA9">
      <w:pPr>
        <w:spacing w:line="288" w:lineRule="auto"/>
        <w:ind w:left="-284"/>
        <w:rPr>
          <w:sz w:val="12"/>
          <w:szCs w:val="16"/>
          <w:rtl/>
        </w:rPr>
      </w:pPr>
      <w:r w:rsidRPr="006C4033">
        <w:rPr>
          <w:rFonts w:ascii="Tahoma"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26"/>
        <w:tblpPr w:leftFromText="180" w:rightFromText="180" w:vertAnchor="text" w:tblpXSpec="center" w:tblpY="1"/>
        <w:tblOverlap w:val="never"/>
        <w:bidiVisual/>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78"/>
        <w:gridCol w:w="2273"/>
        <w:gridCol w:w="279"/>
        <w:gridCol w:w="2273"/>
        <w:gridCol w:w="278"/>
        <w:gridCol w:w="1848"/>
      </w:tblGrid>
      <w:tr w:rsidTr="00AF02E8">
        <w:tblPrEx>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AF02E8" w:rsidRPr="00AF02E8" w:rsidP="00AF02E8">
            <w:pPr>
              <w:spacing w:after="60" w:line="240" w:lineRule="auto"/>
              <w:rPr>
                <w:rFonts w:ascii="Tahoma" w:eastAsia="Calibri" w:hAnsi="Tahoma" w:cs="Tahoma"/>
                <w:spacing w:val="-10"/>
                <w:sz w:val="36"/>
                <w:szCs w:val="36"/>
                <w:rtl/>
              </w:rPr>
            </w:pPr>
            <w:r w:rsidRPr="00AF02E8">
              <w:rPr>
                <w:rFonts w:ascii="Tahoma" w:eastAsia="Calibri" w:hAnsi="Tahoma" w:cs="Tahoma"/>
                <w:spacing w:val="-10"/>
                <w:sz w:val="26"/>
                <w:szCs w:val="26"/>
                <w:rtl/>
              </w:rPr>
              <w:t>כ-</w:t>
            </w:r>
            <w:r w:rsidRPr="00AF02E8">
              <w:rPr>
                <w:rFonts w:ascii="Tahoma" w:eastAsia="Calibri" w:hAnsi="Tahoma" w:cs="Tahoma"/>
                <w:spacing w:val="-10"/>
                <w:sz w:val="36"/>
                <w:szCs w:val="36"/>
                <w:rtl/>
              </w:rPr>
              <w:t xml:space="preserve">30,800 </w:t>
            </w:r>
          </w:p>
        </w:tc>
        <w:tc>
          <w:tcPr>
            <w:tcW w:w="278" w:type="dxa"/>
            <w:vAlign w:val="bottom"/>
          </w:tcPr>
          <w:p w:rsidR="00AF02E8" w:rsidRPr="00AF02E8" w:rsidP="00AF02E8">
            <w:pPr>
              <w:spacing w:line="240" w:lineRule="auto"/>
              <w:rPr>
                <w:rFonts w:ascii="Tahoma" w:eastAsia="Calibri" w:hAnsi="Tahoma" w:cs="Tahoma"/>
                <w:spacing w:val="-10"/>
              </w:rPr>
            </w:pPr>
          </w:p>
        </w:tc>
        <w:tc>
          <w:tcPr>
            <w:tcW w:w="2273" w:type="dxa"/>
            <w:tcBorders>
              <w:bottom w:val="single" w:sz="12" w:space="0" w:color="auto"/>
            </w:tcBorders>
            <w:vAlign w:val="bottom"/>
          </w:tcPr>
          <w:p w:rsidR="00AF02E8" w:rsidRPr="00AF02E8" w:rsidP="00AF02E8">
            <w:pPr>
              <w:spacing w:after="60" w:line="240" w:lineRule="auto"/>
              <w:rPr>
                <w:rFonts w:ascii="Tahoma" w:eastAsia="Calibri" w:hAnsi="Tahoma" w:cs="Tahoma"/>
                <w:spacing w:val="-10"/>
                <w:sz w:val="36"/>
                <w:szCs w:val="36"/>
                <w:rtl/>
              </w:rPr>
            </w:pPr>
            <w:r w:rsidRPr="00AF02E8">
              <w:rPr>
                <w:rFonts w:ascii="Tahoma" w:eastAsia="Calibri" w:hAnsi="Tahoma" w:cs="Tahoma"/>
                <w:spacing w:val="-10"/>
                <w:sz w:val="26"/>
                <w:szCs w:val="26"/>
                <w:rtl/>
              </w:rPr>
              <w:t>כ-</w:t>
            </w:r>
            <w:r w:rsidRPr="00AF02E8">
              <w:rPr>
                <w:rFonts w:ascii="Tahoma" w:eastAsia="Calibri" w:hAnsi="Tahoma" w:cs="Tahoma"/>
                <w:spacing w:val="-10"/>
                <w:sz w:val="36"/>
                <w:szCs w:val="36"/>
                <w:rtl/>
              </w:rPr>
              <w:t xml:space="preserve">8% </w:t>
            </w:r>
            <w:r w:rsidRPr="00AF02E8">
              <w:rPr>
                <w:rFonts w:ascii="Tahoma" w:eastAsia="Calibri" w:hAnsi="Tahoma" w:cs="Tahoma"/>
                <w:spacing w:val="-10"/>
                <w:sz w:val="26"/>
                <w:szCs w:val="26"/>
                <w:rtl/>
              </w:rPr>
              <w:t>עד</w:t>
            </w:r>
            <w:r w:rsidRPr="00AF02E8">
              <w:rPr>
                <w:rFonts w:ascii="Tahoma" w:eastAsia="Calibri" w:hAnsi="Tahoma" w:cs="Tahoma"/>
                <w:spacing w:val="-10"/>
                <w:sz w:val="36"/>
                <w:szCs w:val="36"/>
                <w:rtl/>
              </w:rPr>
              <w:t xml:space="preserve"> </w:t>
            </w:r>
            <w:r w:rsidRPr="00AF02E8">
              <w:rPr>
                <w:rFonts w:ascii="Tahoma" w:eastAsia="Calibri" w:hAnsi="Tahoma" w:cs="Tahoma"/>
                <w:spacing w:val="-10"/>
                <w:sz w:val="26"/>
                <w:szCs w:val="26"/>
                <w:rtl/>
              </w:rPr>
              <w:br/>
              <w:t>כ-</w:t>
            </w:r>
            <w:r w:rsidRPr="00AF02E8">
              <w:rPr>
                <w:rFonts w:ascii="Tahoma" w:eastAsia="Calibri" w:hAnsi="Tahoma" w:cs="Tahoma"/>
                <w:spacing w:val="-10"/>
                <w:sz w:val="36"/>
                <w:szCs w:val="36"/>
                <w:rtl/>
              </w:rPr>
              <w:t>2</w:t>
            </w:r>
            <w:r w:rsidRPr="00AF02E8">
              <w:rPr>
                <w:rFonts w:ascii="Tahoma" w:eastAsia="Calibri" w:hAnsi="Tahoma" w:cs="Tahoma" w:hint="cs"/>
                <w:spacing w:val="-10"/>
                <w:sz w:val="36"/>
                <w:szCs w:val="36"/>
                <w:rtl/>
              </w:rPr>
              <w:t>3</w:t>
            </w:r>
            <w:r w:rsidRPr="00AF02E8">
              <w:rPr>
                <w:rFonts w:ascii="Tahoma" w:eastAsia="Calibri" w:hAnsi="Tahoma" w:cs="Tahoma"/>
                <w:spacing w:val="-10"/>
                <w:sz w:val="36"/>
                <w:szCs w:val="36"/>
                <w:rtl/>
              </w:rPr>
              <w:t>%</w:t>
            </w:r>
          </w:p>
        </w:tc>
        <w:tc>
          <w:tcPr>
            <w:tcW w:w="279" w:type="dxa"/>
            <w:vAlign w:val="bottom"/>
          </w:tcPr>
          <w:p w:rsidR="00AF02E8" w:rsidRPr="00AF02E8" w:rsidP="00AF02E8">
            <w:pPr>
              <w:spacing w:line="240" w:lineRule="auto"/>
              <w:rPr>
                <w:rFonts w:ascii="Tahoma" w:eastAsia="Calibri" w:hAnsi="Tahoma" w:cs="Tahoma"/>
                <w:spacing w:val="-10"/>
              </w:rPr>
            </w:pPr>
          </w:p>
        </w:tc>
        <w:tc>
          <w:tcPr>
            <w:tcW w:w="2273" w:type="dxa"/>
            <w:tcBorders>
              <w:bottom w:val="single" w:sz="12" w:space="0" w:color="auto"/>
            </w:tcBorders>
            <w:vAlign w:val="bottom"/>
          </w:tcPr>
          <w:p w:rsidR="00AF02E8" w:rsidRPr="00AF02E8" w:rsidP="00AF02E8">
            <w:pPr>
              <w:spacing w:after="60" w:line="240" w:lineRule="auto"/>
              <w:rPr>
                <w:rFonts w:ascii="Tahoma" w:eastAsia="Calibri" w:hAnsi="Tahoma" w:cs="Tahoma"/>
                <w:spacing w:val="-10"/>
                <w:sz w:val="36"/>
                <w:szCs w:val="36"/>
              </w:rPr>
            </w:pPr>
            <w:r w:rsidRPr="00AF02E8">
              <w:rPr>
                <w:rFonts w:ascii="Tahoma" w:eastAsia="Calibri" w:hAnsi="Tahoma" w:cs="Tahoma"/>
                <w:spacing w:val="-10"/>
                <w:sz w:val="26"/>
                <w:szCs w:val="26"/>
                <w:rtl/>
              </w:rPr>
              <w:t>בכ-</w:t>
            </w:r>
            <w:r w:rsidRPr="00AF02E8">
              <w:rPr>
                <w:rFonts w:ascii="Tahoma" w:eastAsia="Calibri" w:hAnsi="Tahoma" w:cs="Tahoma"/>
                <w:spacing w:val="-10"/>
                <w:sz w:val="36"/>
                <w:szCs w:val="36"/>
                <w:rtl/>
              </w:rPr>
              <w:t xml:space="preserve">1% </w:t>
            </w:r>
            <w:r w:rsidRPr="00AF02E8">
              <w:rPr>
                <w:rFonts w:ascii="Tahoma" w:eastAsia="Calibri" w:hAnsi="Tahoma" w:cs="Tahoma"/>
                <w:spacing w:val="-10"/>
                <w:sz w:val="26"/>
                <w:szCs w:val="26"/>
                <w:rtl/>
              </w:rPr>
              <w:t>עד</w:t>
            </w:r>
            <w:r w:rsidRPr="00AF02E8">
              <w:rPr>
                <w:rFonts w:ascii="Tahoma" w:eastAsia="Calibri" w:hAnsi="Tahoma" w:cs="Tahoma"/>
                <w:spacing w:val="-10"/>
                <w:sz w:val="36"/>
                <w:szCs w:val="36"/>
                <w:rtl/>
              </w:rPr>
              <w:t xml:space="preserve"> </w:t>
            </w:r>
            <w:r w:rsidRPr="00AF02E8">
              <w:rPr>
                <w:rFonts w:ascii="Tahoma" w:eastAsia="Calibri" w:hAnsi="Tahoma" w:cs="Tahoma"/>
                <w:spacing w:val="-10"/>
                <w:sz w:val="26"/>
                <w:szCs w:val="26"/>
                <w:rtl/>
              </w:rPr>
              <w:br/>
              <w:t>כ-</w:t>
            </w:r>
            <w:r w:rsidRPr="00AF02E8">
              <w:rPr>
                <w:rFonts w:ascii="Tahoma" w:eastAsia="Calibri" w:hAnsi="Tahoma" w:cs="Tahoma"/>
                <w:spacing w:val="-10"/>
                <w:sz w:val="36"/>
                <w:szCs w:val="36"/>
                <w:rtl/>
              </w:rPr>
              <w:t xml:space="preserve">24% </w:t>
            </w:r>
          </w:p>
        </w:tc>
        <w:tc>
          <w:tcPr>
            <w:tcW w:w="278" w:type="dxa"/>
            <w:vAlign w:val="bottom"/>
          </w:tcPr>
          <w:p w:rsidR="00AF02E8" w:rsidRPr="00AF02E8" w:rsidP="00AF02E8">
            <w:pPr>
              <w:spacing w:line="240" w:lineRule="auto"/>
              <w:rPr>
                <w:rFonts w:ascii="Tahoma" w:eastAsia="Calibri" w:hAnsi="Tahoma" w:cs="Tahoma"/>
                <w:spacing w:val="-10"/>
              </w:rPr>
            </w:pPr>
          </w:p>
        </w:tc>
        <w:tc>
          <w:tcPr>
            <w:tcW w:w="1848" w:type="dxa"/>
            <w:tcBorders>
              <w:bottom w:val="single" w:sz="12" w:space="0" w:color="auto"/>
            </w:tcBorders>
            <w:vAlign w:val="bottom"/>
          </w:tcPr>
          <w:p w:rsidR="00AF02E8" w:rsidRPr="00AF02E8" w:rsidP="00AF02E8">
            <w:pPr>
              <w:spacing w:after="60" w:line="240" w:lineRule="auto"/>
              <w:rPr>
                <w:rFonts w:ascii="Tahoma" w:eastAsia="Calibri" w:hAnsi="Tahoma" w:cs="Tahoma"/>
                <w:spacing w:val="-10"/>
                <w:sz w:val="36"/>
                <w:szCs w:val="36"/>
                <w:rtl/>
              </w:rPr>
            </w:pPr>
            <w:r w:rsidRPr="00AF02E8">
              <w:rPr>
                <w:rFonts w:ascii="Tahoma" w:eastAsia="Calibri" w:hAnsi="Tahoma" w:cs="Tahoma"/>
                <w:spacing w:val="-10"/>
                <w:sz w:val="26"/>
                <w:szCs w:val="26"/>
                <w:rtl/>
              </w:rPr>
              <w:t>ב-</w:t>
            </w:r>
            <w:r w:rsidRPr="00AF02E8">
              <w:rPr>
                <w:rFonts w:ascii="Tahoma" w:eastAsia="Calibri" w:hAnsi="Tahoma" w:cs="Tahoma"/>
                <w:spacing w:val="-10"/>
                <w:sz w:val="36"/>
                <w:szCs w:val="36"/>
                <w:rtl/>
              </w:rPr>
              <w:t xml:space="preserve">11 </w:t>
            </w:r>
            <w:r w:rsidRPr="00AF02E8">
              <w:rPr>
                <w:rFonts w:ascii="Tahoma" w:eastAsia="Calibri" w:hAnsi="Tahoma" w:cs="Tahoma"/>
                <w:spacing w:val="-10"/>
                <w:sz w:val="26"/>
                <w:szCs w:val="26"/>
                <w:rtl/>
              </w:rPr>
              <w:t>מתוך</w:t>
            </w:r>
            <w:r w:rsidRPr="00AF02E8">
              <w:rPr>
                <w:rFonts w:ascii="Tahoma" w:eastAsia="Calibri" w:hAnsi="Tahoma" w:cs="Tahoma"/>
                <w:spacing w:val="-10"/>
                <w:sz w:val="36"/>
                <w:szCs w:val="36"/>
                <w:rtl/>
              </w:rPr>
              <w:t xml:space="preserve"> 16</w:t>
            </w:r>
          </w:p>
        </w:tc>
      </w:tr>
      <w:tr w:rsidTr="00AF02E8">
        <w:tblPrEx>
          <w:tblW w:w="9361" w:type="dxa"/>
          <w:tblLook w:val="04A0"/>
        </w:tblPrEx>
        <w:trPr>
          <w:trHeight w:val="85"/>
        </w:trPr>
        <w:tc>
          <w:tcPr>
            <w:tcW w:w="9361" w:type="dxa"/>
            <w:gridSpan w:val="7"/>
            <w:shd w:val="clear" w:color="auto" w:fill="auto"/>
            <w:vAlign w:val="center"/>
          </w:tcPr>
          <w:p w:rsidR="00AF02E8" w:rsidRPr="00AF02E8" w:rsidP="00AF02E8">
            <w:pPr>
              <w:rPr>
                <w:rFonts w:ascii="Tahoma" w:eastAsia="Calibri" w:hAnsi="Tahoma" w:cs="Tahoma"/>
                <w:spacing w:val="-10"/>
                <w:sz w:val="6"/>
                <w:szCs w:val="6"/>
                <w:rtl/>
              </w:rPr>
            </w:pPr>
          </w:p>
        </w:tc>
      </w:tr>
      <w:tr w:rsidTr="00AF02E8">
        <w:tblPrEx>
          <w:tblW w:w="9361" w:type="dxa"/>
          <w:tblLook w:val="04A0"/>
        </w:tblPrEx>
        <w:trPr>
          <w:trHeight w:val="1155"/>
        </w:trPr>
        <w:tc>
          <w:tcPr>
            <w:tcW w:w="2132" w:type="dxa"/>
          </w:tcPr>
          <w:p w:rsidR="00AF02E8" w:rsidRPr="00AF02E8" w:rsidP="00AF02E8">
            <w:pPr>
              <w:spacing w:line="240" w:lineRule="auto"/>
              <w:ind w:right="23"/>
              <w:rPr>
                <w:rFonts w:ascii="Tahoma" w:eastAsia="Calibri" w:hAnsi="Tahoma" w:cs="Tahoma"/>
                <w:sz w:val="19"/>
                <w:szCs w:val="19"/>
                <w:rtl/>
              </w:rPr>
            </w:pPr>
            <w:r w:rsidRPr="00AF02E8">
              <w:rPr>
                <w:rFonts w:ascii="Tahoma" w:eastAsia="Calibri" w:hAnsi="Tahoma" w:cs="Tahoma" w:hint="cs"/>
                <w:sz w:val="19"/>
                <w:szCs w:val="19"/>
                <w:rtl/>
              </w:rPr>
              <w:t xml:space="preserve">אירועי ירי רקטי וטילי </w:t>
            </w:r>
            <w:r w:rsidRPr="00AF02E8">
              <w:rPr>
                <w:rFonts w:ascii="Tahoma" w:eastAsia="Calibri" w:hAnsi="Tahoma" w:cs="Tahoma"/>
                <w:sz w:val="19"/>
                <w:szCs w:val="19"/>
                <w:rtl/>
              </w:rPr>
              <w:t>במלחמת חרבות ברזל (בשנים 2023 - 2025)</w:t>
            </w:r>
            <w:r w:rsidRPr="00AF02E8">
              <w:rPr>
                <w:rFonts w:ascii="Tahoma" w:eastAsia="Calibri" w:hAnsi="Tahoma" w:cs="Tahoma" w:hint="cs"/>
                <w:sz w:val="19"/>
                <w:szCs w:val="19"/>
                <w:rtl/>
              </w:rPr>
              <w:t>,</w:t>
            </w:r>
            <w:r w:rsidRPr="00AF02E8">
              <w:rPr>
                <w:rFonts w:ascii="Tahoma" w:eastAsia="Calibri" w:hAnsi="Tahoma" w:cs="Tahoma"/>
                <w:sz w:val="19"/>
                <w:szCs w:val="19"/>
                <w:rtl/>
              </w:rPr>
              <w:t xml:space="preserve"> לעומת</w:t>
            </w:r>
            <w:r w:rsidRPr="00AF02E8">
              <w:rPr>
                <w:rFonts w:ascii="Tahoma" w:eastAsia="Calibri" w:hAnsi="Tahoma" w:cs="Tahoma" w:hint="cs"/>
                <w:sz w:val="19"/>
                <w:szCs w:val="19"/>
                <w:rtl/>
              </w:rPr>
              <w:t xml:space="preserve"> למשל</w:t>
            </w:r>
            <w:r w:rsidRPr="00AF02E8">
              <w:rPr>
                <w:rFonts w:ascii="Tahoma" w:eastAsia="Calibri" w:hAnsi="Tahoma" w:cs="Tahoma"/>
                <w:sz w:val="19"/>
                <w:szCs w:val="19"/>
                <w:rtl/>
              </w:rPr>
              <w:t xml:space="preserve"> כ-3,800 בצוק איתן</w:t>
            </w:r>
            <w:r w:rsidRPr="00AF02E8">
              <w:rPr>
                <w:rFonts w:ascii="Tahoma" w:eastAsia="Calibri" w:hAnsi="Tahoma" w:cs="Tahoma" w:hint="cs"/>
                <w:sz w:val="19"/>
                <w:szCs w:val="19"/>
                <w:rtl/>
              </w:rPr>
              <w:t xml:space="preserve"> בשנת 2014 ו</w:t>
            </w:r>
            <w:r w:rsidRPr="00AF02E8">
              <w:rPr>
                <w:rFonts w:ascii="Tahoma" w:eastAsia="Calibri" w:hAnsi="Tahoma" w:cs="Tahoma"/>
                <w:sz w:val="19"/>
                <w:szCs w:val="19"/>
                <w:rtl/>
              </w:rPr>
              <w:t>כ-4,500</w:t>
            </w:r>
            <w:r w:rsidRPr="00AF02E8">
              <w:rPr>
                <w:rFonts w:ascii="Tahoma" w:eastAsia="Calibri" w:hAnsi="Tahoma" w:cs="Tahoma" w:hint="cs"/>
                <w:sz w:val="19"/>
                <w:szCs w:val="19"/>
                <w:rtl/>
              </w:rPr>
              <w:t xml:space="preserve"> בשומר החומות בשנת 2021</w:t>
            </w:r>
            <w:r>
              <w:rPr>
                <w:rFonts w:ascii="Tahoma" w:eastAsia="Calibri" w:hAnsi="Tahoma" w:cs="Tahoma"/>
                <w:sz w:val="19"/>
                <w:szCs w:val="19"/>
                <w:vertAlign w:val="superscript"/>
                <w:rtl/>
              </w:rPr>
              <w:footnoteReference w:id="2"/>
            </w:r>
          </w:p>
        </w:tc>
        <w:tc>
          <w:tcPr>
            <w:tcW w:w="278" w:type="dxa"/>
          </w:tcPr>
          <w:p w:rsidR="00AF02E8" w:rsidRPr="00AF02E8" w:rsidP="00AF02E8">
            <w:pPr>
              <w:spacing w:line="240" w:lineRule="exact"/>
              <w:rPr>
                <w:rFonts w:ascii="Tahoma" w:eastAsia="Calibri" w:hAnsi="Tahoma" w:cs="Tahoma"/>
                <w:szCs w:val="24"/>
                <w:rtl/>
              </w:rPr>
            </w:pPr>
          </w:p>
        </w:tc>
        <w:tc>
          <w:tcPr>
            <w:tcW w:w="2273" w:type="dxa"/>
          </w:tcPr>
          <w:p w:rsidR="00AF02E8" w:rsidRPr="00AF02E8" w:rsidP="00AF02E8">
            <w:pPr>
              <w:spacing w:line="240" w:lineRule="auto"/>
              <w:ind w:right="23"/>
              <w:rPr>
                <w:rFonts w:ascii="Tahoma" w:eastAsia="Calibri" w:hAnsi="Tahoma" w:cs="Tahoma"/>
                <w:sz w:val="19"/>
                <w:szCs w:val="19"/>
                <w:rtl/>
              </w:rPr>
            </w:pPr>
            <w:r w:rsidRPr="00AF02E8">
              <w:rPr>
                <w:rFonts w:ascii="Tahoma" w:eastAsia="Calibri" w:hAnsi="Tahoma" w:cs="Tahoma"/>
                <w:sz w:val="19"/>
                <w:szCs w:val="19"/>
                <w:rtl/>
              </w:rPr>
              <w:t xml:space="preserve">מכלל </w:t>
            </w:r>
            <w:r w:rsidRPr="00AF02E8">
              <w:rPr>
                <w:rFonts w:ascii="Tahoma" w:eastAsia="Calibri" w:hAnsi="Tahoma" w:cs="Tahoma"/>
                <w:sz w:val="19"/>
                <w:szCs w:val="19"/>
                <w:rtl/>
              </w:rPr>
              <w:t>המבנים של חמשת מוסדות הציבור שנבדקו הם ללא מרחב מוגן</w:t>
            </w:r>
            <w:r w:rsidRPr="00AF02E8">
              <w:rPr>
                <w:rFonts w:ascii="Tahoma" w:eastAsia="Calibri" w:hAnsi="Tahoma" w:cs="Tahoma" w:hint="cs"/>
                <w:sz w:val="19"/>
                <w:szCs w:val="19"/>
                <w:rtl/>
              </w:rPr>
              <w:t>:</w:t>
            </w:r>
            <w:r w:rsidRPr="00AF02E8">
              <w:rPr>
                <w:rFonts w:ascii="Tahoma" w:eastAsia="Calibri" w:hAnsi="Tahoma" w:cs="Tahoma"/>
                <w:sz w:val="19"/>
                <w:szCs w:val="19"/>
                <w:rtl/>
              </w:rPr>
              <w:t xml:space="preserve"> בבט"ל 7 מבנים מתוך 90 מבנים</w:t>
            </w:r>
            <w:r w:rsidRPr="00AF02E8">
              <w:rPr>
                <w:rFonts w:ascii="Tahoma" w:eastAsia="Calibri" w:hAnsi="Tahoma" w:cs="Tahoma" w:hint="cs"/>
                <w:sz w:val="19"/>
                <w:szCs w:val="19"/>
                <w:rtl/>
              </w:rPr>
              <w:t xml:space="preserve"> (8%)</w:t>
            </w:r>
            <w:r w:rsidRPr="00AF02E8">
              <w:rPr>
                <w:rFonts w:ascii="Tahoma" w:eastAsia="Calibri" w:hAnsi="Tahoma" w:cs="Tahoma"/>
                <w:sz w:val="19"/>
                <w:szCs w:val="19"/>
                <w:rtl/>
              </w:rPr>
              <w:t>; במכבי 37 מבנים מתוך 313 מבנים</w:t>
            </w:r>
            <w:r w:rsidRPr="00AF02E8">
              <w:rPr>
                <w:rFonts w:ascii="Tahoma" w:eastAsia="Calibri" w:hAnsi="Tahoma" w:cs="Tahoma" w:hint="cs"/>
                <w:sz w:val="19"/>
                <w:szCs w:val="19"/>
                <w:rtl/>
              </w:rPr>
              <w:t xml:space="preserve"> (12%)</w:t>
            </w:r>
            <w:r w:rsidRPr="00AF02E8">
              <w:rPr>
                <w:rFonts w:ascii="Tahoma" w:eastAsia="Calibri" w:hAnsi="Tahoma" w:cs="Tahoma"/>
                <w:sz w:val="19"/>
                <w:szCs w:val="19"/>
                <w:rtl/>
              </w:rPr>
              <w:t>;</w:t>
            </w:r>
            <w:r w:rsidRPr="00AF02E8">
              <w:rPr>
                <w:rFonts w:ascii="Tahoma" w:eastAsia="Calibri" w:hAnsi="Tahoma" w:cs="Tahoma" w:hint="cs"/>
                <w:sz w:val="19"/>
                <w:szCs w:val="19"/>
                <w:rtl/>
              </w:rPr>
              <w:t xml:space="preserve"> </w:t>
            </w:r>
            <w:r w:rsidRPr="00AF02E8">
              <w:rPr>
                <w:rFonts w:ascii="Tahoma" w:eastAsia="Calibri" w:hAnsi="Tahoma" w:cs="Tahoma"/>
                <w:sz w:val="19"/>
                <w:szCs w:val="19"/>
                <w:rtl/>
              </w:rPr>
              <w:t xml:space="preserve">בטיפות החלב 78 מבנים מתוך 357 </w:t>
            </w:r>
            <w:r w:rsidRPr="00AF02E8">
              <w:rPr>
                <w:rFonts w:ascii="Tahoma" w:eastAsia="Calibri" w:hAnsi="Tahoma" w:cs="Tahoma" w:hint="cs"/>
                <w:sz w:val="19"/>
                <w:szCs w:val="19"/>
                <w:rtl/>
              </w:rPr>
              <w:t>(22%)</w:t>
            </w:r>
            <w:r w:rsidRPr="00AF02E8">
              <w:rPr>
                <w:rFonts w:ascii="Tahoma" w:eastAsia="Calibri" w:hAnsi="Tahoma" w:cs="Tahoma"/>
                <w:sz w:val="19"/>
                <w:szCs w:val="19"/>
                <w:rtl/>
              </w:rPr>
              <w:t xml:space="preserve">; בשירות התעסוקה </w:t>
            </w:r>
            <w:r w:rsidRPr="00AF02E8">
              <w:rPr>
                <w:rFonts w:ascii="Tahoma" w:eastAsia="Calibri" w:hAnsi="Tahoma" w:cs="Tahoma" w:hint="cs"/>
                <w:sz w:val="19"/>
                <w:szCs w:val="19"/>
                <w:rtl/>
              </w:rPr>
              <w:t>19</w:t>
            </w:r>
            <w:r w:rsidRPr="00AF02E8">
              <w:rPr>
                <w:rFonts w:ascii="Tahoma" w:eastAsia="Calibri" w:hAnsi="Tahoma" w:cs="Tahoma"/>
                <w:sz w:val="19"/>
                <w:szCs w:val="19"/>
                <w:rtl/>
              </w:rPr>
              <w:t xml:space="preserve"> מבנים מתוך 86</w:t>
            </w:r>
            <w:r w:rsidRPr="00AF02E8">
              <w:rPr>
                <w:rFonts w:ascii="Tahoma" w:eastAsia="Calibri" w:hAnsi="Tahoma" w:cs="Tahoma" w:hint="cs"/>
                <w:sz w:val="19"/>
                <w:szCs w:val="19"/>
                <w:rtl/>
              </w:rPr>
              <w:t xml:space="preserve"> (22%)</w:t>
            </w:r>
            <w:r w:rsidRPr="00AF02E8">
              <w:rPr>
                <w:rFonts w:ascii="Tahoma" w:eastAsia="Calibri" w:hAnsi="Tahoma" w:cs="Tahoma"/>
                <w:sz w:val="19"/>
                <w:szCs w:val="19"/>
                <w:rtl/>
              </w:rPr>
              <w:t xml:space="preserve">; </w:t>
            </w:r>
            <w:r w:rsidRPr="00AF02E8">
              <w:rPr>
                <w:rFonts w:ascii="Tahoma" w:eastAsia="Calibri" w:hAnsi="Tahoma" w:cs="Tahoma" w:hint="cs"/>
                <w:sz w:val="19"/>
                <w:szCs w:val="19"/>
                <w:rtl/>
              </w:rPr>
              <w:t>ו</w:t>
            </w:r>
            <w:r w:rsidRPr="00AF02E8">
              <w:rPr>
                <w:rFonts w:ascii="Tahoma" w:eastAsia="Calibri" w:hAnsi="Tahoma" w:cs="Tahoma"/>
                <w:sz w:val="19"/>
                <w:szCs w:val="19"/>
                <w:rtl/>
              </w:rPr>
              <w:t>בכללית 383 מבנים מתוך 1,640</w:t>
            </w:r>
            <w:r w:rsidRPr="00AF02E8">
              <w:rPr>
                <w:rFonts w:ascii="Tahoma" w:eastAsia="Calibri" w:hAnsi="Tahoma" w:cs="Tahoma" w:hint="cs"/>
                <w:sz w:val="19"/>
                <w:szCs w:val="19"/>
                <w:rtl/>
              </w:rPr>
              <w:t xml:space="preserve"> (23%)</w:t>
            </w:r>
          </w:p>
        </w:tc>
        <w:tc>
          <w:tcPr>
            <w:tcW w:w="279" w:type="dxa"/>
          </w:tcPr>
          <w:p w:rsidR="00AF02E8" w:rsidRPr="00AF02E8" w:rsidP="00AF02E8">
            <w:pPr>
              <w:spacing w:line="240" w:lineRule="exact"/>
              <w:rPr>
                <w:rFonts w:ascii="Tahoma" w:eastAsia="Calibri" w:hAnsi="Tahoma" w:cs="Tahoma"/>
                <w:sz w:val="19"/>
                <w:szCs w:val="19"/>
                <w:rtl/>
              </w:rPr>
            </w:pPr>
          </w:p>
        </w:tc>
        <w:tc>
          <w:tcPr>
            <w:tcW w:w="2273" w:type="dxa"/>
          </w:tcPr>
          <w:p w:rsidR="00AF02E8" w:rsidRPr="00AF02E8" w:rsidP="00AF02E8">
            <w:pPr>
              <w:spacing w:line="240" w:lineRule="auto"/>
              <w:ind w:right="23"/>
              <w:rPr>
                <w:rFonts w:ascii="Tahoma" w:eastAsia="Calibri" w:hAnsi="Tahoma" w:cs="Tahoma"/>
                <w:sz w:val="19"/>
                <w:szCs w:val="19"/>
                <w:rtl/>
              </w:rPr>
            </w:pPr>
            <w:r w:rsidRPr="00AF02E8">
              <w:rPr>
                <w:rFonts w:ascii="Tahoma" w:eastAsia="Calibri" w:hAnsi="Tahoma" w:cs="Tahoma"/>
                <w:sz w:val="19"/>
                <w:szCs w:val="19"/>
                <w:rtl/>
              </w:rPr>
              <w:t>מכלל מבני ארבעה ממו</w:t>
            </w:r>
            <w:r w:rsidRPr="00AF02E8">
              <w:rPr>
                <w:rFonts w:ascii="Tahoma" w:eastAsia="Calibri" w:hAnsi="Tahoma" w:cs="Tahoma"/>
                <w:sz w:val="19"/>
                <w:szCs w:val="19"/>
                <w:rtl/>
              </w:rPr>
              <w:t>סדות הציבור שנבדקו יש מיגון חיצוני</w:t>
            </w:r>
            <w:r>
              <w:rPr>
                <w:rFonts w:ascii="Tahoma" w:eastAsia="Calibri" w:hAnsi="Tahoma" w:cs="Tahoma"/>
                <w:sz w:val="19"/>
                <w:szCs w:val="19"/>
                <w:vertAlign w:val="superscript"/>
                <w:rtl/>
              </w:rPr>
              <w:footnoteReference w:id="3"/>
            </w:r>
            <w:r w:rsidRPr="00AF02E8">
              <w:rPr>
                <w:rFonts w:ascii="Tahoma" w:eastAsia="Calibri" w:hAnsi="Tahoma" w:cs="Tahoma" w:hint="cs"/>
                <w:sz w:val="19"/>
                <w:szCs w:val="19"/>
                <w:rtl/>
              </w:rPr>
              <w:t>:</w:t>
            </w:r>
            <w:r w:rsidRPr="00AF02E8">
              <w:rPr>
                <w:rFonts w:ascii="Tahoma" w:eastAsia="Calibri" w:hAnsi="Tahoma" w:cs="Tahoma"/>
                <w:sz w:val="19"/>
                <w:szCs w:val="19"/>
                <w:rtl/>
              </w:rPr>
              <w:t xml:space="preserve"> בטיפות החלב 2 מבנים מתוך 357 (1%); בכללית 61 מבנים מתוך 1,640 (4%); בשירות התעסוקה 14 מבנים מתוך 86 (16%) ; בבט"ל 22 מבנים מתוך 90 (24%) במוסד החמישי - במכבי אין מיגון חיצוני</w:t>
            </w:r>
          </w:p>
        </w:tc>
        <w:tc>
          <w:tcPr>
            <w:tcW w:w="278" w:type="dxa"/>
          </w:tcPr>
          <w:p w:rsidR="00AF02E8" w:rsidRPr="00AF02E8" w:rsidP="00AF02E8">
            <w:pPr>
              <w:spacing w:line="240" w:lineRule="exact"/>
              <w:rPr>
                <w:rFonts w:ascii="Tahoma" w:eastAsia="Calibri" w:hAnsi="Tahoma" w:cs="Tahoma"/>
                <w:sz w:val="19"/>
                <w:szCs w:val="19"/>
                <w:rtl/>
              </w:rPr>
            </w:pPr>
          </w:p>
        </w:tc>
        <w:tc>
          <w:tcPr>
            <w:tcW w:w="1848" w:type="dxa"/>
          </w:tcPr>
          <w:p w:rsidR="00AF02E8" w:rsidRPr="00AF02E8" w:rsidP="00AF02E8">
            <w:pPr>
              <w:spacing w:line="240" w:lineRule="auto"/>
              <w:ind w:right="23"/>
              <w:rPr>
                <w:rFonts w:ascii="Tahoma" w:eastAsia="Calibri" w:hAnsi="Tahoma" w:cs="Tahoma"/>
                <w:sz w:val="19"/>
                <w:szCs w:val="19"/>
                <w:rtl/>
              </w:rPr>
            </w:pPr>
            <w:r w:rsidRPr="00AF02E8">
              <w:rPr>
                <w:rFonts w:ascii="Tahoma" w:eastAsia="Calibri" w:hAnsi="Tahoma" w:cs="Tahoma"/>
                <w:sz w:val="19"/>
                <w:szCs w:val="19"/>
                <w:rtl/>
              </w:rPr>
              <w:t>מהמרחבים המוגנים שנבדקו נמצא לפחות ליקוי אח</w:t>
            </w:r>
            <w:r w:rsidRPr="00AF02E8">
              <w:rPr>
                <w:rFonts w:ascii="Tahoma" w:eastAsia="Calibri" w:hAnsi="Tahoma" w:cs="Tahoma"/>
                <w:sz w:val="19"/>
                <w:szCs w:val="19"/>
                <w:rtl/>
              </w:rPr>
              <w:t>ד בנושא דרך הגישה והשילוט למרחב המוגן</w:t>
            </w:r>
          </w:p>
        </w:tc>
      </w:tr>
      <w:tr w:rsidTr="00AF02E8">
        <w:tblPrEx>
          <w:tblW w:w="9361" w:type="dxa"/>
          <w:tblLook w:val="04A0"/>
        </w:tblPrEx>
        <w:trPr>
          <w:trHeight w:val="363"/>
        </w:trPr>
        <w:tc>
          <w:tcPr>
            <w:tcW w:w="9361" w:type="dxa"/>
            <w:gridSpan w:val="7"/>
          </w:tcPr>
          <w:p w:rsidR="00AF02E8" w:rsidRPr="00AF02E8" w:rsidP="00AF02E8">
            <w:pPr>
              <w:jc w:val="center"/>
              <w:rPr>
                <w:rFonts w:ascii="Tahoma" w:eastAsia="Calibri" w:hAnsi="Tahoma" w:cs="Tahoma"/>
                <w:sz w:val="6"/>
                <w:szCs w:val="6"/>
                <w:rtl/>
              </w:rPr>
            </w:pPr>
          </w:p>
        </w:tc>
      </w:tr>
      <w:tr w:rsidTr="00AF02E8">
        <w:tblPrEx>
          <w:tblW w:w="9361" w:type="dxa"/>
          <w:tblLook w:val="04A0"/>
        </w:tblPrEx>
        <w:trPr>
          <w:trHeight w:val="227"/>
        </w:trPr>
        <w:tc>
          <w:tcPr>
            <w:tcW w:w="2132" w:type="dxa"/>
            <w:tcBorders>
              <w:bottom w:val="single" w:sz="12" w:space="0" w:color="auto"/>
            </w:tcBorders>
            <w:vAlign w:val="bottom"/>
          </w:tcPr>
          <w:p w:rsidR="00AF02E8" w:rsidRPr="00AF02E8" w:rsidP="00AF02E8">
            <w:pPr>
              <w:spacing w:after="60" w:line="240" w:lineRule="auto"/>
              <w:rPr>
                <w:rFonts w:ascii="Tahoma" w:eastAsia="Calibri" w:hAnsi="Tahoma" w:cs="Tahoma"/>
                <w:spacing w:val="-10"/>
                <w:sz w:val="36"/>
                <w:szCs w:val="36"/>
              </w:rPr>
            </w:pPr>
            <w:r w:rsidRPr="00AF02E8">
              <w:rPr>
                <w:rFonts w:ascii="Tahoma" w:eastAsia="Calibri" w:hAnsi="Tahoma" w:cs="Tahoma"/>
                <w:spacing w:val="-10"/>
                <w:sz w:val="26"/>
                <w:szCs w:val="26"/>
                <w:rtl/>
              </w:rPr>
              <w:t>ב-</w:t>
            </w:r>
            <w:r w:rsidRPr="00AF02E8">
              <w:rPr>
                <w:rFonts w:ascii="Tahoma" w:eastAsia="Calibri" w:hAnsi="Tahoma" w:cs="Tahoma"/>
                <w:spacing w:val="-10"/>
                <w:sz w:val="36"/>
                <w:szCs w:val="36"/>
                <w:rtl/>
              </w:rPr>
              <w:t xml:space="preserve">15 </w:t>
            </w:r>
            <w:r w:rsidRPr="00AF02E8">
              <w:rPr>
                <w:rFonts w:ascii="Tahoma" w:eastAsia="Calibri" w:hAnsi="Tahoma" w:cs="Tahoma"/>
                <w:spacing w:val="-10"/>
                <w:sz w:val="26"/>
                <w:szCs w:val="26"/>
                <w:rtl/>
              </w:rPr>
              <w:t>מתוך</w:t>
            </w:r>
            <w:r w:rsidRPr="00AF02E8">
              <w:rPr>
                <w:rFonts w:ascii="Tahoma" w:eastAsia="Calibri" w:hAnsi="Tahoma" w:cs="Tahoma"/>
                <w:spacing w:val="-10"/>
                <w:sz w:val="36"/>
                <w:szCs w:val="36"/>
                <w:rtl/>
              </w:rPr>
              <w:t xml:space="preserve"> 16</w:t>
            </w:r>
          </w:p>
        </w:tc>
        <w:tc>
          <w:tcPr>
            <w:tcW w:w="278" w:type="dxa"/>
            <w:vAlign w:val="bottom"/>
          </w:tcPr>
          <w:p w:rsidR="00AF02E8" w:rsidRPr="00AF02E8" w:rsidP="00AF02E8">
            <w:pPr>
              <w:spacing w:line="240" w:lineRule="auto"/>
              <w:rPr>
                <w:rFonts w:ascii="Tahoma" w:eastAsia="Calibri" w:hAnsi="Tahoma" w:cs="Tahoma"/>
                <w:spacing w:val="-10"/>
              </w:rPr>
            </w:pPr>
          </w:p>
        </w:tc>
        <w:tc>
          <w:tcPr>
            <w:tcW w:w="2273" w:type="dxa"/>
            <w:tcBorders>
              <w:bottom w:val="single" w:sz="12" w:space="0" w:color="auto"/>
            </w:tcBorders>
            <w:vAlign w:val="bottom"/>
          </w:tcPr>
          <w:p w:rsidR="00AF02E8" w:rsidRPr="00AF02E8" w:rsidP="00AF02E8">
            <w:pPr>
              <w:spacing w:after="60" w:line="240" w:lineRule="auto"/>
              <w:rPr>
                <w:rFonts w:ascii="Tahoma" w:eastAsia="Calibri" w:hAnsi="Tahoma" w:cs="Tahoma"/>
                <w:spacing w:val="-10"/>
                <w:sz w:val="36"/>
                <w:szCs w:val="36"/>
              </w:rPr>
            </w:pPr>
            <w:r w:rsidRPr="00AF02E8">
              <w:rPr>
                <w:rFonts w:ascii="Tahoma" w:eastAsia="Calibri" w:hAnsi="Tahoma" w:cs="Tahoma"/>
                <w:spacing w:val="-10"/>
                <w:sz w:val="26"/>
                <w:szCs w:val="26"/>
                <w:rtl/>
              </w:rPr>
              <w:t>ב-</w:t>
            </w:r>
            <w:r w:rsidRPr="00AF02E8">
              <w:rPr>
                <w:rFonts w:ascii="Tahoma" w:eastAsia="Calibri" w:hAnsi="Tahoma" w:cs="Tahoma"/>
                <w:spacing w:val="-10"/>
                <w:sz w:val="36"/>
                <w:szCs w:val="36"/>
                <w:rtl/>
              </w:rPr>
              <w:t xml:space="preserve">14 </w:t>
            </w:r>
            <w:r w:rsidRPr="00AF02E8">
              <w:rPr>
                <w:rFonts w:ascii="Tahoma" w:eastAsia="Calibri" w:hAnsi="Tahoma" w:cs="Tahoma"/>
                <w:spacing w:val="-10"/>
                <w:sz w:val="26"/>
                <w:szCs w:val="26"/>
                <w:rtl/>
              </w:rPr>
              <w:t>מתוך</w:t>
            </w:r>
            <w:r w:rsidRPr="00AF02E8">
              <w:rPr>
                <w:rFonts w:ascii="Tahoma" w:eastAsia="Calibri" w:hAnsi="Tahoma" w:cs="Tahoma"/>
                <w:spacing w:val="-10"/>
                <w:sz w:val="36"/>
                <w:szCs w:val="36"/>
                <w:rtl/>
              </w:rPr>
              <w:t xml:space="preserve"> 16</w:t>
            </w:r>
          </w:p>
        </w:tc>
        <w:tc>
          <w:tcPr>
            <w:tcW w:w="279" w:type="dxa"/>
            <w:vAlign w:val="bottom"/>
          </w:tcPr>
          <w:p w:rsidR="00AF02E8" w:rsidRPr="00AF02E8" w:rsidP="00AF02E8">
            <w:pPr>
              <w:spacing w:line="240" w:lineRule="auto"/>
              <w:rPr>
                <w:rFonts w:ascii="Tahoma" w:eastAsia="Calibri" w:hAnsi="Tahoma" w:cs="Tahoma"/>
                <w:spacing w:val="-10"/>
              </w:rPr>
            </w:pPr>
          </w:p>
        </w:tc>
        <w:tc>
          <w:tcPr>
            <w:tcW w:w="2273" w:type="dxa"/>
            <w:tcBorders>
              <w:bottom w:val="single" w:sz="12" w:space="0" w:color="auto"/>
            </w:tcBorders>
            <w:vAlign w:val="bottom"/>
          </w:tcPr>
          <w:p w:rsidR="00AF02E8" w:rsidRPr="00AF02E8" w:rsidP="00AF02E8">
            <w:pPr>
              <w:spacing w:after="60" w:line="240" w:lineRule="auto"/>
              <w:rPr>
                <w:rFonts w:ascii="Tahoma" w:eastAsia="Calibri" w:hAnsi="Tahoma" w:cs="Tahoma"/>
                <w:spacing w:val="-10"/>
                <w:sz w:val="36"/>
                <w:szCs w:val="36"/>
              </w:rPr>
            </w:pPr>
            <w:r w:rsidRPr="00AF02E8">
              <w:rPr>
                <w:rFonts w:ascii="Tahoma" w:eastAsia="Calibri" w:hAnsi="Tahoma" w:cs="Tahoma"/>
                <w:spacing w:val="-10"/>
                <w:sz w:val="26"/>
                <w:szCs w:val="26"/>
                <w:rtl/>
              </w:rPr>
              <w:t>ב-</w:t>
            </w:r>
            <w:r w:rsidRPr="00AF02E8">
              <w:rPr>
                <w:rFonts w:ascii="Tahoma" w:eastAsia="Calibri" w:hAnsi="Tahoma" w:cs="Tahoma"/>
                <w:spacing w:val="-10"/>
                <w:sz w:val="36"/>
                <w:szCs w:val="36"/>
                <w:rtl/>
              </w:rPr>
              <w:t xml:space="preserve">14 </w:t>
            </w:r>
            <w:r w:rsidRPr="00AF02E8">
              <w:rPr>
                <w:rFonts w:ascii="Tahoma" w:eastAsia="Calibri" w:hAnsi="Tahoma" w:cs="Tahoma"/>
                <w:spacing w:val="-10"/>
                <w:sz w:val="26"/>
                <w:szCs w:val="26"/>
                <w:rtl/>
              </w:rPr>
              <w:t>מתוך</w:t>
            </w:r>
            <w:r w:rsidRPr="00AF02E8">
              <w:rPr>
                <w:rFonts w:ascii="Tahoma" w:eastAsia="Calibri" w:hAnsi="Tahoma" w:cs="Tahoma"/>
                <w:spacing w:val="-10"/>
                <w:sz w:val="36"/>
                <w:szCs w:val="36"/>
                <w:rtl/>
              </w:rPr>
              <w:t xml:space="preserve"> 16</w:t>
            </w:r>
          </w:p>
        </w:tc>
        <w:tc>
          <w:tcPr>
            <w:tcW w:w="278" w:type="dxa"/>
          </w:tcPr>
          <w:p w:rsidR="00AF02E8" w:rsidRPr="00AF02E8" w:rsidP="00AF02E8">
            <w:pPr>
              <w:rPr>
                <w:rFonts w:ascii="Tahoma" w:eastAsia="Calibri" w:hAnsi="Tahoma" w:cs="Tahoma"/>
                <w:spacing w:val="-10"/>
              </w:rPr>
            </w:pPr>
          </w:p>
        </w:tc>
        <w:tc>
          <w:tcPr>
            <w:tcW w:w="1848" w:type="dxa"/>
            <w:vAlign w:val="center"/>
          </w:tcPr>
          <w:p w:rsidR="00AF02E8" w:rsidRPr="00AF02E8" w:rsidP="00AF02E8">
            <w:pPr>
              <w:rPr>
                <w:rFonts w:ascii="Tahoma" w:eastAsia="Calibri" w:hAnsi="Tahoma" w:cs="Tahoma"/>
                <w:spacing w:val="-10"/>
                <w:sz w:val="36"/>
                <w:szCs w:val="36"/>
              </w:rPr>
            </w:pPr>
          </w:p>
        </w:tc>
      </w:tr>
      <w:tr w:rsidTr="00AF02E8">
        <w:tblPrEx>
          <w:tblW w:w="9361" w:type="dxa"/>
          <w:tblLook w:val="04A0"/>
        </w:tblPrEx>
        <w:trPr>
          <w:trHeight w:val="70"/>
        </w:trPr>
        <w:tc>
          <w:tcPr>
            <w:tcW w:w="9361" w:type="dxa"/>
            <w:gridSpan w:val="7"/>
            <w:vAlign w:val="center"/>
          </w:tcPr>
          <w:p w:rsidR="00AF02E8" w:rsidRPr="00AF02E8" w:rsidP="00AF02E8">
            <w:pPr>
              <w:rPr>
                <w:rFonts w:ascii="Tahoma" w:eastAsia="Calibri" w:hAnsi="Tahoma" w:cs="Tahoma"/>
                <w:spacing w:val="-10"/>
                <w:sz w:val="6"/>
                <w:szCs w:val="6"/>
                <w:rtl/>
              </w:rPr>
            </w:pPr>
          </w:p>
        </w:tc>
      </w:tr>
      <w:tr w:rsidTr="00AF02E8">
        <w:tblPrEx>
          <w:tblW w:w="9361" w:type="dxa"/>
          <w:tblLook w:val="04A0"/>
        </w:tblPrEx>
        <w:trPr>
          <w:trHeight w:val="1153"/>
        </w:trPr>
        <w:tc>
          <w:tcPr>
            <w:tcW w:w="2132" w:type="dxa"/>
          </w:tcPr>
          <w:p w:rsidR="00AF02E8" w:rsidRPr="00AF02E8" w:rsidP="00AF02E8">
            <w:pPr>
              <w:spacing w:line="240" w:lineRule="auto"/>
              <w:ind w:right="23"/>
              <w:rPr>
                <w:rFonts w:ascii="Tahoma" w:eastAsia="Calibri" w:hAnsi="Tahoma" w:cs="Tahoma"/>
                <w:sz w:val="19"/>
                <w:szCs w:val="19"/>
                <w:rtl/>
              </w:rPr>
            </w:pPr>
            <w:r w:rsidRPr="00AF02E8">
              <w:rPr>
                <w:rFonts w:ascii="Tahoma" w:eastAsia="Calibri" w:hAnsi="Tahoma" w:cs="Tahoma"/>
                <w:sz w:val="19"/>
                <w:szCs w:val="19"/>
                <w:rtl/>
              </w:rPr>
              <w:t xml:space="preserve">מהמרחבים המוגנים שנבדקו נמצא לפחות ליקוי אחד </w:t>
            </w:r>
            <w:r w:rsidRPr="00AF02E8">
              <w:rPr>
                <w:rFonts w:ascii="Tahoma" w:eastAsia="Calibri" w:hAnsi="Tahoma" w:cs="Tahoma" w:hint="cs"/>
                <w:sz w:val="19"/>
                <w:szCs w:val="19"/>
                <w:rtl/>
              </w:rPr>
              <w:t>בתחום פנים המרחב המוגן הנוגע ל</w:t>
            </w:r>
            <w:r w:rsidRPr="00AF02E8">
              <w:rPr>
                <w:rFonts w:ascii="Tahoma" w:eastAsia="Calibri" w:hAnsi="Tahoma" w:cs="Tahoma"/>
                <w:sz w:val="19"/>
                <w:szCs w:val="19"/>
                <w:rtl/>
              </w:rPr>
              <w:t xml:space="preserve">היעדר שילוט פולט אור לסימון מרכיבי המרחב המוגן, לאי-סדר ולחוסר ארגון או להימצאות אביזרים </w:t>
            </w:r>
            <w:r w:rsidRPr="00AF02E8">
              <w:rPr>
                <w:rFonts w:ascii="Tahoma" w:eastAsia="Calibri" w:hAnsi="Tahoma" w:cs="Tahoma"/>
                <w:sz w:val="19"/>
                <w:szCs w:val="19"/>
                <w:rtl/>
              </w:rPr>
              <w:t>וחיפויי קיר</w:t>
            </w:r>
          </w:p>
        </w:tc>
        <w:tc>
          <w:tcPr>
            <w:tcW w:w="278" w:type="dxa"/>
          </w:tcPr>
          <w:p w:rsidR="00AF02E8" w:rsidRPr="00AF02E8" w:rsidP="00AF02E8">
            <w:pPr>
              <w:spacing w:line="240" w:lineRule="exact"/>
              <w:rPr>
                <w:rFonts w:ascii="Tahoma" w:eastAsia="Calibri" w:hAnsi="Tahoma" w:cs="Tahoma"/>
                <w:sz w:val="19"/>
                <w:szCs w:val="19"/>
                <w:rtl/>
              </w:rPr>
            </w:pPr>
          </w:p>
        </w:tc>
        <w:tc>
          <w:tcPr>
            <w:tcW w:w="2273" w:type="dxa"/>
          </w:tcPr>
          <w:p w:rsidR="00AF02E8" w:rsidRPr="00AF02E8" w:rsidP="00AF02E8">
            <w:pPr>
              <w:spacing w:line="240" w:lineRule="auto"/>
              <w:ind w:right="23"/>
              <w:rPr>
                <w:rFonts w:ascii="Tahoma" w:eastAsia="Calibri" w:hAnsi="Tahoma" w:cs="Tahoma"/>
                <w:sz w:val="19"/>
                <w:szCs w:val="19"/>
                <w:rtl/>
              </w:rPr>
            </w:pPr>
            <w:r w:rsidRPr="00AF02E8">
              <w:rPr>
                <w:rFonts w:ascii="Tahoma" w:eastAsia="Calibri" w:hAnsi="Tahoma" w:cs="Tahoma"/>
                <w:sz w:val="19"/>
                <w:szCs w:val="19"/>
                <w:rtl/>
              </w:rPr>
              <w:t>מהמרחבים המוגנים שנבדקו נמצא ליקוי אחד לפחות הנוגע לתקינות גומיות האיטום של הדלת ולתקינות מנגנון הנעילה</w:t>
            </w:r>
          </w:p>
          <w:p w:rsidR="00AF02E8" w:rsidRPr="00AF02E8" w:rsidP="00AF02E8">
            <w:pPr>
              <w:spacing w:line="240" w:lineRule="auto"/>
              <w:rPr>
                <w:rFonts w:ascii="Tahoma" w:eastAsia="Calibri" w:hAnsi="Tahoma" w:cs="Tahoma"/>
                <w:sz w:val="19"/>
                <w:szCs w:val="19"/>
                <w:rtl/>
              </w:rPr>
            </w:pPr>
          </w:p>
        </w:tc>
        <w:tc>
          <w:tcPr>
            <w:tcW w:w="279" w:type="dxa"/>
          </w:tcPr>
          <w:p w:rsidR="00AF02E8" w:rsidRPr="00AF02E8" w:rsidP="00AF02E8">
            <w:pPr>
              <w:spacing w:line="240" w:lineRule="exact"/>
              <w:rPr>
                <w:rFonts w:ascii="Tahoma" w:eastAsia="Calibri" w:hAnsi="Tahoma" w:cs="Tahoma"/>
                <w:sz w:val="19"/>
                <w:szCs w:val="19"/>
                <w:rtl/>
              </w:rPr>
            </w:pPr>
          </w:p>
        </w:tc>
        <w:tc>
          <w:tcPr>
            <w:tcW w:w="2273" w:type="dxa"/>
          </w:tcPr>
          <w:p w:rsidR="00AF02E8" w:rsidRPr="00AF02E8" w:rsidP="00AF02E8">
            <w:pPr>
              <w:spacing w:line="240" w:lineRule="auto"/>
              <w:ind w:right="23"/>
              <w:rPr>
                <w:rFonts w:ascii="Tahoma" w:eastAsia="Calibri" w:hAnsi="Tahoma" w:cs="Tahoma"/>
                <w:sz w:val="19"/>
                <w:szCs w:val="19"/>
                <w:rtl/>
              </w:rPr>
            </w:pPr>
            <w:r w:rsidRPr="00AF02E8">
              <w:rPr>
                <w:rFonts w:ascii="Tahoma" w:eastAsia="Calibri" w:hAnsi="Tahoma" w:cs="Tahoma"/>
                <w:sz w:val="19"/>
                <w:szCs w:val="19"/>
                <w:rtl/>
              </w:rPr>
              <w:t>מהמרחבים המוגנים שנבדקו נמצא ליקוי אחד לפחות הנוגע להיעדר גומיות איטום בפתחי האוורור, לאי-הברגה או חוסר חיזוק של מכסי האוורור באמצעות ברג</w:t>
            </w:r>
            <w:r w:rsidRPr="00AF02E8">
              <w:rPr>
                <w:rFonts w:ascii="Tahoma" w:eastAsia="Calibri" w:hAnsi="Tahoma" w:cs="Tahoma"/>
                <w:sz w:val="19"/>
                <w:szCs w:val="19"/>
                <w:rtl/>
              </w:rPr>
              <w:t xml:space="preserve">ים ולהיעדר חלקי או מלא של הברגים ומכסי האוורור </w:t>
            </w:r>
          </w:p>
          <w:p w:rsidR="00AF02E8" w:rsidRPr="00AF02E8" w:rsidP="00AF02E8">
            <w:pPr>
              <w:spacing w:line="240" w:lineRule="auto"/>
              <w:ind w:right="23"/>
              <w:rPr>
                <w:rFonts w:ascii="Tahoma" w:eastAsia="Calibri" w:hAnsi="Tahoma" w:cs="Tahoma"/>
                <w:sz w:val="19"/>
                <w:szCs w:val="19"/>
                <w:rtl/>
              </w:rPr>
            </w:pPr>
          </w:p>
        </w:tc>
        <w:tc>
          <w:tcPr>
            <w:tcW w:w="278" w:type="dxa"/>
          </w:tcPr>
          <w:p w:rsidR="00AF02E8" w:rsidRPr="00AF02E8" w:rsidP="00AF02E8">
            <w:pPr>
              <w:spacing w:line="240" w:lineRule="exact"/>
              <w:rPr>
                <w:rFonts w:ascii="Tahoma" w:eastAsia="Calibri" w:hAnsi="Tahoma" w:cs="Tahoma"/>
                <w:sz w:val="19"/>
                <w:szCs w:val="19"/>
                <w:rtl/>
              </w:rPr>
            </w:pPr>
          </w:p>
        </w:tc>
        <w:tc>
          <w:tcPr>
            <w:tcW w:w="1848" w:type="dxa"/>
          </w:tcPr>
          <w:p w:rsidR="00AF02E8" w:rsidRPr="00AF02E8" w:rsidP="00AF02E8">
            <w:pPr>
              <w:spacing w:line="240" w:lineRule="auto"/>
              <w:ind w:right="23"/>
              <w:rPr>
                <w:rFonts w:ascii="Tahoma" w:eastAsia="Calibri" w:hAnsi="Tahoma" w:cs="Tahoma"/>
                <w:sz w:val="19"/>
                <w:szCs w:val="19"/>
                <w:rtl/>
              </w:rPr>
            </w:pPr>
          </w:p>
          <w:p w:rsidR="00AF02E8" w:rsidRPr="00AF02E8" w:rsidP="00AF02E8">
            <w:pPr>
              <w:spacing w:line="240" w:lineRule="auto"/>
              <w:ind w:firstLine="720"/>
              <w:rPr>
                <w:rFonts w:ascii="Tahoma" w:eastAsia="Calibri" w:hAnsi="Tahoma" w:cs="Tahoma"/>
                <w:sz w:val="19"/>
                <w:szCs w:val="19"/>
                <w:rtl/>
              </w:rPr>
            </w:pPr>
          </w:p>
        </w:tc>
      </w:tr>
    </w:tbl>
    <w:p w:rsidR="001D3DA9" w:rsidRPr="00AF02E8" w:rsidP="001D3DA9">
      <w:pPr>
        <w:spacing w:line="288" w:lineRule="auto"/>
        <w:ind w:left="-1"/>
        <w:rPr>
          <w:sz w:val="10"/>
          <w:szCs w:val="14"/>
          <w:rtl/>
        </w:rPr>
      </w:pPr>
    </w:p>
    <w:p w:rsidR="00AF02E8" w:rsidP="001D3DA9">
      <w:pPr>
        <w:spacing w:line="288" w:lineRule="auto"/>
        <w:ind w:left="-1"/>
        <w:rPr>
          <w:sz w:val="10"/>
          <w:szCs w:val="14"/>
          <w:rtl/>
        </w:rPr>
      </w:pPr>
    </w:p>
    <w:p w:rsidR="001D3DA9" w:rsidP="00794CAC"/>
    <w:tbl>
      <w:tblPr>
        <w:tblStyle w:val="TableGrid"/>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65"/>
      </w:tblGrid>
      <w:tr w:rsidTr="000314B9">
        <w:tblPrEx>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8865" w:type="dxa"/>
            <w:vAlign w:val="center"/>
          </w:tcPr>
          <w:p w:rsidR="001D3DA9" w:rsidRPr="006C4033" w:rsidP="000314B9">
            <w:pPr>
              <w:spacing w:line="288" w:lineRule="auto"/>
              <w:ind w:left="-1"/>
              <w:rPr>
                <w:rFonts w:ascii="Tahoma" w:hAnsi="Tahoma" w:cs="Tahoma"/>
                <w:sz w:val="17"/>
                <w:szCs w:val="17"/>
                <w:rtl/>
              </w:rPr>
            </w:pPr>
            <w:r w:rsidRPr="006C4033">
              <w:rPr>
                <w:rFonts w:ascii="Tahoma" w:hAnsi="Tahoma" w:cs="Tahoma"/>
                <w:noProof/>
              </w:rPr>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794CAC" w:rsidRPr="00794CAC" w:rsidP="00794CAC">
      <w:pPr>
        <w:pStyle w:val="73"/>
        <w:spacing w:after="120"/>
        <w:ind w:left="851"/>
        <w:rPr>
          <w:sz w:val="19"/>
          <w:szCs w:val="19"/>
          <w:rtl/>
        </w:rPr>
      </w:pPr>
      <w:r w:rsidRPr="00084768">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4CAC">
        <w:rPr>
          <w:sz w:val="19"/>
          <w:szCs w:val="19"/>
          <w:rtl/>
        </w:rPr>
        <w:t xml:space="preserve">בספטמבר 2025 ערך מבקר המדינה ביקורת פתע בנושא המרחבים המוגנים במוסדות ציבור. מטרת הביקורת הייתה לבחון, בזמן אמת, את רמת התקינות והתחזוקה של המרחבים המוגנים בכמה מבנים של מוסדות ציבור (המוסדות) </w:t>
      </w:r>
      <w:r w:rsidRPr="00794CAC">
        <w:rPr>
          <w:sz w:val="19"/>
          <w:szCs w:val="19"/>
          <w:rtl/>
        </w:rPr>
        <w:t>המספקים שירותים חיוניים לקהל הרחב, ובהם המוסד לביטוח לאומי (בט"ל), שירות התעסוקה, שירותי בריאות כללית (הכללית), מכבי שירותי בריאות (מכבי) ותחנות לבריאות המשפחה (טיפות חלב) שמפעיל משרד הבריאות. בביקורת נבדקו נגישות המרחב המוגן, פנים המרחב המוגן, תקינות פתחי</w:t>
      </w:r>
      <w:r w:rsidRPr="00794CAC">
        <w:rPr>
          <w:sz w:val="19"/>
          <w:szCs w:val="19"/>
          <w:rtl/>
        </w:rPr>
        <w:t>ם ומסגרות (הדלתות, החלונות, צינורות האוורור, המעקות והסולמות), מערכת האינסטלציה והתברואה, החשמל והתקשורת וכן ציוד נלווה. הבדיקות שבוצעו במרחבים המוגנים התמקדו בהוראות מסוימות בדיני ההתגוננות הנוגעות להיבטי תקינות ותחזוקה של המרחבים המוגנים, ולא בכלל ההוראו</w:t>
      </w:r>
      <w:r w:rsidRPr="00794CAC">
        <w:rPr>
          <w:sz w:val="19"/>
          <w:szCs w:val="19"/>
          <w:rtl/>
        </w:rPr>
        <w:t>ת בנושא זה (כך למשל, לא נכללו בבדיקה היבטים הנדסיים קונסטרוקטיביים של המרחבים המוגנים - כגון עובי הקירות, סוג הבטון וכד').</w:t>
      </w:r>
    </w:p>
    <w:p w:rsidR="00794CAC" w:rsidRPr="00794CAC" w:rsidP="00794CAC">
      <w:pPr>
        <w:pStyle w:val="73"/>
        <w:spacing w:after="120"/>
        <w:ind w:left="851"/>
        <w:rPr>
          <w:sz w:val="19"/>
          <w:szCs w:val="19"/>
          <w:rtl/>
        </w:rPr>
      </w:pPr>
      <w:r w:rsidRPr="00794CAC">
        <w:rPr>
          <w:sz w:val="19"/>
          <w:szCs w:val="19"/>
          <w:rtl/>
        </w:rPr>
        <w:t xml:space="preserve">נוכח חשיבות הנושא והמשך הלחימה, נערכה הביקורת במתכונת של "ביקורת פתע". במהלך יומיים רצופים נבדקו מרחבים מוגנים ב-16 מבנים של המוסדות </w:t>
      </w:r>
      <w:r w:rsidRPr="00794CAC">
        <w:rPr>
          <w:sz w:val="19"/>
          <w:szCs w:val="19"/>
          <w:rtl/>
        </w:rPr>
        <w:t>ברחבי הארץ (במרכז ובפריפריה, ביישובי מיעוטים וביישובים חרדיים). ההודעה על הביקור נמסרה למוסדות יום-יומיים בלבד לפני מועדו. הבדיקה נערכה בסיוע ובליווי של חברת ייעוץ חיצונית.</w:t>
      </w:r>
    </w:p>
    <w:p w:rsidR="001D3DA9" w:rsidRPr="00084768" w:rsidP="00794CAC">
      <w:pPr>
        <w:pStyle w:val="73"/>
        <w:ind w:left="851"/>
        <w:rPr>
          <w:sz w:val="19"/>
          <w:szCs w:val="19"/>
        </w:rPr>
      </w:pPr>
      <w:r w:rsidRPr="00794CAC">
        <w:rPr>
          <w:sz w:val="19"/>
          <w:szCs w:val="19"/>
          <w:rtl/>
        </w:rPr>
        <w:t>יודגש שממצאי הבדיקה מתייחסים למרחבים המוגנים שנבדקו בלבד, ואין להסיק מהם על שאר המר</w:t>
      </w:r>
      <w:r w:rsidRPr="00794CAC">
        <w:rPr>
          <w:sz w:val="19"/>
          <w:szCs w:val="19"/>
          <w:rtl/>
        </w:rPr>
        <w:t>חבים המוגנים בכל מוסד. עם זאת, נדרש מהמוסדות שנבדקו לפעול לאיתור ליקויים במרחבים המוגנים, ולבחון אם הליקויים שהועלו בדוח זה, בכל התחומים, קיימים גם בשאר המרחבים המוגנים שבאחריותם, ובהתאם עליהם לפעול לתיקונם.</w:t>
      </w:r>
    </w:p>
    <w:p w:rsidR="001D3DA9" w:rsidRPr="006C4033" w:rsidP="001D3DA9">
      <w:pPr>
        <w:spacing w:before="600" w:line="288"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P="001D3DA9">
      <w:pPr>
        <w:spacing w:before="240" w:after="240"/>
        <w:rPr>
          <w:rtl/>
        </w:rPr>
      </w:pPr>
      <w:r>
        <w:rPr>
          <w:noProof/>
          <w:rt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D5268C" w:rsidRPr="006216E0" w:rsidP="00D5268C">
      <w:pPr>
        <w:pStyle w:val="73"/>
        <w:numPr>
          <w:ilvl w:val="0"/>
          <w:numId w:val="25"/>
        </w:numPr>
        <w:rPr>
          <w:rFonts w:eastAsia="Calibri"/>
          <w:sz w:val="19"/>
          <w:szCs w:val="19"/>
        </w:rPr>
      </w:pPr>
      <w:bookmarkStart w:id="3" w:name="_Hlk233103867"/>
      <w:r w:rsidRPr="006216E0">
        <w:rPr>
          <w:rFonts w:eastAsia="Calibri"/>
          <w:b/>
          <w:bCs/>
          <w:sz w:val="19"/>
          <w:szCs w:val="19"/>
          <w:rtl/>
        </w:rPr>
        <w:t>מיפוי המרחבים המוגנים במוסדות הציבור שנבדקו</w:t>
      </w:r>
      <w:r>
        <w:rPr>
          <w:rFonts w:eastAsia="Calibri" w:hint="cs"/>
          <w:sz w:val="19"/>
          <w:szCs w:val="19"/>
          <w:rtl/>
        </w:rPr>
        <w:t xml:space="preserve"> </w:t>
      </w:r>
      <w:r>
        <w:rPr>
          <w:rFonts w:eastAsia="Calibri" w:hint="cs"/>
          <w:sz w:val="19"/>
          <w:szCs w:val="19"/>
          <w:rtl/>
        </w:rPr>
        <w:t xml:space="preserve">- </w:t>
      </w:r>
      <w:bookmarkStart w:id="4" w:name="_Hlk233103843"/>
      <w:r w:rsidRPr="006216E0">
        <w:rPr>
          <w:rFonts w:eastAsia="Calibri"/>
          <w:sz w:val="19"/>
          <w:szCs w:val="19"/>
          <w:rtl/>
        </w:rPr>
        <w:t xml:space="preserve">עלה כי </w:t>
      </w:r>
      <w:r w:rsidRPr="00D5268C">
        <w:rPr>
          <w:rFonts w:hint="cs"/>
          <w:sz w:val="19"/>
          <w:szCs w:val="19"/>
          <w:rtl/>
        </w:rPr>
        <w:t>נכון</w:t>
      </w:r>
      <w:r w:rsidRPr="006216E0">
        <w:rPr>
          <w:rFonts w:eastAsia="Calibri" w:hint="cs"/>
          <w:sz w:val="19"/>
          <w:szCs w:val="19"/>
          <w:rtl/>
        </w:rPr>
        <w:t xml:space="preserve"> לספטמבר 2025, </w:t>
      </w:r>
      <w:r w:rsidRPr="006216E0">
        <w:rPr>
          <w:rFonts w:eastAsia="Calibri"/>
          <w:sz w:val="19"/>
          <w:szCs w:val="19"/>
          <w:rtl/>
        </w:rPr>
        <w:t xml:space="preserve">במבנים של </w:t>
      </w:r>
      <w:r w:rsidRPr="006216E0">
        <w:rPr>
          <w:rFonts w:eastAsia="Calibri" w:hint="cs"/>
          <w:sz w:val="19"/>
          <w:szCs w:val="19"/>
          <w:rtl/>
        </w:rPr>
        <w:t xml:space="preserve">חמשת </w:t>
      </w:r>
      <w:r w:rsidRPr="006216E0">
        <w:rPr>
          <w:rFonts w:eastAsia="Calibri"/>
          <w:sz w:val="19"/>
          <w:szCs w:val="19"/>
          <w:rtl/>
        </w:rPr>
        <w:t xml:space="preserve">מוסדות </w:t>
      </w:r>
      <w:r w:rsidRPr="006216E0">
        <w:rPr>
          <w:rFonts w:eastAsia="Calibri" w:hint="cs"/>
          <w:sz w:val="19"/>
          <w:szCs w:val="19"/>
          <w:rtl/>
        </w:rPr>
        <w:t>ה</w:t>
      </w:r>
      <w:r w:rsidRPr="006216E0">
        <w:rPr>
          <w:rFonts w:eastAsia="Calibri"/>
          <w:sz w:val="19"/>
          <w:szCs w:val="19"/>
          <w:rtl/>
        </w:rPr>
        <w:t xml:space="preserve">ציבור </w:t>
      </w:r>
      <w:r w:rsidRPr="006216E0">
        <w:rPr>
          <w:rFonts w:eastAsia="Calibri" w:hint="cs"/>
          <w:sz w:val="19"/>
          <w:szCs w:val="19"/>
          <w:rtl/>
        </w:rPr>
        <w:t xml:space="preserve">שנבדקו </w:t>
      </w:r>
      <w:r w:rsidRPr="006216E0">
        <w:rPr>
          <w:rFonts w:eastAsia="Calibri"/>
          <w:sz w:val="19"/>
          <w:szCs w:val="19"/>
          <w:rtl/>
        </w:rPr>
        <w:t xml:space="preserve">קיימים פערי מיגון שנעים בין </w:t>
      </w:r>
      <w:r w:rsidRPr="006216E0">
        <w:rPr>
          <w:rFonts w:eastAsia="Calibri" w:hint="cs"/>
          <w:sz w:val="19"/>
          <w:szCs w:val="19"/>
          <w:rtl/>
        </w:rPr>
        <w:t>כ-</w:t>
      </w:r>
      <w:r w:rsidRPr="006216E0">
        <w:rPr>
          <w:rFonts w:eastAsia="Calibri"/>
          <w:sz w:val="19"/>
          <w:szCs w:val="19"/>
          <w:rtl/>
        </w:rPr>
        <w:t xml:space="preserve">8% מהמבנים ועד כ-23%: בבט"ל </w:t>
      </w:r>
      <w:r>
        <w:rPr>
          <w:rFonts w:eastAsia="Calibri"/>
          <w:sz w:val="19"/>
          <w:szCs w:val="19"/>
          <w:rtl/>
        </w:rPr>
        <w:br/>
      </w:r>
      <w:r w:rsidRPr="006216E0">
        <w:rPr>
          <w:rFonts w:eastAsia="Calibri"/>
          <w:sz w:val="19"/>
          <w:szCs w:val="19"/>
          <w:rtl/>
        </w:rPr>
        <w:t xml:space="preserve">בכ-8% מהמבנים </w:t>
      </w:r>
      <w:r w:rsidRPr="006216E0">
        <w:rPr>
          <w:rFonts w:eastAsia="Calibri" w:hint="cs"/>
          <w:sz w:val="19"/>
          <w:szCs w:val="19"/>
          <w:rtl/>
        </w:rPr>
        <w:t xml:space="preserve">לא היה מיגון </w:t>
      </w:r>
      <w:r w:rsidRPr="006216E0">
        <w:rPr>
          <w:rFonts w:eastAsia="Calibri"/>
          <w:sz w:val="19"/>
          <w:szCs w:val="19"/>
          <w:rtl/>
        </w:rPr>
        <w:t>ובכללית בכ-23% מהמבנים (בבט"ל 7 מבנים מתוך 90 מבנים ובכללית 383 מבנים מתוך 1</w:t>
      </w:r>
      <w:r w:rsidRPr="006216E0">
        <w:rPr>
          <w:rFonts w:eastAsia="Calibri" w:hint="cs"/>
          <w:sz w:val="19"/>
          <w:szCs w:val="19"/>
          <w:rtl/>
        </w:rPr>
        <w:t>,</w:t>
      </w:r>
      <w:r w:rsidRPr="006216E0">
        <w:rPr>
          <w:rFonts w:eastAsia="Calibri"/>
          <w:sz w:val="19"/>
          <w:szCs w:val="19"/>
          <w:rtl/>
        </w:rPr>
        <w:t xml:space="preserve">640) ובשירות התעסוקה ובטיפת חלב בכ-22% מהמבנים </w:t>
      </w:r>
      <w:r w:rsidRPr="006216E0">
        <w:rPr>
          <w:rFonts w:eastAsia="Calibri" w:hint="cs"/>
          <w:sz w:val="19"/>
          <w:szCs w:val="19"/>
          <w:rtl/>
        </w:rPr>
        <w:t>לא היה</w:t>
      </w:r>
      <w:r w:rsidRPr="006216E0">
        <w:rPr>
          <w:rFonts w:eastAsia="Calibri"/>
          <w:sz w:val="19"/>
          <w:szCs w:val="19"/>
          <w:rtl/>
        </w:rPr>
        <w:t xml:space="preserve"> מיגון (בשירות התעסוקה 19 מבנים מתוך 86 מבנים ובטיפת החלב 78 מבנים מתוך 357 מבנים).</w:t>
      </w:r>
      <w:r w:rsidRPr="006216E0">
        <w:rPr>
          <w:rFonts w:eastAsia="Calibri" w:hint="cs"/>
          <w:sz w:val="19"/>
          <w:szCs w:val="19"/>
          <w:rtl/>
        </w:rPr>
        <w:t xml:space="preserve"> </w:t>
      </w:r>
      <w:r w:rsidRPr="006216E0">
        <w:rPr>
          <w:rFonts w:eastAsia="Calibri"/>
          <w:sz w:val="19"/>
          <w:szCs w:val="19"/>
          <w:rtl/>
        </w:rPr>
        <w:t>במכבי שיעור המבנים ש</w:t>
      </w:r>
      <w:r w:rsidRPr="006216E0">
        <w:rPr>
          <w:rFonts w:eastAsia="Calibri" w:hint="cs"/>
          <w:sz w:val="19"/>
          <w:szCs w:val="19"/>
          <w:rtl/>
        </w:rPr>
        <w:t>לא היה</w:t>
      </w:r>
      <w:r w:rsidRPr="006216E0">
        <w:rPr>
          <w:rFonts w:eastAsia="Calibri"/>
          <w:sz w:val="19"/>
          <w:szCs w:val="19"/>
          <w:rtl/>
        </w:rPr>
        <w:t xml:space="preserve"> בהם מיגון הוא כ-12% (37 מבנים מתוך 313 מבנים).</w:t>
      </w:r>
    </w:p>
    <w:bookmarkEnd w:id="4"/>
    <w:p w:rsidR="00D5268C" w:rsidRPr="006216E0" w:rsidP="00D5268C">
      <w:pPr>
        <w:pStyle w:val="73"/>
        <w:numPr>
          <w:ilvl w:val="0"/>
          <w:numId w:val="25"/>
        </w:numPr>
        <w:rPr>
          <w:rFonts w:eastAsia="Calibri"/>
          <w:sz w:val="19"/>
          <w:szCs w:val="19"/>
          <w:rtl/>
        </w:rPr>
      </w:pPr>
      <w:r w:rsidRPr="006216E0">
        <w:rPr>
          <w:rFonts w:eastAsia="Calibri"/>
          <w:b/>
          <w:bCs/>
          <w:sz w:val="19"/>
          <w:szCs w:val="19"/>
          <w:rtl/>
        </w:rPr>
        <w:t>הגישה למרחב המוגן</w:t>
      </w:r>
      <w:r w:rsidRPr="006216E0">
        <w:rPr>
          <w:rFonts w:eastAsia="Calibri"/>
          <w:sz w:val="19"/>
          <w:szCs w:val="19"/>
          <w:rtl/>
        </w:rPr>
        <w:t xml:space="preserve"> </w:t>
      </w:r>
      <w:r>
        <w:rPr>
          <w:rFonts w:eastAsia="Calibri" w:hint="cs"/>
          <w:sz w:val="19"/>
          <w:szCs w:val="19"/>
          <w:rtl/>
        </w:rPr>
        <w:t xml:space="preserve">- </w:t>
      </w:r>
      <w:r w:rsidRPr="006216E0">
        <w:rPr>
          <w:rFonts w:eastAsia="Calibri"/>
          <w:sz w:val="19"/>
          <w:szCs w:val="19"/>
          <w:rtl/>
        </w:rPr>
        <w:t>אף ש</w:t>
      </w:r>
      <w:r w:rsidRPr="006216E0">
        <w:rPr>
          <w:rFonts w:eastAsia="Calibri" w:hint="cs"/>
          <w:sz w:val="19"/>
          <w:szCs w:val="19"/>
          <w:rtl/>
        </w:rPr>
        <w:t xml:space="preserve">לפי </w:t>
      </w:r>
      <w:r w:rsidRPr="006216E0">
        <w:rPr>
          <w:rFonts w:eastAsia="Calibri"/>
          <w:sz w:val="19"/>
          <w:szCs w:val="19"/>
          <w:rtl/>
        </w:rPr>
        <w:t>דיני ההתגוננות הא</w:t>
      </w:r>
      <w:r w:rsidRPr="006216E0">
        <w:rPr>
          <w:rFonts w:eastAsia="Calibri"/>
          <w:sz w:val="19"/>
          <w:szCs w:val="19"/>
          <w:rtl/>
        </w:rPr>
        <w:t>זרחית</w:t>
      </w:r>
      <w:r w:rsidRPr="006216E0">
        <w:rPr>
          <w:rFonts w:eastAsia="Calibri" w:hint="cs"/>
          <w:sz w:val="19"/>
          <w:szCs w:val="19"/>
          <w:rtl/>
        </w:rPr>
        <w:t>,</w:t>
      </w:r>
      <w:r w:rsidRPr="006216E0">
        <w:rPr>
          <w:rFonts w:eastAsia="Calibri"/>
          <w:sz w:val="19"/>
          <w:szCs w:val="19"/>
          <w:rtl/>
        </w:rPr>
        <w:t xml:space="preserve"> איתור המרחב המוגן וזיהויו בעת חירום יהיה קל ומהיר, והגישה אליו תהיה פנויה מחפצים העלולים למנוע כניסה מהירה אליו או לעכבה, בפועל בביקורת נמצא כי ב</w:t>
      </w:r>
      <w:r w:rsidRPr="006216E0">
        <w:rPr>
          <w:rFonts w:eastAsia="Calibri" w:hint="cs"/>
          <w:sz w:val="19"/>
          <w:szCs w:val="19"/>
          <w:rtl/>
        </w:rPr>
        <w:t>תשעה</w:t>
      </w:r>
      <w:r w:rsidRPr="006216E0">
        <w:rPr>
          <w:rFonts w:eastAsia="Calibri"/>
          <w:sz w:val="19"/>
          <w:szCs w:val="19"/>
          <w:rtl/>
        </w:rPr>
        <w:t xml:space="preserve"> מבנים (שלושה מבנים של שירות התעסוקה בשפרעם, בחוצות המפרץ ובירושלים, מבנ</w:t>
      </w:r>
      <w:r w:rsidRPr="006216E0">
        <w:rPr>
          <w:rFonts w:eastAsia="Calibri" w:hint="cs"/>
          <w:sz w:val="19"/>
          <w:szCs w:val="19"/>
          <w:rtl/>
        </w:rPr>
        <w:t>ים</w:t>
      </w:r>
      <w:r w:rsidRPr="006216E0">
        <w:rPr>
          <w:rFonts w:eastAsia="Calibri"/>
          <w:sz w:val="19"/>
          <w:szCs w:val="19"/>
          <w:rtl/>
        </w:rPr>
        <w:t xml:space="preserve"> של בט"ל בקריית חיים</w:t>
      </w:r>
      <w:r w:rsidRPr="006216E0">
        <w:rPr>
          <w:rFonts w:eastAsia="Calibri" w:hint="cs"/>
          <w:sz w:val="19"/>
          <w:szCs w:val="19"/>
          <w:rtl/>
        </w:rPr>
        <w:t xml:space="preserve"> ובירו</w:t>
      </w:r>
      <w:r w:rsidRPr="006216E0">
        <w:rPr>
          <w:rFonts w:eastAsia="Calibri" w:hint="cs"/>
          <w:sz w:val="19"/>
          <w:szCs w:val="19"/>
          <w:rtl/>
        </w:rPr>
        <w:t>שלים</w:t>
      </w:r>
      <w:r w:rsidRPr="006216E0">
        <w:rPr>
          <w:rFonts w:eastAsia="Calibri"/>
          <w:sz w:val="19"/>
          <w:szCs w:val="19"/>
          <w:rtl/>
        </w:rPr>
        <w:t xml:space="preserve">, מבנה של מכבי באור יהודה ושלושה מבנים של טיפת חלב ברהט, באלעד ובקריית יערים) השילוט לא היה בולט דיו ולא היה בצבע פולט אור; </w:t>
      </w:r>
      <w:bookmarkStart w:id="5" w:name="_Hlk231632618"/>
      <w:r w:rsidRPr="006216E0">
        <w:rPr>
          <w:rFonts w:eastAsia="Calibri"/>
          <w:sz w:val="19"/>
          <w:szCs w:val="19"/>
          <w:rtl/>
        </w:rPr>
        <w:t>בארבעה מבנים (שני מבנים של בט"ל בירושלים ובאשדוד, מבנה של שירות התעסוקה בירושלים ומבנה של הכללית ביהוד) נמצאו ליקויים הנוגעים לש</w:t>
      </w:r>
      <w:r w:rsidRPr="006216E0">
        <w:rPr>
          <w:rFonts w:eastAsia="Calibri"/>
          <w:sz w:val="19"/>
          <w:szCs w:val="19"/>
          <w:rtl/>
        </w:rPr>
        <w:t>מירת המרחב המוגן פנוי מחפצים ומכשולים.</w:t>
      </w:r>
    </w:p>
    <w:bookmarkEnd w:id="5"/>
    <w:p w:rsidR="00D5268C" w:rsidRPr="006216E0" w:rsidP="00D5268C">
      <w:pPr>
        <w:pStyle w:val="73"/>
        <w:numPr>
          <w:ilvl w:val="0"/>
          <w:numId w:val="25"/>
        </w:numPr>
        <w:rPr>
          <w:rFonts w:eastAsia="Calibri"/>
          <w:sz w:val="19"/>
          <w:szCs w:val="19"/>
        </w:rPr>
      </w:pPr>
      <w:r w:rsidRPr="006216E0">
        <w:rPr>
          <w:rFonts w:eastAsia="Calibri"/>
          <w:b/>
          <w:bCs/>
          <w:sz w:val="19"/>
          <w:szCs w:val="19"/>
          <w:rtl/>
        </w:rPr>
        <w:t>פנים המרחב המוגן</w:t>
      </w:r>
      <w:r>
        <w:rPr>
          <w:rFonts w:eastAsia="Calibri" w:hint="cs"/>
          <w:sz w:val="19"/>
          <w:szCs w:val="19"/>
          <w:rtl/>
        </w:rPr>
        <w:t xml:space="preserve"> - </w:t>
      </w:r>
      <w:r w:rsidRPr="006216E0">
        <w:rPr>
          <w:rFonts w:eastAsia="Calibri"/>
          <w:sz w:val="19"/>
          <w:szCs w:val="19"/>
          <w:rtl/>
        </w:rPr>
        <w:t>אף ש</w:t>
      </w:r>
      <w:r w:rsidRPr="006216E0">
        <w:rPr>
          <w:rFonts w:eastAsia="Calibri" w:hint="cs"/>
          <w:sz w:val="19"/>
          <w:szCs w:val="19"/>
          <w:rtl/>
        </w:rPr>
        <w:t xml:space="preserve">לפי </w:t>
      </w:r>
      <w:r w:rsidRPr="006216E0">
        <w:rPr>
          <w:rFonts w:eastAsia="Calibri"/>
          <w:sz w:val="19"/>
          <w:szCs w:val="19"/>
          <w:rtl/>
        </w:rPr>
        <w:t>דיני ההתגוננות האזרחית</w:t>
      </w:r>
      <w:r w:rsidRPr="006216E0">
        <w:rPr>
          <w:rFonts w:eastAsia="Calibri" w:hint="cs"/>
          <w:sz w:val="19"/>
          <w:szCs w:val="19"/>
          <w:rtl/>
        </w:rPr>
        <w:t>,</w:t>
      </w:r>
      <w:r w:rsidRPr="006216E0">
        <w:rPr>
          <w:rFonts w:eastAsia="Calibri"/>
          <w:sz w:val="19"/>
          <w:szCs w:val="19"/>
          <w:rtl/>
        </w:rPr>
        <w:t xml:space="preserve"> פנים המרחב המוגן צריך לאפשר שהייה בטוחה, פנויה ונגישה המאפשרת שימוש בעת חירום, ועל המרחב המוגן להיות מסודר, נקי ומאורגן ולכלול שילוט בולט ופולט אור להתמצאות בעלטה, בפ</w:t>
      </w:r>
      <w:r w:rsidRPr="006216E0">
        <w:rPr>
          <w:rFonts w:eastAsia="Calibri"/>
          <w:sz w:val="19"/>
          <w:szCs w:val="19"/>
          <w:rtl/>
        </w:rPr>
        <w:t>ועל בביקורת נמצא כי ב-15 מתוך 16 המרחבים המוגנים שנבדקו נמצא ליקוי אחד לפחות הנוגע להיעדר שילוט פולט אור או לסימון חלקי במרכיבי המרחב המוגן, לאי-סדר ולחוסר ארגון, להימצאות אביזרים וחיפויי קיר ולהימצאות סדקים, חורים וקידוחים להעברת תשתיות</w:t>
      </w:r>
      <w:r w:rsidRPr="006216E0">
        <w:rPr>
          <w:rFonts w:eastAsia="Calibri" w:hint="cs"/>
          <w:sz w:val="19"/>
          <w:szCs w:val="19"/>
          <w:rtl/>
        </w:rPr>
        <w:t xml:space="preserve"> (בשירות התעסוקה - </w:t>
      </w:r>
      <w:r w:rsidRPr="006216E0">
        <w:rPr>
          <w:rFonts w:eastAsia="Calibri" w:hint="cs"/>
          <w:sz w:val="19"/>
          <w:szCs w:val="19"/>
          <w:rtl/>
        </w:rPr>
        <w:t>בשפרעם, בחוצות המפרץ ובירושלים; בבט"ל - בקריית חיים, באשדוד ובירושלים; בכללית - בנשר, ברהט וביהוד; במכבי - בקריית מוצקין, באשדוד ובאור יהודה; ובטיפות חלב - ברהט, באלעד ובקריית יערים)</w:t>
      </w:r>
      <w:r w:rsidRPr="006216E0">
        <w:rPr>
          <w:rFonts w:eastAsia="Calibri"/>
          <w:sz w:val="19"/>
          <w:szCs w:val="19"/>
          <w:rtl/>
        </w:rPr>
        <w:t>.</w:t>
      </w:r>
    </w:p>
    <w:p w:rsidR="00D5268C" w:rsidRPr="006216E0" w:rsidP="00D5268C">
      <w:pPr>
        <w:pStyle w:val="73"/>
        <w:numPr>
          <w:ilvl w:val="0"/>
          <w:numId w:val="25"/>
        </w:numPr>
        <w:rPr>
          <w:rFonts w:eastAsia="Calibri"/>
          <w:sz w:val="19"/>
          <w:szCs w:val="19"/>
        </w:rPr>
      </w:pPr>
      <w:r w:rsidRPr="006216E0">
        <w:rPr>
          <w:rFonts w:eastAsia="Calibri"/>
          <w:b/>
          <w:bCs/>
          <w:sz w:val="19"/>
          <w:szCs w:val="19"/>
          <w:rtl/>
        </w:rPr>
        <w:t>דלת המרחב המוגן</w:t>
      </w:r>
      <w:r>
        <w:rPr>
          <w:rFonts w:eastAsia="Calibri" w:hint="cs"/>
          <w:sz w:val="19"/>
          <w:szCs w:val="19"/>
          <w:rtl/>
        </w:rPr>
        <w:t xml:space="preserve"> - </w:t>
      </w:r>
      <w:r w:rsidRPr="006216E0">
        <w:rPr>
          <w:rFonts w:eastAsia="Calibri"/>
          <w:sz w:val="19"/>
          <w:szCs w:val="19"/>
          <w:rtl/>
        </w:rPr>
        <w:t>אף ש</w:t>
      </w:r>
      <w:r w:rsidRPr="006216E0">
        <w:rPr>
          <w:rFonts w:eastAsia="Calibri" w:hint="cs"/>
          <w:sz w:val="19"/>
          <w:szCs w:val="19"/>
          <w:rtl/>
        </w:rPr>
        <w:t xml:space="preserve">לפי </w:t>
      </w:r>
      <w:r w:rsidRPr="006216E0">
        <w:rPr>
          <w:rFonts w:eastAsia="Calibri"/>
          <w:sz w:val="19"/>
          <w:szCs w:val="19"/>
          <w:rtl/>
        </w:rPr>
        <w:t>דיני ההתגוננות האזרחית</w:t>
      </w:r>
      <w:r w:rsidRPr="006216E0">
        <w:rPr>
          <w:rFonts w:eastAsia="Calibri" w:hint="cs"/>
          <w:sz w:val="19"/>
          <w:szCs w:val="19"/>
          <w:rtl/>
        </w:rPr>
        <w:t>,</w:t>
      </w:r>
      <w:r w:rsidRPr="006216E0">
        <w:rPr>
          <w:rFonts w:eastAsia="Calibri"/>
          <w:sz w:val="19"/>
          <w:szCs w:val="19"/>
          <w:rtl/>
        </w:rPr>
        <w:t xml:space="preserve"> על דלת המרחב המוגן לעמ</w:t>
      </w:r>
      <w:r w:rsidRPr="006216E0">
        <w:rPr>
          <w:rFonts w:eastAsia="Calibri"/>
          <w:sz w:val="19"/>
          <w:szCs w:val="19"/>
          <w:rtl/>
        </w:rPr>
        <w:t>וד בתקן הישראלי לדלת הדף ושגומיות האיטום בה יהיו תקינות באופן המבטיח אטימות בפני הדף וגזים רעילים, בפועל בביקורת נמצאו ליקויים שעיקרם היו בנוגע לתקינות גומיות האיטום של הדלת ולתקינות מנגנון הנעילה שאינו מאפשר נעילה פשוטה ללא הפעלת כוח מיוחד. ב-5 מרחבים מוג</w:t>
      </w:r>
      <w:r w:rsidRPr="006216E0">
        <w:rPr>
          <w:rFonts w:eastAsia="Calibri"/>
          <w:sz w:val="19"/>
          <w:szCs w:val="19"/>
          <w:rtl/>
        </w:rPr>
        <w:t xml:space="preserve">נים </w:t>
      </w:r>
      <w:r w:rsidRPr="006216E0">
        <w:rPr>
          <w:rFonts w:eastAsia="Calibri" w:hint="cs"/>
          <w:sz w:val="19"/>
          <w:szCs w:val="19"/>
          <w:rtl/>
        </w:rPr>
        <w:t>עלה קושי</w:t>
      </w:r>
      <w:r w:rsidRPr="006216E0">
        <w:rPr>
          <w:rFonts w:eastAsia="Calibri"/>
          <w:sz w:val="19"/>
          <w:szCs w:val="19"/>
          <w:rtl/>
        </w:rPr>
        <w:t xml:space="preserve"> לסגור את דלת ההדף ולהפעיל את מנגנון הנעילה (בשירות התעסוקה - בשפרעם, בבט"ל - באשדוד, בכללית - ברהט, במכבי - באור יהודה, ובטיפת חלב - באלעד).</w:t>
      </w:r>
      <w:r w:rsidRPr="006216E0">
        <w:rPr>
          <w:rFonts w:eastAsia="Calibri"/>
          <w:rtl/>
        </w:rPr>
        <w:t xml:space="preserve"> </w:t>
      </w:r>
      <w:r w:rsidRPr="006216E0">
        <w:rPr>
          <w:rFonts w:eastAsia="Calibri"/>
          <w:sz w:val="19"/>
          <w:szCs w:val="19"/>
          <w:rtl/>
        </w:rPr>
        <w:t>ליקויים בנוגע לתקינות גומיות האיטום של הדלת נמצאו ב-11 מבנים (בשירות התעסוקה בשפרעם, חוצות המפרץ ובירו</w:t>
      </w:r>
      <w:r w:rsidRPr="006216E0">
        <w:rPr>
          <w:rFonts w:eastAsia="Calibri"/>
          <w:sz w:val="19"/>
          <w:szCs w:val="19"/>
          <w:rtl/>
        </w:rPr>
        <w:t>שלים; בבט"ל באשדוד, בקריית חיים וירושלים; במכבי בקריית מוצקין ובאשדוד; בכללית ברהט; ובשתי טיפות חלב - ברהט ובקריית יערים).</w:t>
      </w:r>
    </w:p>
    <w:p w:rsidR="00D5268C" w:rsidRPr="006216E0" w:rsidP="00D5268C">
      <w:pPr>
        <w:pStyle w:val="73"/>
        <w:numPr>
          <w:ilvl w:val="0"/>
          <w:numId w:val="25"/>
        </w:numPr>
        <w:rPr>
          <w:rFonts w:eastAsia="Calibri"/>
          <w:sz w:val="19"/>
          <w:szCs w:val="19"/>
          <w:rtl/>
        </w:rPr>
      </w:pPr>
      <w:r w:rsidRPr="006216E0">
        <w:rPr>
          <w:rFonts w:eastAsia="Calibri"/>
          <w:b/>
          <w:bCs/>
          <w:sz w:val="19"/>
          <w:szCs w:val="19"/>
          <w:rtl/>
        </w:rPr>
        <w:t>חלון הדף</w:t>
      </w:r>
      <w:r>
        <w:rPr>
          <w:rFonts w:eastAsia="Calibri" w:hint="cs"/>
          <w:b/>
          <w:bCs/>
          <w:sz w:val="19"/>
          <w:szCs w:val="19"/>
          <w:rtl/>
        </w:rPr>
        <w:t xml:space="preserve"> </w:t>
      </w:r>
      <w:r>
        <w:rPr>
          <w:rFonts w:eastAsia="Calibri" w:hint="cs"/>
          <w:sz w:val="19"/>
          <w:szCs w:val="19"/>
          <w:rtl/>
        </w:rPr>
        <w:t xml:space="preserve">- </w:t>
      </w:r>
      <w:r w:rsidRPr="006216E0">
        <w:rPr>
          <w:rFonts w:eastAsia="Calibri"/>
          <w:sz w:val="19"/>
          <w:szCs w:val="19"/>
          <w:rtl/>
        </w:rPr>
        <w:t>אף ש</w:t>
      </w:r>
      <w:r w:rsidRPr="006216E0">
        <w:rPr>
          <w:rFonts w:eastAsia="Calibri" w:hint="cs"/>
          <w:sz w:val="19"/>
          <w:szCs w:val="19"/>
          <w:rtl/>
        </w:rPr>
        <w:t xml:space="preserve">לפי </w:t>
      </w:r>
      <w:r w:rsidRPr="006216E0">
        <w:rPr>
          <w:rFonts w:eastAsia="Calibri"/>
          <w:sz w:val="19"/>
          <w:szCs w:val="19"/>
          <w:rtl/>
        </w:rPr>
        <w:t>דיני ההתגוננות האזרחית</w:t>
      </w:r>
      <w:r w:rsidRPr="006216E0">
        <w:rPr>
          <w:rFonts w:eastAsia="Calibri" w:hint="cs"/>
          <w:sz w:val="19"/>
          <w:szCs w:val="19"/>
          <w:rtl/>
        </w:rPr>
        <w:t>,</w:t>
      </w:r>
      <w:r w:rsidRPr="006216E0">
        <w:rPr>
          <w:rFonts w:eastAsia="Calibri"/>
          <w:sz w:val="19"/>
          <w:szCs w:val="19"/>
          <w:rtl/>
        </w:rPr>
        <w:t xml:space="preserve"> על חלון המרחב המוגן לעמוד בתקן הישראלי לחלון הדף ולחלון ביטחון ויהיו מותקנות בו גומיות איטום תקינות המבטיחות אטימות בפני הדף וגזים רעילים, בפועל בביקורת נמצאו ליקויים שעיקרם היו בנוגע לתקינות גומיות האיטום של חלון הביטחון הפנימי</w:t>
      </w:r>
      <w:r w:rsidRPr="006216E0">
        <w:rPr>
          <w:rFonts w:eastAsia="Calibri" w:hint="cs"/>
          <w:sz w:val="19"/>
          <w:szCs w:val="19"/>
          <w:rtl/>
        </w:rPr>
        <w:t xml:space="preserve"> בארבעה מבנים</w:t>
      </w:r>
      <w:r w:rsidRPr="006216E0">
        <w:rPr>
          <w:rFonts w:eastAsia="Calibri"/>
          <w:sz w:val="19"/>
          <w:szCs w:val="19"/>
          <w:rtl/>
        </w:rPr>
        <w:t xml:space="preserve"> (בטיפת חלב - </w:t>
      </w:r>
      <w:r w:rsidRPr="006216E0">
        <w:rPr>
          <w:rFonts w:eastAsia="Calibri"/>
          <w:sz w:val="19"/>
          <w:szCs w:val="19"/>
          <w:rtl/>
        </w:rPr>
        <w:t>ברהט ובקריית יערים; בשירות התעסוקה בירושלים</w:t>
      </w:r>
      <w:r w:rsidRPr="006216E0">
        <w:rPr>
          <w:rFonts w:eastAsia="Calibri"/>
          <w:b/>
          <w:bCs/>
          <w:sz w:val="19"/>
          <w:szCs w:val="19"/>
          <w:rtl/>
        </w:rPr>
        <w:t xml:space="preserve"> </w:t>
      </w:r>
      <w:r w:rsidRPr="006216E0">
        <w:rPr>
          <w:rFonts w:eastAsia="Calibri"/>
          <w:sz w:val="19"/>
          <w:szCs w:val="19"/>
          <w:rtl/>
        </w:rPr>
        <w:t>ובמכבי באשדוד) ולתקינות מנגנון הנעילה של חלון הביטחון החיצוני</w:t>
      </w:r>
      <w:r w:rsidRPr="006216E0">
        <w:rPr>
          <w:rFonts w:eastAsia="Calibri" w:hint="cs"/>
          <w:sz w:val="19"/>
          <w:szCs w:val="19"/>
          <w:rtl/>
        </w:rPr>
        <w:t xml:space="preserve"> בשני מבנים</w:t>
      </w:r>
      <w:r w:rsidRPr="006216E0">
        <w:rPr>
          <w:rFonts w:eastAsia="Calibri"/>
          <w:sz w:val="19"/>
          <w:szCs w:val="19"/>
          <w:rtl/>
        </w:rPr>
        <w:t xml:space="preserve"> (במכבי באור יהודה ובטיפת חלב ברהט), באופן שאינו מאפשר נעילה פשוטה ללא הפעלת כוח מיוחד. עוד נמצאו ליקויים בהיעדר מדבקות אישור של פקע"ר או של</w:t>
      </w:r>
      <w:r w:rsidRPr="006216E0">
        <w:rPr>
          <w:rFonts w:eastAsia="Calibri"/>
          <w:sz w:val="19"/>
          <w:szCs w:val="19"/>
          <w:rtl/>
        </w:rPr>
        <w:t xml:space="preserve"> מכון התקנים על גבי מסגרת חלון הביטחון</w:t>
      </w:r>
      <w:r w:rsidRPr="006216E0">
        <w:rPr>
          <w:rFonts w:eastAsia="Calibri" w:hint="cs"/>
          <w:sz w:val="19"/>
          <w:szCs w:val="19"/>
          <w:rtl/>
        </w:rPr>
        <w:t xml:space="preserve"> בארבעה מבנים</w:t>
      </w:r>
      <w:r w:rsidRPr="006216E0">
        <w:rPr>
          <w:rFonts w:eastAsia="Calibri"/>
          <w:sz w:val="19"/>
          <w:szCs w:val="19"/>
          <w:rtl/>
        </w:rPr>
        <w:t xml:space="preserve"> (בבט"ל בקריית חיים, בכללית ברהט, במכבי באור יהודה ובטיפת חלב ברהט), דבר </w:t>
      </w:r>
      <w:r w:rsidRPr="006216E0">
        <w:rPr>
          <w:rFonts w:eastAsia="Calibri" w:hint="cs"/>
          <w:sz w:val="19"/>
          <w:szCs w:val="19"/>
          <w:rtl/>
        </w:rPr>
        <w:t xml:space="preserve">העלול </w:t>
      </w:r>
      <w:r w:rsidRPr="006216E0">
        <w:rPr>
          <w:rFonts w:eastAsia="Calibri"/>
          <w:sz w:val="19"/>
          <w:szCs w:val="19"/>
          <w:rtl/>
        </w:rPr>
        <w:t>להעיד שהחלון אינו עומד בתקנות ההתגוננות האזרחית ובתקן הישראלי.</w:t>
      </w:r>
    </w:p>
    <w:p w:rsidR="00D5268C" w:rsidRPr="006216E0" w:rsidP="00D5268C">
      <w:pPr>
        <w:pStyle w:val="73"/>
        <w:numPr>
          <w:ilvl w:val="0"/>
          <w:numId w:val="25"/>
        </w:numPr>
        <w:rPr>
          <w:rFonts w:eastAsia="Calibri"/>
          <w:sz w:val="19"/>
          <w:szCs w:val="19"/>
        </w:rPr>
      </w:pPr>
      <w:r w:rsidRPr="006216E0">
        <w:rPr>
          <w:rFonts w:eastAsia="Calibri"/>
          <w:b/>
          <w:bCs/>
          <w:sz w:val="19"/>
          <w:szCs w:val="19"/>
          <w:rtl/>
        </w:rPr>
        <w:t>צינורות אוורור</w:t>
      </w:r>
      <w:r>
        <w:rPr>
          <w:rFonts w:eastAsia="Calibri" w:hint="cs"/>
          <w:sz w:val="19"/>
          <w:szCs w:val="19"/>
          <w:rtl/>
        </w:rPr>
        <w:t xml:space="preserve"> - </w:t>
      </w:r>
      <w:r w:rsidRPr="006216E0">
        <w:rPr>
          <w:rFonts w:eastAsia="Calibri"/>
          <w:sz w:val="19"/>
          <w:szCs w:val="19"/>
          <w:rtl/>
        </w:rPr>
        <w:t>אף ש</w:t>
      </w:r>
      <w:r w:rsidRPr="006216E0">
        <w:rPr>
          <w:rFonts w:eastAsia="Calibri" w:hint="cs"/>
          <w:sz w:val="19"/>
          <w:szCs w:val="19"/>
          <w:rtl/>
        </w:rPr>
        <w:t xml:space="preserve">לפי </w:t>
      </w:r>
      <w:r w:rsidRPr="006216E0">
        <w:rPr>
          <w:rFonts w:eastAsia="Calibri"/>
          <w:sz w:val="19"/>
          <w:szCs w:val="19"/>
          <w:rtl/>
        </w:rPr>
        <w:t>דיני ההתגוננות האזרחית</w:t>
      </w:r>
      <w:r w:rsidRPr="006216E0">
        <w:rPr>
          <w:rFonts w:eastAsia="Calibri" w:hint="cs"/>
          <w:sz w:val="19"/>
          <w:szCs w:val="19"/>
          <w:rtl/>
        </w:rPr>
        <w:t>,</w:t>
      </w:r>
      <w:r w:rsidRPr="006216E0">
        <w:rPr>
          <w:rFonts w:eastAsia="Calibri"/>
          <w:sz w:val="19"/>
          <w:szCs w:val="19"/>
          <w:rtl/>
        </w:rPr>
        <w:t xml:space="preserve"> בכל מרחב מוגן </w:t>
      </w:r>
      <w:r w:rsidRPr="006216E0">
        <w:rPr>
          <w:rFonts w:eastAsia="Calibri"/>
          <w:sz w:val="19"/>
          <w:szCs w:val="19"/>
          <w:rtl/>
        </w:rPr>
        <w:t>מוסדי</w:t>
      </w:r>
      <w:r w:rsidRPr="006216E0">
        <w:rPr>
          <w:rFonts w:eastAsia="Calibri" w:hint="cs"/>
          <w:sz w:val="19"/>
          <w:szCs w:val="19"/>
          <w:rtl/>
        </w:rPr>
        <w:t xml:space="preserve"> (ממ"מ)</w:t>
      </w:r>
      <w:r w:rsidRPr="006216E0">
        <w:rPr>
          <w:rFonts w:eastAsia="Calibri"/>
          <w:sz w:val="19"/>
          <w:szCs w:val="19"/>
          <w:rtl/>
        </w:rPr>
        <w:t xml:space="preserve"> יותקנו צינורות אוורור בתוך הקיר שיבטיחו זרימה חופשית ובלי הפרעות של אוויר אל המרחב המוגן ואל מחוצה לו, ושצינורות אלה לא יהיו חסומים, בפועל בביקורת נמצאו ליקויים שעיקרם היו בנוגע לתקינותם (נִראוּת) ולאי-חסימתם </w:t>
      </w:r>
      <w:r w:rsidRPr="006216E0">
        <w:rPr>
          <w:rFonts w:eastAsia="Calibri" w:hint="cs"/>
          <w:sz w:val="19"/>
          <w:szCs w:val="19"/>
          <w:rtl/>
        </w:rPr>
        <w:t xml:space="preserve">ב-11 מבנים </w:t>
      </w:r>
      <w:r w:rsidRPr="006216E0">
        <w:rPr>
          <w:rFonts w:eastAsia="Calibri"/>
          <w:sz w:val="19"/>
          <w:szCs w:val="19"/>
          <w:rtl/>
        </w:rPr>
        <w:t xml:space="preserve">(בשירות התעסוקה בשפרעם </w:t>
      </w:r>
      <w:r w:rsidRPr="006216E0">
        <w:rPr>
          <w:rFonts w:eastAsia="Calibri"/>
          <w:sz w:val="19"/>
          <w:szCs w:val="19"/>
          <w:rtl/>
        </w:rPr>
        <w:t>ובחוצות המפרץ, בבט"ל בקריית חיים ובירושלים, בכללית בנשר, ברהט וביהוד, במכבי באור יהודה ובקריית מוצקין ובשתי טיפות חלב ברהט ובקריית יערים). בשלושה מהמרחבים האלה הוסר מכסה הצינור לצורך התקנת מאוורר (ונטה) (בכללית ביהוד וברהט ובמכבי בקריית מוצקין), ובשלושה על</w:t>
      </w:r>
      <w:r w:rsidRPr="006216E0">
        <w:rPr>
          <w:rFonts w:eastAsia="Calibri"/>
          <w:sz w:val="19"/>
          <w:szCs w:val="19"/>
          <w:rtl/>
        </w:rPr>
        <w:t xml:space="preserve">ו ליקויים בנוגע להעברת צנרת של מיזוג אוויר (בטיפת חלב בקריית יערים, ובבט"ל בקריית חיים ובירושלים); זאת ללא התקנה של מעבר צנרת תקני בתוך הצינור, המבטיח אטימות כנדרש בתקנות. ליקויים נוספים עלו בנוגע לגומיות איטום בפתחי האוורור, להברגה של מכסי הצינור באמצעות </w:t>
      </w:r>
      <w:r w:rsidRPr="006216E0">
        <w:rPr>
          <w:rFonts w:eastAsia="Calibri"/>
          <w:sz w:val="19"/>
          <w:szCs w:val="19"/>
          <w:rtl/>
        </w:rPr>
        <w:t>ברגים ואף להיעדר חלקי או מלא של הברגים</w:t>
      </w:r>
      <w:r w:rsidRPr="006216E0">
        <w:rPr>
          <w:rFonts w:eastAsia="Calibri" w:hint="cs"/>
          <w:sz w:val="19"/>
          <w:szCs w:val="19"/>
          <w:rtl/>
        </w:rPr>
        <w:t xml:space="preserve"> בעשרה מבנים</w:t>
      </w:r>
      <w:r w:rsidRPr="006216E0">
        <w:rPr>
          <w:rFonts w:eastAsia="Calibri"/>
          <w:sz w:val="19"/>
          <w:szCs w:val="19"/>
          <w:rtl/>
        </w:rPr>
        <w:t xml:space="preserve"> (בשירות התעסוקה בירושלים ובשפרעם, בשני מבנים של בט"ל בירושלים ובקריית חיים, בשני מבנים של מכבי באשדוד ובאור יהודה, בכללית ברהט ובשלושת המבנים של טיפת חלב שנבדקו).</w:t>
      </w:r>
    </w:p>
    <w:p w:rsidR="00D5268C" w:rsidRPr="006216E0" w:rsidP="00D5268C">
      <w:pPr>
        <w:pStyle w:val="73"/>
        <w:numPr>
          <w:ilvl w:val="0"/>
          <w:numId w:val="25"/>
        </w:numPr>
        <w:rPr>
          <w:rFonts w:eastAsia="Calibri"/>
          <w:sz w:val="19"/>
          <w:szCs w:val="19"/>
        </w:rPr>
      </w:pPr>
      <w:r w:rsidRPr="006216E0">
        <w:rPr>
          <w:rFonts w:eastAsia="Calibri"/>
          <w:b/>
          <w:bCs/>
          <w:sz w:val="19"/>
          <w:szCs w:val="19"/>
          <w:rtl/>
        </w:rPr>
        <w:t>מערכות אינסטלציה ותברואה</w:t>
      </w:r>
      <w:r w:rsidRPr="006216E0">
        <w:rPr>
          <w:rFonts w:eastAsia="Calibri"/>
          <w:sz w:val="19"/>
          <w:szCs w:val="19"/>
          <w:rtl/>
        </w:rPr>
        <w:t xml:space="preserve"> </w:t>
      </w:r>
      <w:r>
        <w:rPr>
          <w:rFonts w:eastAsia="Calibri" w:hint="cs"/>
          <w:sz w:val="19"/>
          <w:szCs w:val="19"/>
          <w:rtl/>
        </w:rPr>
        <w:t xml:space="preserve">- </w:t>
      </w:r>
      <w:r w:rsidRPr="006216E0">
        <w:rPr>
          <w:rFonts w:eastAsia="Calibri"/>
          <w:sz w:val="19"/>
          <w:szCs w:val="19"/>
          <w:rtl/>
        </w:rPr>
        <w:t>אף ש</w:t>
      </w:r>
      <w:r w:rsidRPr="006216E0">
        <w:rPr>
          <w:rFonts w:eastAsia="Calibri" w:hint="cs"/>
          <w:sz w:val="19"/>
          <w:szCs w:val="19"/>
          <w:rtl/>
        </w:rPr>
        <w:t xml:space="preserve">לפי </w:t>
      </w:r>
      <w:r w:rsidRPr="006216E0">
        <w:rPr>
          <w:rFonts w:eastAsia="Calibri"/>
          <w:sz w:val="19"/>
          <w:szCs w:val="19"/>
          <w:rtl/>
        </w:rPr>
        <w:t xml:space="preserve">דיני </w:t>
      </w:r>
      <w:r w:rsidRPr="006216E0">
        <w:rPr>
          <w:rFonts w:eastAsia="Calibri"/>
          <w:sz w:val="19"/>
          <w:szCs w:val="19"/>
          <w:rtl/>
        </w:rPr>
        <w:t>ההתגוננות האזרחית</w:t>
      </w:r>
      <w:r w:rsidRPr="006216E0">
        <w:rPr>
          <w:rFonts w:eastAsia="Calibri" w:hint="cs"/>
          <w:sz w:val="19"/>
          <w:szCs w:val="19"/>
          <w:rtl/>
        </w:rPr>
        <w:t>,</w:t>
      </w:r>
      <w:r w:rsidRPr="006216E0">
        <w:rPr>
          <w:rFonts w:eastAsia="Calibri"/>
          <w:sz w:val="19"/>
          <w:szCs w:val="19"/>
          <w:rtl/>
        </w:rPr>
        <w:t xml:space="preserve"> המתקנים הסניטריים במרחב המוגן יהיו עשויים מחומרים שאינם שבירים, ויימצא בית כיסא כימי או חלופה מתאימה שא</w:t>
      </w:r>
      <w:r w:rsidRPr="006216E0">
        <w:rPr>
          <w:rFonts w:eastAsia="Calibri" w:hint="cs"/>
          <w:sz w:val="19"/>
          <w:szCs w:val="19"/>
          <w:rtl/>
        </w:rPr>
        <w:t>י</w:t>
      </w:r>
      <w:r w:rsidRPr="006216E0">
        <w:rPr>
          <w:rFonts w:eastAsia="Calibri"/>
          <w:sz w:val="19"/>
          <w:szCs w:val="19"/>
          <w:rtl/>
        </w:rPr>
        <w:t>שרה</w:t>
      </w:r>
      <w:r w:rsidRPr="006216E0">
        <w:rPr>
          <w:rFonts w:eastAsia="Calibri" w:hint="cs"/>
          <w:sz w:val="19"/>
          <w:szCs w:val="19"/>
          <w:rtl/>
        </w:rPr>
        <w:t xml:space="preserve"> רשות מוסמכת</w:t>
      </w:r>
      <w:r w:rsidRPr="006216E0">
        <w:rPr>
          <w:rFonts w:eastAsia="Calibri"/>
          <w:sz w:val="19"/>
          <w:szCs w:val="19"/>
          <w:rtl/>
        </w:rPr>
        <w:t>, בפועל בביקורת נמצא ש</w:t>
      </w:r>
      <w:r w:rsidRPr="006216E0">
        <w:rPr>
          <w:rFonts w:eastAsia="Calibri" w:hint="cs"/>
          <w:sz w:val="19"/>
          <w:szCs w:val="19"/>
          <w:rtl/>
        </w:rPr>
        <w:t>ב</w:t>
      </w:r>
      <w:r w:rsidRPr="006216E0">
        <w:rPr>
          <w:rFonts w:eastAsia="Calibri"/>
          <w:sz w:val="19"/>
          <w:szCs w:val="19"/>
          <w:rtl/>
        </w:rPr>
        <w:t xml:space="preserve">שבעה מרחבים מוגנים </w:t>
      </w:r>
      <w:r w:rsidRPr="006216E0">
        <w:rPr>
          <w:rFonts w:eastAsia="Calibri" w:hint="cs"/>
          <w:sz w:val="19"/>
          <w:szCs w:val="19"/>
          <w:rtl/>
        </w:rPr>
        <w:t>(ש</w:t>
      </w:r>
      <w:r w:rsidRPr="006216E0">
        <w:rPr>
          <w:rFonts w:eastAsia="Calibri"/>
          <w:sz w:val="19"/>
          <w:szCs w:val="19"/>
          <w:rtl/>
        </w:rPr>
        <w:t xml:space="preserve">שימשו גם </w:t>
      </w:r>
      <w:r w:rsidRPr="006216E0">
        <w:rPr>
          <w:rFonts w:eastAsia="Calibri" w:hint="cs"/>
          <w:sz w:val="19"/>
          <w:szCs w:val="19"/>
          <w:rtl/>
        </w:rPr>
        <w:t>כ</w:t>
      </w:r>
      <w:r w:rsidRPr="006216E0">
        <w:rPr>
          <w:rFonts w:eastAsia="Calibri"/>
          <w:sz w:val="19"/>
          <w:szCs w:val="19"/>
          <w:rtl/>
        </w:rPr>
        <w:t>חדרי טיפולים או מטבחונים</w:t>
      </w:r>
      <w:r w:rsidRPr="006216E0">
        <w:rPr>
          <w:rFonts w:eastAsia="Calibri" w:hint="cs"/>
          <w:sz w:val="19"/>
          <w:szCs w:val="19"/>
          <w:rtl/>
        </w:rPr>
        <w:t>)</w:t>
      </w:r>
      <w:r w:rsidRPr="006216E0">
        <w:rPr>
          <w:rFonts w:eastAsia="Calibri"/>
          <w:sz w:val="19"/>
          <w:szCs w:val="19"/>
          <w:rtl/>
        </w:rPr>
        <w:t>, הותקנו כיור ומשטחי שיש מחומרים האסורי</w:t>
      </w:r>
      <w:r w:rsidRPr="006216E0">
        <w:rPr>
          <w:rFonts w:eastAsia="Calibri"/>
          <w:sz w:val="19"/>
          <w:szCs w:val="19"/>
          <w:rtl/>
        </w:rPr>
        <w:t xml:space="preserve">ם </w:t>
      </w:r>
      <w:r w:rsidRPr="006216E0">
        <w:rPr>
          <w:rFonts w:eastAsia="Calibri" w:hint="cs"/>
          <w:sz w:val="19"/>
          <w:szCs w:val="19"/>
          <w:rtl/>
        </w:rPr>
        <w:t>לפי</w:t>
      </w:r>
      <w:r w:rsidRPr="006216E0">
        <w:rPr>
          <w:rFonts w:eastAsia="Calibri"/>
          <w:sz w:val="19"/>
          <w:szCs w:val="19"/>
          <w:rtl/>
        </w:rPr>
        <w:t xml:space="preserve"> דיני ההתגוננות האזרחית (בכללית - ברהט, במכבי - בקריית מוצקין, באשדוד, באור יהודה ובירושלים, בטיפת חלב - באלעד ובקריית יערים). ברוב המרחבים שנבדקו, ב-13 מתוך 16, לא הותקן בית כיסא כימי או מתקן שירותים אחר שאושר (בשירות התעסוקה - בשפרעם, בחוצות המפרץ ו</w:t>
      </w:r>
      <w:r w:rsidRPr="006216E0">
        <w:rPr>
          <w:rFonts w:eastAsia="Calibri"/>
          <w:sz w:val="19"/>
          <w:szCs w:val="19"/>
          <w:rtl/>
        </w:rPr>
        <w:t>בירושלים, בבט"ל - בקריית חיים ובאשדוד, בכללית - בנשר, ברהט וביהוד, במכבי - באור יהודה ובירושלים, ובטיפת חלב - ברהט, באלעד ובקריית יערים).</w:t>
      </w:r>
    </w:p>
    <w:p w:rsidR="00D5268C" w:rsidRPr="006216E0" w:rsidP="00D5268C">
      <w:pPr>
        <w:pStyle w:val="73"/>
        <w:numPr>
          <w:ilvl w:val="0"/>
          <w:numId w:val="25"/>
        </w:numPr>
        <w:rPr>
          <w:rFonts w:eastAsia="Calibri"/>
          <w:sz w:val="19"/>
          <w:szCs w:val="19"/>
        </w:rPr>
      </w:pPr>
      <w:r w:rsidRPr="006216E0">
        <w:rPr>
          <w:rFonts w:eastAsia="Calibri"/>
          <w:b/>
          <w:bCs/>
          <w:sz w:val="19"/>
          <w:szCs w:val="19"/>
          <w:rtl/>
        </w:rPr>
        <w:t>מערכות חשמל ותקשורת</w:t>
      </w:r>
      <w:r>
        <w:rPr>
          <w:rFonts w:eastAsia="Calibri" w:hint="cs"/>
          <w:sz w:val="19"/>
          <w:szCs w:val="19"/>
          <w:rtl/>
        </w:rPr>
        <w:t xml:space="preserve"> - </w:t>
      </w:r>
      <w:r w:rsidRPr="006216E0">
        <w:rPr>
          <w:rFonts w:eastAsia="Calibri"/>
          <w:sz w:val="19"/>
          <w:szCs w:val="19"/>
          <w:rtl/>
        </w:rPr>
        <w:t>בביקורת נמצא שב-10 מתוך 16 המבנים שנבדקו לא נמצא כיסוי מגן לשקעים (בשירות התעסוקה בשפרעם, בחוצות</w:t>
      </w:r>
      <w:r w:rsidRPr="006216E0">
        <w:rPr>
          <w:rFonts w:eastAsia="Calibri"/>
          <w:sz w:val="19"/>
          <w:szCs w:val="19"/>
          <w:rtl/>
        </w:rPr>
        <w:t xml:space="preserve"> המפרץ ובירושלים, בבט"ל בקריית חיים ובירושלים, בכללית ברהט וביהוד, במכבי בקריית מוצקין ואור יהודה ובטיפת חלב באלעד). כיסוי חלקי נמצא בכללית בנשר ובמכבי באשדוד. ב-4 מתוך 16 המרחבים המוגנים לא הותקנו כיסויים לגופי התאורה כנדרש (בשירות התעסוקה בשפרעם ובירושלי</w:t>
      </w:r>
      <w:r w:rsidRPr="006216E0">
        <w:rPr>
          <w:rFonts w:eastAsia="Calibri"/>
          <w:sz w:val="19"/>
          <w:szCs w:val="19"/>
          <w:rtl/>
        </w:rPr>
        <w:t>ם, בבט"ל בקריית חיים, במכבי באשדוד). בתחום התקשורת בבדיקה עלה כי ב-4 מתוך 16 המבנים שנבדקו לא הייתה רשת אלחוטית (</w:t>
      </w:r>
      <w:r w:rsidRPr="006216E0">
        <w:rPr>
          <w:rFonts w:eastAsia="Calibri"/>
          <w:sz w:val="19"/>
          <w:szCs w:val="19"/>
        </w:rPr>
        <w:t>Wi-Fi</w:t>
      </w:r>
      <w:r w:rsidRPr="006216E0">
        <w:rPr>
          <w:rFonts w:eastAsia="Calibri"/>
          <w:sz w:val="19"/>
          <w:szCs w:val="19"/>
          <w:rtl/>
        </w:rPr>
        <w:t>) או חיבור אליה, וכי לא הייתה בהם קליטה במכשירים הסלולריים במרחבים המוגנים (בשירות התעסוקה בירושלים, בבט"ל בירושלים ובטיפות חלב ברהט ובאלע</w:t>
      </w:r>
      <w:r w:rsidRPr="006216E0">
        <w:rPr>
          <w:rFonts w:eastAsia="Calibri"/>
          <w:sz w:val="19"/>
          <w:szCs w:val="19"/>
          <w:rtl/>
        </w:rPr>
        <w:t>ד).</w:t>
      </w:r>
    </w:p>
    <w:p w:rsidR="00D5268C" w:rsidRPr="006216E0" w:rsidP="00D5268C">
      <w:pPr>
        <w:pStyle w:val="73"/>
        <w:numPr>
          <w:ilvl w:val="0"/>
          <w:numId w:val="25"/>
        </w:numPr>
        <w:rPr>
          <w:rFonts w:eastAsia="Calibri"/>
          <w:sz w:val="19"/>
          <w:szCs w:val="19"/>
        </w:rPr>
      </w:pPr>
      <w:r w:rsidRPr="006216E0">
        <w:rPr>
          <w:rFonts w:eastAsia="Calibri" w:hint="cs"/>
          <w:b/>
          <w:bCs/>
          <w:sz w:val="19"/>
          <w:szCs w:val="19"/>
          <w:rtl/>
        </w:rPr>
        <w:t xml:space="preserve">הבקרה של המוסדות על תקינות המרחבים המוגנים שבשימושם </w:t>
      </w:r>
      <w:r>
        <w:rPr>
          <w:rFonts w:eastAsia="Calibri" w:hint="cs"/>
          <w:sz w:val="19"/>
          <w:szCs w:val="19"/>
          <w:rtl/>
        </w:rPr>
        <w:t>- מ</w:t>
      </w:r>
      <w:r w:rsidRPr="006216E0">
        <w:rPr>
          <w:rFonts w:eastAsia="Calibri"/>
          <w:sz w:val="19"/>
          <w:szCs w:val="19"/>
          <w:rtl/>
        </w:rPr>
        <w:t xml:space="preserve">מצאי הביקורת </w:t>
      </w:r>
      <w:r w:rsidRPr="006216E0">
        <w:rPr>
          <w:rFonts w:eastAsia="Calibri" w:hint="cs"/>
          <w:sz w:val="19"/>
          <w:szCs w:val="19"/>
          <w:rtl/>
        </w:rPr>
        <w:t xml:space="preserve">העלו </w:t>
      </w:r>
      <w:r w:rsidRPr="006216E0">
        <w:rPr>
          <w:rFonts w:eastAsia="Calibri"/>
          <w:sz w:val="19"/>
          <w:szCs w:val="19"/>
          <w:rtl/>
        </w:rPr>
        <w:t>כי חרף הדיווחים של מוסדות הציבור בדבר הבקרות שהם עצמם מקיימים, בפועל נמצאו ליקויים במרחבים המוגנים שנבדקו.</w:t>
      </w:r>
    </w:p>
    <w:bookmarkEnd w:id="3"/>
    <w:p w:rsidR="001D3DA9" w:rsidRPr="000B463F" w:rsidP="00D5268C">
      <w:pPr>
        <w:spacing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D5268C" w:rsidRPr="00D5268C" w:rsidP="00D5268C">
      <w:pPr>
        <w:pStyle w:val="73"/>
        <w:rPr>
          <w:rFonts w:eastAsia="Calibri"/>
          <w:sz w:val="19"/>
          <w:szCs w:val="19"/>
          <w:rtl/>
        </w:rPr>
      </w:pPr>
      <w:r w:rsidRPr="00D5268C">
        <w:rPr>
          <w:rFonts w:eastAsia="Calibri"/>
          <w:b/>
          <w:bCs/>
          <w:sz w:val="19"/>
          <w:szCs w:val="19"/>
          <w:rtl/>
        </w:rPr>
        <w:t>ערכות עזרה ראשונה</w:t>
      </w:r>
      <w:r w:rsidRPr="00D5268C">
        <w:rPr>
          <w:rFonts w:eastAsia="Calibri"/>
          <w:sz w:val="19"/>
          <w:szCs w:val="19"/>
          <w:rtl/>
        </w:rPr>
        <w:t xml:space="preserve"> </w:t>
      </w:r>
      <w:r w:rsidRPr="00D5268C">
        <w:rPr>
          <w:rFonts w:eastAsia="Calibri" w:hint="cs"/>
          <w:sz w:val="19"/>
          <w:szCs w:val="19"/>
          <w:rtl/>
        </w:rPr>
        <w:t xml:space="preserve">- </w:t>
      </w:r>
      <w:r w:rsidRPr="00D5268C">
        <w:rPr>
          <w:rFonts w:eastAsia="Calibri"/>
          <w:sz w:val="19"/>
          <w:szCs w:val="19"/>
          <w:rtl/>
        </w:rPr>
        <w:t>בכל 16 המבנים שנבדקו הייתה ערכת עזרה ראשונה.</w:t>
      </w:r>
    </w:p>
    <w:tbl>
      <w:tblPr>
        <w:tblStyle w:val="TableGrid"/>
        <w:tblpPr w:leftFromText="180" w:rightFromText="180" w:vertAnchor="text" w:tblpXSpec="center" w:tblpY="1"/>
        <w:tblOverlap w:val="never"/>
        <w:bidiVisual/>
        <w:tblW w:w="9074" w:type="dxa"/>
        <w:tblLayout w:type="fixed"/>
        <w:tblLook w:val="04A0"/>
      </w:tblPr>
      <w:tblGrid>
        <w:gridCol w:w="9074"/>
      </w:tblGrid>
      <w:tr w:rsidTr="000314B9">
        <w:tblPrEx>
          <w:tblW w:w="9074" w:type="dxa"/>
          <w:tblLayout w:type="fixed"/>
          <w:tblLook w:val="04A0"/>
        </w:tblPrEx>
        <w:trPr>
          <w:trHeight w:val="851"/>
        </w:trPr>
        <w:tc>
          <w:tcPr>
            <w:tcW w:w="9074" w:type="dxa"/>
            <w:tcBorders>
              <w:top w:val="nil"/>
              <w:left w:val="nil"/>
              <w:bottom w:val="nil"/>
              <w:right w:val="nil"/>
            </w:tcBorders>
          </w:tcPr>
          <w:p w:rsidR="001D3DA9" w:rsidRPr="00F66FC8" w:rsidP="00581D69">
            <w:pPr>
              <w:spacing w:before="240" w:after="180" w:line="288" w:lineRule="auto"/>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Tr="000314B9">
        <w:tblPrEx>
          <w:tblW w:w="9074" w:type="dxa"/>
          <w:tblLayout w:type="fixed"/>
          <w:tblLook w:val="04A0"/>
        </w:tblPrEx>
        <w:trPr>
          <w:trHeight w:val="2156"/>
        </w:trPr>
        <w:tc>
          <w:tcPr>
            <w:tcW w:w="9074" w:type="dxa"/>
            <w:tcBorders>
              <w:top w:val="nil"/>
              <w:left w:val="nil"/>
              <w:bottom w:val="nil"/>
              <w:right w:val="nil"/>
            </w:tcBorders>
            <w:shd w:val="clear" w:color="auto" w:fill="F1F5F9"/>
          </w:tcPr>
          <w:p w:rsidR="00D5268C" w:rsidRPr="006216E0" w:rsidP="00D5268C">
            <w:pPr>
              <w:pStyle w:val="73"/>
              <w:numPr>
                <w:ilvl w:val="0"/>
                <w:numId w:val="19"/>
              </w:numPr>
              <w:spacing w:before="120"/>
              <w:ind w:right="318"/>
              <w:rPr>
                <w:rFonts w:eastAsia="Calibri"/>
                <w:sz w:val="19"/>
                <w:szCs w:val="19"/>
              </w:rPr>
            </w:pPr>
            <w:r w:rsidRPr="006216E0">
              <w:rPr>
                <w:rFonts w:eastAsia="Calibri"/>
                <w:b/>
                <w:bCs/>
                <w:sz w:val="19"/>
                <w:szCs w:val="19"/>
                <w:rtl/>
              </w:rPr>
              <w:t>הגישה למרחב המוגן</w:t>
            </w:r>
            <w:r>
              <w:rPr>
                <w:rFonts w:eastAsia="Calibri" w:hint="cs"/>
                <w:b/>
                <w:bCs/>
                <w:sz w:val="19"/>
                <w:szCs w:val="19"/>
                <w:rtl/>
              </w:rPr>
              <w:t xml:space="preserve"> </w:t>
            </w:r>
            <w:r>
              <w:rPr>
                <w:rFonts w:eastAsia="Calibri" w:hint="cs"/>
                <w:sz w:val="19"/>
                <w:szCs w:val="19"/>
                <w:rtl/>
              </w:rPr>
              <w:t>-</w:t>
            </w:r>
            <w:r w:rsidRPr="006216E0">
              <w:rPr>
                <w:rFonts w:eastAsia="Calibri"/>
                <w:sz w:val="19"/>
                <w:szCs w:val="19"/>
                <w:rtl/>
              </w:rPr>
              <w:t xml:space="preserve"> על המוסדות שנבדקו לוודא שהגישה למרחבים המוגנים בכל מבניהם תהיה פנויה ממכשולים ותכלול שילוט בולט ופולט אור, כדי להבטיח איתור מהיר וכניסה מהירה למרחב המוגן בעת חירום. </w:t>
            </w:r>
          </w:p>
          <w:p w:rsidR="00D5268C" w:rsidRPr="006216E0" w:rsidP="00D5268C">
            <w:pPr>
              <w:pStyle w:val="73"/>
              <w:numPr>
                <w:ilvl w:val="0"/>
                <w:numId w:val="19"/>
              </w:numPr>
              <w:spacing w:before="120"/>
              <w:ind w:right="318"/>
              <w:rPr>
                <w:rFonts w:eastAsia="Calibri"/>
                <w:sz w:val="19"/>
                <w:szCs w:val="19"/>
              </w:rPr>
            </w:pPr>
            <w:r w:rsidRPr="006216E0">
              <w:rPr>
                <w:rFonts w:eastAsia="Calibri"/>
                <w:b/>
                <w:bCs/>
                <w:sz w:val="19"/>
                <w:szCs w:val="19"/>
                <w:rtl/>
              </w:rPr>
              <w:t>פנים המרחב המוגן</w:t>
            </w:r>
            <w:r w:rsidRPr="003B6DFC">
              <w:rPr>
                <w:rFonts w:eastAsia="Calibri" w:hint="cs"/>
                <w:sz w:val="19"/>
                <w:szCs w:val="19"/>
                <w:rtl/>
              </w:rPr>
              <w:t xml:space="preserve"> -</w:t>
            </w:r>
            <w:r>
              <w:rPr>
                <w:rFonts w:eastAsia="Calibri" w:hint="cs"/>
                <w:b/>
                <w:bCs/>
                <w:sz w:val="19"/>
                <w:szCs w:val="19"/>
                <w:rtl/>
              </w:rPr>
              <w:t xml:space="preserve"> </w:t>
            </w:r>
            <w:r w:rsidRPr="006216E0">
              <w:rPr>
                <w:rFonts w:eastAsia="Calibri"/>
                <w:sz w:val="19"/>
                <w:szCs w:val="19"/>
                <w:rtl/>
              </w:rPr>
              <w:t xml:space="preserve">על המוסדות שנבדקו להבטיח שפנים המרחב המוגן יהיה </w:t>
            </w:r>
            <w:r w:rsidRPr="006216E0">
              <w:rPr>
                <w:rFonts w:eastAsia="Calibri"/>
                <w:sz w:val="19"/>
                <w:szCs w:val="19"/>
                <w:rtl/>
              </w:rPr>
              <w:t>פנוי ונגיש ברמה המאפשרת שימוש בו בעת חירום. על המרחב המוגן להיות מסודר, נקי ומאורגן ולכלול שילוט בולט ופולט אור לשם התמצאות בעת עלטה. יש להימנע מתליית ארונות או אביזרים ומשימוש בחיפוי קרמיקה ושיש העלולים להתנפץ בעקבות הדף או רעידה. זאת ועוד, יש להימנע מקיד</w:t>
            </w:r>
            <w:r w:rsidRPr="006216E0">
              <w:rPr>
                <w:rFonts w:eastAsia="Calibri"/>
                <w:sz w:val="19"/>
                <w:szCs w:val="19"/>
                <w:rtl/>
              </w:rPr>
              <w:t>וח בקירות ומהעברת תשתיות צנרת, פעולות העלולות לפגוע בשלמות הקירות ובאטימות המרחב המוגן.</w:t>
            </w:r>
          </w:p>
          <w:p w:rsidR="00D5268C" w:rsidRPr="006216E0" w:rsidP="00D5268C">
            <w:pPr>
              <w:pStyle w:val="73"/>
              <w:numPr>
                <w:ilvl w:val="0"/>
                <w:numId w:val="19"/>
              </w:numPr>
              <w:spacing w:before="120"/>
              <w:ind w:right="318"/>
              <w:rPr>
                <w:rFonts w:eastAsia="Calibri"/>
                <w:sz w:val="19"/>
                <w:szCs w:val="19"/>
              </w:rPr>
            </w:pPr>
            <w:r w:rsidRPr="006216E0">
              <w:rPr>
                <w:rFonts w:eastAsia="Calibri"/>
                <w:b/>
                <w:bCs/>
                <w:sz w:val="19"/>
                <w:szCs w:val="19"/>
                <w:rtl/>
              </w:rPr>
              <w:t>דלת המרחב המוגן וחלון ההדף</w:t>
            </w:r>
            <w:r>
              <w:rPr>
                <w:rFonts w:eastAsia="Calibri" w:hint="cs"/>
                <w:b/>
                <w:bCs/>
                <w:sz w:val="19"/>
                <w:szCs w:val="19"/>
                <w:rtl/>
              </w:rPr>
              <w:t xml:space="preserve"> </w:t>
            </w:r>
            <w:r w:rsidRPr="003B6DFC">
              <w:rPr>
                <w:rFonts w:eastAsia="Calibri" w:hint="cs"/>
                <w:sz w:val="19"/>
                <w:szCs w:val="19"/>
                <w:rtl/>
              </w:rPr>
              <w:t>-</w:t>
            </w:r>
            <w:r>
              <w:rPr>
                <w:rFonts w:eastAsia="Calibri" w:hint="cs"/>
                <w:sz w:val="19"/>
                <w:szCs w:val="19"/>
                <w:rtl/>
              </w:rPr>
              <w:t xml:space="preserve"> </w:t>
            </w:r>
            <w:r w:rsidRPr="006216E0">
              <w:rPr>
                <w:rFonts w:eastAsia="Calibri"/>
                <w:sz w:val="19"/>
                <w:szCs w:val="19"/>
                <w:rtl/>
              </w:rPr>
              <w:t>על המוסדות שנבדקו להקפיד על תחזוקה תקינה של דלתות המרחבים המוגנים ושל מנגנוני הנעילה ולשים לב כי בעת עבודות צביעה או שיפוץ לא ייפגעו אטימות</w:t>
            </w:r>
            <w:r w:rsidRPr="006216E0">
              <w:rPr>
                <w:rFonts w:eastAsia="Calibri"/>
                <w:sz w:val="19"/>
                <w:szCs w:val="19"/>
                <w:rtl/>
              </w:rPr>
              <w:t xml:space="preserve"> הדלת ותקינות מנגנון הנעילה שלה. על המוסדות שנבדקו לוודא את תקינות חלונות המרחב המוגן ואת תקינות מנגנוני הנעילה שלהם ולתת תשומת לב מיוחדת בעת ביצוע עבודות שיפוץ, כדי שלא לפגוע באטימות החלון ובמנגנון הנעילה שלו. כמו כן, עליהם לוודא כי חלונות הביטחון הפנימיי</w:t>
            </w:r>
            <w:r w:rsidRPr="006216E0">
              <w:rPr>
                <w:rFonts w:eastAsia="Calibri"/>
                <w:sz w:val="19"/>
                <w:szCs w:val="19"/>
                <w:rtl/>
              </w:rPr>
              <w:t>ם נושאים תו תקן ישראלי ותו אישור של פקע"ר, וכי הם אינם חסומים בפריטים או ברכיבים העלולים לסכן את השוהים בתוך המרחב המוגן.</w:t>
            </w:r>
          </w:p>
          <w:p w:rsidR="00D5268C" w:rsidRPr="006216E0" w:rsidP="00D5268C">
            <w:pPr>
              <w:pStyle w:val="73"/>
              <w:numPr>
                <w:ilvl w:val="0"/>
                <w:numId w:val="19"/>
              </w:numPr>
              <w:spacing w:before="120"/>
              <w:ind w:right="318"/>
              <w:rPr>
                <w:rFonts w:eastAsia="Calibri"/>
                <w:sz w:val="19"/>
                <w:szCs w:val="19"/>
              </w:rPr>
            </w:pPr>
            <w:r w:rsidRPr="006216E0">
              <w:rPr>
                <w:rFonts w:eastAsia="Calibri"/>
                <w:b/>
                <w:bCs/>
                <w:sz w:val="19"/>
                <w:szCs w:val="19"/>
                <w:rtl/>
              </w:rPr>
              <w:t>צינורות אוורור</w:t>
            </w:r>
            <w:r>
              <w:rPr>
                <w:rFonts w:eastAsia="Calibri" w:hint="cs"/>
                <w:b/>
                <w:bCs/>
                <w:sz w:val="19"/>
                <w:szCs w:val="19"/>
                <w:rtl/>
              </w:rPr>
              <w:t xml:space="preserve"> </w:t>
            </w:r>
            <w:r w:rsidRPr="003B6DFC">
              <w:rPr>
                <w:rFonts w:eastAsia="Calibri" w:hint="cs"/>
                <w:sz w:val="19"/>
                <w:szCs w:val="19"/>
                <w:rtl/>
              </w:rPr>
              <w:t>-</w:t>
            </w:r>
            <w:r>
              <w:rPr>
                <w:rFonts w:eastAsia="Calibri" w:hint="cs"/>
                <w:b/>
                <w:bCs/>
                <w:sz w:val="19"/>
                <w:szCs w:val="19"/>
                <w:rtl/>
              </w:rPr>
              <w:t xml:space="preserve"> </w:t>
            </w:r>
            <w:r w:rsidRPr="006216E0">
              <w:rPr>
                <w:rFonts w:eastAsia="Calibri"/>
                <w:sz w:val="19"/>
                <w:szCs w:val="19"/>
                <w:rtl/>
              </w:rPr>
              <w:t>על המוסדות שנבדקו לוודא כי צינורות האוורור של המרחב המוגן יאפשרו זרימת אוויר חופשית וללא חסימות, ושהעברת צנרת דרך צינ</w:t>
            </w:r>
            <w:r w:rsidRPr="006216E0">
              <w:rPr>
                <w:rFonts w:eastAsia="Calibri"/>
                <w:sz w:val="19"/>
                <w:szCs w:val="19"/>
                <w:rtl/>
              </w:rPr>
              <w:t>ור האוורור תיעשה באמצעות מעבר ייעודי תקני. כל זאת כדי להבטיח את שלום השוהים במרחב המוגן.</w:t>
            </w:r>
          </w:p>
          <w:p w:rsidR="00D5268C" w:rsidRPr="006216E0" w:rsidP="00D5268C">
            <w:pPr>
              <w:pStyle w:val="73"/>
              <w:numPr>
                <w:ilvl w:val="0"/>
                <w:numId w:val="19"/>
              </w:numPr>
              <w:spacing w:before="120"/>
              <w:ind w:right="318"/>
              <w:rPr>
                <w:rFonts w:eastAsia="Calibri"/>
                <w:sz w:val="19"/>
                <w:szCs w:val="19"/>
              </w:rPr>
            </w:pPr>
            <w:r w:rsidRPr="006216E0">
              <w:rPr>
                <w:rFonts w:eastAsia="Calibri"/>
                <w:b/>
                <w:bCs/>
                <w:sz w:val="19"/>
                <w:szCs w:val="19"/>
                <w:rtl/>
              </w:rPr>
              <w:t>מערכות אינסטלציה ותברואה</w:t>
            </w:r>
            <w:r>
              <w:rPr>
                <w:rFonts w:eastAsia="Calibri" w:hint="cs"/>
                <w:b/>
                <w:bCs/>
                <w:sz w:val="19"/>
                <w:szCs w:val="19"/>
                <w:rtl/>
              </w:rPr>
              <w:t xml:space="preserve"> </w:t>
            </w:r>
            <w:r>
              <w:rPr>
                <w:rFonts w:eastAsia="Calibri" w:hint="cs"/>
                <w:sz w:val="19"/>
                <w:szCs w:val="19"/>
                <w:rtl/>
              </w:rPr>
              <w:t xml:space="preserve">- </w:t>
            </w:r>
            <w:r w:rsidRPr="006216E0">
              <w:rPr>
                <w:rFonts w:eastAsia="Calibri"/>
                <w:sz w:val="19"/>
                <w:szCs w:val="19"/>
                <w:rtl/>
              </w:rPr>
              <w:t xml:space="preserve">על המוסדות שנבדקו להבטיח פתרון תברואתי כנדרש ולהימנע מהתקנה של מתקנים סניטריים מחומרים שבירים העלולים להישבר או להתנפץ בעת רעידות או הדף רב </w:t>
            </w:r>
            <w:r w:rsidRPr="006216E0">
              <w:rPr>
                <w:rFonts w:eastAsia="Calibri"/>
                <w:sz w:val="19"/>
                <w:szCs w:val="19"/>
                <w:rtl/>
              </w:rPr>
              <w:t>עוצמה.</w:t>
            </w:r>
          </w:p>
          <w:p w:rsidR="00D5268C" w:rsidRPr="006216E0" w:rsidP="00D5268C">
            <w:pPr>
              <w:pStyle w:val="73"/>
              <w:numPr>
                <w:ilvl w:val="0"/>
                <w:numId w:val="19"/>
              </w:numPr>
              <w:spacing w:before="120"/>
              <w:ind w:right="318"/>
              <w:rPr>
                <w:rFonts w:eastAsia="Calibri"/>
                <w:sz w:val="19"/>
                <w:szCs w:val="19"/>
              </w:rPr>
            </w:pPr>
            <w:r w:rsidRPr="006216E0">
              <w:rPr>
                <w:rFonts w:eastAsia="Calibri" w:hint="cs"/>
                <w:b/>
                <w:bCs/>
                <w:sz w:val="19"/>
                <w:szCs w:val="19"/>
                <w:rtl/>
              </w:rPr>
              <w:t xml:space="preserve">מערכות </w:t>
            </w:r>
            <w:r w:rsidRPr="006216E0">
              <w:rPr>
                <w:rFonts w:eastAsia="Calibri"/>
                <w:b/>
                <w:bCs/>
                <w:sz w:val="19"/>
                <w:szCs w:val="19"/>
                <w:rtl/>
              </w:rPr>
              <w:t>חשמל ותקשורת</w:t>
            </w:r>
            <w:r>
              <w:rPr>
                <w:rFonts w:eastAsia="Calibri" w:hint="cs"/>
                <w:sz w:val="19"/>
                <w:szCs w:val="19"/>
                <w:rtl/>
              </w:rPr>
              <w:t xml:space="preserve"> - </w:t>
            </w:r>
            <w:r w:rsidRPr="006216E0">
              <w:rPr>
                <w:rFonts w:eastAsia="Calibri"/>
                <w:sz w:val="19"/>
                <w:szCs w:val="19"/>
                <w:rtl/>
              </w:rPr>
              <w:t xml:space="preserve">על המוסדות שנבדקו לוודא שהמרחבים המוגנים כוללים את התשתית הנדרשת לאמצעי תקשורת בתוך המרחב המוגן. כמו כן, עליהם להבטיח התקנה של מכסי מגן לתשתיות החשמל והתקשורת, לשם הגנה מפני רטיבות ולשמירה על בטיחות השוהים במרחב. מומלץ למוסדות </w:t>
            </w:r>
            <w:r w:rsidRPr="006216E0">
              <w:rPr>
                <w:rFonts w:eastAsia="Calibri"/>
                <w:sz w:val="19"/>
                <w:szCs w:val="19"/>
                <w:rtl/>
              </w:rPr>
              <w:t>הציבור</w:t>
            </w:r>
            <w:r w:rsidRPr="006216E0">
              <w:rPr>
                <w:rFonts w:eastAsia="Calibri" w:hint="cs"/>
                <w:sz w:val="19"/>
                <w:szCs w:val="19"/>
                <w:rtl/>
              </w:rPr>
              <w:t xml:space="preserve"> שנבדקו</w:t>
            </w:r>
            <w:r w:rsidRPr="006216E0">
              <w:rPr>
                <w:rFonts w:eastAsia="Calibri"/>
                <w:sz w:val="19"/>
                <w:szCs w:val="19"/>
                <w:rtl/>
              </w:rPr>
              <w:t xml:space="preserve"> להתקין תשתית לרשת אלחוטית (</w:t>
            </w:r>
            <w:r w:rsidRPr="006216E0">
              <w:rPr>
                <w:rFonts w:eastAsia="Calibri"/>
                <w:sz w:val="19"/>
                <w:szCs w:val="19"/>
              </w:rPr>
              <w:t>Wi-Fi</w:t>
            </w:r>
            <w:r w:rsidRPr="006216E0">
              <w:rPr>
                <w:rFonts w:eastAsia="Calibri"/>
                <w:sz w:val="19"/>
                <w:szCs w:val="19"/>
                <w:rtl/>
              </w:rPr>
              <w:t xml:space="preserve">) </w:t>
            </w:r>
            <w:r w:rsidRPr="006216E0">
              <w:rPr>
                <w:rFonts w:eastAsia="Calibri" w:hint="cs"/>
                <w:sz w:val="19"/>
                <w:szCs w:val="19"/>
                <w:rtl/>
              </w:rPr>
              <w:t xml:space="preserve">שתהיה זמינה לשוהים במרחב המוגן, </w:t>
            </w:r>
            <w:r w:rsidRPr="006216E0">
              <w:rPr>
                <w:rFonts w:eastAsia="Calibri"/>
                <w:sz w:val="19"/>
                <w:szCs w:val="19"/>
                <w:rtl/>
              </w:rPr>
              <w:t>וזאת כדי לספק תשתיות תקשורת מגוונות בהיעדר תקשורת המבוססת על קווי תקשורת בתוך המרחב המוגן. עוד מומלץ כי פקע"ר, בתיאום עם הגופים הרלוונטיים, יבחן גיבוש המלצות לשילוב</w:t>
            </w:r>
            <w:r w:rsidRPr="006216E0">
              <w:rPr>
                <w:rFonts w:eastAsia="Calibri" w:hint="cs"/>
                <w:sz w:val="19"/>
                <w:szCs w:val="19"/>
                <w:rtl/>
              </w:rPr>
              <w:t xml:space="preserve"> </w:t>
            </w:r>
            <w:r w:rsidRPr="006216E0">
              <w:rPr>
                <w:rFonts w:eastAsia="Calibri"/>
                <w:sz w:val="19"/>
                <w:szCs w:val="19"/>
              </w:rPr>
              <w:t xml:space="preserve"> Wi-Fi</w:t>
            </w:r>
            <w:r w:rsidRPr="006216E0">
              <w:rPr>
                <w:rFonts w:eastAsia="Calibri"/>
                <w:sz w:val="19"/>
                <w:szCs w:val="19"/>
                <w:rtl/>
              </w:rPr>
              <w:t>במרחב</w:t>
            </w:r>
            <w:r w:rsidRPr="006216E0">
              <w:rPr>
                <w:rFonts w:eastAsia="Calibri"/>
                <w:sz w:val="19"/>
                <w:szCs w:val="19"/>
                <w:rtl/>
              </w:rPr>
              <w:t>ים המוגנים לצורך מתן מענה לשוהים ב</w:t>
            </w:r>
            <w:r w:rsidRPr="006216E0">
              <w:rPr>
                <w:rFonts w:eastAsia="Calibri" w:hint="cs"/>
                <w:sz w:val="19"/>
                <w:szCs w:val="19"/>
                <w:rtl/>
              </w:rPr>
              <w:t>הם</w:t>
            </w:r>
            <w:r w:rsidRPr="006216E0">
              <w:rPr>
                <w:rFonts w:eastAsia="Calibri"/>
                <w:sz w:val="19"/>
                <w:szCs w:val="19"/>
                <w:rtl/>
              </w:rPr>
              <w:t xml:space="preserve"> בעת חירום, לרבות בכל הנוגע לאופן הצבת התשתית בלי לפגוע בדרישות הבינוי והמיגון</w:t>
            </w:r>
            <w:r w:rsidRPr="006216E0">
              <w:rPr>
                <w:rFonts w:eastAsia="Calibri" w:hint="cs"/>
                <w:sz w:val="19"/>
                <w:szCs w:val="19"/>
                <w:rtl/>
              </w:rPr>
              <w:t>.</w:t>
            </w:r>
          </w:p>
          <w:p w:rsidR="001D3DA9" w:rsidRPr="00BE22D7" w:rsidP="00D5268C">
            <w:pPr>
              <w:pStyle w:val="73"/>
              <w:numPr>
                <w:ilvl w:val="0"/>
                <w:numId w:val="19"/>
              </w:numPr>
              <w:spacing w:before="120"/>
              <w:ind w:right="318"/>
              <w:rPr>
                <w:rtl/>
              </w:rPr>
            </w:pPr>
            <w:r w:rsidRPr="006216E0">
              <w:rPr>
                <w:rFonts w:eastAsia="Calibri" w:hint="cs"/>
                <w:b/>
                <w:bCs/>
                <w:sz w:val="19"/>
                <w:szCs w:val="19"/>
                <w:rtl/>
              </w:rPr>
              <w:t>תיקון הליקויים שעלו בביקורת וביצוע בקרה עיתית</w:t>
            </w:r>
            <w:r>
              <w:rPr>
                <w:rFonts w:eastAsia="Calibri" w:hint="cs"/>
                <w:b/>
                <w:bCs/>
                <w:sz w:val="19"/>
                <w:szCs w:val="19"/>
                <w:rtl/>
              </w:rPr>
              <w:t xml:space="preserve"> </w:t>
            </w:r>
            <w:r w:rsidRPr="003B6DFC">
              <w:rPr>
                <w:rFonts w:eastAsia="Calibri" w:hint="cs"/>
                <w:sz w:val="19"/>
                <w:szCs w:val="19"/>
                <w:rtl/>
              </w:rPr>
              <w:t>-</w:t>
            </w:r>
            <w:r>
              <w:rPr>
                <w:rFonts w:eastAsia="Calibri" w:hint="cs"/>
                <w:b/>
                <w:bCs/>
                <w:sz w:val="19"/>
                <w:szCs w:val="19"/>
                <w:rtl/>
              </w:rPr>
              <w:t xml:space="preserve"> </w:t>
            </w:r>
            <w:r w:rsidRPr="006216E0">
              <w:rPr>
                <w:rFonts w:eastAsia="Calibri"/>
                <w:sz w:val="19"/>
                <w:szCs w:val="19"/>
                <w:rtl/>
              </w:rPr>
              <w:t xml:space="preserve">על </w:t>
            </w:r>
            <w:r w:rsidRPr="006216E0">
              <w:rPr>
                <w:rFonts w:eastAsia="Calibri" w:hint="cs"/>
                <w:sz w:val="19"/>
                <w:szCs w:val="19"/>
                <w:rtl/>
              </w:rPr>
              <w:t>ה</w:t>
            </w:r>
            <w:r w:rsidRPr="006216E0">
              <w:rPr>
                <w:rFonts w:eastAsia="Calibri"/>
                <w:sz w:val="19"/>
                <w:szCs w:val="19"/>
                <w:rtl/>
              </w:rPr>
              <w:t xml:space="preserve">ביטוח </w:t>
            </w:r>
            <w:r w:rsidRPr="006216E0">
              <w:rPr>
                <w:rFonts w:eastAsia="Calibri" w:hint="cs"/>
                <w:sz w:val="19"/>
                <w:szCs w:val="19"/>
                <w:rtl/>
              </w:rPr>
              <w:t>ה</w:t>
            </w:r>
            <w:r w:rsidRPr="006216E0">
              <w:rPr>
                <w:rFonts w:eastAsia="Calibri"/>
                <w:sz w:val="19"/>
                <w:szCs w:val="19"/>
                <w:rtl/>
              </w:rPr>
              <w:t>לאומי, שירות התעסוקה, מכבי, הכללית ומשרד הבריאות להשלים את הטיפול בתיקון הליקויים</w:t>
            </w:r>
            <w:r w:rsidRPr="006216E0">
              <w:rPr>
                <w:rFonts w:eastAsia="Calibri"/>
                <w:sz w:val="19"/>
                <w:szCs w:val="19"/>
                <w:rtl/>
              </w:rPr>
              <w:t xml:space="preserve"> וכן לבחון את כלל המרחבים המוגנים ביתר המבנים שבאחריותם ולפעול לתיקון הליקויים שיימצאו בהם. כמו כן, מומלץ שכל מוסד יגבש תוכנית רב-שנתית לביצוע בקרה עיתית ומקיפה על מצב התחזוקה של המרחבים המוגנים שבאחריותו ועל תקינותם</w:t>
            </w:r>
            <w:r w:rsidRPr="006216E0">
              <w:rPr>
                <w:rFonts w:eastAsia="Calibri"/>
                <w:rtl/>
              </w:rPr>
              <w:t xml:space="preserve"> </w:t>
            </w:r>
            <w:r w:rsidRPr="006216E0">
              <w:rPr>
                <w:rFonts w:eastAsia="Calibri"/>
                <w:sz w:val="19"/>
                <w:szCs w:val="19"/>
                <w:rtl/>
              </w:rPr>
              <w:t xml:space="preserve">ויוודאו כי בקרה זו אכן מתקיימת וכי </w:t>
            </w:r>
            <w:r w:rsidRPr="006216E0">
              <w:rPr>
                <w:rFonts w:eastAsia="Calibri"/>
                <w:sz w:val="19"/>
                <w:szCs w:val="19"/>
                <w:rtl/>
              </w:rPr>
              <w:t>הליקויים שעולים בה מתוקנים.</w:t>
            </w:r>
          </w:p>
        </w:tc>
      </w:tr>
    </w:tbl>
    <w:p w:rsidR="001D3DA9" w:rsidRPr="00DA3406" w:rsidP="001D3DA9">
      <w:pPr>
        <w:bidi w:val="0"/>
        <w:spacing w:after="160" w:line="259" w:lineRule="auto"/>
        <w:ind w:left="-1"/>
        <w:jc w:val="left"/>
        <w:rPr>
          <w:sz w:val="2"/>
          <w:szCs w:val="2"/>
          <w:rtl/>
        </w:rPr>
      </w:pPr>
    </w:p>
    <w:p w:rsidR="001D3DA9" w:rsidRPr="00D57BE9" w:rsidP="001D3DA9">
      <w:pPr>
        <w:rPr>
          <w:rtl/>
        </w:rPr>
      </w:pPr>
      <w:r w:rsidRPr="00D527BD">
        <w:rPr>
          <w:noProof/>
          <w:szCs w:val="20"/>
          <w:rtl/>
        </w:rPr>
        <w:drawing>
          <wp:anchor distT="0" distB="0" distL="114300" distR="114300" simplePos="0" relativeHeight="251659264" behindDoc="0" locked="0" layoutInCell="1" allowOverlap="1">
            <wp:simplePos x="0" y="0"/>
            <wp:positionH relativeFrom="column">
              <wp:posOffset>89536</wp:posOffset>
            </wp:positionH>
            <wp:positionV relativeFrom="paragraph">
              <wp:posOffset>-1905</wp:posOffset>
            </wp:positionV>
            <wp:extent cx="5796280" cy="761365"/>
            <wp:effectExtent l="0" t="0" r="0" b="635"/>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97226" cy="761489"/>
                    </a:xfrm>
                    <a:prstGeom prst="rect">
                      <a:avLst/>
                    </a:prstGeom>
                  </pic:spPr>
                </pic:pic>
              </a:graphicData>
            </a:graphic>
            <wp14:sizeRelH relativeFrom="margin">
              <wp14:pctWidth>0</wp14:pctWidth>
            </wp14:sizeRelH>
            <wp14:sizeRelV relativeFrom="margin">
              <wp14:pctHeight>0</wp14:pctHeight>
            </wp14:sizeRelV>
          </wp:anchor>
        </w:drawing>
      </w:r>
      <w:r w:rsidRPr="00D527BD">
        <w:rPr>
          <w:noProof/>
          <w:szCs w:val="20"/>
          <w:rtl/>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102870</wp:posOffset>
                </wp:positionV>
                <wp:extent cx="5417820" cy="434975"/>
                <wp:effectExtent l="0" t="0" r="508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17820" cy="434975"/>
                        </a:xfrm>
                        <a:prstGeom prst="rect">
                          <a:avLst/>
                        </a:prstGeom>
                        <a:solidFill>
                          <a:srgbClr val="F05260"/>
                        </a:solidFill>
                        <a:ln w="9525">
                          <a:noFill/>
                          <a:miter lim="800000"/>
                          <a:headEnd/>
                          <a:tailEnd/>
                        </a:ln>
                      </wps:spPr>
                      <wps:txbx>
                        <w:txbxContent>
                          <w:p w:rsidR="001D3DA9" w:rsidRPr="005C7ABF" w:rsidP="00D5268C">
                            <w:pPr>
                              <w:pStyle w:val="733"/>
                              <w:ind w:left="-129"/>
                              <w:rPr>
                                <w:rtl/>
                              </w:rPr>
                            </w:pPr>
                            <w:r w:rsidRPr="00D5268C">
                              <w:rPr>
                                <w:rtl/>
                              </w:rPr>
                              <w:t>מספר המבנים במוסדות הציבור שנבדקו, בחלוקה למבנים עם מיגון פנימי, עם מיגון חיצוני וללא מרחב מוגן ושיעורם, ספטמבר 2025</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426.6pt;height:34.25pt;margin-top:8.1pt;margin-left:19.05pt;mso-height-percent:0;mso-height-relative:margin;mso-width-percent:0;mso-width-relative:margin;mso-wrap-distance-bottom:0;mso-wrap-distance-left:9pt;mso-wrap-distance-right:9pt;mso-wrap-distance-top:0;mso-wrap-style:square;position:absolute;visibility:visible;v-text-anchor:middle;z-index:251661312" fillcolor="#f05260" stroked="f">
                <v:textbox>
                  <w:txbxContent>
                    <w:p w:rsidR="001D3DA9" w:rsidRPr="005C7ABF" w:rsidP="00D5268C">
                      <w:pPr>
                        <w:pStyle w:val="733"/>
                        <w:ind w:left="-129"/>
                        <w:rPr>
                          <w:rtl/>
                        </w:rPr>
                      </w:pPr>
                      <w:r w:rsidRPr="00D5268C">
                        <w:rPr>
                          <w:rtl/>
                        </w:rPr>
                        <w:t>מספר המבנים במוסדות הציבור שנבדקו, בחלוקה למבנים עם מיגון פנימי, עם מיגון חיצוני וללא מרחב מוגן ושיעורם, ספטמבר 2025</w:t>
                      </w:r>
                    </w:p>
                  </w:txbxContent>
                </v:textbox>
              </v:shape>
            </w:pict>
          </mc:Fallback>
        </mc:AlternateContent>
      </w:r>
    </w:p>
    <w:p w:rsidR="001D3DA9" w:rsidRPr="00D57BE9" w:rsidP="00D5268C">
      <w:pPr>
        <w:spacing w:before="840"/>
        <w:jc w:val="center"/>
        <w:rPr>
          <w:rtl/>
        </w:rPr>
      </w:pPr>
      <w:r w:rsidRPr="00D5268C">
        <w:rPr>
          <w:rFonts w:eastAsia="Calibri"/>
          <w:noProof/>
        </w:rPr>
        <w:drawing>
          <wp:inline distT="0" distB="0" distL="0" distR="0">
            <wp:extent cx="4763135" cy="3189522"/>
            <wp:effectExtent l="0" t="0" r="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25"/>
                    <a:srcRect t="6378"/>
                    <a:stretch>
                      <a:fillRect/>
                    </a:stretch>
                  </pic:blipFill>
                  <pic:spPr bwMode="auto">
                    <a:xfrm>
                      <a:off x="0" y="0"/>
                      <a:ext cx="4763135" cy="318952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5268C" w:rsidRPr="00D5268C" w:rsidP="00D5268C">
      <w:pPr>
        <w:jc w:val="left"/>
        <w:rPr>
          <w:rFonts w:ascii="Tahoma" w:eastAsia="Calibri" w:hAnsi="Tahoma" w:cs="Tahoma"/>
          <w:sz w:val="8"/>
          <w:szCs w:val="8"/>
          <w:rtl/>
        </w:rPr>
      </w:pPr>
    </w:p>
    <w:p w:rsidR="00D5268C" w:rsidRPr="00D5268C" w:rsidP="00D5268C">
      <w:pPr>
        <w:jc w:val="left"/>
        <w:rPr>
          <w:rFonts w:ascii="Tahoma" w:eastAsia="Calibri" w:hAnsi="Tahoma" w:cs="Tahoma"/>
          <w:sz w:val="16"/>
          <w:szCs w:val="16"/>
          <w:rtl/>
        </w:rPr>
      </w:pPr>
      <w:r w:rsidRPr="00D5268C">
        <w:rPr>
          <w:rFonts w:ascii="Tahoma" w:eastAsia="Calibri" w:hAnsi="Tahoma" w:cs="Tahoma"/>
          <w:sz w:val="16"/>
          <w:szCs w:val="16"/>
          <w:rtl/>
        </w:rPr>
        <w:t>על פי נתוני המוסדות, בעיבוד משרד מבקר המדינה.</w:t>
      </w:r>
    </w:p>
    <w:p w:rsidR="00D5268C" w:rsidRPr="006216E0" w:rsidP="00D5268C">
      <w:pPr>
        <w:spacing w:before="200" w:line="288" w:lineRule="auto"/>
        <w:ind w:left="-1"/>
        <w:rPr>
          <w:rFonts w:ascii="Tahoma" w:eastAsia="Calibri" w:hAnsi="Tahoma" w:cs="Tahoma"/>
          <w:b/>
          <w:bCs/>
          <w:noProof/>
          <w:color w:val="FFFFFF"/>
          <w:sz w:val="22"/>
          <w:szCs w:val="22"/>
          <w:rtl/>
        </w:rPr>
      </w:pPr>
      <w:r w:rsidRPr="006216E0">
        <w:rPr>
          <w:rFonts w:eastAsia="Calibri"/>
          <w:noProof/>
          <w:rtl/>
        </w:rPr>
        <w:drawing>
          <wp:anchor distT="0" distB="0" distL="114300" distR="114300" simplePos="0" relativeHeight="251662336" behindDoc="1" locked="0" layoutInCell="1" allowOverlap="1">
            <wp:simplePos x="0" y="0"/>
            <wp:positionH relativeFrom="column">
              <wp:posOffset>2963219</wp:posOffset>
            </wp:positionH>
            <wp:positionV relativeFrom="paragraph">
              <wp:posOffset>-96520</wp:posOffset>
            </wp:positionV>
            <wp:extent cx="2882265" cy="571500"/>
            <wp:effectExtent l="0" t="0" r="0" b="0"/>
            <wp:wrapNone/>
            <wp:docPr id="24" name="תמונה 24"/>
            <wp:cNvGraphicFramePr/>
            <a:graphic xmlns:a="http://schemas.openxmlformats.org/drawingml/2006/main">
              <a:graphicData uri="http://schemas.openxmlformats.org/drawingml/2006/picture">
                <pic:pic xmlns:pic="http://schemas.openxmlformats.org/drawingml/2006/picture">
                  <pic:nvPicPr>
                    <pic:cNvPr id="24" name="תמונה 66"/>
                    <pic:cNvPicPr>
                      <a:picLocks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82265" cy="571500"/>
                    </a:xfrm>
                    <a:prstGeom prst="rect">
                      <a:avLst/>
                    </a:prstGeom>
                    <a:noFill/>
                  </pic:spPr>
                </pic:pic>
              </a:graphicData>
            </a:graphic>
            <wp14:sizeRelH relativeFrom="page">
              <wp14:pctWidth>0</wp14:pctWidth>
            </wp14:sizeRelH>
            <wp14:sizeRelV relativeFrom="page">
              <wp14:pctHeight>0</wp14:pctHeight>
            </wp14:sizeRelV>
          </wp:anchor>
        </w:drawing>
      </w:r>
      <w:r w:rsidRPr="006216E0">
        <w:rPr>
          <w:rFonts w:ascii="Tahoma" w:eastAsia="Calibri" w:hAnsi="Tahoma" w:cs="Tahoma"/>
          <w:b/>
          <w:bCs/>
          <w:noProof/>
          <w:color w:val="FFFFFF"/>
          <w:sz w:val="22"/>
          <w:szCs w:val="22"/>
          <w:rtl/>
        </w:rPr>
        <w:t xml:space="preserve">דוגמאות לליקויים שאותרו בביקורת </w:t>
      </w:r>
    </w:p>
    <w:p w:rsidR="00D5268C" w:rsidP="001D3DA9">
      <w:pPr>
        <w:spacing w:after="160" w:line="288" w:lineRule="auto"/>
        <w:ind w:left="-1"/>
        <w:rPr>
          <w:rFonts w:ascii="Tahoma" w:hAnsi="Tahoma" w:cs="Tahoma"/>
          <w:rtl/>
        </w:rPr>
      </w:pPr>
    </w:p>
    <w:tbl>
      <w:tblPr>
        <w:tblStyle w:val="11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6"/>
        <w:gridCol w:w="2586"/>
        <w:gridCol w:w="2952"/>
      </w:tblGrid>
      <w:tr w:rsidTr="00D5268C">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6"/>
          <w:jc w:val="center"/>
        </w:trPr>
        <w:tc>
          <w:tcPr>
            <w:tcW w:w="2796" w:type="dxa"/>
            <w:hideMark/>
          </w:tcPr>
          <w:p w:rsidR="00D5268C" w:rsidRPr="00D5268C" w:rsidP="00D5268C">
            <w:pPr>
              <w:jc w:val="left"/>
              <w:rPr>
                <w:rFonts w:ascii="Tahoma" w:eastAsia="Calibri" w:hAnsi="Tahoma" w:cs="Tahoma"/>
                <w:b/>
                <w:bCs/>
                <w:sz w:val="16"/>
                <w:szCs w:val="20"/>
                <w:rtl/>
              </w:rPr>
            </w:pPr>
            <w:r w:rsidRPr="00D5268C">
              <w:rPr>
                <w:rFonts w:ascii="Tahoma" w:eastAsia="Calibri" w:hAnsi="Tahoma" w:cs="Tahoma"/>
                <w:b/>
                <w:bCs/>
                <w:sz w:val="16"/>
                <w:szCs w:val="20"/>
                <w:rtl/>
              </w:rPr>
              <w:t xml:space="preserve">   מכבי, קריית מוצקין </w:t>
            </w:r>
          </w:p>
        </w:tc>
        <w:tc>
          <w:tcPr>
            <w:tcW w:w="2586" w:type="dxa"/>
            <w:hideMark/>
          </w:tcPr>
          <w:p w:rsidR="00D5268C" w:rsidRPr="00D5268C" w:rsidP="00D5268C">
            <w:pPr>
              <w:jc w:val="center"/>
              <w:rPr>
                <w:rFonts w:ascii="Tahoma" w:eastAsia="Calibri" w:hAnsi="Tahoma" w:cs="Tahoma"/>
                <w:b/>
                <w:bCs/>
                <w:sz w:val="16"/>
                <w:szCs w:val="20"/>
                <w:rtl/>
              </w:rPr>
            </w:pPr>
            <w:r w:rsidRPr="00D5268C">
              <w:rPr>
                <w:rFonts w:ascii="Tahoma" w:eastAsia="Calibri" w:hAnsi="Tahoma" w:cs="Tahoma"/>
                <w:b/>
                <w:bCs/>
                <w:sz w:val="16"/>
                <w:szCs w:val="20"/>
                <w:rtl/>
              </w:rPr>
              <w:t>בט"ל, אשדוד</w:t>
            </w:r>
          </w:p>
        </w:tc>
        <w:tc>
          <w:tcPr>
            <w:tcW w:w="2952" w:type="dxa"/>
            <w:hideMark/>
          </w:tcPr>
          <w:p w:rsidR="00D5268C" w:rsidRPr="00D5268C" w:rsidP="00D5268C">
            <w:pPr>
              <w:jc w:val="left"/>
              <w:rPr>
                <w:rFonts w:ascii="Tahoma" w:eastAsia="Calibri" w:hAnsi="Tahoma" w:cs="Tahoma"/>
                <w:b/>
                <w:bCs/>
                <w:sz w:val="16"/>
                <w:szCs w:val="20"/>
                <w:rtl/>
              </w:rPr>
            </w:pPr>
            <w:r w:rsidRPr="00D5268C">
              <w:rPr>
                <w:rFonts w:ascii="Tahoma" w:eastAsia="Calibri" w:hAnsi="Tahoma" w:cs="Tahoma"/>
                <w:b/>
                <w:bCs/>
                <w:sz w:val="16"/>
                <w:szCs w:val="20"/>
                <w:rtl/>
              </w:rPr>
              <w:t xml:space="preserve"> שירות התעסוקה, ירושלים</w:t>
            </w:r>
          </w:p>
        </w:tc>
      </w:tr>
      <w:tr w:rsidTr="00D5268C">
        <w:tblPrEx>
          <w:tblW w:w="0" w:type="auto"/>
          <w:jc w:val="center"/>
          <w:tblLook w:val="04A0"/>
        </w:tblPrEx>
        <w:trPr>
          <w:jc w:val="center"/>
        </w:trPr>
        <w:tc>
          <w:tcPr>
            <w:tcW w:w="8334" w:type="dxa"/>
            <w:gridSpan w:val="3"/>
            <w:hideMark/>
          </w:tcPr>
          <w:p w:rsidR="00D5268C" w:rsidRPr="00D5268C" w:rsidP="00D5268C">
            <w:pPr>
              <w:rPr>
                <w:rFonts w:ascii="Tahoma" w:eastAsia="Calibri" w:hAnsi="Tahoma" w:cs="Tahoma"/>
                <w:sz w:val="12"/>
                <w:szCs w:val="16"/>
                <w:rtl/>
              </w:rPr>
            </w:pPr>
            <w:r w:rsidRPr="00D5268C">
              <w:rPr>
                <w:rFonts w:ascii="Tahoma" w:eastAsia="Calibri" w:hAnsi="Tahoma" w:cs="Tahoma"/>
                <w:sz w:val="12"/>
                <w:szCs w:val="16"/>
                <w:rtl/>
              </w:rPr>
              <w:t>פתח מילוט חסום באמצעות סורגים                                  חפצים בכניסה למרחב המוגן</w:t>
            </w:r>
          </w:p>
          <w:p w:rsidR="00D5268C" w:rsidRPr="00D5268C" w:rsidP="00D5268C">
            <w:pPr>
              <w:jc w:val="left"/>
              <w:rPr>
                <w:rFonts w:ascii="Tahoma" w:eastAsia="Calibri" w:hAnsi="Tahoma" w:cs="Tahoma"/>
                <w:b/>
                <w:bCs/>
                <w:sz w:val="14"/>
                <w:szCs w:val="20"/>
                <w:rtl/>
              </w:rPr>
            </w:pPr>
            <w:r w:rsidRPr="00D5268C">
              <w:rPr>
                <w:rFonts w:ascii="Tahoma" w:eastAsia="Calibri" w:hAnsi="Tahoma" w:cs="Tahoma"/>
                <w:sz w:val="12"/>
                <w:szCs w:val="16"/>
                <w:rtl/>
              </w:rPr>
              <w:t xml:space="preserve">            נעולים במפתח</w:t>
            </w:r>
            <w:r w:rsidRPr="00D5268C">
              <w:rPr>
                <w:rFonts w:ascii="Tahoma" w:eastAsia="Calibri" w:hAnsi="Tahoma" w:cs="Tahoma"/>
                <w:b/>
                <w:bCs/>
                <w:sz w:val="12"/>
                <w:szCs w:val="16"/>
                <w:rtl/>
              </w:rPr>
              <w:t xml:space="preserve">                                                  </w:t>
            </w:r>
          </w:p>
        </w:tc>
      </w:tr>
      <w:tr w:rsidTr="00D5268C">
        <w:tblPrEx>
          <w:tblW w:w="0" w:type="auto"/>
          <w:jc w:val="center"/>
          <w:tblLook w:val="04A0"/>
        </w:tblPrEx>
        <w:trPr>
          <w:jc w:val="center"/>
        </w:trPr>
        <w:tc>
          <w:tcPr>
            <w:tcW w:w="2796" w:type="dxa"/>
          </w:tcPr>
          <w:p w:rsidR="00D5268C" w:rsidRPr="00D5268C" w:rsidP="00D5268C">
            <w:pPr>
              <w:jc w:val="left"/>
              <w:rPr>
                <w:rFonts w:ascii="Tahoma" w:eastAsia="Calibri" w:hAnsi="Tahoma" w:cs="Tahoma"/>
                <w:b/>
                <w:bCs/>
                <w:noProof/>
                <w:rtl/>
              </w:rPr>
            </w:pPr>
          </w:p>
          <w:p w:rsidR="00D5268C" w:rsidRPr="00D5268C" w:rsidP="00D5268C">
            <w:pPr>
              <w:jc w:val="left"/>
              <w:rPr>
                <w:rFonts w:ascii="Tahoma" w:eastAsia="Calibri" w:hAnsi="Tahoma" w:cs="Tahoma"/>
                <w:b/>
                <w:bCs/>
              </w:rPr>
            </w:pPr>
          </w:p>
          <w:p w:rsidR="00D5268C" w:rsidRPr="00D5268C" w:rsidP="00D5268C">
            <w:pPr>
              <w:jc w:val="left"/>
              <w:rPr>
                <w:rFonts w:ascii="Tahoma" w:eastAsia="Calibri" w:hAnsi="Tahoma" w:cs="Tahoma"/>
                <w:b/>
                <w:bCs/>
              </w:rPr>
            </w:pPr>
            <w:r w:rsidRPr="00D5268C">
              <w:rPr>
                <w:rFonts w:ascii="Tahoma" w:eastAsia="Calibri" w:hAnsi="Tahoma" w:cs="Tahoma"/>
                <w:b/>
                <w:bCs/>
                <w:noProof/>
              </w:rPr>
              <w:drawing>
                <wp:inline distT="0" distB="0" distL="0" distR="0">
                  <wp:extent cx="1638300" cy="1514475"/>
                  <wp:effectExtent l="0" t="0" r="0" b="9525"/>
                  <wp:docPr id="162" name="תמונה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תמונה 12"/>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1514475"/>
                          </a:xfrm>
                          <a:prstGeom prst="rect">
                            <a:avLst/>
                          </a:prstGeom>
                          <a:noFill/>
                          <a:ln>
                            <a:noFill/>
                          </a:ln>
                        </pic:spPr>
                      </pic:pic>
                    </a:graphicData>
                  </a:graphic>
                </wp:inline>
              </w:drawing>
            </w:r>
          </w:p>
          <w:p w:rsidR="00D5268C" w:rsidRPr="00D5268C" w:rsidP="00D5268C">
            <w:pPr>
              <w:jc w:val="left"/>
              <w:rPr>
                <w:rFonts w:ascii="Tahoma" w:eastAsia="Calibri" w:hAnsi="Tahoma" w:cs="Tahoma"/>
                <w:b/>
                <w:bCs/>
                <w:rtl/>
              </w:rPr>
            </w:pPr>
          </w:p>
        </w:tc>
        <w:tc>
          <w:tcPr>
            <w:tcW w:w="2586" w:type="dxa"/>
            <w:hideMark/>
          </w:tcPr>
          <w:p w:rsidR="00D5268C" w:rsidRPr="00D5268C" w:rsidP="00D5268C">
            <w:pPr>
              <w:jc w:val="right"/>
              <w:rPr>
                <w:rFonts w:ascii="Tahoma" w:eastAsia="Calibri" w:hAnsi="Tahoma" w:cs="Tahoma"/>
                <w:b/>
                <w:bCs/>
              </w:rPr>
            </w:pPr>
            <w:r w:rsidRPr="00D5268C">
              <w:rPr>
                <w:rFonts w:ascii="Tahoma" w:eastAsia="Calibri" w:hAnsi="Tahoma" w:cs="Tahoma"/>
                <w:b/>
                <w:bCs/>
                <w:noProof/>
              </w:rPr>
              <w:drawing>
                <wp:inline distT="0" distB="0" distL="0" distR="0">
                  <wp:extent cx="1504950" cy="2333625"/>
                  <wp:effectExtent l="0" t="0" r="0" b="9525"/>
                  <wp:docPr id="161" name="תמונה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תמונה 75"/>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2333625"/>
                          </a:xfrm>
                          <a:prstGeom prst="rect">
                            <a:avLst/>
                          </a:prstGeom>
                          <a:noFill/>
                          <a:ln>
                            <a:noFill/>
                          </a:ln>
                        </pic:spPr>
                      </pic:pic>
                    </a:graphicData>
                  </a:graphic>
                </wp:inline>
              </w:drawing>
            </w:r>
          </w:p>
        </w:tc>
        <w:tc>
          <w:tcPr>
            <w:tcW w:w="2952" w:type="dxa"/>
            <w:hideMark/>
          </w:tcPr>
          <w:p w:rsidR="00D5268C" w:rsidRPr="00D5268C" w:rsidP="00D5268C">
            <w:pPr>
              <w:jc w:val="left"/>
              <w:rPr>
                <w:rFonts w:ascii="Tahoma" w:eastAsia="Calibri" w:hAnsi="Tahoma" w:cs="Tahoma"/>
                <w:b/>
                <w:bCs/>
                <w:rtl/>
              </w:rPr>
            </w:pPr>
            <w:r w:rsidRPr="00D5268C">
              <w:rPr>
                <w:rFonts w:ascii="Tahoma" w:eastAsia="Calibri" w:hAnsi="Tahoma" w:cs="Tahoma"/>
                <w:b/>
                <w:bCs/>
                <w:noProof/>
              </w:rPr>
              <w:drawing>
                <wp:inline distT="0" distB="0" distL="0" distR="0">
                  <wp:extent cx="1733550" cy="2343150"/>
                  <wp:effectExtent l="0" t="0" r="0" b="0"/>
                  <wp:docPr id="160" name="תמונה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תמונה 76"/>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2343150"/>
                          </a:xfrm>
                          <a:prstGeom prst="rect">
                            <a:avLst/>
                          </a:prstGeom>
                          <a:noFill/>
                          <a:ln>
                            <a:noFill/>
                          </a:ln>
                        </pic:spPr>
                      </pic:pic>
                    </a:graphicData>
                  </a:graphic>
                </wp:inline>
              </w:drawing>
            </w:r>
          </w:p>
        </w:tc>
      </w:tr>
    </w:tbl>
    <w:p w:rsidR="00D5268C" w:rsidRPr="00D5268C" w:rsidP="00D5268C">
      <w:pPr>
        <w:ind w:left="-1"/>
        <w:jc w:val="left"/>
        <w:rPr>
          <w:rFonts w:ascii="Tahoma" w:eastAsia="Calibri" w:hAnsi="Tahoma" w:cs="Tahoma"/>
          <w:sz w:val="16"/>
          <w:szCs w:val="16"/>
          <w:rtl/>
        </w:rPr>
      </w:pPr>
      <w:r w:rsidRPr="00D5268C">
        <w:rPr>
          <w:rFonts w:ascii="Tahoma" w:eastAsia="Calibri" w:hAnsi="Tahoma" w:cs="Tahoma"/>
          <w:sz w:val="16"/>
          <w:szCs w:val="16"/>
          <w:rtl/>
        </w:rPr>
        <w:t xml:space="preserve">צולם על ידי צוות </w:t>
      </w:r>
      <w:r w:rsidRPr="00D5268C">
        <w:rPr>
          <w:rFonts w:ascii="Tahoma" w:eastAsia="Calibri" w:hAnsi="Tahoma" w:cs="Tahoma"/>
          <w:sz w:val="16"/>
          <w:szCs w:val="16"/>
          <w:rtl/>
        </w:rPr>
        <w:t>הביקורת בספטמבר 2025.</w:t>
      </w:r>
    </w:p>
    <w:p w:rsidR="00D5268C" w:rsidP="001D3DA9">
      <w:pPr>
        <w:spacing w:after="160" w:line="288" w:lineRule="auto"/>
        <w:ind w:left="-1"/>
        <w:rPr>
          <w:rFonts w:ascii="Tahoma" w:hAnsi="Tahoma" w:cs="Tahoma"/>
          <w:rtl/>
        </w:rPr>
      </w:pPr>
    </w:p>
    <w:p w:rsidR="001D3DA9" w:rsidRPr="006B7706" w:rsidP="001D3DA9">
      <w:pPr>
        <w:spacing w:after="160" w:line="288" w:lineRule="auto"/>
        <w:ind w:left="-1"/>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D5268C" w:rsidRPr="00D5268C" w:rsidP="00D5268C">
      <w:pPr>
        <w:pStyle w:val="739"/>
        <w:spacing w:after="120"/>
        <w:rPr>
          <w:rFonts w:eastAsia="Calibri"/>
          <w:sz w:val="19"/>
          <w:szCs w:val="19"/>
          <w:rtl/>
        </w:rPr>
      </w:pPr>
      <w:r w:rsidRPr="00D5268C">
        <w:rPr>
          <w:rFonts w:eastAsia="Calibri"/>
          <w:sz w:val="19"/>
          <w:szCs w:val="19"/>
          <w:rtl/>
        </w:rPr>
        <w:t xml:space="preserve">התמודדות מיטבית עם מצבי חירום תלויה במידת המוכנות אליהם בעת שגרה. בתוך כך, מרחבים מוגנים במוסדות ציבור הם רכיב מרכזי בהיערכות הלאומית לעיתות </w:t>
      </w:r>
      <w:r w:rsidRPr="00D5268C">
        <w:rPr>
          <w:sz w:val="19"/>
          <w:szCs w:val="19"/>
          <w:rtl/>
        </w:rPr>
        <w:t>חירום</w:t>
      </w:r>
      <w:r w:rsidRPr="00D5268C">
        <w:rPr>
          <w:rFonts w:eastAsia="Calibri"/>
          <w:sz w:val="19"/>
          <w:szCs w:val="19"/>
          <w:rtl/>
        </w:rPr>
        <w:t xml:space="preserve"> ונדבך חשוב בהמשך מתן שירות חיוני לציבור, בשמירה על הרציפות התפקודית ובצמצום הפגיעה ב</w:t>
      </w:r>
      <w:r w:rsidRPr="00D5268C">
        <w:rPr>
          <w:rFonts w:eastAsia="Calibri"/>
          <w:sz w:val="19"/>
          <w:szCs w:val="19"/>
          <w:rtl/>
        </w:rPr>
        <w:t>פעילות המשק, זאת תוך הגנה על חיי אדם ומתן אפשרות לעובדים ולציבור לקיים שגרת חיים סדורה.</w:t>
      </w:r>
    </w:p>
    <w:p w:rsidR="00D5268C" w:rsidRPr="00D5268C" w:rsidP="00D5268C">
      <w:pPr>
        <w:pStyle w:val="739"/>
        <w:spacing w:after="120"/>
        <w:rPr>
          <w:rFonts w:eastAsia="Calibri"/>
          <w:sz w:val="19"/>
          <w:szCs w:val="19"/>
          <w:rtl/>
        </w:rPr>
      </w:pPr>
      <w:r w:rsidRPr="00D5268C">
        <w:rPr>
          <w:rFonts w:eastAsia="Calibri"/>
          <w:sz w:val="19"/>
          <w:szCs w:val="19"/>
          <w:rtl/>
        </w:rPr>
        <w:t>ביקורת הפתע שבמסגרתה נבדקו מרחבים מוגנים ב-16 מבנים של מוסדות ציבור - המוסד לביטוח לאומי, שירות התעסוקה, שירותי בריאות כללית, מכבי שירותי בריאות ותחנות לבריאות המשפחה ש</w:t>
      </w:r>
      <w:r w:rsidRPr="00D5268C">
        <w:rPr>
          <w:rFonts w:eastAsia="Calibri"/>
          <w:sz w:val="19"/>
          <w:szCs w:val="19"/>
          <w:rtl/>
        </w:rPr>
        <w:t>ל משרד הבריאות - העלתה כי תקינותם ותחזוקתם של המרחבים שנבדקו לקתה בחסר. עלו ליקויים הנוגעים להיעדר גישה חופשית ונגישה למרחב מוגן דוגמת אי-פינוי מפגעים מפתח הכניסה, היעדר שילוט מתאים המצביע על מיקומו של המרחב המוגן, נגישות לא מתאימה לסולמות ולפתחי מילוט, כי</w:t>
      </w:r>
      <w:r w:rsidRPr="00D5268C">
        <w:rPr>
          <w:rFonts w:eastAsia="Calibri"/>
          <w:sz w:val="19"/>
          <w:szCs w:val="19"/>
          <w:rtl/>
        </w:rPr>
        <w:t xml:space="preserve">ורים ומשטחי שיש מחומרים האסורים לשימוש, אביזרים התלויים על הקירות שעלולים לסכן את בטיחות השוהים במרחב המוגן, בשל חשש לנפילתם בעת הדף או פיצוץ; ליקויים המשפיעים על שהייה בטוחה במרחב המוגן </w:t>
      </w:r>
      <w:r w:rsidRPr="00D5268C">
        <w:rPr>
          <w:rFonts w:eastAsia="Calibri" w:hint="cs"/>
          <w:sz w:val="19"/>
          <w:szCs w:val="19"/>
          <w:rtl/>
        </w:rPr>
        <w:t xml:space="preserve">כגון </w:t>
      </w:r>
      <w:r w:rsidRPr="00D5268C">
        <w:rPr>
          <w:rFonts w:eastAsia="Calibri"/>
          <w:sz w:val="19"/>
          <w:szCs w:val="19"/>
          <w:rtl/>
        </w:rPr>
        <w:t>איטום הדלתות וחלונות ההדף</w:t>
      </w:r>
      <w:r w:rsidRPr="00D5268C">
        <w:rPr>
          <w:rFonts w:eastAsia="Calibri" w:hint="cs"/>
          <w:sz w:val="19"/>
          <w:szCs w:val="19"/>
          <w:rtl/>
        </w:rPr>
        <w:t>,</w:t>
      </w:r>
      <w:r w:rsidRPr="00D5268C">
        <w:rPr>
          <w:rFonts w:eastAsia="Calibri"/>
          <w:sz w:val="19"/>
          <w:szCs w:val="19"/>
          <w:rtl/>
        </w:rPr>
        <w:t xml:space="preserve"> מנגנוני נעילה לא תקינים של הדלתות והח</w:t>
      </w:r>
      <w:r w:rsidRPr="00D5268C">
        <w:rPr>
          <w:rFonts w:eastAsia="Calibri"/>
          <w:sz w:val="19"/>
          <w:szCs w:val="19"/>
          <w:rtl/>
        </w:rPr>
        <w:t>לונות, ליקויים בגומיות האיטום שלהם וצינורות אוורור לא תקינים. עוד עלו ליקויים באמצעים התומכים בשהייה לטווח ארוך במרחב המוגן ולתקשורת עם הסביבה החיצונית ובכלל זה בנוגע לחיבור לאמצעי תקשורת חיוניים בעת חירום</w:t>
      </w:r>
      <w:r w:rsidRPr="00D5268C">
        <w:rPr>
          <w:rFonts w:eastAsia="Calibri" w:hint="cs"/>
          <w:sz w:val="19"/>
          <w:szCs w:val="19"/>
          <w:rtl/>
        </w:rPr>
        <w:t xml:space="preserve"> </w:t>
      </w:r>
      <w:r w:rsidRPr="00D5268C">
        <w:rPr>
          <w:rFonts w:eastAsia="Calibri"/>
          <w:sz w:val="19"/>
          <w:szCs w:val="19"/>
          <w:rtl/>
        </w:rPr>
        <w:t xml:space="preserve">ולהימצאות ציוד נלווה מלא ותקין במרחב המוגן כדוגמת </w:t>
      </w:r>
      <w:r w:rsidRPr="00D5268C">
        <w:rPr>
          <w:rFonts w:eastAsia="Calibri"/>
          <w:sz w:val="19"/>
          <w:szCs w:val="19"/>
          <w:rtl/>
        </w:rPr>
        <w:t>מי שתייה ומטפה לכיבוי אש.</w:t>
      </w:r>
    </w:p>
    <w:p w:rsidR="00D5268C" w:rsidRPr="00D5268C" w:rsidP="00D5268C">
      <w:pPr>
        <w:pStyle w:val="739"/>
        <w:spacing w:after="120"/>
        <w:rPr>
          <w:rFonts w:eastAsia="Calibri"/>
          <w:sz w:val="19"/>
          <w:szCs w:val="19"/>
          <w:rtl/>
        </w:rPr>
      </w:pPr>
      <w:r w:rsidRPr="00D5268C">
        <w:rPr>
          <w:rFonts w:eastAsia="Calibri"/>
          <w:sz w:val="19"/>
          <w:szCs w:val="19"/>
          <w:rtl/>
        </w:rPr>
        <w:t xml:space="preserve">על </w:t>
      </w:r>
      <w:r w:rsidRPr="00D5268C">
        <w:rPr>
          <w:rFonts w:eastAsia="Calibri" w:hint="cs"/>
          <w:sz w:val="19"/>
          <w:szCs w:val="19"/>
          <w:rtl/>
        </w:rPr>
        <w:t>הביטוח הלאומי</w:t>
      </w:r>
      <w:r w:rsidRPr="00D5268C">
        <w:rPr>
          <w:rFonts w:eastAsia="Calibri"/>
          <w:sz w:val="19"/>
          <w:szCs w:val="19"/>
          <w:rtl/>
        </w:rPr>
        <w:t>, שירות התעסוקה, מכבי, הכללית ומשרד הבריאות לתקן את הליקויים שעלו בביקורת במרחבים המוגנים שנבדקו.</w:t>
      </w:r>
      <w:r w:rsidRPr="00D5268C">
        <w:rPr>
          <w:rFonts w:eastAsia="Calibri" w:hint="cs"/>
          <w:sz w:val="19"/>
          <w:szCs w:val="19"/>
          <w:rtl/>
        </w:rPr>
        <w:t xml:space="preserve"> אף </w:t>
      </w:r>
      <w:r w:rsidRPr="00D5268C">
        <w:rPr>
          <w:rFonts w:eastAsia="Calibri"/>
          <w:sz w:val="19"/>
          <w:szCs w:val="19"/>
          <w:rtl/>
        </w:rPr>
        <w:t>נדרש מהמוסדות שנבדקו לפעול לאיתור ליקויים במרחבים המוגנים</w:t>
      </w:r>
      <w:r w:rsidRPr="00D5268C">
        <w:rPr>
          <w:rFonts w:eastAsia="Calibri" w:hint="cs"/>
          <w:sz w:val="19"/>
          <w:szCs w:val="19"/>
          <w:rtl/>
        </w:rPr>
        <w:t>,</w:t>
      </w:r>
      <w:r w:rsidRPr="00D5268C">
        <w:rPr>
          <w:rFonts w:eastAsia="Calibri"/>
          <w:sz w:val="19"/>
          <w:szCs w:val="19"/>
          <w:rtl/>
        </w:rPr>
        <w:t xml:space="preserve"> </w:t>
      </w:r>
      <w:r w:rsidRPr="00D5268C">
        <w:rPr>
          <w:rFonts w:eastAsia="Calibri" w:hint="cs"/>
          <w:sz w:val="19"/>
          <w:szCs w:val="19"/>
          <w:rtl/>
        </w:rPr>
        <w:t>ו</w:t>
      </w:r>
      <w:r w:rsidRPr="00D5268C">
        <w:rPr>
          <w:rFonts w:eastAsia="Calibri"/>
          <w:sz w:val="19"/>
          <w:szCs w:val="19"/>
          <w:rtl/>
        </w:rPr>
        <w:t xml:space="preserve">לבחון אם הליקויים שהועלו בדוח זה, בכל התחומים, קיימים גם בשאר המרחבים המוגנים שבאחריותם, </w:t>
      </w:r>
      <w:r w:rsidRPr="00D5268C">
        <w:rPr>
          <w:rFonts w:eastAsia="Calibri" w:hint="cs"/>
          <w:sz w:val="19"/>
          <w:szCs w:val="19"/>
          <w:rtl/>
        </w:rPr>
        <w:t>ובהתאם</w:t>
      </w:r>
      <w:r w:rsidRPr="00D5268C">
        <w:rPr>
          <w:rFonts w:eastAsia="Calibri"/>
          <w:sz w:val="19"/>
          <w:szCs w:val="19"/>
          <w:rtl/>
        </w:rPr>
        <w:t xml:space="preserve"> עליהם לפעול לתיקונם. עליהם לוודא שהגישה למרחבים המוגנים בכל מבניהם תהיה פנויה ממכשולים ותכלול שילוט בולט ופולט אור; להבטיח שפנים המרחב המוגן יהיה פנוי ונגיש ברמ</w:t>
      </w:r>
      <w:r w:rsidRPr="00D5268C">
        <w:rPr>
          <w:rFonts w:eastAsia="Calibri"/>
          <w:sz w:val="19"/>
          <w:szCs w:val="19"/>
          <w:rtl/>
        </w:rPr>
        <w:t>ה המאפשרת שימוש בו בעת חירום; לוודא את תקינות חלונות ודלתות המרחב המוגן ואת תקינות מנגנוני הנעילה שלהם; להבטיח את נגישותם של הסולמות ופתחי המילוט במרחבים המוגנים ואת תקינותם; להבטיח פתרון תברואתי כנדרש ולהימנע מהתקנה של מתקנים סניטריים מחומרים שבירים העלול</w:t>
      </w:r>
      <w:r w:rsidRPr="00D5268C">
        <w:rPr>
          <w:rFonts w:eastAsia="Calibri"/>
          <w:sz w:val="19"/>
          <w:szCs w:val="19"/>
          <w:rtl/>
        </w:rPr>
        <w:t xml:space="preserve">ים להישבר או להתנפץ בעת רעידות או הדף רב עוצמה; ולוודא שהמרחבים המוגנים כוללים את התשתית הנדרשת לאמצעי תקשורת בתוך המרחב המוגן. </w:t>
      </w:r>
    </w:p>
    <w:p w:rsidR="00D5268C" w:rsidRPr="00D5268C" w:rsidP="00D5268C">
      <w:pPr>
        <w:pStyle w:val="739"/>
        <w:rPr>
          <w:rFonts w:eastAsia="Calibri"/>
          <w:sz w:val="19"/>
          <w:szCs w:val="19"/>
          <w:rtl/>
        </w:rPr>
      </w:pPr>
      <w:r w:rsidRPr="00D5268C">
        <w:rPr>
          <w:rFonts w:eastAsia="Calibri"/>
          <w:sz w:val="19"/>
          <w:szCs w:val="19"/>
          <w:rtl/>
        </w:rPr>
        <w:t xml:space="preserve">נוכח הצפי להימשכות האיום הרקטי על מדינת ישראל והחשיבות של </w:t>
      </w:r>
      <w:r w:rsidRPr="00D5268C">
        <w:rPr>
          <w:rFonts w:eastAsia="Calibri" w:hint="cs"/>
          <w:sz w:val="19"/>
          <w:szCs w:val="19"/>
          <w:rtl/>
        </w:rPr>
        <w:t xml:space="preserve">שמירה על חיי אדם, על שלום הציבור, ועל </w:t>
      </w:r>
      <w:r w:rsidRPr="00D5268C">
        <w:rPr>
          <w:rFonts w:eastAsia="Calibri"/>
          <w:sz w:val="19"/>
          <w:szCs w:val="19"/>
          <w:rtl/>
        </w:rPr>
        <w:t xml:space="preserve">הבטחת הרציפות התפקודית של המשק </w:t>
      </w:r>
      <w:r w:rsidRPr="00D5268C">
        <w:rPr>
          <w:rFonts w:eastAsia="Calibri"/>
          <w:sz w:val="19"/>
          <w:szCs w:val="19"/>
          <w:rtl/>
        </w:rPr>
        <w:t>בעיתות חירום, ובהתחשב בשינויים ונזקים העלולים לקרות עקב אירועי שבר, בלאי טבעי או שיפוצים במהלך השנים - על מוסדות הציבור לתחזק באופן שוטף את המרחבים המוגנים שבאחריותם, לדאוג לתקינותם ולוודא כי מרחבים אלה משמשים סביבה מוגנת ובטוחה המאפשרת גם שהייה ממושכת בעת</w:t>
      </w:r>
      <w:r w:rsidRPr="00D5268C">
        <w:rPr>
          <w:rFonts w:eastAsia="Calibri"/>
          <w:sz w:val="19"/>
          <w:szCs w:val="19"/>
          <w:rtl/>
        </w:rPr>
        <w:t xml:space="preserve"> חירום. עוד מומלץ כי יגבשו תוכנית רב-שנתית לביצוע בקרה עיתית ומקיפה על מצב התחזוקה של המרחבים המוגנים שבאחריותם ועל תקינותם</w:t>
      </w:r>
      <w:r w:rsidRPr="00D5268C">
        <w:rPr>
          <w:rFonts w:eastAsia="Calibri"/>
          <w:b/>
          <w:bCs/>
          <w:szCs w:val="24"/>
          <w:rtl/>
        </w:rPr>
        <w:t xml:space="preserve"> </w:t>
      </w:r>
      <w:r w:rsidRPr="00D5268C">
        <w:rPr>
          <w:rFonts w:eastAsia="Calibri"/>
          <w:sz w:val="19"/>
          <w:szCs w:val="19"/>
          <w:rtl/>
        </w:rPr>
        <w:t>ויוודאו כי בקרה זו אכן מתקיימת וכי הליקויים שעולים בה מתוקנים.</w:t>
      </w:r>
    </w:p>
    <w:p w:rsidR="001D3DA9" w:rsidP="001D3DA9">
      <w:pPr>
        <w:pStyle w:val="739"/>
        <w:rPr>
          <w:rtl/>
        </w:rPr>
      </w:pPr>
    </w:p>
    <w:p w:rsidR="001D3DA9" w:rsidP="001D3DA9">
      <w:pPr>
        <w:spacing w:before="120" w:line="288" w:lineRule="auto"/>
        <w:ind w:left="-1"/>
        <w:rPr>
          <w:rFonts w:ascii="Tahoma" w:hAnsi="Tahoma" w:cs="Tahoma"/>
          <w:sz w:val="19"/>
          <w:szCs w:val="19"/>
          <w:rtl/>
        </w:rPr>
      </w:pPr>
    </w:p>
    <w:p w:rsidR="009A6817" w:rsidRPr="004E2733" w:rsidP="001D3DA9">
      <w:pPr>
        <w:spacing w:after="160" w:line="259" w:lineRule="auto"/>
        <w:jc w:val="left"/>
        <w:rPr>
          <w:rFonts w:ascii="Tahoma" w:hAnsi="Tahoma" w:cs="Tahoma"/>
          <w:noProof/>
          <w:rtl/>
        </w:rPr>
      </w:pPr>
    </w:p>
    <w:sectPr w:rsidSect="007E7FDD">
      <w:headerReference w:type="default" r:id="rId31"/>
      <w:pgSz w:w="11340" w:h="14175" w:code="9"/>
      <w:pgMar w:top="2268" w:right="1276" w:bottom="1588"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rPr>
        <w:rtl/>
      </w:rPr>
    </w:pPr>
    <w:r>
      <w:rPr>
        <w:noProof/>
      </w:rPr>
      <mc:AlternateContent>
        <mc:Choice Requires="wpg">
          <w:drawing>
            <wp:anchor distT="0" distB="0" distL="114300" distR="114300" simplePos="0" relativeHeight="251658240"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2060" cy="2365375"/>
                        <a:chOff x="3936" y="0"/>
                        <a:chExt cx="2512060" cy="2365375"/>
                      </a:xfrm>
                    </wpg:grpSpPr>
                    <wps:wsp xmlns:wps="http://schemas.microsoft.com/office/word/2010/wordprocessingShape">
                      <wps:cNvPr id="59" name="tbMMHF"/>
                      <wps:cNvSpPr txBox="1"/>
                      <wps:spPr>
                        <a:xfrm>
                          <a:off x="3936" y="180975"/>
                          <a:ext cx="2512060" cy="304800"/>
                        </a:xfrm>
                        <a:prstGeom prst="rect">
                          <a:avLst/>
                        </a:prstGeom>
                        <a:solidFill>
                          <a:schemeClr val="bg1"/>
                        </a:solidFill>
                        <a:ln w="6350">
                          <a:noFill/>
                        </a:ln>
                      </wps:spPr>
                      <wps:txbx>
                        <w:txbxContent>
                          <w:p w:rsidR="0062451B"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1656C6">
                              <w:rPr>
                                <w:rFonts w:asciiTheme="minorHAnsi" w:hAnsiTheme="minorHAnsi" w:cstheme="minorHAnsi" w:hint="cs"/>
                                <w:color w:val="002060"/>
                                <w:spacing w:val="20"/>
                                <w:sz w:val="22"/>
                                <w:szCs w:val="22"/>
                                <w:rtl/>
                              </w:rPr>
                              <w:t>תמוז</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1656C6">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14:sizeRelH relativeFrom="margin">
                <wp14:pctWidth>0</wp14:pctWidth>
              </wp14:sizeRelH>
            </wp:anchor>
          </w:drawing>
        </mc:Choice>
        <mc:Fallback>
          <w:pict>
            <v:group id="קבוצה 58" o:spid="_x0000_s2058" style="width:197.8pt;height:186.25pt;margin-top:-30.85pt;margin-left:125.3pt;position:absolute;z-index:251660288" coordorigin="39,0" coordsize="25120,23653">
              <v:shapetype id="_x0000_t202" coordsize="21600,21600" o:spt="202" path="m,l,21600r21600,l21600,xe">
                <v:stroke joinstyle="miter"/>
                <v:path gradientshapeok="t" o:connecttype="rect"/>
              </v:shapetype>
              <v:shape id="tbMMHF" o:spid="_x0000_s2059" type="#_x0000_t202" style="width:25120;height:3048;left:39;mso-wrap-style:square;position:absolute;top:1809;visibility:visible;v-text-anchor:top" fillcolor="white" stroked="f" strokeweight="0.5pt">
                <v:textbox>
                  <w:txbxContent>
                    <w:p w:rsidR="0062451B"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1656C6">
                        <w:rPr>
                          <w:rFonts w:asciiTheme="minorHAnsi" w:hAnsiTheme="minorHAnsi" w:cstheme="minorHAnsi" w:hint="cs"/>
                          <w:color w:val="002060"/>
                          <w:spacing w:val="20"/>
                          <w:sz w:val="22"/>
                          <w:szCs w:val="22"/>
                          <w:rtl/>
                        </w:rPr>
                        <w:t>תמוז</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tl/>
                        </w:rPr>
                        <w:t>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1656C6">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2060" style="mso-wrap-style:square;position:absolute;visibility:visible" from="4286,0" to="21050,0" o:connectortype="straight" strokecolor="#002060" strokeweight="1.25pt"/>
              <v:rect id="מלבן 61" o:spid="_x0000_s2061" style="width:16910;height:17843;left:4521;mso-wrap-style:square;position:absolute;top:5810;visibility:visible;v-text-anchor:middle"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pPr>
      <w:pStyle w:val="Footer"/>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2072"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61312" filled="f" stroked="f" strokeweight="0.5pt">
              <v:textbo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D135D">
      <w:pPr>
        <w:spacing w:line="240" w:lineRule="auto"/>
      </w:pPr>
      <w:r>
        <w:separator/>
      </w:r>
    </w:p>
  </w:footnote>
  <w:footnote w:type="continuationSeparator" w:id="1">
    <w:p w:rsidR="005D135D">
      <w:pPr>
        <w:spacing w:line="240" w:lineRule="auto"/>
      </w:pPr>
      <w:r>
        <w:continuationSeparator/>
      </w:r>
    </w:p>
  </w:footnote>
  <w:footnote w:id="2">
    <w:p w:rsidR="00AF02E8" w:rsidP="00AF02E8">
      <w:pPr>
        <w:pStyle w:val="FootnoteText"/>
        <w:ind w:right="-142"/>
        <w:rPr>
          <w:rtl/>
        </w:rPr>
      </w:pPr>
      <w:r>
        <w:rPr>
          <w:rStyle w:val="FootnoteReference1"/>
        </w:rPr>
        <w:footnoteRef/>
      </w:r>
      <w:r>
        <w:rPr>
          <w:rtl/>
        </w:rPr>
        <w:t xml:space="preserve"> </w:t>
      </w:r>
      <w:r>
        <w:rPr>
          <w:rtl/>
        </w:rPr>
        <w:tab/>
      </w:r>
      <w:r>
        <w:rPr>
          <w:rFonts w:ascii="Tahoma" w:hAnsi="Tahoma" w:cs="Tahoma" w:hint="cs"/>
          <w:sz w:val="16"/>
          <w:szCs w:val="16"/>
          <w:rtl/>
        </w:rPr>
        <w:t xml:space="preserve">על פי, </w:t>
      </w:r>
      <w:r w:rsidRPr="003031FF">
        <w:rPr>
          <w:rFonts w:ascii="Tahoma" w:hAnsi="Tahoma" w:cs="Tahoma"/>
          <w:sz w:val="16"/>
          <w:szCs w:val="16"/>
          <w:rtl/>
        </w:rPr>
        <w:t xml:space="preserve">המכון למחקרי ביטחון לאומי - </w:t>
      </w:r>
      <w:r w:rsidRPr="003031FF">
        <w:rPr>
          <w:rFonts w:ascii="Tahoma" w:hAnsi="Tahoma" w:cs="Tahoma"/>
          <w:sz w:val="16"/>
          <w:szCs w:val="16"/>
        </w:rPr>
        <w:t>INSS</w:t>
      </w:r>
      <w:r w:rsidRPr="003031FF">
        <w:rPr>
          <w:rFonts w:ascii="Tahoma" w:hAnsi="Tahoma" w:cs="Tahoma"/>
          <w:sz w:val="16"/>
          <w:szCs w:val="16"/>
          <w:rtl/>
        </w:rPr>
        <w:t xml:space="preserve">, </w:t>
      </w:r>
      <w:r w:rsidRPr="003031FF">
        <w:rPr>
          <w:rFonts w:ascii="Tahoma" w:hAnsi="Tahoma" w:cs="Tahoma"/>
          <w:b/>
          <w:bCs/>
          <w:sz w:val="16"/>
          <w:szCs w:val="16"/>
          <w:rtl/>
        </w:rPr>
        <w:t>לוח (דשבורד): נתונים של מבצע "עם כלביא"</w:t>
      </w:r>
      <w:r w:rsidRPr="003031FF">
        <w:rPr>
          <w:rFonts w:ascii="Tahoma" w:hAnsi="Tahoma" w:cs="Tahoma"/>
          <w:sz w:val="16"/>
          <w:szCs w:val="16"/>
          <w:rtl/>
        </w:rPr>
        <w:t xml:space="preserve">; מבקר המדינה, </w:t>
      </w:r>
      <w:r w:rsidRPr="003031FF">
        <w:rPr>
          <w:rFonts w:ascii="Tahoma" w:hAnsi="Tahoma" w:cs="Tahoma"/>
          <w:b/>
          <w:bCs/>
          <w:sz w:val="16"/>
          <w:szCs w:val="16"/>
          <w:rtl/>
        </w:rPr>
        <w:t>דוח שנתי (2024)</w:t>
      </w:r>
      <w:r w:rsidRPr="003031FF">
        <w:rPr>
          <w:rFonts w:ascii="Tahoma" w:hAnsi="Tahoma" w:cs="Tahoma"/>
          <w:sz w:val="16"/>
          <w:szCs w:val="16"/>
          <w:rtl/>
        </w:rPr>
        <w:t xml:space="preserve">, "אישור מרחבים מוגנים על ידי פיקוד העורף ומכוני הבקרה כחלק מתהליך מתן היתר </w:t>
      </w:r>
      <w:r w:rsidRPr="003031FF">
        <w:rPr>
          <w:rFonts w:ascii="Tahoma" w:hAnsi="Tahoma" w:cs="Tahoma"/>
          <w:sz w:val="16"/>
          <w:szCs w:val="16"/>
          <w:rtl/>
        </w:rPr>
        <w:t>בנייה", עמ' 1569</w:t>
      </w:r>
      <w:r>
        <w:rPr>
          <w:rFonts w:ascii="Tahoma" w:hAnsi="Tahoma" w:cs="Tahoma" w:hint="cs"/>
          <w:sz w:val="16"/>
          <w:szCs w:val="16"/>
          <w:rtl/>
        </w:rPr>
        <w:t>.</w:t>
      </w:r>
    </w:p>
  </w:footnote>
  <w:footnote w:id="3">
    <w:p w:rsidR="00AF02E8" w:rsidRPr="007862B8" w:rsidP="00AF02E8">
      <w:pPr>
        <w:pStyle w:val="FootnoteText"/>
        <w:rPr>
          <w:rFonts w:ascii="Tahoma" w:hAnsi="Tahoma" w:cs="Tahoma"/>
          <w:sz w:val="16"/>
          <w:szCs w:val="16"/>
        </w:rPr>
      </w:pPr>
      <w:r>
        <w:rPr>
          <w:rStyle w:val="FootnoteReference1"/>
        </w:rPr>
        <w:footnoteRef/>
      </w:r>
      <w:r>
        <w:rPr>
          <w:rtl/>
        </w:rPr>
        <w:t xml:space="preserve"> </w:t>
      </w:r>
      <w:r>
        <w:rPr>
          <w:rtl/>
        </w:rPr>
        <w:tab/>
      </w:r>
      <w:r w:rsidRPr="007862B8">
        <w:rPr>
          <w:rFonts w:ascii="Tahoma" w:hAnsi="Tahoma" w:cs="Tahoma" w:hint="cs"/>
          <w:sz w:val="16"/>
          <w:szCs w:val="16"/>
          <w:rtl/>
        </w:rPr>
        <w:t xml:space="preserve">כגון </w:t>
      </w:r>
      <w:r w:rsidRPr="007862B8">
        <w:rPr>
          <w:rFonts w:ascii="Tahoma" w:hAnsi="Tahoma" w:cs="Tahoma"/>
          <w:sz w:val="16"/>
          <w:szCs w:val="16"/>
          <w:rtl/>
        </w:rPr>
        <w:t>מקלט ציבורי, חניה תת-קרקעית או ממ"ק חיצוני (מיגונית).</w:t>
      </w:r>
    </w:p>
    <w:p w:rsidR="00AF02E8" w:rsidRPr="00C552AE" w:rsidP="00AF02E8">
      <w:pPr>
        <w:pStyle w:val="FootnoteText"/>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xmlns:wps="http://schemas.microsoft.com/office/word/2010/wordprocessingShape">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2049" style="width:484.3pt;height:47.6pt;margin-top:-7.45pt;margin-left:-15.2pt;mso-height-relative:margin;mso-width-relative:margin;position:absolute;z-index:251666432" coordorigin="317,0" coordsize="61503,6045">
              <v:line id="מחבר ישר 4" o:spid="_x0000_s2050"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51" type="#_x0000_t202" style="width:31642;height:2857;flip:x;left:30178;mso-wrap-style:square;position:absolute;visibility:visible;v-text-anchor:top"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_x0000_s2052" type="#_x0000_t202" style="width:31642;height:2857;flip:x;left:317;mso-wrap-style:square;position:absolute;top:3188;visibility:visible;v-text-anchor:top" filled="f" stroked="f">
                <v:textbox>
                  <w:txbxContent>
                    <w:p w:rsidR="0062451B"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w:t>
                      </w:r>
                      <w:r w:rsidR="00B4321D">
                        <w:rPr>
                          <w:rFonts w:ascii="Calibri" w:hAnsi="Calibri" w:cs="Calibri" w:hint="cs"/>
                          <w:color w:val="002060"/>
                          <w:szCs w:val="20"/>
                          <w:rtl/>
                        </w:rPr>
                        <w:t>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_x0000_s2053" type="#_x0000_t202" style="width:35452;height:2858;flip:x;left:26326;mso-wrap-style:square;position:absolute;top:3181;visibility:visible;v-text-anchor:top" filled="f" stroked="f">
                <v:textbox>
                  <w:txbxContent>
                    <w:p w:rsidR="001E204F"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sidR="0062451B">
      <w:rPr>
        <w:rFonts w:asciiTheme="minorHAnsi" w:hAnsiTheme="minorHAnsi" w:cstheme="minorHAnsi"/>
        <w:color w:val="002060"/>
        <w:szCs w:val="20"/>
        <w:rtl/>
      </w:rPr>
      <w:t xml:space="preserve"> </w:t>
    </w:r>
    <w:r w:rsidRPr="0062451B" w:rsidR="0062451B">
      <w:rPr>
        <w:rFonts w:asciiTheme="minorHAnsi" w:hAnsiTheme="minorHAnsi" w:cstheme="minorHAnsi"/>
        <w:color w:val="002060"/>
        <w:szCs w:val="20"/>
        <w:rtl/>
      </w:rPr>
      <w:fldChar w:fldCharType="begin"/>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Pr>
      <w:instrText>PAGE</w:instrText>
    </w:r>
    <w:r w:rsidRPr="0062451B" w:rsidR="0062451B">
      <w:rPr>
        <w:rFonts w:asciiTheme="minorHAnsi" w:hAnsiTheme="minorHAnsi" w:cstheme="minorHAnsi"/>
        <w:color w:val="002060"/>
        <w:szCs w:val="20"/>
        <w:rtl/>
      </w:rPr>
      <w:instrText xml:space="preserve">  \* </w:instrText>
    </w:r>
    <w:r w:rsidRPr="0062451B" w:rsidR="0062451B">
      <w:rPr>
        <w:rFonts w:asciiTheme="minorHAnsi" w:hAnsiTheme="minorHAnsi" w:cstheme="minorHAnsi"/>
        <w:color w:val="002060"/>
        <w:szCs w:val="20"/>
      </w:rPr>
      <w:instrText>MERGEFORMAT</w:instrText>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tl/>
      </w:rPr>
      <w:fldChar w:fldCharType="separate"/>
    </w:r>
    <w:r w:rsidRPr="0062451B" w:rsidR="0062451B">
      <w:rPr>
        <w:rFonts w:asciiTheme="minorHAnsi" w:hAnsiTheme="minorHAnsi" w:cstheme="minorHAnsi"/>
        <w:noProof/>
        <w:color w:val="002060"/>
        <w:szCs w:val="20"/>
        <w:rtl/>
      </w:rPr>
      <w:t>2</w:t>
    </w:r>
    <w:r w:rsidRPr="0062451B" w:rsidR="0062451B">
      <w:rPr>
        <w:rFonts w:asciiTheme="minorHAnsi" w:hAnsiTheme="minorHAnsi" w:cstheme="minorHAnsi"/>
        <w:color w:val="002060"/>
        <w:szCs w:val="20"/>
        <w:rtl/>
      </w:rPr>
      <w:fldChar w:fldCharType="end"/>
    </w:r>
    <w:r w:rsidRPr="0062451B" w:rsid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P="005E62A6">
    <w:pPr>
      <w:pStyle w:val="Header"/>
      <w:tabs>
        <w:tab w:val="clear" w:pos="8306"/>
      </w:tabs>
    </w:pPr>
    <w:r>
      <w:rPr>
        <w:noProof/>
      </w:rPr>
      <w:drawing>
        <wp:anchor distT="0" distB="0" distL="114300" distR="114300" simplePos="0" relativeHeight="251669504" behindDoc="0" locked="0" layoutInCell="1" allowOverlap="1">
          <wp:simplePos x="0" y="0"/>
          <wp:positionH relativeFrom="margin">
            <wp:align>center</wp:align>
          </wp:positionH>
          <wp:positionV relativeFrom="paragraph">
            <wp:posOffset>1006638</wp:posOffset>
          </wp:positionV>
          <wp:extent cx="871200" cy="542618"/>
          <wp:effectExtent l="0" t="0" r="5715" b="0"/>
          <wp:wrapNone/>
          <wp:docPr id="34" name="גרפיק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גרפיקה 55"/>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1200" cy="54261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4F8B">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0" cy="3009900"/>
                        <a:chOff x="628650" y="0"/>
                        <a:chExt cx="169545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קבוצה 53" o:spid="_x0000_s2054" style="width:133.5pt;height:237pt;margin-top:-36.45pt;margin-left:0;mso-position-horizontal:center;mso-position-horizontal-relative:margin;position:absolute;z-index:251659264" coordorigin="6286,0" coordsize="16954,30099">
              <v:rect id="מלבן 54" o:spid="_x0000_s2055" style="width:16910;height:24638;left:6286;mso-wrap-style:square;position:absolute;visibility:visible;v-text-anchor:middle" fillcolor="#002060" stroked="f" strokeweight="2pt"/>
              <v:line id="מחבר ישר 56" o:spid="_x0000_s2056" style="mso-wrap-style:square;position:absolute;visibility:visible" from="6477,30099" to="23241,30099" o:connectortype="straight" strokecolor="#002060" strokeweight="2pt"/>
              <w10:wrap anchorx="margin"/>
            </v:group>
          </w:pict>
        </mc:Fallback>
      </mc:AlternateContent>
    </w:r>
    <w:r w:rsidR="009961E8">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5930"/>
                      </a:xfrm>
                      <a:prstGeom prst="rect">
                        <a:avLst/>
                      </a:prstGeom>
                      <a:noFill/>
                      <a:ln w="6350">
                        <a:noFill/>
                      </a:ln>
                    </wps:spPr>
                    <wps:txbx>
                      <w:txbxContent>
                        <w:p w:rsidR="006A646E"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2057" type="#_x0000_t202" style="width:233pt;height:35.9pt;margin-top:164.6pt;margin-left:0;mso-position-horizontal:center;mso-position-horizontal-relative:margin;mso-wrap-distance-bottom:0;mso-wrap-distance-left:9pt;mso-wrap-distance-right:9pt;mso-wrap-distance-top:0;mso-wrap-style:square;position:absolute;visibility:visible;v-text-anchor:top;z-index:251662336" filled="f" stroked="f" strokeweight="0.5pt">
              <v:textbox>
                <w:txbxContent>
                  <w:p w:rsidR="006A646E"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049" w:rsidRPr="005C3049" w:rsidP="005C3049">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438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2062" style="width:484.3pt;height:47.6pt;margin-top:-7.45pt;margin-left:-15.2pt;mso-height-relative:margin;mso-width-relative:margin;position:absolute;z-index:251671552" coordorigin="317,0" coordsize="61503,6045">
              <v:line id="מחבר ישר 1834351669" o:spid="_x0000_s206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64" type="#_x0000_t202" style="width:31642;height:2857;flip:x;left:30178;mso-wrap-style:square;position:absolute;visibility:visible;v-text-anchor:top" filled="f" stroked="f">
                <v:textbo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_x0000_s2065" type="#_x0000_t202" style="width:31642;height:2857;flip:x;left:317;mso-wrap-style:square;position:absolute;top:3188;visibility:visible;v-text-anchor:top" filled="f" stroked="f">
                <v:textbo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 xml:space="preserve">אלול </w:t>
                      </w:r>
                      <w:r>
                        <w:rPr>
                          <w:rFonts w:ascii="Calibri" w:hAnsi="Calibri" w:cs="Calibri" w:hint="cs"/>
                          <w:color w:val="002060"/>
                          <w:szCs w:val="20"/>
                          <w:rtl/>
                        </w:rPr>
                        <w:t>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_x0000_s2066" type="#_x0000_t202" style="width:35452;height:2858;flip:x;left:26326;mso-wrap-style:square;position:absolute;top:3181;visibility:visible;v-text-anchor:top" filled="f" stroked="f">
                <v:textbox>
                  <w:txbxContent>
                    <w:p w:rsidR="005C3049" w:rsidRPr="001E204F"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8C7"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3360"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37" name="קבוצה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656C6" w:rsidR="001656C6">
                              <w:rPr>
                                <w:rFonts w:ascii="Calibri" w:hAnsi="Calibri" w:cs="Calibri"/>
                                <w:color w:val="002060"/>
                                <w:sz w:val="22"/>
                                <w:szCs w:val="22"/>
                                <w:rtl/>
                              </w:rPr>
                              <w:t>היבטים במענה הרפואי ובטיפול בעורף האזרחי</w:t>
                            </w:r>
                          </w:p>
                        </w:txbxContent>
                      </wps:txbx>
                      <wps:bodyPr rot="0" vert="horz" wrap="square" lIns="91440" tIns="45720" rIns="91440" bIns="45720" anchor="t" anchorCtr="0"/>
                    </wps:wsp>
                    <wps:wsp xmlns:wps="http://schemas.microsoft.com/office/word/2010/wordprocessingShape">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תמוז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sidR="007E7FDD">
                              <w:rPr>
                                <w:rFonts w:ascii="Calibri" w:hAnsi="Calibri" w:cs="Calibri" w:hint="cs"/>
                                <w:color w:val="002060"/>
                                <w:szCs w:val="20"/>
                                <w:rtl/>
                              </w:rPr>
                              <w:t>יוני</w:t>
                            </w:r>
                            <w:r>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wps:txbx>
                      <wps:bodyPr rot="0" vert="horz" wrap="square" lIns="91440" tIns="45720" rIns="91440" bIns="45720" anchor="t" anchorCtr="0"/>
                    </wps:wsp>
                    <wps:wsp xmlns:wps="http://schemas.microsoft.com/office/word/2010/wordprocessingShape">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E678C7" w:rsidRPr="001E204F" w:rsidP="00B4321D">
                            <w:pPr>
                              <w:rPr>
                                <w:rFonts w:ascii="Calibri" w:hAnsi="Calibri" w:cs="Calibri"/>
                                <w:color w:val="002060"/>
                                <w:szCs w:val="20"/>
                                <w:rtl/>
                              </w:rPr>
                            </w:pPr>
                            <w:r>
                              <w:rPr>
                                <w:rFonts w:ascii="Calibri" w:hAnsi="Calibri" w:cs="Calibri" w:hint="cs"/>
                                <w:color w:val="002060"/>
                                <w:szCs w:val="20"/>
                                <w:rtl/>
                              </w:rPr>
                              <w:t>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2067" style="width:484.25pt;height:47.6pt;margin-top:-7.45pt;margin-left:-15.2pt;mso-height-relative:margin;mso-width-relative:margin;position:absolute;z-index:251670528" coordorigin="317,0" coordsize="61499,6045">
              <v:line id="מחבר ישר 38" o:spid="_x0000_s2068"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69" type="#_x0000_t202" style="width:38069;height:2857;flip:x;left:23748;mso-wrap-style:square;position:absolute;visibility:visible;v-text-anchor:top" filled="f" stroked="f">
                <v:textbo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656C6" w:rsidR="001656C6">
                        <w:rPr>
                          <w:rFonts w:ascii="Calibri" w:hAnsi="Calibri" w:cs="Calibri"/>
                          <w:color w:val="002060"/>
                          <w:sz w:val="22"/>
                          <w:szCs w:val="22"/>
                          <w:rtl/>
                        </w:rPr>
                        <w:t>היבטים במענה הרפואי ובטיפול בעורף האזרחי</w:t>
                      </w:r>
                    </w:p>
                  </w:txbxContent>
                </v:textbox>
              </v:shape>
              <v:shape id="_x0000_s2070" type="#_x0000_t202" style="width:31642;height:2857;flip:x;left:317;mso-wrap-style:square;position:absolute;top:3188;visibility:visible;v-text-anchor:top" filled="f" stroked="f">
                <v:textbo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תמוז </w:t>
                      </w:r>
                      <w:r w:rsidR="009961E8">
                        <w:rPr>
                          <w:rFonts w:ascii="Calibri" w:hAnsi="Calibri" w:cs="Calibri" w:hint="cs"/>
                          <w:color w:val="002060"/>
                          <w:szCs w:val="20"/>
                          <w:rtl/>
                        </w:rPr>
                        <w:t xml:space="preserve"> </w:t>
                      </w:r>
                      <w:r w:rsidR="009961E8">
                        <w:rPr>
                          <w:rFonts w:ascii="Calibri" w:hAnsi="Calibri" w:cs="Calibri" w:hint="cs"/>
                          <w:color w:val="002060"/>
                          <w:szCs w:val="20"/>
                          <w:rtl/>
                        </w:rPr>
                        <w:t>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sidR="007E7FDD">
                        <w:rPr>
                          <w:rFonts w:ascii="Calibri" w:hAnsi="Calibri" w:cs="Calibri" w:hint="cs"/>
                          <w:color w:val="002060"/>
                          <w:szCs w:val="20"/>
                          <w:rtl/>
                        </w:rPr>
                        <w:t>יוני</w:t>
                      </w:r>
                      <w:r>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v:textbox>
              </v:shape>
              <v:shape id="_x0000_s2071" type="#_x0000_t202" style="width:35452;height:2858;flip:x;left:26326;mso-wrap-style:square;position:absolute;top:3181;visibility:visible;v-text-anchor:top" filled="f" stroked="f">
                <v:textbox>
                  <w:txbxContent>
                    <w:p w:rsidR="00E678C7" w:rsidRPr="001E204F" w:rsidP="00B4321D">
                      <w:pPr>
                        <w:rPr>
                          <w:rFonts w:ascii="Calibri" w:hAnsi="Calibri" w:cs="Calibri"/>
                          <w:color w:val="002060"/>
                          <w:szCs w:val="20"/>
                          <w:rtl/>
                        </w:rPr>
                      </w:pPr>
                      <w:r>
                        <w:rPr>
                          <w:rFonts w:ascii="Calibri" w:hAnsi="Calibri" w:cs="Calibri" w:hint="cs"/>
                          <w:color w:val="002060"/>
                          <w:szCs w:val="20"/>
                          <w:rtl/>
                        </w:rPr>
                        <w:t>שם הדוח</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rsidRPr="007E7FDD" w:rsidP="007E7F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FDD"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7456"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3" name="קבוצה 3"/>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8" name="מחבר ישר 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7E7FDD"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wps:txbx>
                      <wps:bodyPr rot="0" vert="horz" wrap="square" lIns="91440" tIns="45720" rIns="91440" bIns="45720" anchor="t" anchorCtr="0"/>
                    </wps:wsp>
                    <wps:wsp xmlns:wps="http://schemas.microsoft.com/office/word/2010/wordprocessingShape">
                      <wps:cNvPr id="344223331"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7E7FDD"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wps:txbx>
                      <wps:bodyPr rot="0" vert="horz" wrap="square" lIns="91440" tIns="45720" rIns="91440" bIns="45720" anchor="t" anchorCtr="0"/>
                    </wps:wsp>
                    <wps:wsp xmlns:wps="http://schemas.microsoft.com/office/word/2010/wordprocessingShape">
                      <wps:cNvPr id="14"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7E7FDD" w:rsidRPr="001E204F" w:rsidP="00B4321D">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 o:spid="_x0000_s2073" style="width:484.25pt;height:47.6pt;margin-top:-7.45pt;margin-left:-15.2pt;mso-height-relative:margin;mso-width-relative:margin;position:absolute;z-index:251673600" coordorigin="317,0" coordsize="61499,6045">
              <v:line id="מחבר ישר 8" o:spid="_x0000_s2074"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75" type="#_x0000_t202" style="width:38069;height:2857;flip:x;left:23748;mso-wrap-style:square;position:absolute;visibility:visible;v-text-anchor:top" filled="f" stroked="f">
                <v:textbox>
                  <w:txbxContent>
                    <w:p w:rsidR="007E7FDD"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v:textbox>
              </v:shape>
              <v:shape id="_x0000_s2076" type="#_x0000_t202" style="width:31642;height:2857;flip:x;left:317;mso-wrap-style:square;position:absolute;top:3188;visibility:visible;v-text-anchor:top" filled="f" stroked="f">
                <v:textbox>
                  <w:txbxContent>
                    <w:p w:rsidR="007E7FDD"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v:textbox>
              </v:shape>
              <v:shape id="_x0000_s2077" type="#_x0000_t202" style="width:35452;height:2858;flip:x;left:26326;mso-wrap-style:square;position:absolute;top:3181;visibility:visible;v-text-anchor:top" filled="f" stroked="f">
                <v:textbox>
                  <w:txbxContent>
                    <w:p w:rsidR="007E7FDD" w:rsidRPr="001E204F" w:rsidP="00B4321D">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noProof/>
        <w:color w:val="002060"/>
        <w:szCs w:val="2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9A" w:rsidRPr="00FB414E" w:rsidP="00FB414E">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540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2078" style="width:484.3pt;height:47.6pt;margin-top:-7.45pt;margin-left:-15.2pt;mso-height-relative:margin;mso-width-relative:margin;position:absolute;z-index:251672576" coordorigin="317,0" coordsize="61503,6045">
              <v:line id="מחבר ישר 1166979208" o:spid="_x0000_s2079"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80" type="#_x0000_t202" style="width:31642;height:2857;flip:x;left:30178;mso-wrap-style:square;position:absolute;visibility:visible;v-text-anchor:top" filled="f" stroked="f">
                <v:textbox>
                  <w:txbxContent>
                    <w:p w:rsidR="00C4789A"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_x0000_s2081" type="#_x0000_t202" style="width:31642;height:2857;flip:x;left:317;mso-wrap-style:square;position:absolute;top:3188;visibility:visible;v-text-anchor:top" filled="f" stroked="f">
                <v:textbox>
                  <w:txbxContent>
                    <w:p w:rsidR="00C4789A"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_x0000_s2082" type="#_x0000_t202" style="width:35452;height:2858;flip:x;left:26326;mso-wrap-style:square;position:absolute;top:3181;visibility:visible;v-text-anchor:top" filled="f" stroked="f">
                <v:textbox>
                  <w:txbxContent>
                    <w:p w:rsidR="00C4789A" w:rsidRPr="001E204F"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FDD" w:rsidRPr="0062451B" w:rsidP="00DA67CB">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8480"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15" name="קבוצה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16" name="מחבר ישר 16"/>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7"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7E7FDD" w:rsidRPr="0062451B" w:rsidP="00D265C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wps:txbx>
                      <wps:bodyPr rot="0" vert="horz" wrap="square" lIns="91440" tIns="45720" rIns="91440" bIns="45720" anchor="t" anchorCtr="0"/>
                    </wps:wsp>
                    <wps:wsp xmlns:wps="http://schemas.microsoft.com/office/word/2010/wordprocessingShape">
                      <wps:cNvPr id="2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7E7FDD" w:rsidRPr="0062451B" w:rsidP="00D265CB">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wps:txbx>
                      <wps:bodyPr rot="0" vert="horz" wrap="square" lIns="91440" tIns="45720" rIns="91440" bIns="45720" anchor="t" anchorCtr="0"/>
                    </wps:wsp>
                    <wps:wsp xmlns:wps="http://schemas.microsoft.com/office/word/2010/wordprocessingShape">
                      <wps:cNvPr id="2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7E7FDD" w:rsidRPr="001E204F" w:rsidP="00D265CB">
                            <w:pPr>
                              <w:rPr>
                                <w:rFonts w:ascii="Calibri" w:hAnsi="Calibri" w:cs="Calibri"/>
                                <w:color w:val="002060"/>
                                <w:szCs w:val="20"/>
                                <w:rtl/>
                              </w:rPr>
                            </w:pPr>
                            <w:r w:rsidRPr="00AF02E8">
                              <w:rPr>
                                <w:rFonts w:ascii="Calibri" w:hAnsi="Calibri" w:cs="Calibri"/>
                                <w:color w:val="002060"/>
                                <w:szCs w:val="20"/>
                                <w:rtl/>
                              </w:rPr>
                              <w:t xml:space="preserve">ביקורת </w:t>
                            </w:r>
                            <w:r w:rsidRPr="00AF02E8">
                              <w:rPr>
                                <w:rFonts w:ascii="Calibri" w:hAnsi="Calibri" w:cs="Calibri"/>
                                <w:color w:val="002060"/>
                                <w:szCs w:val="20"/>
                                <w:rtl/>
                              </w:rPr>
                              <w:t>פתע - מרחבים מוגנים במוסדות ציבור</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5" o:spid="_x0000_s2083" style="width:484.25pt;height:47.6pt;margin-top:-7.45pt;margin-left:-15.2pt;mso-height-relative:margin;mso-width-relative:margin;position:absolute;z-index:251674624" coordorigin="317,0" coordsize="61499,6045">
              <v:line id="מחבר ישר 16" o:spid="_x0000_s2084"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85" type="#_x0000_t202" style="width:38069;height:2857;flip:x;left:23748;mso-wrap-style:square;position:absolute;visibility:visible;v-text-anchor:top" filled="f" stroked="f">
                <v:textbox>
                  <w:txbxContent>
                    <w:p w:rsidR="007E7FDD" w:rsidRPr="0062451B" w:rsidP="00D265C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v:textbox>
              </v:shape>
              <v:shape id="_x0000_s2086" type="#_x0000_t202" style="width:31642;height:2857;flip:x;left:317;mso-wrap-style:square;position:absolute;top:3188;visibility:visible;v-text-anchor:top" filled="f" stroked="f">
                <v:textbox>
                  <w:txbxContent>
                    <w:p w:rsidR="007E7FDD" w:rsidRPr="0062451B" w:rsidP="00D265CB">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v:textbox>
              </v:shape>
              <v:shape id="_x0000_s2087" type="#_x0000_t202" style="width:35452;height:2858;flip:x;left:26326;mso-wrap-style:square;position:absolute;top:3181;visibility:visible;v-text-anchor:top" filled="f" stroked="f">
                <v:textbox>
                  <w:txbxContent>
                    <w:p w:rsidR="007E7FDD" w:rsidRPr="001E204F" w:rsidP="00D265CB">
                      <w:pPr>
                        <w:rPr>
                          <w:rFonts w:ascii="Calibri" w:hAnsi="Calibri" w:cs="Calibri"/>
                          <w:color w:val="002060"/>
                          <w:szCs w:val="20"/>
                          <w:rtl/>
                        </w:rPr>
                      </w:pPr>
                      <w:r w:rsidRPr="00AF02E8">
                        <w:rPr>
                          <w:rFonts w:ascii="Calibri" w:hAnsi="Calibri" w:cs="Calibri"/>
                          <w:color w:val="002060"/>
                          <w:szCs w:val="20"/>
                          <w:rtl/>
                        </w:rPr>
                        <w:t>ביקורת פתע - מרחבים מוגנים במוסדות ציבור</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noProof/>
        <w:color w:val="002060"/>
        <w:szCs w:val="20"/>
        <w:rtl/>
      </w:rPr>
      <w:t>8</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7.4pt" o:bullet="t">
        <v:imagedata r:id="rId1" o:title="hand-red"/>
      </v:shape>
    </w:pict>
  </w:numPicBullet>
  <w:numPicBullet w:numPicBulletId="1">
    <w:pict>
      <v:shape id="_x0000_i1026" type="#_x0000_t75" style="width:253.25pt;height:253.25pt" o:bullet="t">
        <v:imagedata r:id="rId2" o:title=""/>
      </v:shape>
    </w:pict>
  </w:numPicBullet>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97B12"/>
    <w:multiLevelType w:val="hybridMultilevel"/>
    <w:tmpl w:val="30EA0890"/>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06966"/>
    <w:multiLevelType w:val="hybridMultilevel"/>
    <w:tmpl w:val="FC6ED52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F648D2"/>
    <w:multiLevelType w:val="hybridMultilevel"/>
    <w:tmpl w:val="E2B6F6AA"/>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5">
    <w:nsid w:val="1D587F94"/>
    <w:multiLevelType w:val="hybridMultilevel"/>
    <w:tmpl w:val="FF2AB340"/>
    <w:lvl w:ilvl="0">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951A8"/>
    <w:multiLevelType w:val="hybridMultilevel"/>
    <w:tmpl w:val="477266D6"/>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7">
    <w:nsid w:val="2EC744C3"/>
    <w:multiLevelType w:val="hybridMultilevel"/>
    <w:tmpl w:val="4A68CCE0"/>
    <w:lvl w:ilvl="0">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1">
    <w:nsid w:val="355B1DDE"/>
    <w:multiLevelType w:val="hybridMultilevel"/>
    <w:tmpl w:val="0382FD12"/>
    <w:lvl w:ilvl="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92E622D"/>
    <w:multiLevelType w:val="hybridMultilevel"/>
    <w:tmpl w:val="7D5E01EA"/>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3">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nsid w:val="3B0B597E"/>
    <w:multiLevelType w:val="hybridMultilevel"/>
    <w:tmpl w:val="C582C6B2"/>
    <w:lvl w:ilvl="0">
      <w:start w:val="0"/>
      <w:numFmt w:val="bullet"/>
      <w:lvlText w:val="•"/>
      <w:lvlJc w:val="left"/>
      <w:pPr>
        <w:ind w:left="1003" w:hanging="360"/>
      </w:pPr>
      <w:rPr>
        <w:rFonts w:ascii="Tahoma" w:hAnsi="Tahoma" w:eastAsiaTheme="minorHAnsi" w:cs="Tahoma" w:hint="default"/>
        <w:b/>
        <w:i w:val="0"/>
        <w:caps w:val="0"/>
        <w:strike w:val="0"/>
        <w:dstrike w:val="0"/>
        <w:vanish w:val="0"/>
        <w:color w:val="FF0000"/>
        <w:position w:val="0"/>
        <w:sz w:val="21"/>
        <w:szCs w:val="25"/>
        <w:vertAlign w:val="baseline"/>
        <w14:ligatures w14:val="all"/>
        <w14:numForm w14:val="default"/>
        <w14:numSpacing w14:val="default"/>
        <w14:stylisticSets xmlns:w14="http://schemas.microsoft.com/office/word/2010/wordml"/>
      </w:rPr>
    </w:lvl>
    <w:lvl w:ilvl="1">
      <w:start w:val="0"/>
      <w:numFmt w:val="bullet"/>
      <w:lvlText w:val="•"/>
      <w:lvlJc w:val="left"/>
      <w:pPr>
        <w:ind w:left="1528" w:hanging="165"/>
      </w:pPr>
      <w:rPr>
        <w:rFonts w:ascii="Tahoma" w:hAnsi="Tahoma" w:eastAsiaTheme="minorHAnsi" w:cs="Tahoma" w:hint="default"/>
        <w:b/>
        <w:color w:val="FF0000"/>
        <w:sz w:val="21"/>
      </w:rPr>
    </w:lvl>
    <w:lvl w:ilvl="2" w:tentative="1">
      <w:start w:val="1"/>
      <w:numFmt w:val="bullet"/>
      <w:lvlText w:val=""/>
      <w:lvlJc w:val="left"/>
      <w:pPr>
        <w:ind w:left="2443" w:hanging="360"/>
      </w:pPr>
      <w:rPr>
        <w:rFonts w:ascii="Wingdings" w:hAnsi="Wingdings" w:hint="default"/>
      </w:rPr>
    </w:lvl>
    <w:lvl w:ilvl="3" w:tentative="1">
      <w:start w:val="1"/>
      <w:numFmt w:val="bullet"/>
      <w:lvlText w:val=""/>
      <w:lvlJc w:val="left"/>
      <w:pPr>
        <w:ind w:left="3163" w:hanging="360"/>
      </w:pPr>
      <w:rPr>
        <w:rFonts w:ascii="Symbol" w:hAnsi="Symbol" w:hint="default"/>
      </w:rPr>
    </w:lvl>
    <w:lvl w:ilvl="4" w:tentative="1">
      <w:start w:val="1"/>
      <w:numFmt w:val="bullet"/>
      <w:lvlText w:val="o"/>
      <w:lvlJc w:val="left"/>
      <w:pPr>
        <w:ind w:left="3883" w:hanging="360"/>
      </w:pPr>
      <w:rPr>
        <w:rFonts w:ascii="Courier New" w:hAnsi="Courier New" w:cs="Courier New" w:hint="default"/>
      </w:rPr>
    </w:lvl>
    <w:lvl w:ilvl="5" w:tentative="1">
      <w:start w:val="1"/>
      <w:numFmt w:val="bullet"/>
      <w:lvlText w:val=""/>
      <w:lvlJc w:val="left"/>
      <w:pPr>
        <w:ind w:left="4603" w:hanging="360"/>
      </w:pPr>
      <w:rPr>
        <w:rFonts w:ascii="Wingdings" w:hAnsi="Wingdings" w:hint="default"/>
      </w:rPr>
    </w:lvl>
    <w:lvl w:ilvl="6" w:tentative="1">
      <w:start w:val="1"/>
      <w:numFmt w:val="bullet"/>
      <w:lvlText w:val=""/>
      <w:lvlJc w:val="left"/>
      <w:pPr>
        <w:ind w:left="5323" w:hanging="360"/>
      </w:pPr>
      <w:rPr>
        <w:rFonts w:ascii="Symbol" w:hAnsi="Symbol" w:hint="default"/>
      </w:rPr>
    </w:lvl>
    <w:lvl w:ilvl="7" w:tentative="1">
      <w:start w:val="1"/>
      <w:numFmt w:val="bullet"/>
      <w:lvlText w:val="o"/>
      <w:lvlJc w:val="left"/>
      <w:pPr>
        <w:ind w:left="6043" w:hanging="360"/>
      </w:pPr>
      <w:rPr>
        <w:rFonts w:ascii="Courier New" w:hAnsi="Courier New" w:cs="Courier New" w:hint="default"/>
      </w:rPr>
    </w:lvl>
    <w:lvl w:ilvl="8" w:tentative="1">
      <w:start w:val="1"/>
      <w:numFmt w:val="bullet"/>
      <w:lvlText w:val=""/>
      <w:lvlJc w:val="left"/>
      <w:pPr>
        <w:ind w:left="6763" w:hanging="360"/>
      </w:pPr>
      <w:rPr>
        <w:rFonts w:ascii="Wingdings" w:hAnsi="Wingdings" w:hint="default"/>
      </w:rPr>
    </w:lvl>
  </w:abstractNum>
  <w:abstractNum w:abstractNumId="15">
    <w:nsid w:val="3DFC3F2B"/>
    <w:multiLevelType w:val="hybridMultilevel"/>
    <w:tmpl w:val="27902D54"/>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9">
    <w:nsid w:val="59F011FB"/>
    <w:multiLevelType w:val="hybridMultilevel"/>
    <w:tmpl w:val="FBB8779C"/>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79445E"/>
    <w:multiLevelType w:val="hybridMultilevel"/>
    <w:tmpl w:val="CDCA638E"/>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5D5678F"/>
    <w:multiLevelType w:val="hybridMultilevel"/>
    <w:tmpl w:val="8844FB18"/>
    <w:lvl w:ilvl="0">
      <w:start w:val="1"/>
      <w:numFmt w:val="bullet"/>
      <w:lvlText w:val=""/>
      <w:lvlJc w:val="left"/>
      <w:pPr>
        <w:ind w:left="1080" w:hanging="360"/>
      </w:pPr>
      <w:rPr>
        <w:rFonts w:ascii="Symbol" w:hAnsi="Symbol" w:hint="default"/>
        <w:color w:val="FF0000"/>
        <w:lang w:val="en-U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3">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78F7677"/>
    <w:multiLevelType w:val="hybridMultilevel"/>
    <w:tmpl w:val="257EC434"/>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5"/>
  </w:num>
  <w:num w:numId="2">
    <w:abstractNumId w:val="18"/>
  </w:num>
  <w:num w:numId="3">
    <w:abstractNumId w:val="16"/>
  </w:num>
  <w:num w:numId="4">
    <w:abstractNumId w:val="0"/>
  </w:num>
  <w:num w:numId="5">
    <w:abstractNumId w:val="17"/>
  </w:num>
  <w:num w:numId="6">
    <w:abstractNumId w:val="22"/>
  </w:num>
  <w:num w:numId="7">
    <w:abstractNumId w:val="13"/>
  </w:num>
  <w:num w:numId="8">
    <w:abstractNumId w:val="9"/>
  </w:num>
  <w:num w:numId="9">
    <w:abstractNumId w:val="8"/>
  </w:num>
  <w:num w:numId="10">
    <w:abstractNumId w:val="10"/>
  </w:num>
  <w:num w:numId="11">
    <w:abstractNumId w:val="23"/>
  </w:num>
  <w:num w:numId="12">
    <w:abstractNumId w:val="20"/>
  </w:num>
  <w:num w:numId="13">
    <w:abstractNumId w:val="19"/>
  </w:num>
  <w:num w:numId="14">
    <w:abstractNumId w:val="21"/>
  </w:num>
  <w:num w:numId="15">
    <w:abstractNumId w:val="1"/>
  </w:num>
  <w:num w:numId="16">
    <w:abstractNumId w:val="6"/>
  </w:num>
  <w:num w:numId="17">
    <w:abstractNumId w:val="7"/>
  </w:num>
  <w:num w:numId="18">
    <w:abstractNumId w:val="2"/>
  </w:num>
  <w:num w:numId="19">
    <w:abstractNumId w:val="11"/>
  </w:num>
  <w:num w:numId="20">
    <w:abstractNumId w:val="15"/>
  </w:num>
  <w:num w:numId="21">
    <w:abstractNumId w:val="5"/>
  </w:num>
  <w:num w:numId="22">
    <w:abstractNumId w:val="3"/>
  </w:num>
  <w:num w:numId="23">
    <w:abstractNumId w:val="24"/>
  </w:num>
  <w:num w:numId="24">
    <w:abstractNumId w:val="4"/>
  </w:num>
  <w:num w:numId="25">
    <w:abstractNumId w:val="12"/>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1B"/>
    <w:rsid w:val="00001576"/>
    <w:rsid w:val="00003B77"/>
    <w:rsid w:val="0001735B"/>
    <w:rsid w:val="00030DCF"/>
    <w:rsid w:val="000314B9"/>
    <w:rsid w:val="00042837"/>
    <w:rsid w:val="000501A4"/>
    <w:rsid w:val="000532AA"/>
    <w:rsid w:val="000838BA"/>
    <w:rsid w:val="00084768"/>
    <w:rsid w:val="00092F16"/>
    <w:rsid w:val="000B1102"/>
    <w:rsid w:val="000B463F"/>
    <w:rsid w:val="000C6528"/>
    <w:rsid w:val="000C7459"/>
    <w:rsid w:val="000D221E"/>
    <w:rsid w:val="000E013E"/>
    <w:rsid w:val="000F7725"/>
    <w:rsid w:val="00101D0F"/>
    <w:rsid w:val="00113E28"/>
    <w:rsid w:val="00114325"/>
    <w:rsid w:val="00164D9B"/>
    <w:rsid w:val="001656C6"/>
    <w:rsid w:val="00166477"/>
    <w:rsid w:val="001730B0"/>
    <w:rsid w:val="001960B4"/>
    <w:rsid w:val="0019747C"/>
    <w:rsid w:val="001A3BBC"/>
    <w:rsid w:val="001A613C"/>
    <w:rsid w:val="001B2821"/>
    <w:rsid w:val="001C057E"/>
    <w:rsid w:val="001C6185"/>
    <w:rsid w:val="001D3DA9"/>
    <w:rsid w:val="001D5457"/>
    <w:rsid w:val="001E204F"/>
    <w:rsid w:val="001F0CD9"/>
    <w:rsid w:val="00203604"/>
    <w:rsid w:val="002064F7"/>
    <w:rsid w:val="00212D9D"/>
    <w:rsid w:val="00240887"/>
    <w:rsid w:val="002602F0"/>
    <w:rsid w:val="00263521"/>
    <w:rsid w:val="00276705"/>
    <w:rsid w:val="00291629"/>
    <w:rsid w:val="002A7D21"/>
    <w:rsid w:val="002B55E8"/>
    <w:rsid w:val="002C0C75"/>
    <w:rsid w:val="002C0FD0"/>
    <w:rsid w:val="002C1EE0"/>
    <w:rsid w:val="002C4139"/>
    <w:rsid w:val="00301153"/>
    <w:rsid w:val="003031FF"/>
    <w:rsid w:val="0030602D"/>
    <w:rsid w:val="00310345"/>
    <w:rsid w:val="00313DEA"/>
    <w:rsid w:val="0032268D"/>
    <w:rsid w:val="00323027"/>
    <w:rsid w:val="00330009"/>
    <w:rsid w:val="00340353"/>
    <w:rsid w:val="0036735A"/>
    <w:rsid w:val="0037370B"/>
    <w:rsid w:val="0037752E"/>
    <w:rsid w:val="0037780B"/>
    <w:rsid w:val="00380052"/>
    <w:rsid w:val="00386E9B"/>
    <w:rsid w:val="0039415D"/>
    <w:rsid w:val="003A5544"/>
    <w:rsid w:val="003B6DFC"/>
    <w:rsid w:val="003D61C6"/>
    <w:rsid w:val="003E58C2"/>
    <w:rsid w:val="003E6853"/>
    <w:rsid w:val="00411396"/>
    <w:rsid w:val="0042177E"/>
    <w:rsid w:val="00450C77"/>
    <w:rsid w:val="004562F8"/>
    <w:rsid w:val="004672FB"/>
    <w:rsid w:val="004779AA"/>
    <w:rsid w:val="00493AB8"/>
    <w:rsid w:val="004A0385"/>
    <w:rsid w:val="004A0D80"/>
    <w:rsid w:val="004C7D9F"/>
    <w:rsid w:val="004E2733"/>
    <w:rsid w:val="004E488A"/>
    <w:rsid w:val="004F0AB4"/>
    <w:rsid w:val="005006C5"/>
    <w:rsid w:val="00524C99"/>
    <w:rsid w:val="00551B42"/>
    <w:rsid w:val="00551FF7"/>
    <w:rsid w:val="00574579"/>
    <w:rsid w:val="00577CAE"/>
    <w:rsid w:val="00580C5C"/>
    <w:rsid w:val="00581D69"/>
    <w:rsid w:val="005A021D"/>
    <w:rsid w:val="005A09B4"/>
    <w:rsid w:val="005B2688"/>
    <w:rsid w:val="005C3049"/>
    <w:rsid w:val="005C7ABF"/>
    <w:rsid w:val="005D135D"/>
    <w:rsid w:val="005D2CBD"/>
    <w:rsid w:val="005E56AD"/>
    <w:rsid w:val="005E62A6"/>
    <w:rsid w:val="005F4A6D"/>
    <w:rsid w:val="00602674"/>
    <w:rsid w:val="006216E0"/>
    <w:rsid w:val="0062451B"/>
    <w:rsid w:val="0062456C"/>
    <w:rsid w:val="00634DAD"/>
    <w:rsid w:val="0063556C"/>
    <w:rsid w:val="00640B60"/>
    <w:rsid w:val="006457EB"/>
    <w:rsid w:val="006531CB"/>
    <w:rsid w:val="006569CD"/>
    <w:rsid w:val="006615C6"/>
    <w:rsid w:val="006A0446"/>
    <w:rsid w:val="006A646E"/>
    <w:rsid w:val="006B1593"/>
    <w:rsid w:val="006B16D1"/>
    <w:rsid w:val="006B7706"/>
    <w:rsid w:val="006C4033"/>
    <w:rsid w:val="006D4161"/>
    <w:rsid w:val="006D786C"/>
    <w:rsid w:val="006E1414"/>
    <w:rsid w:val="006F285F"/>
    <w:rsid w:val="00716AFD"/>
    <w:rsid w:val="0072219B"/>
    <w:rsid w:val="007474F0"/>
    <w:rsid w:val="00753ADE"/>
    <w:rsid w:val="00773F61"/>
    <w:rsid w:val="007862B8"/>
    <w:rsid w:val="00794CAC"/>
    <w:rsid w:val="007A4EBD"/>
    <w:rsid w:val="007B112B"/>
    <w:rsid w:val="007B5B26"/>
    <w:rsid w:val="007B691A"/>
    <w:rsid w:val="007C1FF6"/>
    <w:rsid w:val="007D61B8"/>
    <w:rsid w:val="007E24BD"/>
    <w:rsid w:val="007E7FDD"/>
    <w:rsid w:val="007F7FF2"/>
    <w:rsid w:val="00805B42"/>
    <w:rsid w:val="008102AD"/>
    <w:rsid w:val="00824AB2"/>
    <w:rsid w:val="00837997"/>
    <w:rsid w:val="008654CB"/>
    <w:rsid w:val="00867FC5"/>
    <w:rsid w:val="0088743F"/>
    <w:rsid w:val="00892F80"/>
    <w:rsid w:val="00897698"/>
    <w:rsid w:val="008A2E0E"/>
    <w:rsid w:val="008B4F41"/>
    <w:rsid w:val="008B5B82"/>
    <w:rsid w:val="008C1428"/>
    <w:rsid w:val="008C6F75"/>
    <w:rsid w:val="008D750B"/>
    <w:rsid w:val="009015B2"/>
    <w:rsid w:val="00906E90"/>
    <w:rsid w:val="0091051D"/>
    <w:rsid w:val="009137E5"/>
    <w:rsid w:val="00936F84"/>
    <w:rsid w:val="00940851"/>
    <w:rsid w:val="00962256"/>
    <w:rsid w:val="009679D9"/>
    <w:rsid w:val="009912C8"/>
    <w:rsid w:val="009961E8"/>
    <w:rsid w:val="009A6817"/>
    <w:rsid w:val="009B0AEC"/>
    <w:rsid w:val="009B497A"/>
    <w:rsid w:val="009C6066"/>
    <w:rsid w:val="009D45C5"/>
    <w:rsid w:val="009D73F5"/>
    <w:rsid w:val="009E1A3F"/>
    <w:rsid w:val="009E53CF"/>
    <w:rsid w:val="009F0BD3"/>
    <w:rsid w:val="00A055D0"/>
    <w:rsid w:val="00A222E2"/>
    <w:rsid w:val="00A30B00"/>
    <w:rsid w:val="00A61AD5"/>
    <w:rsid w:val="00A73038"/>
    <w:rsid w:val="00A76C99"/>
    <w:rsid w:val="00A81EBE"/>
    <w:rsid w:val="00AB465B"/>
    <w:rsid w:val="00AB66C8"/>
    <w:rsid w:val="00AC6B95"/>
    <w:rsid w:val="00AD1000"/>
    <w:rsid w:val="00AE741B"/>
    <w:rsid w:val="00AF02E8"/>
    <w:rsid w:val="00AF3B73"/>
    <w:rsid w:val="00B00E5C"/>
    <w:rsid w:val="00B04068"/>
    <w:rsid w:val="00B14FC8"/>
    <w:rsid w:val="00B4321D"/>
    <w:rsid w:val="00B666B9"/>
    <w:rsid w:val="00B75E06"/>
    <w:rsid w:val="00B76DC1"/>
    <w:rsid w:val="00B8425B"/>
    <w:rsid w:val="00B862C0"/>
    <w:rsid w:val="00BD2291"/>
    <w:rsid w:val="00BD291C"/>
    <w:rsid w:val="00BE22D7"/>
    <w:rsid w:val="00BE2DD8"/>
    <w:rsid w:val="00C2305A"/>
    <w:rsid w:val="00C23CC9"/>
    <w:rsid w:val="00C30B3D"/>
    <w:rsid w:val="00C33AE2"/>
    <w:rsid w:val="00C36C5E"/>
    <w:rsid w:val="00C4664C"/>
    <w:rsid w:val="00C4789A"/>
    <w:rsid w:val="00C552AE"/>
    <w:rsid w:val="00C75A49"/>
    <w:rsid w:val="00C8096C"/>
    <w:rsid w:val="00C8100B"/>
    <w:rsid w:val="00C92141"/>
    <w:rsid w:val="00CA38DE"/>
    <w:rsid w:val="00CA41D2"/>
    <w:rsid w:val="00CA4EB1"/>
    <w:rsid w:val="00CA4F20"/>
    <w:rsid w:val="00CC740F"/>
    <w:rsid w:val="00CD5320"/>
    <w:rsid w:val="00CD6EEC"/>
    <w:rsid w:val="00CF6518"/>
    <w:rsid w:val="00D22748"/>
    <w:rsid w:val="00D265CB"/>
    <w:rsid w:val="00D26918"/>
    <w:rsid w:val="00D37121"/>
    <w:rsid w:val="00D5268C"/>
    <w:rsid w:val="00D57BE9"/>
    <w:rsid w:val="00D71966"/>
    <w:rsid w:val="00D779F7"/>
    <w:rsid w:val="00D87542"/>
    <w:rsid w:val="00D95C20"/>
    <w:rsid w:val="00D97C16"/>
    <w:rsid w:val="00DA3406"/>
    <w:rsid w:val="00DA67CB"/>
    <w:rsid w:val="00DB2E3A"/>
    <w:rsid w:val="00DB6E18"/>
    <w:rsid w:val="00DE1DAB"/>
    <w:rsid w:val="00DE20A2"/>
    <w:rsid w:val="00DE4F8B"/>
    <w:rsid w:val="00DF0B89"/>
    <w:rsid w:val="00E35682"/>
    <w:rsid w:val="00E46EA3"/>
    <w:rsid w:val="00E51C1B"/>
    <w:rsid w:val="00E52143"/>
    <w:rsid w:val="00E53DA7"/>
    <w:rsid w:val="00E678C7"/>
    <w:rsid w:val="00E725B9"/>
    <w:rsid w:val="00E87979"/>
    <w:rsid w:val="00E927FF"/>
    <w:rsid w:val="00EC6B44"/>
    <w:rsid w:val="00EE37A3"/>
    <w:rsid w:val="00EE407E"/>
    <w:rsid w:val="00F30558"/>
    <w:rsid w:val="00F32F59"/>
    <w:rsid w:val="00F4385E"/>
    <w:rsid w:val="00F56CE4"/>
    <w:rsid w:val="00F627EB"/>
    <w:rsid w:val="00F66FC8"/>
    <w:rsid w:val="00F75A10"/>
    <w:rsid w:val="00F77276"/>
    <w:rsid w:val="00F92629"/>
    <w:rsid w:val="00F95853"/>
    <w:rsid w:val="00FA48C8"/>
    <w:rsid w:val="00FB3F26"/>
    <w:rsid w:val="00FB414E"/>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9"/>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9"/>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customStyle="1"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32268D"/>
    <w:rPr>
      <w:rFonts w:ascii="Tahoma" w:hAnsi="Tahoma" w:cs="Tahoma"/>
      <w:color w:val="0D0D0D" w:themeColor="text1" w:themeTint="F2"/>
      <w:sz w:val="18"/>
      <w:szCs w:val="18"/>
    </w:rPr>
  </w:style>
  <w:style w:type="paragraph" w:customStyle="1" w:styleId="71">
    <w:name w:val="71ג הערות שוליים"/>
    <w:basedOn w:val="FootnoteText"/>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DefaultParagraphFont"/>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Normal"/>
    <w:link w:val="2021Char"/>
    <w:qFormat/>
    <w:rsid w:val="00BE22D7"/>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BE22D7"/>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BE22D7"/>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BE22D7"/>
    <w:rPr>
      <w:rFonts w:ascii="Tahoma" w:hAnsi="Tahoma" w:eastAsiaTheme="minorEastAsia" w:cs="Tahoma"/>
      <w:color w:val="0D0D0D" w:themeColor="text1" w:themeTint="F2"/>
      <w:w w:val="90"/>
      <w:sz w:val="18"/>
      <w:szCs w:val="18"/>
    </w:rPr>
  </w:style>
  <w:style w:type="paragraph" w:customStyle="1" w:styleId="73">
    <w:name w:val="73א הזחה ראשונה ללא מספר"/>
    <w:basedOn w:val="Normal"/>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Normal"/>
    <w:qFormat/>
    <w:rsid w:val="00BE22D7"/>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character" w:customStyle="1" w:styleId="737">
    <w:name w:val="73א כותרת 7 הדגשת קטע בטקסט רץ תו"/>
    <w:basedOn w:val="DefaultParagraphFont"/>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Normal"/>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DefaultParagraphFont"/>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Normal"/>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DefaultParagraphFont"/>
    <w:link w:val="733"/>
    <w:rsid w:val="00BE22D7"/>
    <w:rPr>
      <w:rFonts w:ascii="Tahoma" w:hAnsi="Tahoma" w:cs="Tahoma"/>
      <w:b/>
      <w:bCs/>
      <w:color w:val="FFFFFF" w:themeColor="background1"/>
      <w:sz w:val="22"/>
      <w:szCs w:val="22"/>
    </w:rPr>
  </w:style>
  <w:style w:type="character" w:styleId="PageNumber">
    <w:name w:val="page number"/>
    <w:basedOn w:val="DefaultParagraphFont"/>
    <w:uiPriority w:val="99"/>
    <w:semiHidden/>
    <w:unhideWhenUsed/>
    <w:rsid w:val="005C3049"/>
  </w:style>
  <w:style w:type="table" w:customStyle="1" w:styleId="26">
    <w:name w:val="רשת טבלה2"/>
    <w:basedOn w:val="TableNormal"/>
    <w:next w:val="TableGrid"/>
    <w:uiPriority w:val="59"/>
    <w:rsid w:val="00AF02E8"/>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TableNormal"/>
    <w:next w:val="TableGrid"/>
    <w:uiPriority w:val="59"/>
    <w:rsid w:val="00D52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image" Target="media/image13.jpeg"/><Relationship Id="rId21" Type="http://schemas.openxmlformats.org/officeDocument/2006/relationships/image" Target="media/image8.jpeg"/><Relationship Id="rId34" Type="http://schemas.openxmlformats.org/officeDocument/2006/relationships/styles" Target="styles.xml"/><Relationship Id="rId12" Type="http://schemas.openxmlformats.org/officeDocument/2006/relationships/header" Target="header5.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numbering" Target="numbering.xml"/><Relationship Id="rId7" Type="http://schemas.openxmlformats.org/officeDocument/2006/relationships/header" Target="header1.xml"/><Relationship Id="rId16" Type="http://schemas.openxmlformats.org/officeDocument/2006/relationships/header" Target="header7.xml"/><Relationship Id="rId2" Type="http://schemas.openxmlformats.org/officeDocument/2006/relationships/settings" Target="settings.xml"/><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1.jpeg"/><Relationship Id="rId32" Type="http://schemas.openxmlformats.org/officeDocument/2006/relationships/theme" Target="theme/theme1.xml"/><Relationship Id="rId6" Type="http://schemas.openxmlformats.org/officeDocument/2006/relationships/image" Target="media/image1.jpeg"/><Relationship Id="rId37" Type="http://schemas.openxmlformats.org/officeDocument/2006/relationships/customXml" Target="../customXml/item4.xml"/><Relationship Id="rId15" Type="http://schemas.openxmlformats.org/officeDocument/2006/relationships/header" Target="header6.xml"/><Relationship Id="rId23" Type="http://schemas.openxmlformats.org/officeDocument/2006/relationships/image" Target="media/image10.jpeg"/><Relationship Id="rId28" Type="http://schemas.openxmlformats.org/officeDocument/2006/relationships/image" Target="media/image15.jpeg"/><Relationship Id="rId5" Type="http://schemas.openxmlformats.org/officeDocument/2006/relationships/customXml" Target="../customXml/item1.xml"/><Relationship Id="rId36"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image" Target="media/image6.jpeg"/><Relationship Id="rId31" Type="http://schemas.openxmlformats.org/officeDocument/2006/relationships/header" Target="header8.xm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4" Type="http://schemas.openxmlformats.org/officeDocument/2006/relationships/fontTable" Target="fontTable.xml"/><Relationship Id="rId9"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header" Target="header2.xml"/><Relationship Id="rId3" Type="http://schemas.openxmlformats.org/officeDocument/2006/relationships/webSettings" Target="webSettings.xml"/></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18.png" /><Relationship Id="rId2" Type="http://schemas.openxmlformats.org/officeDocument/2006/relationships/image" Target="media/image19.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184675-A873-4CAB-AA1D-17DEB33E4D43}">
  <ds:schemaRefs>
    <ds:schemaRef ds:uri="http://schemas.openxmlformats.org/officeDocument/2006/bibliography"/>
  </ds:schemaRefs>
</ds:datastoreItem>
</file>

<file path=customXml/itemProps2.xml><?xml version="1.0" encoding="utf-8"?>
<ds:datastoreItem xmlns:ds="http://schemas.openxmlformats.org/officeDocument/2006/customXml" ds:itemID="{45BD5CEC-7C15-49EC-8327-1FCE6A54CD06}"/>
</file>

<file path=customXml/itemProps3.xml><?xml version="1.0" encoding="utf-8"?>
<ds:datastoreItem xmlns:ds="http://schemas.openxmlformats.org/officeDocument/2006/customXml" ds:itemID="{7557133C-61C1-48EF-9327-07F6D9AB78C7}"/>
</file>

<file path=customXml/itemProps4.xml><?xml version="1.0" encoding="utf-8"?>
<ds:datastoreItem xmlns:ds="http://schemas.openxmlformats.org/officeDocument/2006/customXml" ds:itemID="{FAD5BCA1-BD04-4251-80C1-4F31C367CFF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